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D373E" w:rsidRPr="00F5355A" w:rsidP="00FD373E">
      <w:pPr>
        <w:pStyle w:val="Title"/>
        <w:rPr>
          <w:rFonts w:ascii="Times New Roman" w:hAnsi="Times New Roman" w:cs="Times New Roman"/>
          <w:sz w:val="28"/>
          <w:szCs w:val="28"/>
        </w:rPr>
      </w:pPr>
      <w:r w:rsidRPr="00F5355A" w:rsidR="007A1E0D">
        <w:rPr>
          <w:rFonts w:ascii="Times New Roman" w:hAnsi="Times New Roman" w:cs="Times New Roman"/>
          <w:sz w:val="28"/>
          <w:szCs w:val="28"/>
        </w:rPr>
        <w:t>Správa o súčasnom stave</w:t>
      </w:r>
      <w:r w:rsidRPr="00F5355A">
        <w:rPr>
          <w:rFonts w:ascii="Times New Roman" w:hAnsi="Times New Roman" w:cs="Times New Roman"/>
          <w:sz w:val="28"/>
          <w:szCs w:val="28"/>
        </w:rPr>
        <w:t xml:space="preserve"> a koncepcia rozvoja</w:t>
      </w:r>
      <w:r w:rsidR="00D72DA6">
        <w:rPr>
          <w:rFonts w:ascii="Times New Roman" w:hAnsi="Times New Roman" w:cs="Times New Roman"/>
          <w:sz w:val="28"/>
          <w:szCs w:val="28"/>
        </w:rPr>
        <w:t xml:space="preserve"> </w:t>
      </w:r>
      <w:r w:rsidRPr="00F5355A">
        <w:rPr>
          <w:rFonts w:ascii="Times New Roman" w:hAnsi="Times New Roman" w:cs="Times New Roman"/>
          <w:sz w:val="28"/>
          <w:szCs w:val="28"/>
        </w:rPr>
        <w:t>Letiska M. R. Štefánika Bratislava</w:t>
      </w:r>
      <w:r w:rsidR="00D72DA6">
        <w:rPr>
          <w:rFonts w:ascii="Times New Roman" w:hAnsi="Times New Roman" w:cs="Times New Roman"/>
          <w:sz w:val="28"/>
          <w:szCs w:val="28"/>
        </w:rPr>
        <w:t xml:space="preserve"> vrátane jeho finančného krytia</w:t>
      </w:r>
    </w:p>
    <w:p w:rsidR="007A1E0D" w:rsidRPr="00F5355A">
      <w:pPr>
        <w:pStyle w:val="Title"/>
        <w:rPr>
          <w:rFonts w:ascii="Times New Roman" w:hAnsi="Times New Roman" w:cs="Times New Roman"/>
          <w:sz w:val="20"/>
          <w:szCs w:val="20"/>
        </w:rPr>
      </w:pPr>
    </w:p>
    <w:p w:rsidR="007A1E0D" w:rsidRPr="00F5355A" w:rsidP="00FD373E">
      <w:pPr>
        <w:jc w:val="both"/>
        <w:rPr>
          <w:rFonts w:ascii="Times New Roman" w:hAnsi="Times New Roman" w:cs="Times New Roman"/>
          <w:b/>
          <w:bCs/>
          <w:lang w:val="sk-SK"/>
        </w:rPr>
      </w:pPr>
      <w:r w:rsidRPr="00F5355A" w:rsidR="00FD373E">
        <w:rPr>
          <w:rFonts w:ascii="Times New Roman" w:hAnsi="Times New Roman" w:cs="Times New Roman"/>
          <w:b/>
          <w:bCs/>
          <w:lang w:val="sk-SK"/>
        </w:rPr>
        <w:t>A) Súčasný stav</w:t>
      </w:r>
    </w:p>
    <w:p w:rsidR="007A1E0D" w:rsidRPr="00F5355A">
      <w:pPr>
        <w:pStyle w:val="BodyText"/>
        <w:rPr>
          <w:rFonts w:ascii="Times New Roman" w:hAnsi="Times New Roman" w:cs="Times New Roman"/>
          <w:i/>
          <w:iCs/>
          <w:sz w:val="24"/>
        </w:rPr>
      </w:pPr>
      <w:r w:rsidRPr="00F5355A">
        <w:rPr>
          <w:rFonts w:ascii="Times New Roman" w:hAnsi="Times New Roman" w:cs="Times New Roman"/>
          <w:i/>
          <w:iCs/>
          <w:sz w:val="24"/>
        </w:rPr>
        <w:t>Spoločnosť Letisko M. R. Štefánika – Airport Bratislava, a.s. (BTS)</w:t>
      </w:r>
      <w:r w:rsidRPr="00F5355A" w:rsidR="00FD373E">
        <w:rPr>
          <w:rFonts w:ascii="Times New Roman" w:hAnsi="Times New Roman" w:cs="Times New Roman"/>
          <w:i/>
          <w:iCs/>
          <w:sz w:val="24"/>
        </w:rPr>
        <w:t>,</w:t>
      </w:r>
      <w:r w:rsidRPr="00F5355A">
        <w:rPr>
          <w:rFonts w:ascii="Times New Roman" w:hAnsi="Times New Roman" w:cs="Times New Roman"/>
          <w:i/>
          <w:iCs/>
          <w:sz w:val="24"/>
        </w:rPr>
        <w:t xml:space="preserve"> je prevádzkovateľom </w:t>
      </w:r>
      <w:r w:rsidRPr="00F5355A" w:rsidR="00FD373E">
        <w:rPr>
          <w:rFonts w:ascii="Times New Roman" w:hAnsi="Times New Roman" w:cs="Times New Roman"/>
          <w:i/>
          <w:iCs/>
          <w:sz w:val="24"/>
        </w:rPr>
        <w:t xml:space="preserve">uvedeného </w:t>
      </w:r>
      <w:r w:rsidRPr="00F5355A">
        <w:rPr>
          <w:rFonts w:ascii="Times New Roman" w:hAnsi="Times New Roman" w:cs="Times New Roman"/>
          <w:i/>
          <w:iCs/>
          <w:sz w:val="24"/>
        </w:rPr>
        <w:t xml:space="preserve">medzinárodného letiska. </w:t>
      </w:r>
      <w:r w:rsidRPr="00F5355A" w:rsidR="00FD373E">
        <w:rPr>
          <w:rFonts w:ascii="Times New Roman" w:hAnsi="Times New Roman" w:cs="Times New Roman"/>
          <w:i/>
          <w:iCs/>
          <w:sz w:val="24"/>
        </w:rPr>
        <w:t>Ide o</w:t>
      </w:r>
      <w:r w:rsidRPr="00F5355A">
        <w:rPr>
          <w:rFonts w:ascii="Times New Roman" w:hAnsi="Times New Roman" w:cs="Times New Roman"/>
          <w:i/>
          <w:iCs/>
          <w:sz w:val="24"/>
        </w:rPr>
        <w:t xml:space="preserve"> </w:t>
      </w:r>
      <w:r w:rsidRPr="00F5355A">
        <w:rPr>
          <w:rFonts w:ascii="Times New Roman" w:hAnsi="Times New Roman" w:cs="Times New Roman"/>
          <w:i/>
          <w:iCs/>
          <w:sz w:val="24"/>
        </w:rPr>
        <w:t>akciov</w:t>
      </w:r>
      <w:r w:rsidRPr="00F5355A" w:rsidR="00FD373E">
        <w:rPr>
          <w:rFonts w:ascii="Times New Roman" w:hAnsi="Times New Roman" w:cs="Times New Roman"/>
          <w:i/>
          <w:iCs/>
          <w:sz w:val="24"/>
        </w:rPr>
        <w:t>ú</w:t>
      </w:r>
      <w:r w:rsidRPr="00F5355A">
        <w:rPr>
          <w:rFonts w:ascii="Times New Roman" w:hAnsi="Times New Roman" w:cs="Times New Roman"/>
          <w:i/>
          <w:iCs/>
          <w:sz w:val="24"/>
        </w:rPr>
        <w:t xml:space="preserve"> spoločnosť s majetkovou účasťou štátu, v ktorej 66%-ný podiel akcií je v správe Fondu národného majetku SR a 34%-ný podiel vlastní Ministerstvo dopravy, pôšt a telekomunikácií SR.</w:t>
      </w:r>
    </w:p>
    <w:p w:rsidR="007A1E0D" w:rsidRPr="00F5355A">
      <w:pPr>
        <w:jc w:val="both"/>
        <w:rPr>
          <w:rFonts w:ascii="Times New Roman" w:hAnsi="Times New Roman" w:cs="Times New Roman"/>
          <w:lang w:val="sk-SK"/>
        </w:rPr>
      </w:pPr>
    </w:p>
    <w:p w:rsidR="007A1E0D" w:rsidRPr="00F5355A">
      <w:pPr>
        <w:pStyle w:val="BodyText"/>
        <w:rPr>
          <w:rFonts w:ascii="Times New Roman" w:hAnsi="Times New Roman" w:cs="Times New Roman"/>
          <w:sz w:val="24"/>
        </w:rPr>
      </w:pPr>
      <w:r w:rsidRPr="00F5355A">
        <w:rPr>
          <w:rFonts w:ascii="Times New Roman" w:hAnsi="Times New Roman" w:cs="Times New Roman"/>
          <w:sz w:val="24"/>
        </w:rPr>
        <w:t xml:space="preserve">Spoločnosť dosiahla v roku 2007 zisk pred zdanením a odpismi vo výške 280 mil. Sk. Ďalších 320 mil. Sk spoločnosť preinvestovala do vlastného rozvoja. Letiskom </w:t>
      </w:r>
      <w:r w:rsidR="00D72DA6">
        <w:rPr>
          <w:rFonts w:ascii="Times New Roman" w:hAnsi="Times New Roman" w:cs="Times New Roman"/>
          <w:sz w:val="24"/>
        </w:rPr>
        <w:t>Bratislava</w:t>
      </w:r>
      <w:r w:rsidRPr="00F5355A">
        <w:rPr>
          <w:rFonts w:ascii="Times New Roman" w:hAnsi="Times New Roman" w:cs="Times New Roman"/>
          <w:sz w:val="24"/>
        </w:rPr>
        <w:t xml:space="preserve"> v uplynulom roku prešlo 2.024.142 cestujúcich, čo je o 86.500 viac ak</w:t>
      </w:r>
      <w:r w:rsidRPr="00F5355A" w:rsidR="00F5355A">
        <w:rPr>
          <w:rFonts w:ascii="Times New Roman" w:hAnsi="Times New Roman" w:cs="Times New Roman"/>
          <w:sz w:val="24"/>
        </w:rPr>
        <w:t>o v roku 2006. V sieti liniek z/</w:t>
      </w:r>
      <w:r w:rsidRPr="00F5355A">
        <w:rPr>
          <w:rFonts w:ascii="Times New Roman" w:hAnsi="Times New Roman" w:cs="Times New Roman"/>
          <w:sz w:val="24"/>
        </w:rPr>
        <w:t>do Bratislavy pribudli v roku 2007  štyri nové prav</w:t>
      </w:r>
      <w:r w:rsidRPr="00F5355A">
        <w:rPr>
          <w:rFonts w:ascii="Times New Roman" w:hAnsi="Times New Roman" w:cs="Times New Roman"/>
          <w:sz w:val="24"/>
        </w:rPr>
        <w:t xml:space="preserve">idelné destinácie. </w:t>
      </w:r>
    </w:p>
    <w:p w:rsidR="007A1E0D" w:rsidRPr="00F5355A">
      <w:pPr>
        <w:pStyle w:val="BodyText"/>
        <w:rPr>
          <w:rFonts w:ascii="Times New Roman" w:hAnsi="Times New Roman" w:cs="Times New Roman"/>
          <w:sz w:val="24"/>
        </w:rPr>
      </w:pPr>
    </w:p>
    <w:p w:rsidR="007A1E0D" w:rsidRPr="00F5355A">
      <w:pPr>
        <w:pStyle w:val="BodyText"/>
        <w:rPr>
          <w:rFonts w:ascii="Times New Roman" w:hAnsi="Times New Roman" w:cs="Times New Roman"/>
          <w:b/>
          <w:bCs/>
          <w:sz w:val="24"/>
        </w:rPr>
      </w:pPr>
      <w:r w:rsidRPr="00F5355A">
        <w:rPr>
          <w:rFonts w:ascii="Times New Roman" w:hAnsi="Times New Roman" w:cs="Times New Roman"/>
          <w:b/>
          <w:bCs/>
          <w:sz w:val="24"/>
        </w:rPr>
        <w:t>Hospodárske výsledky</w:t>
      </w:r>
    </w:p>
    <w:p w:rsidR="007A1E0D" w:rsidRPr="00F5355A">
      <w:pPr>
        <w:pStyle w:val="BodyText"/>
        <w:rPr>
          <w:rFonts w:ascii="Times New Roman" w:hAnsi="Times New Roman" w:cs="Times New Roman"/>
          <w:sz w:val="24"/>
        </w:rPr>
      </w:pPr>
      <w:r w:rsidRPr="00F5355A">
        <w:rPr>
          <w:rFonts w:ascii="Times New Roman" w:hAnsi="Times New Roman" w:cs="Times New Roman"/>
          <w:sz w:val="24"/>
        </w:rPr>
        <w:t>Spoločnosť počas celého roka 2007 kopírovala svoj finančný plán a dôsledným dodržiavaním úsporných opatrení dosiahla zisk po zdanení a odpisoch vo výške 26,2 mil. Sk, čo je o 39% viac, ako bolo plánované.</w:t>
      </w:r>
      <w:r w:rsidRPr="00F5355A" w:rsidR="00F5355A">
        <w:rPr>
          <w:rFonts w:ascii="Times New Roman" w:hAnsi="Times New Roman" w:cs="Times New Roman"/>
          <w:sz w:val="24"/>
        </w:rPr>
        <w:t xml:space="preserve"> I</w:t>
      </w:r>
      <w:r w:rsidRPr="00F5355A">
        <w:rPr>
          <w:rFonts w:ascii="Times New Roman" w:hAnsi="Times New Roman" w:cs="Times New Roman"/>
          <w:sz w:val="24"/>
        </w:rPr>
        <w:t>nvestova</w:t>
      </w:r>
      <w:r w:rsidRPr="00F5355A">
        <w:rPr>
          <w:rFonts w:ascii="Times New Roman" w:hAnsi="Times New Roman" w:cs="Times New Roman"/>
          <w:sz w:val="24"/>
        </w:rPr>
        <w:t xml:space="preserve">la </w:t>
      </w:r>
      <w:r w:rsidRPr="00F5355A" w:rsidR="00F5355A">
        <w:rPr>
          <w:rFonts w:ascii="Times New Roman" w:hAnsi="Times New Roman" w:cs="Times New Roman"/>
          <w:sz w:val="24"/>
        </w:rPr>
        <w:t>do</w:t>
      </w:r>
      <w:r w:rsidRPr="00F5355A">
        <w:rPr>
          <w:rFonts w:ascii="Times New Roman" w:hAnsi="Times New Roman" w:cs="Times New Roman"/>
          <w:sz w:val="24"/>
        </w:rPr>
        <w:t xml:space="preserve"> stavebn</w:t>
      </w:r>
      <w:r w:rsidRPr="00F5355A" w:rsidR="00F5355A">
        <w:rPr>
          <w:rFonts w:ascii="Times New Roman" w:hAnsi="Times New Roman" w:cs="Times New Roman"/>
          <w:sz w:val="24"/>
        </w:rPr>
        <w:t>ých</w:t>
      </w:r>
      <w:r w:rsidRPr="00F5355A">
        <w:rPr>
          <w:rFonts w:ascii="Times New Roman" w:hAnsi="Times New Roman" w:cs="Times New Roman"/>
          <w:sz w:val="24"/>
        </w:rPr>
        <w:t xml:space="preserve"> úprav a strojového vybavenia približne 320 mil. Sk, </w:t>
      </w:r>
      <w:r w:rsidRPr="00F5355A" w:rsidR="00F5355A">
        <w:rPr>
          <w:rFonts w:ascii="Times New Roman" w:hAnsi="Times New Roman" w:cs="Times New Roman"/>
          <w:sz w:val="24"/>
        </w:rPr>
        <w:t>ktoré predstavujú cca</w:t>
      </w:r>
      <w:r w:rsidRPr="00F5355A">
        <w:rPr>
          <w:rFonts w:ascii="Times New Roman" w:hAnsi="Times New Roman" w:cs="Times New Roman"/>
          <w:sz w:val="24"/>
        </w:rPr>
        <w:t xml:space="preserve"> 33% celkových príjmov. </w:t>
      </w:r>
    </w:p>
    <w:p w:rsidR="007A1E0D" w:rsidRPr="00F5355A">
      <w:pPr>
        <w:pStyle w:val="BodyText"/>
        <w:rPr>
          <w:rFonts w:ascii="Times New Roman" w:hAnsi="Times New Roman" w:cs="Times New Roman"/>
          <w:sz w:val="24"/>
        </w:rPr>
      </w:pPr>
      <w:r w:rsidRPr="00F5355A">
        <w:rPr>
          <w:rFonts w:ascii="Times New Roman" w:hAnsi="Times New Roman" w:cs="Times New Roman"/>
          <w:sz w:val="24"/>
        </w:rPr>
        <w:t>Najvýznamnejšie úspory sa dosiahli v tvorbe rezerv, tie sa oproti roku 2006 znížili o 47 mil. Sk. K ozdraveniu rozpočtu ďalej prispelo zníženie stavu pohľadávok o ďalších 95,4 mil. Sk, t.j. o takmer 38%.</w:t>
      </w:r>
    </w:p>
    <w:p w:rsidR="007A1E0D" w:rsidRPr="00F5355A">
      <w:pPr>
        <w:pStyle w:val="BodyText"/>
        <w:rPr>
          <w:rFonts w:ascii="Times New Roman" w:hAnsi="Times New Roman" w:cs="Times New Roman"/>
          <w:sz w:val="18"/>
        </w:rPr>
      </w:pPr>
    </w:p>
    <w:tbl>
      <w:tblPr>
        <w:tblW w:w="8390" w:type="dxa"/>
        <w:jc w:val="center"/>
        <w:tblInd w:w="-130" w:type="dxa"/>
        <w:tblLayout w:type="fixed"/>
        <w:tblCellMar>
          <w:left w:w="0" w:type="dxa"/>
          <w:right w:w="0" w:type="dxa"/>
        </w:tblCellMar>
      </w:tblPr>
      <w:tblGrid>
        <w:gridCol w:w="3799"/>
        <w:gridCol w:w="1156"/>
        <w:gridCol w:w="1100"/>
        <w:gridCol w:w="1164"/>
        <w:gridCol w:w="1171"/>
      </w:tblGrid>
      <w:tr>
        <w:tblPrEx>
          <w:tblW w:w="8390" w:type="dxa"/>
          <w:jc w:val="center"/>
          <w:tblInd w:w="-130" w:type="dxa"/>
          <w:tblLayout w:type="fixed"/>
          <w:tblCellMar>
            <w:left w:w="0" w:type="dxa"/>
            <w:right w:w="0" w:type="dxa"/>
          </w:tblCellMar>
        </w:tblPrEx>
        <w:trPr>
          <w:trHeight w:val="300"/>
          <w:jc w:val="center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0C0C0"/>
            <w:noWrap/>
            <w:textDirection w:val="lrTb"/>
            <w:vAlign w:val="bottom"/>
          </w:tcPr>
          <w:p w:rsidR="007A1E0D" w:rsidRPr="00F5355A">
            <w:pPr>
              <w:rPr>
                <w:rFonts w:ascii="Arial" w:hAnsi="Arial" w:cs="Arial"/>
                <w:b/>
                <w:bCs/>
                <w:color w:val="000000"/>
                <w:sz w:val="18"/>
                <w:szCs w:val="22"/>
                <w:lang w:val="sk-SK"/>
              </w:rPr>
            </w:pPr>
            <w:r w:rsidRPr="00F5355A">
              <w:rPr>
                <w:rFonts w:ascii="Arial" w:hAnsi="Arial" w:cs="Arial"/>
                <w:b/>
                <w:bCs/>
                <w:color w:val="000000"/>
                <w:sz w:val="18"/>
                <w:szCs w:val="22"/>
                <w:lang w:val="sk-SK"/>
              </w:rPr>
              <w:t>TSKK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0C0C0"/>
            <w:noWrap/>
            <w:textDirection w:val="lrTb"/>
            <w:vAlign w:val="bottom"/>
          </w:tcPr>
          <w:p w:rsidR="007A1E0D" w:rsidRPr="00F5355A">
            <w:pPr>
              <w:ind w:right="17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22"/>
                <w:lang w:val="sk-SK"/>
              </w:rPr>
            </w:pPr>
            <w:r w:rsidRPr="00F5355A">
              <w:rPr>
                <w:rFonts w:ascii="Arial" w:hAnsi="Arial" w:cs="Arial"/>
                <w:b/>
                <w:bCs/>
                <w:color w:val="000000"/>
                <w:sz w:val="18"/>
                <w:szCs w:val="22"/>
                <w:lang w:val="sk-SK"/>
              </w:rPr>
              <w:t>2005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0C0C0"/>
            <w:noWrap/>
            <w:textDirection w:val="lrTb"/>
            <w:vAlign w:val="bottom"/>
          </w:tcPr>
          <w:p w:rsidR="007A1E0D" w:rsidRPr="00F5355A">
            <w:pPr>
              <w:ind w:right="17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22"/>
                <w:lang w:val="sk-SK"/>
              </w:rPr>
            </w:pPr>
            <w:r w:rsidRPr="00F5355A">
              <w:rPr>
                <w:rFonts w:ascii="Arial" w:hAnsi="Arial" w:cs="Arial"/>
                <w:b/>
                <w:bCs/>
                <w:color w:val="000000"/>
                <w:sz w:val="18"/>
                <w:szCs w:val="22"/>
                <w:lang w:val="sk-SK"/>
              </w:rPr>
              <w:t>2006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0C0C0"/>
            <w:noWrap/>
            <w:textDirection w:val="lrTb"/>
            <w:vAlign w:val="bottom"/>
          </w:tcPr>
          <w:p w:rsidR="007A1E0D" w:rsidRPr="00F5355A">
            <w:pPr>
              <w:ind w:right="16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22"/>
                <w:lang w:val="sk-SK"/>
              </w:rPr>
            </w:pPr>
            <w:r w:rsidRPr="00F5355A">
              <w:rPr>
                <w:rFonts w:ascii="Arial" w:hAnsi="Arial" w:cs="Arial"/>
                <w:b/>
                <w:bCs/>
                <w:color w:val="000000"/>
                <w:sz w:val="18"/>
                <w:szCs w:val="22"/>
                <w:lang w:val="sk-SK"/>
              </w:rPr>
              <w:t>2007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0C0C0"/>
            <w:noWrap/>
            <w:textDirection w:val="lrTb"/>
            <w:vAlign w:val="bottom"/>
          </w:tcPr>
          <w:p w:rsidR="007A1E0D" w:rsidRPr="00F5355A">
            <w:pPr>
              <w:ind w:right="17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22"/>
                <w:lang w:val="sk-SK"/>
              </w:rPr>
            </w:pPr>
            <w:r w:rsidRPr="00F5355A">
              <w:rPr>
                <w:rFonts w:ascii="Arial" w:hAnsi="Arial" w:cs="Arial"/>
                <w:b/>
                <w:bCs/>
                <w:color w:val="000000"/>
                <w:sz w:val="18"/>
                <w:szCs w:val="22"/>
                <w:lang w:val="sk-SK"/>
              </w:rPr>
              <w:t>2008</w:t>
            </w:r>
          </w:p>
        </w:tc>
      </w:tr>
      <w:tr>
        <w:tblPrEx>
          <w:tblW w:w="8390" w:type="dxa"/>
          <w:jc w:val="center"/>
          <w:tblInd w:w="-130" w:type="dxa"/>
          <w:tblLayout w:type="fixed"/>
          <w:tblCellMar>
            <w:left w:w="0" w:type="dxa"/>
            <w:right w:w="0" w:type="dxa"/>
          </w:tblCellMar>
        </w:tblPrEx>
        <w:trPr>
          <w:trHeight w:val="300"/>
          <w:jc w:val="center"/>
        </w:trPr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rPr>
                <w:rFonts w:ascii="Arial" w:hAnsi="Arial" w:cs="Arial"/>
                <w:b/>
                <w:bCs/>
                <w:color w:val="000000"/>
                <w:sz w:val="18"/>
                <w:szCs w:val="22"/>
                <w:lang w:val="sk-SK"/>
              </w:rPr>
            </w:pPr>
            <w:r w:rsidRPr="00F5355A">
              <w:rPr>
                <w:rFonts w:ascii="Arial" w:hAnsi="Arial" w:cs="Arial"/>
                <w:b/>
                <w:bCs/>
                <w:color w:val="000000"/>
                <w:sz w:val="18"/>
                <w:szCs w:val="22"/>
                <w:lang w:val="sk-SK"/>
              </w:rPr>
              <w:t>Celkové tržby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7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22"/>
                <w:lang w:val="sk-SK"/>
              </w:rPr>
            </w:pPr>
            <w:r w:rsidRPr="00F5355A">
              <w:rPr>
                <w:rFonts w:ascii="Arial" w:hAnsi="Arial" w:cs="Arial"/>
                <w:b/>
                <w:bCs/>
                <w:color w:val="000000"/>
                <w:sz w:val="18"/>
                <w:szCs w:val="22"/>
                <w:lang w:val="sk-SK"/>
              </w:rPr>
              <w:t>1 751 463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5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22"/>
                <w:lang w:val="sk-SK"/>
              </w:rPr>
            </w:pPr>
            <w:r w:rsidRPr="00F5355A">
              <w:rPr>
                <w:rFonts w:ascii="Arial" w:hAnsi="Arial" w:cs="Arial"/>
                <w:b/>
                <w:bCs/>
                <w:color w:val="000000"/>
                <w:sz w:val="18"/>
                <w:szCs w:val="22"/>
                <w:lang w:val="sk-SK"/>
              </w:rPr>
              <w:t>970 665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6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22"/>
                <w:lang w:val="sk-SK"/>
              </w:rPr>
            </w:pPr>
            <w:r w:rsidRPr="00F5355A">
              <w:rPr>
                <w:rFonts w:ascii="Arial" w:hAnsi="Arial" w:cs="Arial"/>
                <w:b/>
                <w:bCs/>
                <w:color w:val="000000"/>
                <w:sz w:val="18"/>
                <w:szCs w:val="22"/>
                <w:lang w:val="sk-SK"/>
              </w:rPr>
              <w:t>946 656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7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22"/>
                <w:lang w:val="sk-SK"/>
              </w:rPr>
            </w:pPr>
            <w:r w:rsidRPr="00F5355A">
              <w:rPr>
                <w:rFonts w:ascii="Arial" w:hAnsi="Arial" w:cs="Arial"/>
                <w:b/>
                <w:bCs/>
                <w:color w:val="000000"/>
                <w:sz w:val="18"/>
                <w:szCs w:val="22"/>
                <w:lang w:val="sk-SK"/>
              </w:rPr>
              <w:t>1 006 490</w:t>
            </w:r>
          </w:p>
        </w:tc>
      </w:tr>
      <w:tr>
        <w:tblPrEx>
          <w:tblW w:w="8390" w:type="dxa"/>
          <w:jc w:val="center"/>
          <w:tblInd w:w="-130" w:type="dxa"/>
          <w:tblLayout w:type="fixed"/>
          <w:tblCellMar>
            <w:left w:w="0" w:type="dxa"/>
            <w:right w:w="0" w:type="dxa"/>
          </w:tblCellMar>
        </w:tblPrEx>
        <w:trPr>
          <w:trHeight w:val="285"/>
          <w:jc w:val="center"/>
        </w:trPr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rPr>
                <w:rFonts w:ascii="Arial" w:hAnsi="Arial" w:cs="Arial"/>
                <w:sz w:val="16"/>
                <w:szCs w:val="20"/>
                <w:lang w:val="sk-SK"/>
              </w:rPr>
            </w:pPr>
            <w:r w:rsidRPr="00F5355A">
              <w:rPr>
                <w:rFonts w:ascii="Arial" w:hAnsi="Arial" w:cs="Arial"/>
                <w:sz w:val="16"/>
                <w:szCs w:val="20"/>
                <w:lang w:val="sk-SK"/>
              </w:rPr>
              <w:t xml:space="preserve">  výnosy z leteckej činnosti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70"/>
              <w:jc w:val="right"/>
              <w:rPr>
                <w:rFonts w:ascii="Arial" w:hAnsi="Arial" w:cs="Arial"/>
                <w:sz w:val="16"/>
                <w:szCs w:val="20"/>
                <w:lang w:val="sk-SK"/>
              </w:rPr>
            </w:pPr>
            <w:r w:rsidRPr="00F5355A">
              <w:rPr>
                <w:rFonts w:ascii="Arial" w:hAnsi="Arial" w:cs="Arial"/>
                <w:sz w:val="16"/>
                <w:szCs w:val="20"/>
                <w:lang w:val="sk-SK"/>
              </w:rPr>
              <w:t>577 533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50"/>
              <w:jc w:val="right"/>
              <w:rPr>
                <w:rFonts w:ascii="Arial" w:hAnsi="Arial" w:cs="Arial"/>
                <w:sz w:val="16"/>
                <w:szCs w:val="20"/>
                <w:lang w:val="sk-SK"/>
              </w:rPr>
            </w:pPr>
            <w:r w:rsidRPr="00F5355A">
              <w:rPr>
                <w:rFonts w:ascii="Arial" w:hAnsi="Arial" w:cs="Arial"/>
                <w:sz w:val="16"/>
                <w:szCs w:val="20"/>
                <w:lang w:val="sk-SK"/>
              </w:rPr>
              <w:t>667 918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65"/>
              <w:jc w:val="right"/>
              <w:rPr>
                <w:rFonts w:ascii="Arial" w:hAnsi="Arial" w:cs="Arial"/>
                <w:sz w:val="16"/>
                <w:szCs w:val="20"/>
                <w:lang w:val="sk-SK"/>
              </w:rPr>
            </w:pPr>
            <w:r w:rsidRPr="00F5355A">
              <w:rPr>
                <w:rFonts w:ascii="Arial" w:hAnsi="Arial" w:cs="Arial"/>
                <w:sz w:val="16"/>
                <w:szCs w:val="20"/>
                <w:lang w:val="sk-SK"/>
              </w:rPr>
              <w:t>672 054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70"/>
              <w:jc w:val="right"/>
              <w:rPr>
                <w:rFonts w:ascii="Arial" w:hAnsi="Arial" w:cs="Arial"/>
                <w:sz w:val="16"/>
                <w:szCs w:val="20"/>
                <w:lang w:val="sk-SK"/>
              </w:rPr>
            </w:pPr>
            <w:r w:rsidRPr="00F5355A">
              <w:rPr>
                <w:rFonts w:ascii="Arial" w:hAnsi="Arial" w:cs="Arial"/>
                <w:sz w:val="16"/>
                <w:szCs w:val="20"/>
                <w:lang w:val="sk-SK"/>
              </w:rPr>
              <w:t>773 500</w:t>
            </w:r>
          </w:p>
        </w:tc>
      </w:tr>
      <w:tr>
        <w:tblPrEx>
          <w:tblW w:w="8390" w:type="dxa"/>
          <w:jc w:val="center"/>
          <w:tblInd w:w="-130" w:type="dxa"/>
          <w:tblLayout w:type="fixed"/>
          <w:tblCellMar>
            <w:left w:w="0" w:type="dxa"/>
            <w:right w:w="0" w:type="dxa"/>
          </w:tblCellMar>
        </w:tblPrEx>
        <w:trPr>
          <w:trHeight w:val="285"/>
          <w:jc w:val="center"/>
        </w:trPr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rPr>
                <w:rFonts w:ascii="Arial" w:hAnsi="Arial" w:cs="Arial"/>
                <w:sz w:val="16"/>
                <w:szCs w:val="20"/>
                <w:lang w:val="sk-SK"/>
              </w:rPr>
            </w:pPr>
            <w:r w:rsidRPr="00F5355A">
              <w:rPr>
                <w:rFonts w:ascii="Arial" w:hAnsi="Arial" w:cs="Arial"/>
                <w:sz w:val="16"/>
                <w:szCs w:val="20"/>
                <w:lang w:val="sk-SK"/>
              </w:rPr>
              <w:t xml:space="preserve">  výnosy z neleteckej činnosti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70"/>
              <w:jc w:val="right"/>
              <w:rPr>
                <w:rFonts w:ascii="Arial" w:hAnsi="Arial" w:cs="Arial"/>
                <w:sz w:val="16"/>
                <w:szCs w:val="20"/>
                <w:lang w:val="sk-SK"/>
              </w:rPr>
            </w:pPr>
            <w:r w:rsidRPr="00F5355A">
              <w:rPr>
                <w:rFonts w:ascii="Arial" w:hAnsi="Arial" w:cs="Arial"/>
                <w:sz w:val="16"/>
                <w:szCs w:val="20"/>
                <w:lang w:val="sk-SK"/>
              </w:rPr>
              <w:t>1 173 930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50"/>
              <w:jc w:val="right"/>
              <w:rPr>
                <w:rFonts w:ascii="Arial" w:hAnsi="Arial" w:cs="Arial"/>
                <w:sz w:val="16"/>
                <w:szCs w:val="20"/>
                <w:lang w:val="sk-SK"/>
              </w:rPr>
            </w:pPr>
            <w:r w:rsidRPr="00F5355A">
              <w:rPr>
                <w:rFonts w:ascii="Arial" w:hAnsi="Arial" w:cs="Arial"/>
                <w:sz w:val="16"/>
                <w:szCs w:val="20"/>
                <w:lang w:val="sk-SK"/>
              </w:rPr>
              <w:t>302 747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65"/>
              <w:jc w:val="right"/>
              <w:rPr>
                <w:rFonts w:ascii="Arial" w:hAnsi="Arial" w:cs="Arial"/>
                <w:sz w:val="16"/>
                <w:szCs w:val="20"/>
                <w:lang w:val="sk-SK"/>
              </w:rPr>
            </w:pPr>
            <w:r w:rsidRPr="00F5355A">
              <w:rPr>
                <w:rFonts w:ascii="Arial" w:hAnsi="Arial" w:cs="Arial"/>
                <w:sz w:val="16"/>
                <w:szCs w:val="20"/>
                <w:lang w:val="sk-SK"/>
              </w:rPr>
              <w:t xml:space="preserve">274 </w:t>
            </w:r>
            <w:r w:rsidRPr="00F5355A">
              <w:rPr>
                <w:rFonts w:ascii="Arial" w:hAnsi="Arial" w:cs="Arial"/>
                <w:sz w:val="16"/>
                <w:szCs w:val="20"/>
                <w:lang w:val="sk-SK"/>
              </w:rPr>
              <w:t>602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70"/>
              <w:jc w:val="right"/>
              <w:rPr>
                <w:rFonts w:ascii="Arial" w:hAnsi="Arial" w:cs="Arial"/>
                <w:sz w:val="16"/>
                <w:szCs w:val="20"/>
                <w:lang w:val="sk-SK"/>
              </w:rPr>
            </w:pPr>
            <w:r w:rsidRPr="00F5355A">
              <w:rPr>
                <w:rFonts w:ascii="Arial" w:hAnsi="Arial" w:cs="Arial"/>
                <w:sz w:val="16"/>
                <w:szCs w:val="20"/>
                <w:lang w:val="sk-SK"/>
              </w:rPr>
              <w:t>232 990</w:t>
            </w:r>
          </w:p>
        </w:tc>
      </w:tr>
      <w:tr>
        <w:tblPrEx>
          <w:tblW w:w="8390" w:type="dxa"/>
          <w:jc w:val="center"/>
          <w:tblInd w:w="-130" w:type="dxa"/>
          <w:tblLayout w:type="fixed"/>
          <w:tblCellMar>
            <w:left w:w="0" w:type="dxa"/>
            <w:right w:w="0" w:type="dxa"/>
          </w:tblCellMar>
        </w:tblPrEx>
        <w:trPr>
          <w:trHeight w:val="285"/>
          <w:jc w:val="center"/>
        </w:trPr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rPr>
                <w:rFonts w:ascii="Arial" w:hAnsi="Arial" w:cs="Arial"/>
                <w:sz w:val="16"/>
                <w:szCs w:val="20"/>
                <w:lang w:val="sk-SK"/>
              </w:rPr>
            </w:pPr>
            <w:r w:rsidRPr="00F5355A">
              <w:rPr>
                <w:rFonts w:ascii="Arial" w:hAnsi="Arial" w:cs="Arial"/>
                <w:sz w:val="16"/>
                <w:szCs w:val="20"/>
                <w:lang w:val="sk-SK"/>
              </w:rPr>
              <w:t>Spotreba materiálu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70"/>
              <w:jc w:val="right"/>
              <w:rPr>
                <w:rFonts w:ascii="Arial" w:hAnsi="Arial" w:cs="Arial"/>
                <w:sz w:val="16"/>
                <w:szCs w:val="20"/>
                <w:lang w:val="sk-SK"/>
              </w:rPr>
            </w:pPr>
            <w:r w:rsidRPr="00F5355A">
              <w:rPr>
                <w:rFonts w:ascii="Arial" w:hAnsi="Arial" w:cs="Arial"/>
                <w:sz w:val="16"/>
                <w:szCs w:val="20"/>
                <w:lang w:val="sk-SK"/>
              </w:rPr>
              <w:t>52 542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50"/>
              <w:jc w:val="right"/>
              <w:rPr>
                <w:rFonts w:ascii="Arial" w:hAnsi="Arial" w:cs="Arial"/>
                <w:sz w:val="16"/>
                <w:szCs w:val="20"/>
                <w:lang w:val="sk-SK"/>
              </w:rPr>
            </w:pPr>
            <w:r w:rsidRPr="00F5355A">
              <w:rPr>
                <w:rFonts w:ascii="Arial" w:hAnsi="Arial" w:cs="Arial"/>
                <w:sz w:val="16"/>
                <w:szCs w:val="20"/>
                <w:lang w:val="sk-SK"/>
              </w:rPr>
              <w:t>44 970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65"/>
              <w:jc w:val="right"/>
              <w:rPr>
                <w:rFonts w:ascii="Arial" w:hAnsi="Arial" w:cs="Arial"/>
                <w:sz w:val="16"/>
                <w:szCs w:val="20"/>
                <w:lang w:val="sk-SK"/>
              </w:rPr>
            </w:pPr>
            <w:r w:rsidRPr="00F5355A">
              <w:rPr>
                <w:rFonts w:ascii="Arial" w:hAnsi="Arial" w:cs="Arial"/>
                <w:sz w:val="16"/>
                <w:szCs w:val="20"/>
                <w:lang w:val="sk-SK"/>
              </w:rPr>
              <w:t>36 087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70"/>
              <w:jc w:val="right"/>
              <w:rPr>
                <w:rFonts w:ascii="Arial" w:hAnsi="Arial" w:cs="Arial"/>
                <w:sz w:val="16"/>
                <w:szCs w:val="20"/>
                <w:lang w:val="sk-SK"/>
              </w:rPr>
            </w:pPr>
            <w:r w:rsidRPr="00F5355A">
              <w:rPr>
                <w:rFonts w:ascii="Arial" w:hAnsi="Arial" w:cs="Arial"/>
                <w:sz w:val="16"/>
                <w:szCs w:val="20"/>
                <w:lang w:val="sk-SK"/>
              </w:rPr>
              <w:t>37 000</w:t>
            </w:r>
          </w:p>
        </w:tc>
      </w:tr>
      <w:tr>
        <w:tblPrEx>
          <w:tblW w:w="8390" w:type="dxa"/>
          <w:jc w:val="center"/>
          <w:tblInd w:w="-130" w:type="dxa"/>
          <w:tblLayout w:type="fixed"/>
          <w:tblCellMar>
            <w:left w:w="0" w:type="dxa"/>
            <w:right w:w="0" w:type="dxa"/>
          </w:tblCellMar>
        </w:tblPrEx>
        <w:trPr>
          <w:trHeight w:val="285"/>
          <w:jc w:val="center"/>
        </w:trPr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rPr>
                <w:rFonts w:ascii="Arial" w:hAnsi="Arial" w:cs="Arial"/>
                <w:sz w:val="16"/>
                <w:szCs w:val="20"/>
                <w:lang w:val="sk-SK"/>
              </w:rPr>
            </w:pPr>
            <w:r w:rsidRPr="00F5355A">
              <w:rPr>
                <w:rFonts w:ascii="Arial" w:hAnsi="Arial" w:cs="Arial"/>
                <w:sz w:val="16"/>
                <w:szCs w:val="20"/>
                <w:lang w:val="sk-SK"/>
              </w:rPr>
              <w:t>Spotreba energie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70"/>
              <w:jc w:val="right"/>
              <w:rPr>
                <w:rFonts w:ascii="Arial" w:hAnsi="Arial" w:cs="Arial"/>
                <w:sz w:val="16"/>
                <w:szCs w:val="20"/>
                <w:lang w:val="sk-SK"/>
              </w:rPr>
            </w:pPr>
            <w:r w:rsidRPr="00F5355A">
              <w:rPr>
                <w:rFonts w:ascii="Arial" w:hAnsi="Arial" w:cs="Arial"/>
                <w:sz w:val="16"/>
                <w:szCs w:val="20"/>
                <w:lang w:val="sk-SK"/>
              </w:rPr>
              <w:t>46 406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50"/>
              <w:jc w:val="right"/>
              <w:rPr>
                <w:rFonts w:ascii="Arial" w:hAnsi="Arial" w:cs="Arial"/>
                <w:sz w:val="16"/>
                <w:szCs w:val="20"/>
                <w:lang w:val="sk-SK"/>
              </w:rPr>
            </w:pPr>
            <w:r w:rsidRPr="00F5355A">
              <w:rPr>
                <w:rFonts w:ascii="Arial" w:hAnsi="Arial" w:cs="Arial"/>
                <w:sz w:val="16"/>
                <w:szCs w:val="20"/>
                <w:lang w:val="sk-SK"/>
              </w:rPr>
              <w:t>57 141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65"/>
              <w:jc w:val="right"/>
              <w:rPr>
                <w:rFonts w:ascii="Arial" w:hAnsi="Arial" w:cs="Arial"/>
                <w:sz w:val="16"/>
                <w:szCs w:val="20"/>
                <w:lang w:val="sk-SK"/>
              </w:rPr>
            </w:pPr>
            <w:r w:rsidRPr="00F5355A">
              <w:rPr>
                <w:rFonts w:ascii="Arial" w:hAnsi="Arial" w:cs="Arial"/>
                <w:sz w:val="16"/>
                <w:szCs w:val="20"/>
                <w:lang w:val="sk-SK"/>
              </w:rPr>
              <w:t>58 114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70"/>
              <w:jc w:val="right"/>
              <w:rPr>
                <w:rFonts w:ascii="Arial" w:hAnsi="Arial" w:cs="Arial"/>
                <w:sz w:val="16"/>
                <w:szCs w:val="20"/>
                <w:lang w:val="sk-SK"/>
              </w:rPr>
            </w:pPr>
            <w:r w:rsidRPr="00F5355A">
              <w:rPr>
                <w:rFonts w:ascii="Arial" w:hAnsi="Arial" w:cs="Arial"/>
                <w:sz w:val="16"/>
                <w:szCs w:val="20"/>
                <w:lang w:val="sk-SK"/>
              </w:rPr>
              <w:t>66 478</w:t>
            </w:r>
          </w:p>
        </w:tc>
      </w:tr>
      <w:tr>
        <w:tblPrEx>
          <w:tblW w:w="8390" w:type="dxa"/>
          <w:jc w:val="center"/>
          <w:tblInd w:w="-130" w:type="dxa"/>
          <w:tblLayout w:type="fixed"/>
          <w:tblCellMar>
            <w:left w:w="0" w:type="dxa"/>
            <w:right w:w="0" w:type="dxa"/>
          </w:tblCellMar>
        </w:tblPrEx>
        <w:trPr>
          <w:trHeight w:val="285"/>
          <w:jc w:val="center"/>
        </w:trPr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rPr>
                <w:rFonts w:ascii="Arial" w:hAnsi="Arial" w:cs="Arial"/>
                <w:sz w:val="16"/>
                <w:szCs w:val="20"/>
                <w:lang w:val="sk-SK"/>
              </w:rPr>
            </w:pPr>
            <w:r w:rsidRPr="00F5355A">
              <w:rPr>
                <w:rFonts w:ascii="Arial" w:hAnsi="Arial" w:cs="Arial"/>
                <w:sz w:val="16"/>
                <w:szCs w:val="20"/>
                <w:lang w:val="sk-SK"/>
              </w:rPr>
              <w:t>Služby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70"/>
              <w:jc w:val="right"/>
              <w:rPr>
                <w:rFonts w:ascii="Arial" w:hAnsi="Arial" w:cs="Arial"/>
                <w:sz w:val="16"/>
                <w:szCs w:val="20"/>
                <w:lang w:val="sk-SK"/>
              </w:rPr>
            </w:pPr>
            <w:r w:rsidRPr="00F5355A">
              <w:rPr>
                <w:rFonts w:ascii="Arial" w:hAnsi="Arial" w:cs="Arial"/>
                <w:sz w:val="16"/>
                <w:szCs w:val="20"/>
                <w:lang w:val="sk-SK"/>
              </w:rPr>
              <w:t>139 074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50"/>
              <w:jc w:val="right"/>
              <w:rPr>
                <w:rFonts w:ascii="Arial" w:hAnsi="Arial" w:cs="Arial"/>
                <w:sz w:val="16"/>
                <w:szCs w:val="20"/>
                <w:lang w:val="sk-SK"/>
              </w:rPr>
            </w:pPr>
            <w:r w:rsidRPr="00F5355A">
              <w:rPr>
                <w:rFonts w:ascii="Arial" w:hAnsi="Arial" w:cs="Arial"/>
                <w:sz w:val="16"/>
                <w:szCs w:val="20"/>
                <w:lang w:val="sk-SK"/>
              </w:rPr>
              <w:t>132 780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65"/>
              <w:jc w:val="right"/>
              <w:rPr>
                <w:rFonts w:ascii="Arial" w:hAnsi="Arial" w:cs="Arial"/>
                <w:sz w:val="16"/>
                <w:szCs w:val="20"/>
                <w:lang w:val="sk-SK"/>
              </w:rPr>
            </w:pPr>
            <w:r w:rsidRPr="00F5355A">
              <w:rPr>
                <w:rFonts w:ascii="Arial" w:hAnsi="Arial" w:cs="Arial"/>
                <w:sz w:val="16"/>
                <w:szCs w:val="20"/>
                <w:lang w:val="sk-SK"/>
              </w:rPr>
              <w:t>172 842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70"/>
              <w:jc w:val="right"/>
              <w:rPr>
                <w:rFonts w:ascii="Arial" w:hAnsi="Arial" w:cs="Arial"/>
                <w:sz w:val="16"/>
                <w:szCs w:val="20"/>
                <w:lang w:val="sk-SK"/>
              </w:rPr>
            </w:pPr>
            <w:r w:rsidRPr="00F5355A">
              <w:rPr>
                <w:rFonts w:ascii="Arial" w:hAnsi="Arial" w:cs="Arial"/>
                <w:sz w:val="16"/>
                <w:szCs w:val="20"/>
                <w:lang w:val="sk-SK"/>
              </w:rPr>
              <w:t>189 287</w:t>
            </w:r>
          </w:p>
        </w:tc>
      </w:tr>
      <w:tr>
        <w:tblPrEx>
          <w:tblW w:w="8390" w:type="dxa"/>
          <w:jc w:val="center"/>
          <w:tblInd w:w="-130" w:type="dxa"/>
          <w:tblLayout w:type="fixed"/>
          <w:tblCellMar>
            <w:left w:w="0" w:type="dxa"/>
            <w:right w:w="0" w:type="dxa"/>
          </w:tblCellMar>
        </w:tblPrEx>
        <w:trPr>
          <w:trHeight w:val="285"/>
          <w:jc w:val="center"/>
        </w:trPr>
        <w:tc>
          <w:tcPr>
            <w:tcW w:w="3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rPr>
                <w:rFonts w:ascii="Arial" w:hAnsi="Arial" w:cs="Arial"/>
                <w:sz w:val="16"/>
                <w:szCs w:val="20"/>
                <w:lang w:val="sk-SK"/>
              </w:rPr>
            </w:pPr>
            <w:r w:rsidRPr="00F5355A">
              <w:rPr>
                <w:rFonts w:ascii="Arial" w:hAnsi="Arial" w:cs="Arial"/>
                <w:sz w:val="16"/>
                <w:szCs w:val="20"/>
                <w:lang w:val="sk-SK"/>
              </w:rPr>
              <w:t xml:space="preserve"> z toho opravy a údržba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70"/>
              <w:jc w:val="right"/>
              <w:rPr>
                <w:rFonts w:ascii="Arial" w:hAnsi="Arial" w:cs="Arial"/>
                <w:sz w:val="16"/>
                <w:szCs w:val="20"/>
                <w:lang w:val="sk-SK"/>
              </w:rPr>
            </w:pPr>
            <w:r w:rsidRPr="00F5355A">
              <w:rPr>
                <w:rFonts w:ascii="Arial" w:hAnsi="Arial" w:cs="Arial"/>
                <w:sz w:val="16"/>
                <w:szCs w:val="20"/>
                <w:lang w:val="sk-SK"/>
              </w:rPr>
              <w:t>59 957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50"/>
              <w:jc w:val="right"/>
              <w:rPr>
                <w:rFonts w:ascii="Arial" w:hAnsi="Arial" w:cs="Arial"/>
                <w:sz w:val="16"/>
                <w:szCs w:val="20"/>
                <w:lang w:val="sk-SK"/>
              </w:rPr>
            </w:pPr>
            <w:r w:rsidRPr="00F5355A">
              <w:rPr>
                <w:rFonts w:ascii="Arial" w:hAnsi="Arial" w:cs="Arial"/>
                <w:sz w:val="16"/>
                <w:szCs w:val="20"/>
                <w:lang w:val="sk-SK"/>
              </w:rPr>
              <w:t>40 339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65"/>
              <w:jc w:val="right"/>
              <w:rPr>
                <w:rFonts w:ascii="Arial" w:hAnsi="Arial" w:cs="Arial"/>
                <w:sz w:val="16"/>
                <w:szCs w:val="20"/>
                <w:lang w:val="sk-SK"/>
              </w:rPr>
            </w:pPr>
            <w:r w:rsidRPr="00F5355A">
              <w:rPr>
                <w:rFonts w:ascii="Arial" w:hAnsi="Arial" w:cs="Arial"/>
                <w:sz w:val="16"/>
                <w:szCs w:val="20"/>
                <w:lang w:val="sk-SK"/>
              </w:rPr>
              <w:t>46 567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70"/>
              <w:jc w:val="right"/>
              <w:rPr>
                <w:rFonts w:ascii="Arial" w:hAnsi="Arial" w:cs="Arial"/>
                <w:sz w:val="16"/>
                <w:szCs w:val="20"/>
                <w:lang w:val="sk-SK"/>
              </w:rPr>
            </w:pPr>
            <w:r w:rsidRPr="00F5355A">
              <w:rPr>
                <w:rFonts w:ascii="Arial" w:hAnsi="Arial" w:cs="Arial"/>
                <w:sz w:val="16"/>
                <w:szCs w:val="20"/>
                <w:lang w:val="sk-SK"/>
              </w:rPr>
              <w:t>63 000</w:t>
            </w:r>
          </w:p>
        </w:tc>
      </w:tr>
      <w:tr>
        <w:tblPrEx>
          <w:tblW w:w="8390" w:type="dxa"/>
          <w:jc w:val="center"/>
          <w:tblInd w:w="-130" w:type="dxa"/>
          <w:tblLayout w:type="fixed"/>
          <w:tblCellMar>
            <w:left w:w="0" w:type="dxa"/>
            <w:right w:w="0" w:type="dxa"/>
          </w:tblCellMar>
        </w:tblPrEx>
        <w:trPr>
          <w:trHeight w:val="300"/>
          <w:jc w:val="center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rPr>
                <w:rFonts w:ascii="Arial" w:hAnsi="Arial" w:cs="Arial"/>
                <w:b/>
                <w:bCs/>
                <w:color w:val="000000"/>
                <w:sz w:val="18"/>
                <w:szCs w:val="22"/>
                <w:u w:val="single"/>
                <w:lang w:val="sk-SK"/>
              </w:rPr>
            </w:pPr>
            <w:r w:rsidRPr="00F5355A">
              <w:rPr>
                <w:rFonts w:ascii="Arial" w:hAnsi="Arial" w:cs="Arial"/>
                <w:b/>
                <w:bCs/>
                <w:color w:val="000000"/>
                <w:sz w:val="18"/>
                <w:szCs w:val="22"/>
                <w:u w:val="single"/>
                <w:lang w:val="sk-SK"/>
              </w:rPr>
              <w:t>Pridaná hodnota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7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22"/>
                <w:lang w:val="sk-SK"/>
              </w:rPr>
            </w:pPr>
            <w:r w:rsidRPr="00F5355A">
              <w:rPr>
                <w:rFonts w:ascii="Arial" w:hAnsi="Arial" w:cs="Arial"/>
                <w:b/>
                <w:bCs/>
                <w:color w:val="000000"/>
                <w:sz w:val="18"/>
                <w:szCs w:val="22"/>
                <w:lang w:val="sk-SK"/>
              </w:rPr>
              <w:t>1 513 441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5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22"/>
                <w:lang w:val="sk-SK"/>
              </w:rPr>
            </w:pPr>
            <w:r w:rsidRPr="00F5355A">
              <w:rPr>
                <w:rFonts w:ascii="Arial" w:hAnsi="Arial" w:cs="Arial"/>
                <w:b/>
                <w:bCs/>
                <w:color w:val="000000"/>
                <w:sz w:val="18"/>
                <w:szCs w:val="22"/>
                <w:lang w:val="sk-SK"/>
              </w:rPr>
              <w:t>735 774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6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22"/>
                <w:lang w:val="sk-SK"/>
              </w:rPr>
            </w:pPr>
            <w:r w:rsidRPr="00F5355A">
              <w:rPr>
                <w:rFonts w:ascii="Arial" w:hAnsi="Arial" w:cs="Arial"/>
                <w:b/>
                <w:bCs/>
                <w:color w:val="000000"/>
                <w:sz w:val="18"/>
                <w:szCs w:val="22"/>
                <w:lang w:val="sk-SK"/>
              </w:rPr>
              <w:t>679 613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7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22"/>
                <w:lang w:val="sk-SK"/>
              </w:rPr>
            </w:pPr>
            <w:r w:rsidRPr="00F5355A">
              <w:rPr>
                <w:rFonts w:ascii="Arial" w:hAnsi="Arial" w:cs="Arial"/>
                <w:b/>
                <w:bCs/>
                <w:color w:val="000000"/>
                <w:sz w:val="18"/>
                <w:szCs w:val="22"/>
                <w:lang w:val="sk-SK"/>
              </w:rPr>
              <w:t>713 725</w:t>
            </w:r>
          </w:p>
        </w:tc>
      </w:tr>
      <w:tr>
        <w:tblPrEx>
          <w:tblW w:w="8390" w:type="dxa"/>
          <w:jc w:val="center"/>
          <w:tblInd w:w="-130" w:type="dxa"/>
          <w:tblLayout w:type="fixed"/>
          <w:tblCellMar>
            <w:left w:w="0" w:type="dxa"/>
            <w:right w:w="0" w:type="dxa"/>
          </w:tblCellMar>
        </w:tblPrEx>
        <w:trPr>
          <w:trHeight w:val="285"/>
          <w:jc w:val="center"/>
        </w:trPr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rPr>
                <w:rFonts w:ascii="Arial" w:hAnsi="Arial" w:cs="Arial"/>
                <w:sz w:val="16"/>
                <w:szCs w:val="20"/>
                <w:lang w:val="sk-SK"/>
              </w:rPr>
            </w:pPr>
            <w:r w:rsidRPr="00F5355A">
              <w:rPr>
                <w:rFonts w:ascii="Arial" w:hAnsi="Arial" w:cs="Arial"/>
                <w:sz w:val="16"/>
                <w:szCs w:val="20"/>
                <w:lang w:val="sk-SK"/>
              </w:rPr>
              <w:t>Osobn</w:t>
            </w:r>
            <w:r w:rsidRPr="00F5355A">
              <w:rPr>
                <w:rFonts w:ascii="Arial" w:hAnsi="Arial" w:cs="Arial"/>
                <w:sz w:val="16"/>
                <w:szCs w:val="20"/>
                <w:lang w:val="sk-SK"/>
              </w:rPr>
              <w:t>é náklady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70"/>
              <w:jc w:val="right"/>
              <w:rPr>
                <w:rFonts w:ascii="Arial" w:hAnsi="Arial" w:cs="Arial"/>
                <w:sz w:val="16"/>
                <w:szCs w:val="20"/>
                <w:lang w:val="sk-SK"/>
              </w:rPr>
            </w:pPr>
            <w:r w:rsidRPr="00F5355A">
              <w:rPr>
                <w:rFonts w:ascii="Arial" w:hAnsi="Arial" w:cs="Arial"/>
                <w:sz w:val="16"/>
                <w:szCs w:val="20"/>
                <w:lang w:val="sk-SK"/>
              </w:rPr>
              <w:t>213 908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50"/>
              <w:jc w:val="right"/>
              <w:rPr>
                <w:rFonts w:ascii="Arial" w:hAnsi="Arial" w:cs="Arial"/>
                <w:sz w:val="16"/>
                <w:szCs w:val="20"/>
                <w:lang w:val="sk-SK"/>
              </w:rPr>
            </w:pPr>
            <w:r w:rsidRPr="00F5355A">
              <w:rPr>
                <w:rFonts w:ascii="Arial" w:hAnsi="Arial" w:cs="Arial"/>
                <w:sz w:val="16"/>
                <w:szCs w:val="20"/>
                <w:lang w:val="sk-SK"/>
              </w:rPr>
              <w:t>272 618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65"/>
              <w:jc w:val="right"/>
              <w:rPr>
                <w:rFonts w:ascii="Arial" w:hAnsi="Arial" w:cs="Arial"/>
                <w:sz w:val="16"/>
                <w:szCs w:val="20"/>
                <w:lang w:val="sk-SK"/>
              </w:rPr>
            </w:pPr>
            <w:r w:rsidRPr="00F5355A">
              <w:rPr>
                <w:rFonts w:ascii="Arial" w:hAnsi="Arial" w:cs="Arial"/>
                <w:sz w:val="16"/>
                <w:szCs w:val="20"/>
                <w:lang w:val="sk-SK"/>
              </w:rPr>
              <w:t>298 350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70"/>
              <w:jc w:val="right"/>
              <w:rPr>
                <w:rFonts w:ascii="Arial" w:hAnsi="Arial" w:cs="Arial"/>
                <w:sz w:val="16"/>
                <w:szCs w:val="20"/>
                <w:lang w:val="sk-SK"/>
              </w:rPr>
            </w:pPr>
            <w:r w:rsidRPr="00F5355A">
              <w:rPr>
                <w:rFonts w:ascii="Arial" w:hAnsi="Arial" w:cs="Arial"/>
                <w:sz w:val="16"/>
                <w:szCs w:val="20"/>
                <w:lang w:val="sk-SK"/>
              </w:rPr>
              <w:t>334 368</w:t>
            </w:r>
          </w:p>
        </w:tc>
      </w:tr>
      <w:tr>
        <w:tblPrEx>
          <w:tblW w:w="8390" w:type="dxa"/>
          <w:jc w:val="center"/>
          <w:tblInd w:w="-130" w:type="dxa"/>
          <w:tblLayout w:type="fixed"/>
          <w:tblCellMar>
            <w:left w:w="0" w:type="dxa"/>
            <w:right w:w="0" w:type="dxa"/>
          </w:tblCellMar>
        </w:tblPrEx>
        <w:trPr>
          <w:trHeight w:val="285"/>
          <w:jc w:val="center"/>
        </w:trPr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rPr>
                <w:rFonts w:ascii="Arial" w:hAnsi="Arial" w:cs="Arial"/>
                <w:sz w:val="16"/>
                <w:szCs w:val="20"/>
                <w:lang w:val="sk-SK"/>
              </w:rPr>
            </w:pPr>
            <w:r w:rsidRPr="00F5355A">
              <w:rPr>
                <w:rFonts w:ascii="Arial" w:hAnsi="Arial" w:cs="Arial"/>
                <w:sz w:val="16"/>
                <w:szCs w:val="20"/>
                <w:lang w:val="sk-SK"/>
              </w:rPr>
              <w:t>Dane a poplatky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70"/>
              <w:jc w:val="right"/>
              <w:rPr>
                <w:rFonts w:ascii="Arial" w:hAnsi="Arial" w:cs="Arial"/>
                <w:sz w:val="16"/>
                <w:szCs w:val="20"/>
                <w:lang w:val="sk-SK"/>
              </w:rPr>
            </w:pPr>
            <w:r w:rsidRPr="00F5355A">
              <w:rPr>
                <w:rFonts w:ascii="Arial" w:hAnsi="Arial" w:cs="Arial"/>
                <w:sz w:val="16"/>
                <w:szCs w:val="20"/>
                <w:lang w:val="sk-SK"/>
              </w:rPr>
              <w:t>88 519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50"/>
              <w:jc w:val="right"/>
              <w:rPr>
                <w:rFonts w:ascii="Arial" w:hAnsi="Arial" w:cs="Arial"/>
                <w:sz w:val="16"/>
                <w:szCs w:val="20"/>
                <w:lang w:val="sk-SK"/>
              </w:rPr>
            </w:pPr>
            <w:r w:rsidRPr="00F5355A">
              <w:rPr>
                <w:rFonts w:ascii="Arial" w:hAnsi="Arial" w:cs="Arial"/>
                <w:sz w:val="16"/>
                <w:szCs w:val="20"/>
                <w:lang w:val="sk-SK"/>
              </w:rPr>
              <w:t>24 741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65"/>
              <w:jc w:val="right"/>
              <w:rPr>
                <w:rFonts w:ascii="Arial" w:hAnsi="Arial" w:cs="Arial"/>
                <w:sz w:val="16"/>
                <w:szCs w:val="20"/>
                <w:lang w:val="sk-SK"/>
              </w:rPr>
            </w:pPr>
            <w:r w:rsidRPr="00F5355A">
              <w:rPr>
                <w:rFonts w:ascii="Arial" w:hAnsi="Arial" w:cs="Arial"/>
                <w:sz w:val="16"/>
                <w:szCs w:val="20"/>
                <w:lang w:val="sk-SK"/>
              </w:rPr>
              <w:t>18 462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70"/>
              <w:jc w:val="right"/>
              <w:rPr>
                <w:rFonts w:ascii="Arial" w:hAnsi="Arial" w:cs="Arial"/>
                <w:sz w:val="16"/>
                <w:szCs w:val="20"/>
                <w:lang w:val="sk-SK"/>
              </w:rPr>
            </w:pPr>
            <w:r w:rsidRPr="00F5355A">
              <w:rPr>
                <w:rFonts w:ascii="Arial" w:hAnsi="Arial" w:cs="Arial"/>
                <w:sz w:val="16"/>
                <w:szCs w:val="20"/>
                <w:lang w:val="sk-SK"/>
              </w:rPr>
              <w:t>16 670</w:t>
            </w:r>
          </w:p>
        </w:tc>
      </w:tr>
      <w:tr>
        <w:tblPrEx>
          <w:tblW w:w="8390" w:type="dxa"/>
          <w:jc w:val="center"/>
          <w:tblInd w:w="-130" w:type="dxa"/>
          <w:tblLayout w:type="fixed"/>
          <w:tblCellMar>
            <w:left w:w="0" w:type="dxa"/>
            <w:right w:w="0" w:type="dxa"/>
          </w:tblCellMar>
        </w:tblPrEx>
        <w:trPr>
          <w:trHeight w:val="285"/>
          <w:jc w:val="center"/>
        </w:trPr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rPr>
                <w:rFonts w:ascii="Arial" w:hAnsi="Arial" w:cs="Arial"/>
                <w:sz w:val="16"/>
                <w:szCs w:val="20"/>
                <w:lang w:val="sk-SK"/>
              </w:rPr>
            </w:pPr>
            <w:r w:rsidRPr="00F5355A">
              <w:rPr>
                <w:rFonts w:ascii="Arial" w:hAnsi="Arial" w:cs="Arial"/>
                <w:sz w:val="16"/>
                <w:szCs w:val="20"/>
                <w:lang w:val="sk-SK"/>
              </w:rPr>
              <w:t>Ostatné náklady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70"/>
              <w:jc w:val="right"/>
              <w:rPr>
                <w:rFonts w:ascii="Arial" w:hAnsi="Arial" w:cs="Arial"/>
                <w:sz w:val="16"/>
                <w:szCs w:val="20"/>
                <w:lang w:val="sk-SK"/>
              </w:rPr>
            </w:pPr>
            <w:r w:rsidRPr="00F5355A">
              <w:rPr>
                <w:rFonts w:ascii="Arial" w:hAnsi="Arial" w:cs="Arial"/>
                <w:sz w:val="16"/>
                <w:szCs w:val="20"/>
                <w:lang w:val="sk-SK"/>
              </w:rPr>
              <w:t>1 119 474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50"/>
              <w:jc w:val="right"/>
              <w:rPr>
                <w:rFonts w:ascii="Arial" w:hAnsi="Arial" w:cs="Arial"/>
                <w:sz w:val="16"/>
                <w:szCs w:val="20"/>
                <w:lang w:val="sk-SK"/>
              </w:rPr>
            </w:pPr>
            <w:r w:rsidRPr="00F5355A">
              <w:rPr>
                <w:rFonts w:ascii="Arial" w:hAnsi="Arial" w:cs="Arial"/>
                <w:sz w:val="16"/>
                <w:szCs w:val="20"/>
                <w:lang w:val="sk-SK"/>
              </w:rPr>
              <w:t>184 878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65"/>
              <w:jc w:val="right"/>
              <w:rPr>
                <w:rFonts w:ascii="Arial" w:hAnsi="Arial" w:cs="Arial"/>
                <w:sz w:val="16"/>
                <w:szCs w:val="20"/>
                <w:lang w:val="sk-SK"/>
              </w:rPr>
            </w:pPr>
            <w:r w:rsidRPr="00F5355A">
              <w:rPr>
                <w:rFonts w:ascii="Arial" w:hAnsi="Arial" w:cs="Arial"/>
                <w:sz w:val="16"/>
                <w:szCs w:val="20"/>
                <w:lang w:val="sk-SK"/>
              </w:rPr>
              <w:t>66 637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70"/>
              <w:jc w:val="right"/>
              <w:rPr>
                <w:rFonts w:ascii="Arial" w:hAnsi="Arial" w:cs="Arial"/>
                <w:sz w:val="16"/>
                <w:szCs w:val="20"/>
                <w:lang w:val="sk-SK"/>
              </w:rPr>
            </w:pPr>
            <w:r w:rsidRPr="00F5355A">
              <w:rPr>
                <w:rFonts w:ascii="Arial" w:hAnsi="Arial" w:cs="Arial"/>
                <w:sz w:val="16"/>
                <w:szCs w:val="20"/>
                <w:lang w:val="sk-SK"/>
              </w:rPr>
              <w:t>8 890</w:t>
            </w:r>
          </w:p>
        </w:tc>
      </w:tr>
      <w:tr>
        <w:tblPrEx>
          <w:tblW w:w="8390" w:type="dxa"/>
          <w:jc w:val="center"/>
          <w:tblInd w:w="-130" w:type="dxa"/>
          <w:tblLayout w:type="fixed"/>
          <w:tblCellMar>
            <w:left w:w="0" w:type="dxa"/>
            <w:right w:w="0" w:type="dxa"/>
          </w:tblCellMar>
        </w:tblPrEx>
        <w:trPr>
          <w:trHeight w:val="300"/>
          <w:jc w:val="center"/>
        </w:trPr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rPr>
                <w:rFonts w:ascii="Arial" w:hAnsi="Arial" w:cs="Arial"/>
                <w:b/>
                <w:bCs/>
                <w:color w:val="000000"/>
                <w:sz w:val="18"/>
                <w:szCs w:val="22"/>
                <w:u w:val="single"/>
                <w:lang w:val="sk-SK"/>
              </w:rPr>
            </w:pPr>
            <w:r w:rsidRPr="00F5355A">
              <w:rPr>
                <w:rFonts w:ascii="Arial" w:hAnsi="Arial" w:cs="Arial"/>
                <w:b/>
                <w:bCs/>
                <w:color w:val="000000"/>
                <w:sz w:val="18"/>
                <w:szCs w:val="22"/>
                <w:u w:val="single"/>
                <w:lang w:val="sk-SK"/>
              </w:rPr>
              <w:t>EBITDA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7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22"/>
                <w:lang w:val="sk-SK"/>
              </w:rPr>
            </w:pPr>
            <w:r w:rsidRPr="00F5355A">
              <w:rPr>
                <w:rFonts w:ascii="Arial" w:hAnsi="Arial" w:cs="Arial"/>
                <w:b/>
                <w:bCs/>
                <w:color w:val="000000"/>
                <w:sz w:val="18"/>
                <w:szCs w:val="22"/>
                <w:lang w:val="sk-SK"/>
              </w:rPr>
              <w:t>91 540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5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22"/>
                <w:lang w:val="sk-SK"/>
              </w:rPr>
            </w:pPr>
            <w:r w:rsidRPr="00F5355A">
              <w:rPr>
                <w:rFonts w:ascii="Arial" w:hAnsi="Arial" w:cs="Arial"/>
                <w:b/>
                <w:bCs/>
                <w:color w:val="000000"/>
                <w:sz w:val="18"/>
                <w:szCs w:val="22"/>
                <w:lang w:val="sk-SK"/>
              </w:rPr>
              <w:t>253 537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6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22"/>
                <w:lang w:val="sk-SK"/>
              </w:rPr>
            </w:pPr>
            <w:r w:rsidRPr="00F5355A">
              <w:rPr>
                <w:rFonts w:ascii="Arial" w:hAnsi="Arial" w:cs="Arial"/>
                <w:b/>
                <w:bCs/>
                <w:color w:val="000000"/>
                <w:sz w:val="18"/>
                <w:szCs w:val="22"/>
                <w:lang w:val="sk-SK"/>
              </w:rPr>
              <w:t>289 104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7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22"/>
                <w:lang w:val="sk-SK"/>
              </w:rPr>
            </w:pPr>
            <w:r w:rsidRPr="00F5355A">
              <w:rPr>
                <w:rFonts w:ascii="Arial" w:hAnsi="Arial" w:cs="Arial"/>
                <w:b/>
                <w:bCs/>
                <w:color w:val="000000"/>
                <w:sz w:val="18"/>
                <w:szCs w:val="22"/>
                <w:lang w:val="sk-SK"/>
              </w:rPr>
              <w:t>344 867</w:t>
            </w:r>
          </w:p>
        </w:tc>
      </w:tr>
      <w:tr>
        <w:tblPrEx>
          <w:tblW w:w="8390" w:type="dxa"/>
          <w:jc w:val="center"/>
          <w:tblInd w:w="-130" w:type="dxa"/>
          <w:tblLayout w:type="fixed"/>
          <w:tblCellMar>
            <w:left w:w="0" w:type="dxa"/>
            <w:right w:w="0" w:type="dxa"/>
          </w:tblCellMar>
        </w:tblPrEx>
        <w:trPr>
          <w:trHeight w:val="285"/>
          <w:jc w:val="center"/>
        </w:trPr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rPr>
                <w:rFonts w:ascii="Arial" w:hAnsi="Arial" w:cs="Arial"/>
                <w:sz w:val="16"/>
                <w:szCs w:val="20"/>
                <w:lang w:val="sk-SK"/>
              </w:rPr>
            </w:pPr>
            <w:r w:rsidRPr="00F5355A">
              <w:rPr>
                <w:rFonts w:ascii="Arial" w:hAnsi="Arial" w:cs="Arial"/>
                <w:sz w:val="16"/>
                <w:szCs w:val="20"/>
                <w:lang w:val="sk-SK"/>
              </w:rPr>
              <w:t>Odpisy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70"/>
              <w:jc w:val="right"/>
              <w:rPr>
                <w:rFonts w:ascii="Arial" w:hAnsi="Arial" w:cs="Arial"/>
                <w:sz w:val="16"/>
                <w:szCs w:val="20"/>
                <w:lang w:val="sk-SK"/>
              </w:rPr>
            </w:pPr>
            <w:r w:rsidRPr="00F5355A">
              <w:rPr>
                <w:rFonts w:ascii="Arial" w:hAnsi="Arial" w:cs="Arial"/>
                <w:sz w:val="16"/>
                <w:szCs w:val="20"/>
                <w:lang w:val="sk-SK"/>
              </w:rPr>
              <w:t>188 719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50"/>
              <w:jc w:val="right"/>
              <w:rPr>
                <w:rFonts w:ascii="Arial" w:hAnsi="Arial" w:cs="Arial"/>
                <w:sz w:val="16"/>
                <w:szCs w:val="20"/>
                <w:lang w:val="sk-SK"/>
              </w:rPr>
            </w:pPr>
            <w:r w:rsidRPr="00F5355A">
              <w:rPr>
                <w:rFonts w:ascii="Arial" w:hAnsi="Arial" w:cs="Arial"/>
                <w:sz w:val="16"/>
                <w:szCs w:val="20"/>
                <w:lang w:val="sk-SK"/>
              </w:rPr>
              <w:t>220 266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65"/>
              <w:jc w:val="right"/>
              <w:rPr>
                <w:rFonts w:ascii="Arial" w:hAnsi="Arial" w:cs="Arial"/>
                <w:sz w:val="16"/>
                <w:szCs w:val="20"/>
                <w:lang w:val="sk-SK"/>
              </w:rPr>
            </w:pPr>
            <w:r w:rsidRPr="00F5355A">
              <w:rPr>
                <w:rFonts w:ascii="Arial" w:hAnsi="Arial" w:cs="Arial"/>
                <w:sz w:val="16"/>
                <w:szCs w:val="20"/>
                <w:lang w:val="sk-SK"/>
              </w:rPr>
              <w:t>255 848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70"/>
              <w:jc w:val="right"/>
              <w:rPr>
                <w:rFonts w:ascii="Arial" w:hAnsi="Arial" w:cs="Arial"/>
                <w:sz w:val="16"/>
                <w:szCs w:val="20"/>
                <w:lang w:val="sk-SK"/>
              </w:rPr>
            </w:pPr>
            <w:r w:rsidRPr="00F5355A">
              <w:rPr>
                <w:rFonts w:ascii="Arial" w:hAnsi="Arial" w:cs="Arial"/>
                <w:sz w:val="16"/>
                <w:szCs w:val="20"/>
                <w:lang w:val="sk-SK"/>
              </w:rPr>
              <w:t>305 023</w:t>
            </w:r>
          </w:p>
        </w:tc>
      </w:tr>
      <w:tr>
        <w:tblPrEx>
          <w:tblW w:w="8390" w:type="dxa"/>
          <w:jc w:val="center"/>
          <w:tblInd w:w="-130" w:type="dxa"/>
          <w:tblLayout w:type="fixed"/>
          <w:tblCellMar>
            <w:left w:w="0" w:type="dxa"/>
            <w:right w:w="0" w:type="dxa"/>
          </w:tblCellMar>
        </w:tblPrEx>
        <w:trPr>
          <w:trHeight w:val="300"/>
          <w:jc w:val="center"/>
        </w:trPr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rPr>
                <w:rFonts w:ascii="Arial" w:hAnsi="Arial" w:cs="Arial"/>
                <w:b/>
                <w:bCs/>
                <w:color w:val="000000"/>
                <w:sz w:val="18"/>
                <w:szCs w:val="22"/>
                <w:u w:val="single"/>
                <w:lang w:val="sk-SK"/>
              </w:rPr>
            </w:pPr>
            <w:r w:rsidRPr="00F5355A">
              <w:rPr>
                <w:rFonts w:ascii="Arial" w:hAnsi="Arial" w:cs="Arial"/>
                <w:b/>
                <w:bCs/>
                <w:color w:val="000000"/>
                <w:sz w:val="18"/>
                <w:szCs w:val="22"/>
                <w:u w:val="single"/>
                <w:lang w:val="sk-SK"/>
              </w:rPr>
              <w:t>EBIT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70"/>
              <w:jc w:val="right"/>
              <w:rPr>
                <w:rFonts w:ascii="Arial" w:hAnsi="Arial" w:cs="Arial"/>
                <w:sz w:val="18"/>
                <w:szCs w:val="20"/>
                <w:lang w:val="sk-SK"/>
              </w:rPr>
            </w:pPr>
            <w:r w:rsidRPr="00F5355A">
              <w:rPr>
                <w:rFonts w:ascii="Arial" w:hAnsi="Arial" w:cs="Arial"/>
                <w:sz w:val="18"/>
                <w:szCs w:val="20"/>
                <w:lang w:val="sk-SK"/>
              </w:rPr>
              <w:t>-97 179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50"/>
              <w:jc w:val="right"/>
              <w:rPr>
                <w:rFonts w:ascii="Arial" w:hAnsi="Arial" w:cs="Arial"/>
                <w:sz w:val="18"/>
                <w:szCs w:val="20"/>
                <w:lang w:val="sk-SK"/>
              </w:rPr>
            </w:pPr>
            <w:r w:rsidRPr="00F5355A">
              <w:rPr>
                <w:rFonts w:ascii="Arial" w:hAnsi="Arial" w:cs="Arial"/>
                <w:sz w:val="18"/>
                <w:szCs w:val="20"/>
                <w:lang w:val="sk-SK"/>
              </w:rPr>
              <w:t>33 271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65"/>
              <w:jc w:val="right"/>
              <w:rPr>
                <w:rFonts w:ascii="Arial" w:hAnsi="Arial" w:cs="Arial"/>
                <w:sz w:val="18"/>
                <w:szCs w:val="20"/>
                <w:lang w:val="sk-SK"/>
              </w:rPr>
            </w:pPr>
            <w:r w:rsidRPr="00F5355A">
              <w:rPr>
                <w:rFonts w:ascii="Arial" w:hAnsi="Arial" w:cs="Arial"/>
                <w:sz w:val="18"/>
                <w:szCs w:val="20"/>
                <w:lang w:val="sk-SK"/>
              </w:rPr>
              <w:t>33 256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70"/>
              <w:jc w:val="right"/>
              <w:rPr>
                <w:rFonts w:ascii="Arial" w:hAnsi="Arial" w:cs="Arial"/>
                <w:sz w:val="18"/>
                <w:szCs w:val="20"/>
                <w:lang w:val="sk-SK"/>
              </w:rPr>
            </w:pPr>
            <w:r w:rsidRPr="00F5355A">
              <w:rPr>
                <w:rFonts w:ascii="Arial" w:hAnsi="Arial" w:cs="Arial"/>
                <w:sz w:val="18"/>
                <w:szCs w:val="20"/>
                <w:lang w:val="sk-SK"/>
              </w:rPr>
              <w:t>39 844</w:t>
            </w:r>
          </w:p>
        </w:tc>
      </w:tr>
      <w:tr>
        <w:tblPrEx>
          <w:tblW w:w="8390" w:type="dxa"/>
          <w:jc w:val="center"/>
          <w:tblInd w:w="-130" w:type="dxa"/>
          <w:tblLayout w:type="fixed"/>
          <w:tblCellMar>
            <w:left w:w="0" w:type="dxa"/>
            <w:right w:w="0" w:type="dxa"/>
          </w:tblCellMar>
        </w:tblPrEx>
        <w:trPr>
          <w:trHeight w:val="285"/>
          <w:jc w:val="center"/>
        </w:trPr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rPr>
                <w:rFonts w:ascii="Arial" w:hAnsi="Arial" w:cs="Arial"/>
                <w:sz w:val="16"/>
                <w:szCs w:val="20"/>
                <w:lang w:val="sk-SK"/>
              </w:rPr>
            </w:pPr>
            <w:r w:rsidRPr="00F5355A">
              <w:rPr>
                <w:rFonts w:ascii="Arial" w:hAnsi="Arial" w:cs="Arial"/>
                <w:sz w:val="16"/>
                <w:szCs w:val="20"/>
                <w:lang w:val="sk-SK"/>
              </w:rPr>
              <w:t>Úrokové náklady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70"/>
              <w:jc w:val="right"/>
              <w:rPr>
                <w:rFonts w:ascii="Arial" w:hAnsi="Arial" w:cs="Arial"/>
                <w:sz w:val="16"/>
                <w:szCs w:val="20"/>
                <w:lang w:val="sk-SK"/>
              </w:rPr>
            </w:pPr>
            <w:r w:rsidRPr="00F5355A">
              <w:rPr>
                <w:rFonts w:ascii="Arial" w:hAnsi="Arial" w:cs="Arial"/>
                <w:sz w:val="16"/>
                <w:szCs w:val="20"/>
                <w:lang w:val="sk-SK"/>
              </w:rPr>
              <w:t>1 052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50"/>
              <w:jc w:val="right"/>
              <w:rPr>
                <w:rFonts w:ascii="Arial" w:hAnsi="Arial" w:cs="Arial"/>
                <w:sz w:val="16"/>
                <w:szCs w:val="20"/>
                <w:lang w:val="sk-SK"/>
              </w:rPr>
            </w:pPr>
            <w:r w:rsidRPr="00F5355A">
              <w:rPr>
                <w:rFonts w:ascii="Arial" w:hAnsi="Arial" w:cs="Arial"/>
                <w:sz w:val="16"/>
                <w:szCs w:val="20"/>
                <w:lang w:val="sk-SK"/>
              </w:rPr>
              <w:t>3 931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65"/>
              <w:jc w:val="right"/>
              <w:rPr>
                <w:rFonts w:ascii="Arial" w:hAnsi="Arial" w:cs="Arial"/>
                <w:sz w:val="16"/>
                <w:szCs w:val="20"/>
                <w:lang w:val="sk-SK"/>
              </w:rPr>
            </w:pPr>
            <w:r w:rsidRPr="00F5355A">
              <w:rPr>
                <w:rFonts w:ascii="Arial" w:hAnsi="Arial" w:cs="Arial"/>
                <w:sz w:val="16"/>
                <w:szCs w:val="20"/>
                <w:lang w:val="sk-SK"/>
              </w:rPr>
              <w:t>7 060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70"/>
              <w:jc w:val="right"/>
              <w:rPr>
                <w:rFonts w:ascii="Arial" w:hAnsi="Arial" w:cs="Arial"/>
                <w:sz w:val="16"/>
                <w:szCs w:val="20"/>
                <w:lang w:val="sk-SK"/>
              </w:rPr>
            </w:pPr>
            <w:r w:rsidRPr="00F5355A">
              <w:rPr>
                <w:rFonts w:ascii="Arial" w:hAnsi="Arial" w:cs="Arial"/>
                <w:sz w:val="16"/>
                <w:szCs w:val="20"/>
                <w:lang w:val="sk-SK"/>
              </w:rPr>
              <w:t>8 930</w:t>
            </w:r>
          </w:p>
        </w:tc>
      </w:tr>
      <w:tr>
        <w:tblPrEx>
          <w:tblW w:w="8390" w:type="dxa"/>
          <w:jc w:val="center"/>
          <w:tblInd w:w="-130" w:type="dxa"/>
          <w:tblLayout w:type="fixed"/>
          <w:tblCellMar>
            <w:left w:w="0" w:type="dxa"/>
            <w:right w:w="0" w:type="dxa"/>
          </w:tblCellMar>
        </w:tblPrEx>
        <w:trPr>
          <w:trHeight w:val="285"/>
          <w:jc w:val="center"/>
        </w:trPr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rPr>
                <w:rFonts w:ascii="Arial" w:hAnsi="Arial" w:cs="Arial"/>
                <w:sz w:val="16"/>
                <w:szCs w:val="20"/>
                <w:lang w:val="sk-SK"/>
              </w:rPr>
            </w:pPr>
            <w:r w:rsidRPr="00F5355A">
              <w:rPr>
                <w:rFonts w:ascii="Arial" w:hAnsi="Arial" w:cs="Arial"/>
                <w:sz w:val="16"/>
                <w:szCs w:val="20"/>
                <w:lang w:val="sk-SK"/>
              </w:rPr>
              <w:t>Daň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70"/>
              <w:jc w:val="right"/>
              <w:rPr>
                <w:rFonts w:ascii="Arial" w:hAnsi="Arial" w:cs="Arial"/>
                <w:sz w:val="16"/>
                <w:szCs w:val="20"/>
                <w:lang w:val="sk-SK"/>
              </w:rPr>
            </w:pPr>
            <w:r w:rsidRPr="00F5355A">
              <w:rPr>
                <w:rFonts w:ascii="Arial" w:hAnsi="Arial" w:cs="Arial"/>
                <w:sz w:val="16"/>
                <w:szCs w:val="20"/>
                <w:lang w:val="sk-SK"/>
              </w:rPr>
              <w:t>73 940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50"/>
              <w:jc w:val="right"/>
              <w:rPr>
                <w:rFonts w:ascii="Arial" w:hAnsi="Arial" w:cs="Arial"/>
                <w:sz w:val="16"/>
                <w:szCs w:val="20"/>
                <w:lang w:val="sk-SK"/>
              </w:rPr>
            </w:pPr>
            <w:r w:rsidRPr="00F5355A">
              <w:rPr>
                <w:rFonts w:ascii="Arial" w:hAnsi="Arial" w:cs="Arial"/>
                <w:sz w:val="16"/>
                <w:szCs w:val="20"/>
                <w:lang w:val="sk-SK"/>
              </w:rPr>
              <w:t>9 163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65"/>
              <w:jc w:val="right"/>
              <w:rPr>
                <w:rFonts w:ascii="Arial" w:hAnsi="Arial" w:cs="Arial"/>
                <w:sz w:val="16"/>
                <w:szCs w:val="20"/>
                <w:lang w:val="sk-SK"/>
              </w:rPr>
            </w:pPr>
            <w:r w:rsidRPr="00F5355A">
              <w:rPr>
                <w:rFonts w:ascii="Arial" w:hAnsi="Arial" w:cs="Arial"/>
                <w:sz w:val="16"/>
                <w:szCs w:val="20"/>
                <w:lang w:val="sk-SK"/>
              </w:rPr>
              <w:t>3 244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70"/>
              <w:jc w:val="right"/>
              <w:rPr>
                <w:rFonts w:ascii="Arial" w:hAnsi="Arial" w:cs="Arial"/>
                <w:sz w:val="16"/>
                <w:szCs w:val="20"/>
                <w:lang w:val="sk-SK"/>
              </w:rPr>
            </w:pPr>
            <w:r w:rsidRPr="00F5355A">
              <w:rPr>
                <w:rFonts w:ascii="Arial" w:hAnsi="Arial" w:cs="Arial"/>
                <w:sz w:val="16"/>
                <w:szCs w:val="20"/>
                <w:lang w:val="sk-SK"/>
              </w:rPr>
              <w:t>9 519</w:t>
            </w:r>
          </w:p>
        </w:tc>
      </w:tr>
      <w:tr>
        <w:tblPrEx>
          <w:tblW w:w="8390" w:type="dxa"/>
          <w:jc w:val="center"/>
          <w:tblInd w:w="-130" w:type="dxa"/>
          <w:tblLayout w:type="fixed"/>
          <w:tblCellMar>
            <w:left w:w="0" w:type="dxa"/>
            <w:right w:w="0" w:type="dxa"/>
          </w:tblCellMar>
        </w:tblPrEx>
        <w:trPr>
          <w:trHeight w:val="300"/>
          <w:jc w:val="center"/>
        </w:trPr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pStyle w:val="Heading2"/>
              <w:rPr>
                <w:sz w:val="18"/>
                <w:lang w:val="sk-SK"/>
              </w:rPr>
            </w:pPr>
            <w:r w:rsidRPr="00F5355A">
              <w:rPr>
                <w:sz w:val="18"/>
                <w:lang w:val="sk-SK"/>
              </w:rPr>
              <w:t>HV po zdanení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70"/>
              <w:jc w:val="right"/>
              <w:rPr>
                <w:rFonts w:ascii="Arial" w:hAnsi="Arial" w:cs="Arial"/>
                <w:sz w:val="18"/>
                <w:szCs w:val="20"/>
                <w:lang w:val="sk-SK"/>
              </w:rPr>
            </w:pPr>
            <w:r w:rsidRPr="00F5355A">
              <w:rPr>
                <w:rFonts w:ascii="Arial" w:hAnsi="Arial" w:cs="Arial"/>
                <w:sz w:val="18"/>
                <w:szCs w:val="20"/>
                <w:lang w:val="sk-SK"/>
              </w:rPr>
              <w:t>-172 171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50"/>
              <w:jc w:val="right"/>
              <w:rPr>
                <w:rFonts w:ascii="Arial" w:hAnsi="Arial" w:cs="Arial"/>
                <w:sz w:val="18"/>
                <w:szCs w:val="20"/>
                <w:lang w:val="sk-SK"/>
              </w:rPr>
            </w:pPr>
            <w:r w:rsidRPr="00F5355A">
              <w:rPr>
                <w:rFonts w:ascii="Arial" w:hAnsi="Arial" w:cs="Arial"/>
                <w:sz w:val="18"/>
                <w:szCs w:val="20"/>
                <w:lang w:val="sk-SK"/>
              </w:rPr>
              <w:t>20 177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65"/>
              <w:jc w:val="right"/>
              <w:rPr>
                <w:rFonts w:ascii="Arial" w:hAnsi="Arial" w:cs="Arial"/>
                <w:sz w:val="18"/>
                <w:szCs w:val="20"/>
                <w:lang w:val="sk-SK"/>
              </w:rPr>
            </w:pPr>
            <w:r w:rsidRPr="00F5355A">
              <w:rPr>
                <w:rFonts w:ascii="Arial" w:hAnsi="Arial" w:cs="Arial"/>
                <w:sz w:val="18"/>
                <w:szCs w:val="20"/>
                <w:lang w:val="sk-SK"/>
              </w:rPr>
              <w:t>22 952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70"/>
              <w:jc w:val="right"/>
              <w:rPr>
                <w:rFonts w:ascii="Arial" w:hAnsi="Arial" w:cs="Arial"/>
                <w:sz w:val="18"/>
                <w:szCs w:val="20"/>
                <w:lang w:val="sk-SK"/>
              </w:rPr>
            </w:pPr>
            <w:r w:rsidRPr="00F5355A">
              <w:rPr>
                <w:rFonts w:ascii="Arial" w:hAnsi="Arial" w:cs="Arial"/>
                <w:sz w:val="18"/>
                <w:szCs w:val="20"/>
                <w:lang w:val="sk-SK"/>
              </w:rPr>
              <w:t>21 395</w:t>
            </w:r>
          </w:p>
        </w:tc>
      </w:tr>
      <w:tr>
        <w:tblPrEx>
          <w:tblW w:w="8390" w:type="dxa"/>
          <w:jc w:val="center"/>
          <w:tblInd w:w="-135" w:type="dxa"/>
          <w:tblLayout w:type="fixed"/>
          <w:tblCellMar>
            <w:left w:w="0" w:type="dxa"/>
            <w:right w:w="0" w:type="dxa"/>
          </w:tblCellMar>
        </w:tblPrEx>
        <w:trPr>
          <w:trHeight w:val="111"/>
          <w:jc w:val="center"/>
        </w:trPr>
        <w:tc>
          <w:tcPr>
            <w:tcW w:w="37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rPr>
                <w:rFonts w:ascii="Arial" w:hAnsi="Arial" w:cs="Arial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70"/>
              <w:rPr>
                <w:rFonts w:ascii="Arial" w:hAnsi="Arial" w:cs="Arial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50"/>
              <w:rPr>
                <w:rFonts w:ascii="Arial" w:hAnsi="Arial" w:cs="Arial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65"/>
              <w:rPr>
                <w:rFonts w:ascii="Arial" w:hAnsi="Arial" w:cs="Arial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70"/>
              <w:rPr>
                <w:rFonts w:ascii="Arial" w:hAnsi="Arial" w:cs="Arial"/>
                <w:color w:val="000000"/>
                <w:sz w:val="22"/>
                <w:szCs w:val="22"/>
                <w:lang w:val="sk-SK"/>
              </w:rPr>
            </w:pPr>
          </w:p>
        </w:tc>
      </w:tr>
      <w:tr>
        <w:tblPrEx>
          <w:tblW w:w="8390" w:type="dxa"/>
          <w:jc w:val="center"/>
          <w:tblInd w:w="-130" w:type="dxa"/>
          <w:tblLayout w:type="fixed"/>
          <w:tblCellMar>
            <w:left w:w="0" w:type="dxa"/>
            <w:right w:w="0" w:type="dxa"/>
          </w:tblCellMar>
        </w:tblPrEx>
        <w:trPr>
          <w:trHeight w:val="285"/>
          <w:jc w:val="center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rPr>
                <w:rFonts w:ascii="Arial" w:hAnsi="Arial" w:cs="Arial"/>
                <w:color w:val="000000"/>
                <w:sz w:val="16"/>
                <w:szCs w:val="22"/>
                <w:lang w:val="sk-SK"/>
              </w:rPr>
            </w:pPr>
            <w:r w:rsidRPr="00F5355A">
              <w:rPr>
                <w:rFonts w:ascii="Arial" w:hAnsi="Arial" w:cs="Arial"/>
                <w:color w:val="000000"/>
                <w:sz w:val="16"/>
                <w:szCs w:val="22"/>
                <w:lang w:val="sk-SK"/>
              </w:rPr>
              <w:t>Počet vybavených cestujúcich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70"/>
              <w:jc w:val="right"/>
              <w:rPr>
                <w:rFonts w:ascii="Arial" w:hAnsi="Arial" w:cs="Arial"/>
                <w:color w:val="000000"/>
                <w:sz w:val="16"/>
                <w:szCs w:val="22"/>
                <w:lang w:val="sk-SK"/>
              </w:rPr>
            </w:pPr>
            <w:r w:rsidRPr="00F5355A">
              <w:rPr>
                <w:rFonts w:ascii="Arial" w:hAnsi="Arial" w:cs="Arial"/>
                <w:color w:val="000000"/>
                <w:sz w:val="16"/>
                <w:szCs w:val="22"/>
                <w:lang w:val="sk-SK"/>
              </w:rPr>
              <w:t>1 326 493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50"/>
              <w:jc w:val="right"/>
              <w:rPr>
                <w:rFonts w:ascii="Arial" w:hAnsi="Arial" w:cs="Arial"/>
                <w:color w:val="000000"/>
                <w:sz w:val="16"/>
                <w:szCs w:val="22"/>
                <w:lang w:val="sk-SK"/>
              </w:rPr>
            </w:pPr>
            <w:r w:rsidRPr="00F5355A">
              <w:rPr>
                <w:rFonts w:ascii="Arial" w:hAnsi="Arial" w:cs="Arial"/>
                <w:color w:val="000000"/>
                <w:sz w:val="16"/>
                <w:szCs w:val="22"/>
                <w:lang w:val="sk-SK"/>
              </w:rPr>
              <w:t>1 937 642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65"/>
              <w:jc w:val="right"/>
              <w:rPr>
                <w:rFonts w:ascii="Arial" w:hAnsi="Arial" w:cs="Arial"/>
                <w:color w:val="000000"/>
                <w:sz w:val="16"/>
                <w:szCs w:val="22"/>
                <w:lang w:val="sk-SK"/>
              </w:rPr>
            </w:pPr>
            <w:r w:rsidRPr="00F5355A">
              <w:rPr>
                <w:rFonts w:ascii="Arial" w:hAnsi="Arial" w:cs="Arial"/>
                <w:color w:val="000000"/>
                <w:sz w:val="16"/>
                <w:szCs w:val="22"/>
                <w:lang w:val="sk-SK"/>
              </w:rPr>
              <w:t>2 024 142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70"/>
              <w:jc w:val="right"/>
              <w:rPr>
                <w:rFonts w:ascii="Arial" w:hAnsi="Arial" w:cs="Arial"/>
                <w:color w:val="000000"/>
                <w:sz w:val="16"/>
                <w:szCs w:val="22"/>
                <w:lang w:val="sk-SK"/>
              </w:rPr>
            </w:pPr>
            <w:r w:rsidRPr="00F5355A">
              <w:rPr>
                <w:rFonts w:ascii="Arial" w:hAnsi="Arial" w:cs="Arial"/>
                <w:color w:val="000000"/>
                <w:sz w:val="16"/>
                <w:szCs w:val="22"/>
                <w:lang w:val="sk-SK"/>
              </w:rPr>
              <w:t>2 300 000</w:t>
            </w:r>
          </w:p>
        </w:tc>
      </w:tr>
      <w:tr>
        <w:tblPrEx>
          <w:tblW w:w="8390" w:type="dxa"/>
          <w:jc w:val="center"/>
          <w:tblInd w:w="-130" w:type="dxa"/>
          <w:tblLayout w:type="fixed"/>
          <w:tblCellMar>
            <w:left w:w="0" w:type="dxa"/>
            <w:right w:w="0" w:type="dxa"/>
          </w:tblCellMar>
        </w:tblPrEx>
        <w:trPr>
          <w:trHeight w:val="285"/>
          <w:jc w:val="center"/>
        </w:trPr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rPr>
                <w:rFonts w:ascii="Arial" w:hAnsi="Arial" w:cs="Arial"/>
                <w:color w:val="000000"/>
                <w:sz w:val="16"/>
                <w:szCs w:val="22"/>
                <w:lang w:val="sk-SK"/>
              </w:rPr>
            </w:pPr>
            <w:r w:rsidRPr="00F5355A">
              <w:rPr>
                <w:rFonts w:ascii="Arial" w:hAnsi="Arial" w:cs="Arial"/>
                <w:color w:val="000000"/>
                <w:sz w:val="16"/>
                <w:szCs w:val="22"/>
                <w:lang w:val="sk-SK"/>
              </w:rPr>
              <w:t>Priemerný prepočítaný počet zamestnancov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70"/>
              <w:jc w:val="right"/>
              <w:rPr>
                <w:rFonts w:ascii="Arial" w:hAnsi="Arial" w:cs="Arial"/>
                <w:color w:val="000000"/>
                <w:sz w:val="16"/>
                <w:szCs w:val="22"/>
                <w:lang w:val="sk-SK"/>
              </w:rPr>
            </w:pPr>
            <w:r w:rsidRPr="00F5355A">
              <w:rPr>
                <w:rFonts w:ascii="Arial" w:hAnsi="Arial" w:cs="Arial"/>
                <w:color w:val="000000"/>
                <w:sz w:val="16"/>
                <w:szCs w:val="22"/>
                <w:lang w:val="sk-SK"/>
              </w:rPr>
              <w:t>534,2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50"/>
              <w:jc w:val="right"/>
              <w:rPr>
                <w:rFonts w:ascii="Arial" w:hAnsi="Arial" w:cs="Arial"/>
                <w:color w:val="000000"/>
                <w:sz w:val="16"/>
                <w:szCs w:val="22"/>
                <w:lang w:val="sk-SK"/>
              </w:rPr>
            </w:pPr>
            <w:r w:rsidRPr="00F5355A">
              <w:rPr>
                <w:rFonts w:ascii="Arial" w:hAnsi="Arial" w:cs="Arial"/>
                <w:color w:val="000000"/>
                <w:sz w:val="16"/>
                <w:szCs w:val="22"/>
                <w:lang w:val="sk-SK"/>
              </w:rPr>
              <w:t>627,29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65"/>
              <w:jc w:val="right"/>
              <w:rPr>
                <w:rFonts w:ascii="Arial" w:hAnsi="Arial" w:cs="Arial"/>
                <w:color w:val="000000"/>
                <w:sz w:val="16"/>
                <w:szCs w:val="22"/>
                <w:lang w:val="sk-SK"/>
              </w:rPr>
            </w:pPr>
            <w:r w:rsidRPr="00F5355A">
              <w:rPr>
                <w:rFonts w:ascii="Arial" w:hAnsi="Arial" w:cs="Arial"/>
                <w:color w:val="000000"/>
                <w:sz w:val="16"/>
                <w:szCs w:val="22"/>
                <w:lang w:val="sk-SK"/>
              </w:rPr>
              <w:t>672,34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70"/>
              <w:jc w:val="right"/>
              <w:rPr>
                <w:rFonts w:ascii="Arial" w:hAnsi="Arial" w:cs="Arial"/>
                <w:color w:val="000000"/>
                <w:sz w:val="16"/>
                <w:szCs w:val="22"/>
                <w:lang w:val="sk-SK"/>
              </w:rPr>
            </w:pPr>
            <w:r w:rsidRPr="00F5355A">
              <w:rPr>
                <w:rFonts w:ascii="Arial" w:hAnsi="Arial" w:cs="Arial"/>
                <w:color w:val="000000"/>
                <w:sz w:val="16"/>
                <w:szCs w:val="22"/>
                <w:lang w:val="sk-SK"/>
              </w:rPr>
              <w:t>710</w:t>
            </w:r>
          </w:p>
        </w:tc>
      </w:tr>
      <w:tr>
        <w:tblPrEx>
          <w:tblW w:w="8390" w:type="dxa"/>
          <w:jc w:val="center"/>
          <w:tblInd w:w="-130" w:type="dxa"/>
          <w:tblLayout w:type="fixed"/>
          <w:tblCellMar>
            <w:left w:w="0" w:type="dxa"/>
            <w:right w:w="0" w:type="dxa"/>
          </w:tblCellMar>
        </w:tblPrEx>
        <w:trPr>
          <w:trHeight w:val="285"/>
          <w:jc w:val="center"/>
        </w:trPr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rPr>
                <w:rFonts w:ascii="Arial" w:hAnsi="Arial" w:cs="Arial"/>
                <w:color w:val="000000"/>
                <w:sz w:val="16"/>
                <w:szCs w:val="22"/>
                <w:lang w:val="sk-SK"/>
              </w:rPr>
            </w:pPr>
            <w:r w:rsidRPr="00F5355A">
              <w:rPr>
                <w:rFonts w:ascii="Arial" w:hAnsi="Arial" w:cs="Arial"/>
                <w:color w:val="000000"/>
                <w:sz w:val="16"/>
                <w:szCs w:val="22"/>
                <w:lang w:val="sk-SK"/>
              </w:rPr>
              <w:t>Počet vybavených cestujúcich na 1 zames</w:t>
            </w:r>
            <w:r w:rsidRPr="00F5355A">
              <w:rPr>
                <w:rFonts w:ascii="Arial" w:hAnsi="Arial" w:cs="Arial"/>
                <w:color w:val="000000"/>
                <w:sz w:val="16"/>
                <w:szCs w:val="22"/>
                <w:lang w:val="sk-SK"/>
              </w:rPr>
              <w:t>tnanca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70"/>
              <w:jc w:val="right"/>
              <w:rPr>
                <w:rFonts w:ascii="Arial" w:hAnsi="Arial" w:cs="Arial"/>
                <w:color w:val="000000"/>
                <w:sz w:val="16"/>
                <w:szCs w:val="22"/>
                <w:lang w:val="sk-SK"/>
              </w:rPr>
            </w:pPr>
            <w:r w:rsidRPr="00F5355A">
              <w:rPr>
                <w:rFonts w:ascii="Arial" w:hAnsi="Arial" w:cs="Arial"/>
                <w:color w:val="000000"/>
                <w:sz w:val="16"/>
                <w:szCs w:val="22"/>
                <w:lang w:val="sk-SK"/>
              </w:rPr>
              <w:t>2 483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50"/>
              <w:jc w:val="right"/>
              <w:rPr>
                <w:rFonts w:ascii="Arial" w:hAnsi="Arial" w:cs="Arial"/>
                <w:color w:val="000000"/>
                <w:sz w:val="16"/>
                <w:szCs w:val="22"/>
                <w:lang w:val="sk-SK"/>
              </w:rPr>
            </w:pPr>
            <w:r w:rsidRPr="00F5355A">
              <w:rPr>
                <w:rFonts w:ascii="Arial" w:hAnsi="Arial" w:cs="Arial"/>
                <w:color w:val="000000"/>
                <w:sz w:val="16"/>
                <w:szCs w:val="22"/>
                <w:lang w:val="sk-SK"/>
              </w:rPr>
              <w:t>3 089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65"/>
              <w:jc w:val="right"/>
              <w:rPr>
                <w:rFonts w:ascii="Arial" w:hAnsi="Arial" w:cs="Arial"/>
                <w:color w:val="000000"/>
                <w:sz w:val="16"/>
                <w:szCs w:val="22"/>
                <w:lang w:val="sk-SK"/>
              </w:rPr>
            </w:pPr>
            <w:r w:rsidRPr="00F5355A">
              <w:rPr>
                <w:rFonts w:ascii="Arial" w:hAnsi="Arial" w:cs="Arial"/>
                <w:color w:val="000000"/>
                <w:sz w:val="16"/>
                <w:szCs w:val="22"/>
                <w:lang w:val="sk-SK"/>
              </w:rPr>
              <w:t>3 011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70"/>
              <w:jc w:val="right"/>
              <w:rPr>
                <w:rFonts w:ascii="Arial" w:hAnsi="Arial" w:cs="Arial"/>
                <w:color w:val="000000"/>
                <w:sz w:val="16"/>
                <w:szCs w:val="22"/>
                <w:lang w:val="sk-SK"/>
              </w:rPr>
            </w:pPr>
            <w:r w:rsidRPr="00F5355A">
              <w:rPr>
                <w:rFonts w:ascii="Arial" w:hAnsi="Arial" w:cs="Arial"/>
                <w:color w:val="000000"/>
                <w:sz w:val="16"/>
                <w:szCs w:val="22"/>
                <w:lang w:val="sk-SK"/>
              </w:rPr>
              <w:t>3 239</w:t>
            </w:r>
          </w:p>
        </w:tc>
      </w:tr>
      <w:tr>
        <w:tblPrEx>
          <w:tblW w:w="8390" w:type="dxa"/>
          <w:jc w:val="center"/>
          <w:tblInd w:w="-130" w:type="dxa"/>
          <w:tblLayout w:type="fixed"/>
          <w:tblCellMar>
            <w:left w:w="0" w:type="dxa"/>
            <w:right w:w="0" w:type="dxa"/>
          </w:tblCellMar>
        </w:tblPrEx>
        <w:trPr>
          <w:trHeight w:val="180"/>
          <w:jc w:val="center"/>
        </w:trPr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rPr>
                <w:rFonts w:ascii="Arial" w:hAnsi="Arial" w:cs="Arial"/>
                <w:color w:val="000000"/>
                <w:sz w:val="16"/>
                <w:szCs w:val="22"/>
                <w:lang w:val="sk-SK"/>
              </w:rPr>
            </w:pPr>
            <w:r w:rsidRPr="00F5355A">
              <w:rPr>
                <w:rFonts w:ascii="Arial" w:hAnsi="Arial" w:cs="Arial"/>
                <w:color w:val="000000"/>
                <w:sz w:val="16"/>
                <w:szCs w:val="22"/>
                <w:lang w:val="sk-SK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70"/>
              <w:rPr>
                <w:rFonts w:ascii="Arial" w:hAnsi="Arial" w:cs="Arial"/>
                <w:color w:val="000000"/>
                <w:sz w:val="16"/>
                <w:szCs w:val="22"/>
                <w:lang w:val="sk-SK"/>
              </w:rPr>
            </w:pPr>
            <w:r w:rsidRPr="00F5355A">
              <w:rPr>
                <w:rFonts w:ascii="Arial" w:hAnsi="Arial" w:cs="Arial"/>
                <w:color w:val="000000"/>
                <w:sz w:val="16"/>
                <w:szCs w:val="22"/>
                <w:lang w:val="sk-SK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50"/>
              <w:rPr>
                <w:rFonts w:ascii="Arial" w:hAnsi="Arial" w:cs="Arial"/>
                <w:color w:val="000000"/>
                <w:sz w:val="16"/>
                <w:szCs w:val="22"/>
                <w:lang w:val="sk-SK"/>
              </w:rPr>
            </w:pPr>
            <w:r w:rsidRPr="00F5355A">
              <w:rPr>
                <w:rFonts w:ascii="Arial" w:hAnsi="Arial" w:cs="Arial"/>
                <w:color w:val="000000"/>
                <w:sz w:val="16"/>
                <w:szCs w:val="22"/>
                <w:lang w:val="sk-SK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65"/>
              <w:rPr>
                <w:rFonts w:ascii="Arial" w:hAnsi="Arial" w:cs="Arial"/>
                <w:color w:val="000000"/>
                <w:sz w:val="16"/>
                <w:szCs w:val="22"/>
                <w:lang w:val="sk-SK"/>
              </w:rPr>
            </w:pPr>
            <w:r w:rsidRPr="00F5355A">
              <w:rPr>
                <w:rFonts w:ascii="Arial" w:hAnsi="Arial" w:cs="Arial"/>
                <w:color w:val="000000"/>
                <w:sz w:val="16"/>
                <w:szCs w:val="22"/>
                <w:lang w:val="sk-SK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70"/>
              <w:rPr>
                <w:rFonts w:ascii="Arial" w:hAnsi="Arial" w:cs="Arial"/>
                <w:color w:val="000000"/>
                <w:sz w:val="16"/>
                <w:szCs w:val="22"/>
                <w:lang w:val="sk-SK"/>
              </w:rPr>
            </w:pPr>
            <w:r w:rsidRPr="00F5355A">
              <w:rPr>
                <w:rFonts w:ascii="Arial" w:hAnsi="Arial" w:cs="Arial"/>
                <w:color w:val="000000"/>
                <w:sz w:val="16"/>
                <w:szCs w:val="22"/>
                <w:lang w:val="sk-SK"/>
              </w:rPr>
              <w:t> </w:t>
            </w:r>
          </w:p>
        </w:tc>
      </w:tr>
      <w:tr>
        <w:tblPrEx>
          <w:tblW w:w="8390" w:type="dxa"/>
          <w:jc w:val="center"/>
          <w:tblInd w:w="-130" w:type="dxa"/>
          <w:tblLayout w:type="fixed"/>
          <w:tblCellMar>
            <w:left w:w="0" w:type="dxa"/>
            <w:right w:w="0" w:type="dxa"/>
          </w:tblCellMar>
        </w:tblPrEx>
        <w:trPr>
          <w:trHeight w:val="285"/>
          <w:jc w:val="center"/>
        </w:trPr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rPr>
                <w:rFonts w:ascii="Arial" w:hAnsi="Arial" w:cs="Arial"/>
                <w:color w:val="000000"/>
                <w:sz w:val="16"/>
                <w:szCs w:val="22"/>
                <w:lang w:val="sk-SK"/>
              </w:rPr>
            </w:pPr>
            <w:r w:rsidRPr="00F5355A">
              <w:rPr>
                <w:rFonts w:ascii="Arial" w:hAnsi="Arial" w:cs="Arial"/>
                <w:color w:val="000000"/>
                <w:sz w:val="16"/>
                <w:szCs w:val="22"/>
                <w:lang w:val="sk-SK"/>
              </w:rPr>
              <w:t>Investície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70"/>
              <w:jc w:val="right"/>
              <w:rPr>
                <w:rFonts w:ascii="Arial" w:hAnsi="Arial" w:cs="Arial"/>
                <w:color w:val="000000"/>
                <w:sz w:val="16"/>
                <w:szCs w:val="22"/>
                <w:lang w:val="sk-SK"/>
              </w:rPr>
            </w:pPr>
            <w:r w:rsidRPr="00F5355A">
              <w:rPr>
                <w:rFonts w:ascii="Arial" w:hAnsi="Arial" w:cs="Arial"/>
                <w:color w:val="000000"/>
                <w:sz w:val="16"/>
                <w:szCs w:val="22"/>
                <w:lang w:val="sk-SK"/>
              </w:rPr>
              <w:t>311 224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50"/>
              <w:jc w:val="right"/>
              <w:rPr>
                <w:rFonts w:ascii="Arial" w:hAnsi="Arial" w:cs="Arial"/>
                <w:color w:val="000000"/>
                <w:sz w:val="16"/>
                <w:szCs w:val="22"/>
                <w:lang w:val="sk-SK"/>
              </w:rPr>
            </w:pPr>
            <w:r w:rsidRPr="00F5355A">
              <w:rPr>
                <w:rFonts w:ascii="Arial" w:hAnsi="Arial" w:cs="Arial"/>
                <w:color w:val="000000"/>
                <w:sz w:val="16"/>
                <w:szCs w:val="22"/>
                <w:lang w:val="sk-SK"/>
              </w:rPr>
              <w:t>326 016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65"/>
              <w:jc w:val="right"/>
              <w:rPr>
                <w:rFonts w:ascii="Arial" w:hAnsi="Arial" w:cs="Arial"/>
                <w:color w:val="000000"/>
                <w:sz w:val="16"/>
                <w:szCs w:val="22"/>
                <w:lang w:val="sk-SK"/>
              </w:rPr>
            </w:pPr>
            <w:r w:rsidRPr="00F5355A">
              <w:rPr>
                <w:rFonts w:ascii="Arial" w:hAnsi="Arial" w:cs="Arial"/>
                <w:color w:val="000000"/>
                <w:sz w:val="16"/>
                <w:szCs w:val="22"/>
                <w:lang w:val="sk-SK"/>
              </w:rPr>
              <w:t>316 230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7A1E0D" w:rsidRPr="00F5355A">
            <w:pPr>
              <w:ind w:right="170"/>
              <w:jc w:val="right"/>
              <w:rPr>
                <w:rFonts w:ascii="Arial" w:hAnsi="Arial" w:cs="Arial"/>
                <w:color w:val="000000"/>
                <w:sz w:val="16"/>
                <w:szCs w:val="22"/>
                <w:lang w:val="sk-SK"/>
              </w:rPr>
            </w:pPr>
            <w:r w:rsidRPr="00F5355A">
              <w:rPr>
                <w:rFonts w:ascii="Arial" w:hAnsi="Arial" w:cs="Arial"/>
                <w:color w:val="000000"/>
                <w:sz w:val="16"/>
                <w:szCs w:val="22"/>
                <w:lang w:val="sk-SK"/>
              </w:rPr>
              <w:t>672 000</w:t>
            </w:r>
          </w:p>
        </w:tc>
      </w:tr>
    </w:tbl>
    <w:p w:rsidR="007A1E0D" w:rsidRPr="00F5355A">
      <w:pPr>
        <w:pStyle w:val="BodyText"/>
        <w:rPr>
          <w:rFonts w:ascii="Times New Roman" w:hAnsi="Times New Roman" w:cs="Times New Roman"/>
          <w:sz w:val="18"/>
        </w:rPr>
      </w:pPr>
    </w:p>
    <w:p w:rsidR="007A1E0D" w:rsidRPr="00F5355A">
      <w:pPr>
        <w:pStyle w:val="BodyText"/>
        <w:rPr>
          <w:rFonts w:ascii="Times New Roman" w:hAnsi="Times New Roman" w:cs="Times New Roman"/>
          <w:sz w:val="18"/>
        </w:rPr>
      </w:pPr>
    </w:p>
    <w:p w:rsidR="007A1E0D" w:rsidRPr="003B5348">
      <w:pPr>
        <w:pStyle w:val="BodyText"/>
        <w:rPr>
          <w:rFonts w:ascii="Times New Roman" w:hAnsi="Times New Roman" w:cs="Times New Roman"/>
          <w:b/>
          <w:bCs/>
          <w:sz w:val="24"/>
        </w:rPr>
      </w:pPr>
      <w:r w:rsidRPr="003B5348">
        <w:rPr>
          <w:rFonts w:ascii="Times New Roman" w:hAnsi="Times New Roman" w:cs="Times New Roman"/>
          <w:b/>
          <w:bCs/>
          <w:sz w:val="24"/>
        </w:rPr>
        <w:t>Prevádzkové výkony</w:t>
      </w:r>
    </w:p>
    <w:p w:rsidR="007A1E0D" w:rsidRPr="003B5348">
      <w:pPr>
        <w:pStyle w:val="BodyText"/>
        <w:rPr>
          <w:rFonts w:ascii="Times New Roman" w:hAnsi="Times New Roman" w:cs="Times New Roman"/>
          <w:i/>
          <w:iCs/>
          <w:sz w:val="24"/>
        </w:rPr>
      </w:pPr>
      <w:r w:rsidRPr="003B5348">
        <w:rPr>
          <w:rFonts w:ascii="Times New Roman" w:hAnsi="Times New Roman" w:cs="Times New Roman"/>
          <w:i/>
          <w:iCs/>
          <w:sz w:val="24"/>
        </w:rPr>
        <w:t>Letisko Bratislava dosiahlo v roku 200</w:t>
      </w:r>
      <w:r w:rsidRPr="003B5348" w:rsidR="00F5355A">
        <w:rPr>
          <w:rFonts w:ascii="Times New Roman" w:hAnsi="Times New Roman" w:cs="Times New Roman"/>
          <w:i/>
          <w:iCs/>
          <w:sz w:val="24"/>
        </w:rPr>
        <w:t xml:space="preserve">7 </w:t>
      </w:r>
      <w:r w:rsidRPr="003B5348" w:rsidR="00D72DA6">
        <w:rPr>
          <w:rFonts w:ascii="Times New Roman" w:hAnsi="Times New Roman" w:cs="Times New Roman"/>
          <w:i/>
          <w:iCs/>
          <w:sz w:val="24"/>
        </w:rPr>
        <w:t>zvýšenie</w:t>
      </w:r>
      <w:r w:rsidRPr="003B5348">
        <w:rPr>
          <w:rFonts w:ascii="Times New Roman" w:hAnsi="Times New Roman" w:cs="Times New Roman"/>
          <w:i/>
          <w:iCs/>
          <w:sz w:val="24"/>
        </w:rPr>
        <w:t xml:space="preserve"> objemu prepravy </w:t>
      </w:r>
      <w:r w:rsidRPr="003B5348" w:rsidR="00F5355A">
        <w:rPr>
          <w:rFonts w:ascii="Times New Roman" w:hAnsi="Times New Roman" w:cs="Times New Roman"/>
          <w:i/>
          <w:iCs/>
          <w:sz w:val="24"/>
        </w:rPr>
        <w:t>o 86 500 cestujúcich</w:t>
      </w:r>
      <w:r w:rsidRPr="003B5348" w:rsidR="00C570BF">
        <w:rPr>
          <w:rFonts w:ascii="Times New Roman" w:hAnsi="Times New Roman" w:cs="Times New Roman"/>
          <w:i/>
          <w:iCs/>
          <w:sz w:val="24"/>
        </w:rPr>
        <w:t xml:space="preserve">, ktoré predstavujú </w:t>
      </w:r>
      <w:r w:rsidR="00D72DA6">
        <w:rPr>
          <w:rFonts w:ascii="Times New Roman" w:hAnsi="Times New Roman" w:cs="Times New Roman"/>
          <w:i/>
          <w:iCs/>
          <w:sz w:val="24"/>
        </w:rPr>
        <w:t>4,5%</w:t>
      </w:r>
      <w:r w:rsidRPr="003B5348">
        <w:rPr>
          <w:rFonts w:ascii="Times New Roman" w:hAnsi="Times New Roman" w:cs="Times New Roman"/>
          <w:i/>
          <w:iCs/>
          <w:sz w:val="24"/>
        </w:rPr>
        <w:t xml:space="preserve"> prírastok. </w:t>
      </w:r>
      <w:r w:rsidRPr="003B5348" w:rsidR="00E13964">
        <w:rPr>
          <w:rFonts w:ascii="Times New Roman" w:hAnsi="Times New Roman" w:cs="Times New Roman"/>
          <w:i/>
          <w:iCs/>
          <w:sz w:val="24"/>
        </w:rPr>
        <w:t>Vyšším nárastom zabránil</w:t>
      </w:r>
      <w:r w:rsidRPr="003B5348">
        <w:rPr>
          <w:rFonts w:ascii="Times New Roman" w:hAnsi="Times New Roman" w:cs="Times New Roman"/>
          <w:i/>
          <w:iCs/>
          <w:sz w:val="24"/>
        </w:rPr>
        <w:t xml:space="preserve"> ne</w:t>
      </w:r>
      <w:r w:rsidRPr="003B5348">
        <w:rPr>
          <w:rFonts w:ascii="Times New Roman" w:hAnsi="Times New Roman" w:cs="Times New Roman"/>
          <w:i/>
          <w:iCs/>
          <w:sz w:val="24"/>
        </w:rPr>
        <w:t xml:space="preserve">čakaný </w:t>
      </w:r>
      <w:r w:rsidRPr="003B5348" w:rsidR="002D5C0F">
        <w:rPr>
          <w:rFonts w:ascii="Times New Roman" w:hAnsi="Times New Roman" w:cs="Times New Roman"/>
          <w:i/>
          <w:iCs/>
          <w:sz w:val="24"/>
        </w:rPr>
        <w:t>konkurz</w:t>
      </w:r>
      <w:r w:rsidRPr="003B5348">
        <w:rPr>
          <w:rFonts w:ascii="Times New Roman" w:hAnsi="Times New Roman" w:cs="Times New Roman"/>
          <w:i/>
          <w:iCs/>
          <w:sz w:val="24"/>
        </w:rPr>
        <w:t xml:space="preserve"> Slovensk</w:t>
      </w:r>
      <w:r w:rsidRPr="003B5348" w:rsidR="002D5C0F">
        <w:rPr>
          <w:rFonts w:ascii="Times New Roman" w:hAnsi="Times New Roman" w:cs="Times New Roman"/>
          <w:i/>
          <w:iCs/>
          <w:sz w:val="24"/>
        </w:rPr>
        <w:t>ých</w:t>
      </w:r>
      <w:r w:rsidRPr="003B5348">
        <w:rPr>
          <w:rFonts w:ascii="Times New Roman" w:hAnsi="Times New Roman" w:cs="Times New Roman"/>
          <w:i/>
          <w:iCs/>
          <w:sz w:val="24"/>
        </w:rPr>
        <w:t xml:space="preserve"> aerolíni</w:t>
      </w:r>
      <w:r w:rsidRPr="003B5348" w:rsidR="002D5C0F">
        <w:rPr>
          <w:rFonts w:ascii="Times New Roman" w:hAnsi="Times New Roman" w:cs="Times New Roman"/>
          <w:i/>
          <w:iCs/>
          <w:sz w:val="24"/>
        </w:rPr>
        <w:t>í, a.s.,</w:t>
      </w:r>
      <w:r w:rsidRPr="003B5348">
        <w:rPr>
          <w:rFonts w:ascii="Times New Roman" w:hAnsi="Times New Roman" w:cs="Times New Roman"/>
          <w:i/>
          <w:iCs/>
          <w:sz w:val="24"/>
        </w:rPr>
        <w:t xml:space="preserve"> a slabší než predpokladaný výkon niektorých nových spojení ostatných </w:t>
      </w:r>
      <w:r w:rsidRPr="003B5348" w:rsidR="002D5C0F">
        <w:rPr>
          <w:rFonts w:ascii="Times New Roman" w:hAnsi="Times New Roman" w:cs="Times New Roman"/>
          <w:i/>
          <w:iCs/>
          <w:sz w:val="24"/>
        </w:rPr>
        <w:t xml:space="preserve">leteckých </w:t>
      </w:r>
      <w:r w:rsidRPr="003B5348">
        <w:rPr>
          <w:rFonts w:ascii="Times New Roman" w:hAnsi="Times New Roman" w:cs="Times New Roman"/>
          <w:i/>
          <w:iCs/>
          <w:sz w:val="24"/>
        </w:rPr>
        <w:t xml:space="preserve">spoločností. </w:t>
      </w:r>
    </w:p>
    <w:p w:rsidR="007A1E0D" w:rsidRPr="003B5348">
      <w:pPr>
        <w:pStyle w:val="BodyText"/>
        <w:rPr>
          <w:rFonts w:ascii="Times New Roman" w:hAnsi="Times New Roman" w:cs="Times New Roman"/>
          <w:i/>
          <w:iCs/>
          <w:sz w:val="24"/>
        </w:rPr>
      </w:pPr>
      <w:r w:rsidRPr="003B5348">
        <w:rPr>
          <w:rFonts w:ascii="Times New Roman" w:hAnsi="Times New Roman" w:cs="Times New Roman"/>
          <w:i/>
          <w:iCs/>
          <w:sz w:val="24"/>
        </w:rPr>
        <w:t xml:space="preserve">Už v januári 2008 však objem prepravy začal narastať výrazne rýchlejšie – počet cestujúcich </w:t>
      </w:r>
      <w:r w:rsidRPr="003B5348" w:rsidR="002D5C0F">
        <w:rPr>
          <w:rFonts w:ascii="Times New Roman" w:hAnsi="Times New Roman" w:cs="Times New Roman"/>
          <w:i/>
          <w:iCs/>
          <w:sz w:val="24"/>
        </w:rPr>
        <w:t>vzrástol</w:t>
      </w:r>
      <w:r w:rsidRPr="003B5348">
        <w:rPr>
          <w:rFonts w:ascii="Times New Roman" w:hAnsi="Times New Roman" w:cs="Times New Roman"/>
          <w:i/>
          <w:iCs/>
          <w:sz w:val="24"/>
        </w:rPr>
        <w:t xml:space="preserve"> o 19%, objem ton na pristátí o 25% a počet pohybov (vzletov a pristátí) rovnako </w:t>
      </w:r>
      <w:r w:rsidRPr="003B5348" w:rsidR="002D5C0F">
        <w:rPr>
          <w:rFonts w:ascii="Times New Roman" w:hAnsi="Times New Roman" w:cs="Times New Roman"/>
          <w:i/>
          <w:iCs/>
          <w:sz w:val="24"/>
        </w:rPr>
        <w:t xml:space="preserve">o </w:t>
      </w:r>
      <w:r w:rsidRPr="003B5348">
        <w:rPr>
          <w:rFonts w:ascii="Times New Roman" w:hAnsi="Times New Roman" w:cs="Times New Roman"/>
          <w:i/>
          <w:iCs/>
          <w:sz w:val="24"/>
        </w:rPr>
        <w:t>25%.</w:t>
      </w:r>
    </w:p>
    <w:p w:rsidR="007A1E0D" w:rsidRPr="003B5348">
      <w:pPr>
        <w:pStyle w:val="BodyText"/>
        <w:rPr>
          <w:rFonts w:ascii="Times New Roman" w:hAnsi="Times New Roman" w:cs="Times New Roman"/>
          <w:sz w:val="24"/>
        </w:rPr>
      </w:pPr>
    </w:p>
    <w:p w:rsidR="007A1E0D" w:rsidRPr="003B5348">
      <w:pPr>
        <w:pStyle w:val="BodyText"/>
        <w:rPr>
          <w:rFonts w:ascii="Times New Roman" w:hAnsi="Times New Roman" w:cs="Times New Roman"/>
          <w:sz w:val="24"/>
        </w:rPr>
      </w:pPr>
      <w:r w:rsidRPr="003B5348">
        <w:rPr>
          <w:rFonts w:ascii="Times New Roman" w:hAnsi="Times New Roman" w:cs="Times New Roman"/>
          <w:sz w:val="24"/>
          <w:u w:val="single"/>
        </w:rPr>
        <w:t>Zhodnotenie prevádzkových výkonov za rok 2007</w:t>
      </w:r>
    </w:p>
    <w:p w:rsidR="007A1E0D" w:rsidRPr="003B5348">
      <w:pPr>
        <w:pStyle w:val="BodyText"/>
        <w:rPr>
          <w:rFonts w:ascii="Times New Roman" w:hAnsi="Times New Roman" w:cs="Times New Roman"/>
          <w:sz w:val="24"/>
        </w:rPr>
      </w:pPr>
      <w:r w:rsidRPr="003B5348">
        <w:rPr>
          <w:rFonts w:ascii="Times New Roman" w:hAnsi="Times New Roman" w:cs="Times New Roman"/>
          <w:sz w:val="24"/>
        </w:rPr>
        <w:t>Po vyhlásení konkurzu na Slovenské aerolínie vo februári 2007 prišlo letisko o dve pravidelné destinácie so stabilným výkonom – Brusel a</w:t>
      </w:r>
      <w:r w:rsidRPr="003B5348" w:rsidR="002D5C0F">
        <w:rPr>
          <w:rFonts w:ascii="Times New Roman" w:hAnsi="Times New Roman" w:cs="Times New Roman"/>
          <w:sz w:val="24"/>
        </w:rPr>
        <w:t> </w:t>
      </w:r>
      <w:r w:rsidRPr="003B5348">
        <w:rPr>
          <w:rFonts w:ascii="Times New Roman" w:hAnsi="Times New Roman" w:cs="Times New Roman"/>
          <w:sz w:val="24"/>
        </w:rPr>
        <w:t xml:space="preserve">Moskvu. Ani jednu sa napriek úsiliu do konca roka nepodarilo obnoviť. Rokovania ohľadom nového </w:t>
      </w:r>
      <w:r w:rsidRPr="003B5348" w:rsidR="002D5C0F">
        <w:rPr>
          <w:rFonts w:ascii="Times New Roman" w:hAnsi="Times New Roman" w:cs="Times New Roman"/>
          <w:sz w:val="24"/>
        </w:rPr>
        <w:t>leteckého do</w:t>
      </w:r>
      <w:r w:rsidRPr="003B5348">
        <w:rPr>
          <w:rFonts w:ascii="Times New Roman" w:hAnsi="Times New Roman" w:cs="Times New Roman"/>
          <w:sz w:val="24"/>
        </w:rPr>
        <w:t xml:space="preserve">pravcu na </w:t>
      </w:r>
      <w:r w:rsidRPr="003B5348" w:rsidR="002D5C0F">
        <w:rPr>
          <w:rFonts w:ascii="Times New Roman" w:hAnsi="Times New Roman" w:cs="Times New Roman"/>
          <w:sz w:val="24"/>
        </w:rPr>
        <w:t>linku do Bruselu</w:t>
      </w:r>
      <w:r w:rsidRPr="003B5348">
        <w:rPr>
          <w:rFonts w:ascii="Times New Roman" w:hAnsi="Times New Roman" w:cs="Times New Roman"/>
          <w:sz w:val="24"/>
        </w:rPr>
        <w:t xml:space="preserve"> naďalej pokračujú, </w:t>
      </w:r>
      <w:r w:rsidRPr="003B5348" w:rsidR="002D5C0F">
        <w:rPr>
          <w:rFonts w:ascii="Times New Roman" w:hAnsi="Times New Roman" w:cs="Times New Roman"/>
          <w:sz w:val="24"/>
        </w:rPr>
        <w:t>linka do Moskvy</w:t>
      </w:r>
      <w:r w:rsidRPr="003B5348">
        <w:rPr>
          <w:rFonts w:ascii="Times New Roman" w:hAnsi="Times New Roman" w:cs="Times New Roman"/>
          <w:sz w:val="24"/>
        </w:rPr>
        <w:t xml:space="preserve"> bude opäť </w:t>
      </w:r>
      <w:r w:rsidRPr="003B5348" w:rsidR="002D5C0F">
        <w:rPr>
          <w:rFonts w:ascii="Times New Roman" w:hAnsi="Times New Roman" w:cs="Times New Roman"/>
          <w:sz w:val="24"/>
        </w:rPr>
        <w:t>otvorená</w:t>
      </w:r>
      <w:r w:rsidRPr="003B5348">
        <w:rPr>
          <w:rFonts w:ascii="Times New Roman" w:hAnsi="Times New Roman" w:cs="Times New Roman"/>
          <w:sz w:val="24"/>
        </w:rPr>
        <w:t xml:space="preserve"> od 27. mája 2008 a</w:t>
      </w:r>
      <w:r w:rsidRPr="003B5348" w:rsidR="002D5C0F">
        <w:rPr>
          <w:rFonts w:ascii="Times New Roman" w:hAnsi="Times New Roman" w:cs="Times New Roman"/>
          <w:sz w:val="24"/>
        </w:rPr>
        <w:t> letecké prepravné služby bude</w:t>
      </w:r>
      <w:r w:rsidRPr="003B5348">
        <w:rPr>
          <w:rFonts w:ascii="Times New Roman" w:hAnsi="Times New Roman" w:cs="Times New Roman"/>
          <w:sz w:val="24"/>
        </w:rPr>
        <w:t xml:space="preserve"> </w:t>
      </w:r>
      <w:r w:rsidRPr="003B5348" w:rsidR="002D5C0F">
        <w:rPr>
          <w:rFonts w:ascii="Times New Roman" w:hAnsi="Times New Roman" w:cs="Times New Roman"/>
          <w:sz w:val="24"/>
        </w:rPr>
        <w:t xml:space="preserve">vykonávať </w:t>
      </w:r>
      <w:r w:rsidRPr="003B5348">
        <w:rPr>
          <w:rFonts w:ascii="Times New Roman" w:hAnsi="Times New Roman" w:cs="Times New Roman"/>
          <w:sz w:val="24"/>
        </w:rPr>
        <w:t>spoločnosť A</w:t>
      </w:r>
      <w:r w:rsidRPr="003B5348">
        <w:rPr>
          <w:rFonts w:ascii="Times New Roman" w:hAnsi="Times New Roman" w:cs="Times New Roman"/>
          <w:sz w:val="24"/>
        </w:rPr>
        <w:t>eroflot.</w:t>
      </w:r>
    </w:p>
    <w:p w:rsidR="007A1E0D" w:rsidRPr="003B5348">
      <w:pPr>
        <w:pStyle w:val="BodyText"/>
        <w:rPr>
          <w:rFonts w:ascii="Times New Roman" w:hAnsi="Times New Roman" w:cs="Times New Roman"/>
          <w:sz w:val="24"/>
        </w:rPr>
      </w:pPr>
      <w:r w:rsidRPr="003B5348">
        <w:rPr>
          <w:rFonts w:ascii="Times New Roman" w:hAnsi="Times New Roman" w:cs="Times New Roman"/>
          <w:sz w:val="24"/>
        </w:rPr>
        <w:t xml:space="preserve">Očakávania </w:t>
      </w:r>
      <w:r w:rsidRPr="003B5348" w:rsidR="002D5C0F">
        <w:rPr>
          <w:rFonts w:ascii="Times New Roman" w:hAnsi="Times New Roman" w:cs="Times New Roman"/>
          <w:sz w:val="24"/>
        </w:rPr>
        <w:t>do</w:t>
      </w:r>
      <w:r w:rsidRPr="003B5348">
        <w:rPr>
          <w:rFonts w:ascii="Times New Roman" w:hAnsi="Times New Roman" w:cs="Times New Roman"/>
          <w:sz w:val="24"/>
        </w:rPr>
        <w:t>pravcov a letiska v roku 2007 nenaplnili destinácie Praha (SkyEurope), Brémy, Bristol a Štokholm - Skvasta (Ryanair). Kým aerolínie SkyEurope spojenie do Prahy stiahli z letového poriadku v marci 2008, Ryanair sa pokúša svoje spojenia presadiť silnejšou propagáciou aj v roku 2008.</w:t>
      </w:r>
    </w:p>
    <w:p w:rsidR="007A1E0D" w:rsidRPr="003B5348">
      <w:pPr>
        <w:pStyle w:val="BodyText"/>
        <w:rPr>
          <w:rFonts w:ascii="Times New Roman" w:hAnsi="Times New Roman" w:cs="Times New Roman"/>
          <w:sz w:val="24"/>
        </w:rPr>
      </w:pPr>
    </w:p>
    <w:p w:rsidR="007A1E0D" w:rsidRPr="003B5348">
      <w:pPr>
        <w:pStyle w:val="BodyText"/>
        <w:rPr>
          <w:rFonts w:ascii="Times New Roman" w:hAnsi="Times New Roman" w:cs="Times New Roman"/>
          <w:sz w:val="24"/>
        </w:rPr>
      </w:pPr>
      <w:r w:rsidRPr="003B5348">
        <w:rPr>
          <w:rFonts w:ascii="Times New Roman" w:hAnsi="Times New Roman" w:cs="Times New Roman"/>
          <w:sz w:val="24"/>
        </w:rPr>
        <w:t xml:space="preserve">Napriek uvedeným negatívnym faktorom objem prepravy v roku 2007 predsa len </w:t>
      </w:r>
      <w:r w:rsidRPr="003B5348" w:rsidR="002D5C0F">
        <w:rPr>
          <w:rFonts w:ascii="Times New Roman" w:hAnsi="Times New Roman" w:cs="Times New Roman"/>
          <w:sz w:val="24"/>
        </w:rPr>
        <w:t>vz</w:t>
      </w:r>
      <w:r w:rsidRPr="003B5348">
        <w:rPr>
          <w:rFonts w:ascii="Times New Roman" w:hAnsi="Times New Roman" w:cs="Times New Roman"/>
          <w:sz w:val="24"/>
        </w:rPr>
        <w:t>rástol o </w:t>
      </w:r>
      <w:r w:rsidRPr="003B5348" w:rsidR="002D5C0F">
        <w:rPr>
          <w:rFonts w:ascii="Times New Roman" w:hAnsi="Times New Roman" w:cs="Times New Roman"/>
          <w:sz w:val="24"/>
        </w:rPr>
        <w:t>uvede</w:t>
      </w:r>
      <w:r w:rsidRPr="003B5348">
        <w:rPr>
          <w:rFonts w:ascii="Times New Roman" w:hAnsi="Times New Roman" w:cs="Times New Roman"/>
          <w:sz w:val="24"/>
        </w:rPr>
        <w:t>ných 86</w:t>
      </w:r>
      <w:r w:rsidRPr="003B5348" w:rsidR="002D5C0F">
        <w:rPr>
          <w:rFonts w:ascii="Times New Roman" w:hAnsi="Times New Roman" w:cs="Times New Roman"/>
          <w:sz w:val="24"/>
        </w:rPr>
        <w:t> </w:t>
      </w:r>
      <w:r w:rsidRPr="003B5348">
        <w:rPr>
          <w:rFonts w:ascii="Times New Roman" w:hAnsi="Times New Roman" w:cs="Times New Roman"/>
          <w:sz w:val="24"/>
        </w:rPr>
        <w:t>500 cestujúcich, čo nie je zanedbateľné. Po rokoch výraznej konjunktúry, kedy preprava rástla skok</w:t>
      </w:r>
      <w:r w:rsidRPr="003B5348" w:rsidR="002D5C0F">
        <w:rPr>
          <w:rFonts w:ascii="Times New Roman" w:hAnsi="Times New Roman" w:cs="Times New Roman"/>
          <w:sz w:val="24"/>
        </w:rPr>
        <w:t>m</w:t>
      </w:r>
      <w:r w:rsidRPr="003B5348">
        <w:rPr>
          <w:rFonts w:ascii="Times New Roman" w:hAnsi="Times New Roman" w:cs="Times New Roman"/>
          <w:sz w:val="24"/>
        </w:rPr>
        <w:t>i o 50-60</w:t>
      </w:r>
      <w:r w:rsidRPr="003B5348">
        <w:rPr>
          <w:rFonts w:ascii="Times New Roman" w:hAnsi="Times New Roman" w:cs="Times New Roman"/>
          <w:sz w:val="24"/>
        </w:rPr>
        <w:t xml:space="preserve">% </w:t>
      </w:r>
      <w:r w:rsidRPr="003B5348" w:rsidR="00112347">
        <w:rPr>
          <w:rFonts w:ascii="Times New Roman" w:hAnsi="Times New Roman" w:cs="Times New Roman"/>
          <w:sz w:val="24"/>
        </w:rPr>
        <w:t>medzi</w:t>
      </w:r>
      <w:r w:rsidRPr="003B5348">
        <w:rPr>
          <w:rFonts w:ascii="Times New Roman" w:hAnsi="Times New Roman" w:cs="Times New Roman"/>
          <w:sz w:val="24"/>
        </w:rPr>
        <w:t xml:space="preserve">ročne, možno vývoj v roku 2007 považovať za zdravú stabilizáciu, ktorá odzrkadľuje stav trhu. </w:t>
      </w:r>
      <w:r w:rsidR="0032038A">
        <w:rPr>
          <w:rFonts w:ascii="Times New Roman" w:hAnsi="Times New Roman" w:cs="Times New Roman"/>
          <w:sz w:val="24"/>
        </w:rPr>
        <w:t xml:space="preserve">V tranzitnej doprave a diaľkových linkách </w:t>
      </w:r>
      <w:r w:rsidRPr="003B5348" w:rsidR="0032038A">
        <w:rPr>
          <w:rFonts w:ascii="Times New Roman" w:hAnsi="Times New Roman" w:cs="Times New Roman"/>
          <w:sz w:val="24"/>
        </w:rPr>
        <w:t>zatiaľ</w:t>
      </w:r>
      <w:r w:rsidR="0032038A">
        <w:rPr>
          <w:rFonts w:ascii="Times New Roman" w:hAnsi="Times New Roman" w:cs="Times New Roman"/>
          <w:sz w:val="24"/>
        </w:rPr>
        <w:t xml:space="preserve"> l</w:t>
      </w:r>
      <w:r w:rsidRPr="003B5348">
        <w:rPr>
          <w:rFonts w:ascii="Times New Roman" w:hAnsi="Times New Roman" w:cs="Times New Roman"/>
          <w:sz w:val="24"/>
        </w:rPr>
        <w:t xml:space="preserve">etisko </w:t>
      </w:r>
      <w:r w:rsidR="0032038A">
        <w:rPr>
          <w:rFonts w:ascii="Times New Roman" w:hAnsi="Times New Roman" w:cs="Times New Roman"/>
          <w:sz w:val="24"/>
        </w:rPr>
        <w:t xml:space="preserve">nie je veľkým </w:t>
      </w:r>
      <w:r w:rsidRPr="003B5348">
        <w:rPr>
          <w:rFonts w:ascii="Times New Roman" w:hAnsi="Times New Roman" w:cs="Times New Roman"/>
          <w:sz w:val="24"/>
        </w:rPr>
        <w:t>konkur</w:t>
      </w:r>
      <w:r w:rsidR="0032038A">
        <w:rPr>
          <w:rFonts w:ascii="Times New Roman" w:hAnsi="Times New Roman" w:cs="Times New Roman"/>
          <w:sz w:val="24"/>
        </w:rPr>
        <w:t>entom okoliu,</w:t>
      </w:r>
      <w:r w:rsidRPr="003B5348">
        <w:rPr>
          <w:rFonts w:ascii="Times New Roman" w:hAnsi="Times New Roman" w:cs="Times New Roman"/>
          <w:sz w:val="24"/>
        </w:rPr>
        <w:t xml:space="preserve"> </w:t>
      </w:r>
      <w:r w:rsidR="0032038A">
        <w:rPr>
          <w:rFonts w:ascii="Times New Roman" w:hAnsi="Times New Roman" w:cs="Times New Roman"/>
          <w:sz w:val="24"/>
        </w:rPr>
        <w:t>avšak v</w:t>
      </w:r>
      <w:r w:rsidRPr="003B5348">
        <w:rPr>
          <w:rFonts w:ascii="Times New Roman" w:hAnsi="Times New Roman" w:cs="Times New Roman"/>
          <w:sz w:val="24"/>
        </w:rPr>
        <w:t> segment</w:t>
      </w:r>
      <w:r w:rsidR="0032038A">
        <w:rPr>
          <w:rFonts w:ascii="Times New Roman" w:hAnsi="Times New Roman" w:cs="Times New Roman"/>
          <w:sz w:val="24"/>
        </w:rPr>
        <w:t>e</w:t>
      </w:r>
      <w:r w:rsidRPr="003B5348">
        <w:rPr>
          <w:rFonts w:ascii="Times New Roman" w:hAnsi="Times New Roman" w:cs="Times New Roman"/>
          <w:sz w:val="24"/>
        </w:rPr>
        <w:t xml:space="preserve"> prepravy „z bodu do bodu“ v Európe si už vybudovalo pomerne stabilnú zákaznícku základňu.</w:t>
      </w:r>
    </w:p>
    <w:p w:rsidR="007A1E0D">
      <w:pPr>
        <w:jc w:val="both"/>
        <w:rPr>
          <w:rFonts w:ascii="Times New Roman" w:hAnsi="Times New Roman" w:cs="Times New Roman"/>
          <w:sz w:val="22"/>
          <w:lang w:val="sk-SK"/>
        </w:rPr>
      </w:pPr>
    </w:p>
    <w:p w:rsidR="007A1E0D" w:rsidRPr="00F5355A">
      <w:pPr>
        <w:jc w:val="center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rtl w:val="0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5.5pt;height:227.25pt" o:oleicon="f" o:ole="" o:preferrelative="t" filled="f" stroked="f">
            <v:fill o:detectmouseclick="f"/>
            <v:imagedata r:id="rId5" o:title=""/>
            <o:lock v:ext="edit" aspectratio="t"/>
          </v:shape>
          <o:OLEObject Type="Embed" ProgID="Excel.Chart.8" ShapeID="_x0000_i1025" DrawAspect="Content" ObjectID="_1" r:id="rId6"/>
        </w:object>
      </w:r>
    </w:p>
    <w:p w:rsidR="00F5355A">
      <w:pPr>
        <w:jc w:val="center"/>
        <w:rPr>
          <w:rFonts w:ascii="Times New Roman" w:hAnsi="Times New Roman" w:cs="Times New Roman"/>
          <w:sz w:val="22"/>
          <w:lang w:val="sk-SK"/>
        </w:rPr>
      </w:pPr>
    </w:p>
    <w:p w:rsidR="009977B7" w:rsidRPr="00F5355A">
      <w:pPr>
        <w:jc w:val="center"/>
        <w:rPr>
          <w:rFonts w:ascii="Times New Roman" w:hAnsi="Times New Roman" w:cs="Times New Roman"/>
          <w:sz w:val="22"/>
          <w:lang w:val="sk-SK"/>
        </w:rPr>
      </w:pPr>
    </w:p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740"/>
        <w:gridCol w:w="638"/>
        <w:gridCol w:w="638"/>
        <w:gridCol w:w="638"/>
        <w:gridCol w:w="638"/>
        <w:gridCol w:w="637"/>
        <w:gridCol w:w="637"/>
        <w:gridCol w:w="637"/>
        <w:gridCol w:w="637"/>
        <w:gridCol w:w="637"/>
        <w:gridCol w:w="637"/>
        <w:gridCol w:w="637"/>
        <w:gridCol w:w="637"/>
        <w:gridCol w:w="772"/>
      </w:tblGrid>
      <w:tr>
        <w:tblPrEx>
          <w:tblW w:w="5000" w:type="pct"/>
          <w:tblCellSpacing w:w="7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hRule="auto" w:val="0"/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CE347"/>
            <w:textDirection w:val="lrTb"/>
            <w:vAlign w:val="center"/>
          </w:tcPr>
          <w:p w:rsidR="007A1E0D" w:rsidRPr="00F5355A">
            <w:pPr>
              <w:rPr>
                <w:rFonts w:ascii="Arial Unicode MS" w:hAnsi="Arial Unicode MS" w:cs="Arial Unicode MS"/>
                <w:lang w:val="sk-SK"/>
              </w:rPr>
            </w:pPr>
            <w:r w:rsidRPr="00F5355A">
              <w:rPr>
                <w:rFonts w:ascii="Times New Roman" w:hAnsi="Times New Roman" w:cs="Times New Roman"/>
                <w:sz w:val="15"/>
                <w:szCs w:val="15"/>
                <w:lang w:val="sk-SK"/>
              </w:rPr>
              <w:t>Rok/mes.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CE347"/>
            <w:textDirection w:val="lrTb"/>
            <w:vAlign w:val="center"/>
          </w:tcPr>
          <w:p w:rsidR="007A1E0D" w:rsidRPr="00F5355A">
            <w:pPr>
              <w:rPr>
                <w:rFonts w:ascii="Arial Unicode MS" w:hAnsi="Arial Unicode MS" w:cs="Arial Unicode MS"/>
                <w:lang w:val="sk-SK"/>
              </w:rPr>
            </w:pPr>
            <w:r w:rsidRPr="00F5355A">
              <w:rPr>
                <w:rFonts w:ascii="Times New Roman" w:hAnsi="Times New Roman" w:cs="Times New Roman"/>
                <w:sz w:val="15"/>
                <w:szCs w:val="15"/>
                <w:lang w:val="sk-SK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CE347"/>
            <w:textDirection w:val="lrTb"/>
            <w:vAlign w:val="center"/>
          </w:tcPr>
          <w:p w:rsidR="007A1E0D" w:rsidRPr="00F5355A">
            <w:pPr>
              <w:rPr>
                <w:rFonts w:ascii="Arial Unicode MS" w:hAnsi="Arial Unicode MS" w:cs="Arial Unicode MS"/>
                <w:lang w:val="sk-SK"/>
              </w:rPr>
            </w:pPr>
            <w:r w:rsidRPr="00F5355A">
              <w:rPr>
                <w:rFonts w:ascii="Times New Roman" w:hAnsi="Times New Roman" w:cs="Times New Roman"/>
                <w:sz w:val="15"/>
                <w:szCs w:val="15"/>
                <w:lang w:val="sk-SK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CE347"/>
            <w:textDirection w:val="lrTb"/>
            <w:vAlign w:val="center"/>
          </w:tcPr>
          <w:p w:rsidR="007A1E0D" w:rsidRPr="00F5355A">
            <w:pPr>
              <w:rPr>
                <w:rFonts w:ascii="Arial Unicode MS" w:hAnsi="Arial Unicode MS" w:cs="Arial Unicode MS"/>
                <w:lang w:val="sk-SK"/>
              </w:rPr>
            </w:pPr>
            <w:r w:rsidRPr="00F5355A">
              <w:rPr>
                <w:rFonts w:ascii="Times New Roman" w:hAnsi="Times New Roman" w:cs="Times New Roman"/>
                <w:sz w:val="15"/>
                <w:szCs w:val="15"/>
                <w:lang w:val="sk-SK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CE347"/>
            <w:textDirection w:val="lrTb"/>
            <w:vAlign w:val="center"/>
          </w:tcPr>
          <w:p w:rsidR="007A1E0D" w:rsidRPr="00F5355A">
            <w:pPr>
              <w:rPr>
                <w:rFonts w:ascii="Arial Unicode MS" w:hAnsi="Arial Unicode MS" w:cs="Arial Unicode MS"/>
                <w:lang w:val="sk-SK"/>
              </w:rPr>
            </w:pPr>
            <w:r w:rsidRPr="00F5355A">
              <w:rPr>
                <w:rFonts w:ascii="Times New Roman" w:hAnsi="Times New Roman" w:cs="Times New Roman"/>
                <w:sz w:val="15"/>
                <w:szCs w:val="15"/>
                <w:lang w:val="sk-SK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CE347"/>
            <w:textDirection w:val="lrTb"/>
            <w:vAlign w:val="center"/>
          </w:tcPr>
          <w:p w:rsidR="007A1E0D" w:rsidRPr="00F5355A">
            <w:pPr>
              <w:rPr>
                <w:rFonts w:ascii="Arial Unicode MS" w:hAnsi="Arial Unicode MS" w:cs="Arial Unicode MS"/>
                <w:lang w:val="sk-SK"/>
              </w:rPr>
            </w:pPr>
            <w:r w:rsidRPr="00F5355A">
              <w:rPr>
                <w:rFonts w:ascii="Times New Roman" w:hAnsi="Times New Roman" w:cs="Times New Roman"/>
                <w:sz w:val="15"/>
                <w:szCs w:val="15"/>
                <w:lang w:val="sk-SK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CE347"/>
            <w:textDirection w:val="lrTb"/>
            <w:vAlign w:val="center"/>
          </w:tcPr>
          <w:p w:rsidR="007A1E0D" w:rsidRPr="00F5355A">
            <w:pPr>
              <w:rPr>
                <w:rFonts w:ascii="Arial Unicode MS" w:hAnsi="Arial Unicode MS" w:cs="Arial Unicode MS"/>
                <w:lang w:val="sk-SK"/>
              </w:rPr>
            </w:pPr>
            <w:r w:rsidRPr="00F5355A">
              <w:rPr>
                <w:rFonts w:ascii="Times New Roman" w:hAnsi="Times New Roman" w:cs="Times New Roman"/>
                <w:sz w:val="15"/>
                <w:szCs w:val="15"/>
                <w:lang w:val="sk-SK"/>
              </w:rPr>
              <w:t>VI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CE347"/>
            <w:textDirection w:val="lrTb"/>
            <w:vAlign w:val="center"/>
          </w:tcPr>
          <w:p w:rsidR="007A1E0D" w:rsidRPr="00F5355A">
            <w:pPr>
              <w:rPr>
                <w:rFonts w:ascii="Arial Unicode MS" w:hAnsi="Arial Unicode MS" w:cs="Arial Unicode MS"/>
                <w:lang w:val="sk-SK"/>
              </w:rPr>
            </w:pPr>
            <w:r w:rsidRPr="00F5355A">
              <w:rPr>
                <w:rFonts w:ascii="Times New Roman" w:hAnsi="Times New Roman" w:cs="Times New Roman"/>
                <w:sz w:val="15"/>
                <w:szCs w:val="15"/>
                <w:lang w:val="sk-SK"/>
              </w:rPr>
              <w:t>VII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CE347"/>
            <w:textDirection w:val="lrTb"/>
            <w:vAlign w:val="center"/>
          </w:tcPr>
          <w:p w:rsidR="007A1E0D" w:rsidRPr="00F5355A">
            <w:pPr>
              <w:rPr>
                <w:rFonts w:ascii="Arial Unicode MS" w:hAnsi="Arial Unicode MS" w:cs="Arial Unicode MS"/>
                <w:lang w:val="sk-SK"/>
              </w:rPr>
            </w:pPr>
            <w:r w:rsidRPr="00F5355A">
              <w:rPr>
                <w:rFonts w:ascii="Times New Roman" w:hAnsi="Times New Roman" w:cs="Times New Roman"/>
                <w:sz w:val="15"/>
                <w:szCs w:val="15"/>
                <w:lang w:val="sk-SK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CE347"/>
            <w:textDirection w:val="lrTb"/>
            <w:vAlign w:val="center"/>
          </w:tcPr>
          <w:p w:rsidR="007A1E0D" w:rsidRPr="00F5355A">
            <w:pPr>
              <w:rPr>
                <w:rFonts w:ascii="Arial Unicode MS" w:hAnsi="Arial Unicode MS" w:cs="Arial Unicode MS"/>
                <w:lang w:val="sk-SK"/>
              </w:rPr>
            </w:pPr>
            <w:r w:rsidRPr="00F5355A">
              <w:rPr>
                <w:rFonts w:ascii="Times New Roman" w:hAnsi="Times New Roman" w:cs="Times New Roman"/>
                <w:sz w:val="15"/>
                <w:szCs w:val="15"/>
                <w:lang w:val="sk-SK"/>
              </w:rPr>
              <w:t>IX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CE347"/>
            <w:textDirection w:val="lrTb"/>
            <w:vAlign w:val="center"/>
          </w:tcPr>
          <w:p w:rsidR="007A1E0D" w:rsidRPr="00F5355A">
            <w:pPr>
              <w:rPr>
                <w:rFonts w:ascii="Arial Unicode MS" w:hAnsi="Arial Unicode MS" w:cs="Arial Unicode MS"/>
                <w:lang w:val="sk-SK"/>
              </w:rPr>
            </w:pPr>
            <w:r w:rsidRPr="00F5355A">
              <w:rPr>
                <w:rFonts w:ascii="Times New Roman" w:hAnsi="Times New Roman" w:cs="Times New Roman"/>
                <w:sz w:val="15"/>
                <w:szCs w:val="15"/>
                <w:lang w:val="sk-SK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CE347"/>
            <w:textDirection w:val="lrTb"/>
            <w:vAlign w:val="center"/>
          </w:tcPr>
          <w:p w:rsidR="007A1E0D" w:rsidRPr="00F5355A">
            <w:pPr>
              <w:rPr>
                <w:rFonts w:ascii="Arial Unicode MS" w:hAnsi="Arial Unicode MS" w:cs="Arial Unicode MS"/>
                <w:lang w:val="sk-SK"/>
              </w:rPr>
            </w:pPr>
            <w:r w:rsidRPr="00F5355A">
              <w:rPr>
                <w:rFonts w:ascii="Times New Roman" w:hAnsi="Times New Roman" w:cs="Times New Roman"/>
                <w:sz w:val="15"/>
                <w:szCs w:val="15"/>
                <w:lang w:val="sk-SK"/>
              </w:rPr>
              <w:t>XI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CE347"/>
            <w:textDirection w:val="lrTb"/>
            <w:vAlign w:val="center"/>
          </w:tcPr>
          <w:p w:rsidR="007A1E0D" w:rsidRPr="00F5355A">
            <w:pPr>
              <w:rPr>
                <w:rFonts w:ascii="Arial Unicode MS" w:hAnsi="Arial Unicode MS" w:cs="Arial Unicode MS"/>
                <w:lang w:val="sk-SK"/>
              </w:rPr>
            </w:pPr>
            <w:r w:rsidRPr="00F5355A">
              <w:rPr>
                <w:rFonts w:ascii="Times New Roman" w:hAnsi="Times New Roman" w:cs="Times New Roman"/>
                <w:sz w:val="15"/>
                <w:szCs w:val="15"/>
                <w:lang w:val="sk-SK"/>
              </w:rPr>
              <w:t>XII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CE347"/>
            <w:textDirection w:val="lrTb"/>
            <w:vAlign w:val="center"/>
          </w:tcPr>
          <w:p w:rsidR="007A1E0D" w:rsidRPr="00F5355A">
            <w:pPr>
              <w:rPr>
                <w:rFonts w:ascii="Arial Unicode MS" w:hAnsi="Arial Unicode MS" w:cs="Arial Unicode MS"/>
                <w:lang w:val="sk-SK"/>
              </w:rPr>
            </w:pPr>
            <w:r w:rsidRPr="00F5355A">
              <w:rPr>
                <w:rStyle w:val="Strong"/>
                <w:rFonts w:ascii="Times New Roman" w:hAnsi="Times New Roman" w:cs="Times New Roman"/>
                <w:sz w:val="15"/>
                <w:szCs w:val="15"/>
                <w:lang w:val="sk-SK"/>
              </w:rPr>
              <w:t>Spolu</w:t>
            </w:r>
          </w:p>
        </w:tc>
      </w:tr>
      <w:tr>
        <w:tblPrEx>
          <w:tblW w:w="5000" w:type="pct"/>
          <w:tblCellSpacing w:w="7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hRule="auto" w:val="0"/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E8E8E8"/>
            <w:textDirection w:val="lrTb"/>
            <w:vAlign w:val="center"/>
          </w:tcPr>
          <w:p w:rsidR="007A1E0D" w:rsidRPr="00F5355A">
            <w:pPr>
              <w:rPr>
                <w:rFonts w:ascii="Arial Unicode MS" w:hAnsi="Arial Unicode MS" w:cs="Arial Unicode MS"/>
                <w:lang w:val="sk-SK"/>
              </w:rPr>
            </w:pPr>
            <w:r w:rsidRPr="00F5355A">
              <w:rPr>
                <w:rStyle w:val="Strong"/>
                <w:rFonts w:ascii="Times New Roman" w:hAnsi="Times New Roman" w:cs="Times New Roman"/>
                <w:sz w:val="15"/>
                <w:szCs w:val="15"/>
                <w:lang w:val="sk-SK"/>
              </w:rPr>
              <w:t>2006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E8E8E8"/>
            <w:textDirection w:val="lrTb"/>
            <w:vAlign w:val="center"/>
          </w:tcPr>
          <w:p w:rsidR="007A1E0D" w:rsidRPr="00F5355A">
            <w:pPr>
              <w:rPr>
                <w:rFonts w:ascii="Arial Unicode MS" w:hAnsi="Arial Unicode MS" w:cs="Arial Unicode MS"/>
                <w:lang w:val="sk-SK"/>
              </w:rPr>
            </w:pPr>
            <w:r w:rsidRPr="00F5355A">
              <w:rPr>
                <w:rFonts w:ascii="Times New Roman" w:hAnsi="Times New Roman" w:cs="Times New Roman"/>
                <w:sz w:val="15"/>
                <w:szCs w:val="15"/>
                <w:lang w:val="sk-SK"/>
              </w:rPr>
              <w:t>105 472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E8E8E8"/>
            <w:textDirection w:val="lrTb"/>
            <w:vAlign w:val="center"/>
          </w:tcPr>
          <w:p w:rsidR="007A1E0D" w:rsidRPr="00F5355A">
            <w:pPr>
              <w:rPr>
                <w:rFonts w:ascii="Arial Unicode MS" w:hAnsi="Arial Unicode MS" w:cs="Arial Unicode MS"/>
                <w:lang w:val="sk-SK"/>
              </w:rPr>
            </w:pPr>
            <w:r w:rsidRPr="00F5355A">
              <w:rPr>
                <w:rFonts w:ascii="Times New Roman" w:hAnsi="Times New Roman" w:cs="Times New Roman"/>
                <w:sz w:val="15"/>
                <w:szCs w:val="15"/>
                <w:lang w:val="sk-SK"/>
              </w:rPr>
              <w:t>107 160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E8E8E8"/>
            <w:textDirection w:val="lrTb"/>
            <w:vAlign w:val="center"/>
          </w:tcPr>
          <w:p w:rsidR="007A1E0D" w:rsidRPr="00F5355A">
            <w:pPr>
              <w:rPr>
                <w:rFonts w:ascii="Arial Unicode MS" w:hAnsi="Arial Unicode MS" w:cs="Arial Unicode MS"/>
                <w:lang w:val="sk-SK"/>
              </w:rPr>
            </w:pPr>
            <w:r w:rsidRPr="00F5355A">
              <w:rPr>
                <w:rFonts w:ascii="Times New Roman" w:hAnsi="Times New Roman" w:cs="Times New Roman"/>
                <w:sz w:val="15"/>
                <w:szCs w:val="15"/>
                <w:lang w:val="sk-SK"/>
              </w:rPr>
              <w:t>130 631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E8E8E8"/>
            <w:textDirection w:val="lrTb"/>
            <w:vAlign w:val="center"/>
          </w:tcPr>
          <w:p w:rsidR="007A1E0D" w:rsidRPr="00F5355A">
            <w:pPr>
              <w:rPr>
                <w:rFonts w:ascii="Arial Unicode MS" w:hAnsi="Arial Unicode MS" w:cs="Arial Unicode MS"/>
                <w:lang w:val="sk-SK"/>
              </w:rPr>
            </w:pPr>
            <w:r w:rsidRPr="00F5355A">
              <w:rPr>
                <w:rFonts w:ascii="Times New Roman" w:hAnsi="Times New Roman" w:cs="Times New Roman"/>
                <w:sz w:val="15"/>
                <w:szCs w:val="15"/>
                <w:lang w:val="sk-SK"/>
              </w:rPr>
              <w:t>142 391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E8E8E8"/>
            <w:textDirection w:val="lrTb"/>
            <w:vAlign w:val="center"/>
          </w:tcPr>
          <w:p w:rsidR="007A1E0D" w:rsidRPr="00F5355A">
            <w:pPr>
              <w:rPr>
                <w:rFonts w:ascii="Arial Unicode MS" w:hAnsi="Arial Unicode MS" w:cs="Arial Unicode MS"/>
                <w:lang w:val="sk-SK"/>
              </w:rPr>
            </w:pPr>
            <w:r w:rsidRPr="00F5355A">
              <w:rPr>
                <w:rFonts w:ascii="Times New Roman" w:hAnsi="Times New Roman" w:cs="Times New Roman"/>
                <w:sz w:val="15"/>
                <w:szCs w:val="15"/>
                <w:lang w:val="sk-SK"/>
              </w:rPr>
              <w:t>150 115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E8E8E8"/>
            <w:textDirection w:val="lrTb"/>
            <w:vAlign w:val="center"/>
          </w:tcPr>
          <w:p w:rsidR="007A1E0D" w:rsidRPr="00F5355A">
            <w:pPr>
              <w:rPr>
                <w:rFonts w:ascii="Arial Unicode MS" w:hAnsi="Arial Unicode MS" w:cs="Arial Unicode MS"/>
                <w:lang w:val="sk-SK"/>
              </w:rPr>
            </w:pPr>
            <w:r w:rsidRPr="00F5355A">
              <w:rPr>
                <w:rFonts w:ascii="Times New Roman" w:hAnsi="Times New Roman" w:cs="Times New Roman"/>
                <w:sz w:val="15"/>
                <w:szCs w:val="15"/>
                <w:lang w:val="sk-SK"/>
              </w:rPr>
              <w:t>201 189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E8E8E8"/>
            <w:textDirection w:val="lrTb"/>
            <w:vAlign w:val="center"/>
          </w:tcPr>
          <w:p w:rsidR="007A1E0D" w:rsidRPr="00F5355A">
            <w:pPr>
              <w:rPr>
                <w:rFonts w:ascii="Arial Unicode MS" w:hAnsi="Arial Unicode MS" w:cs="Arial Unicode MS"/>
                <w:lang w:val="sk-SK"/>
              </w:rPr>
            </w:pPr>
            <w:r w:rsidRPr="00F5355A">
              <w:rPr>
                <w:rFonts w:ascii="Times New Roman" w:hAnsi="Times New Roman" w:cs="Times New Roman"/>
                <w:sz w:val="15"/>
                <w:szCs w:val="15"/>
                <w:lang w:val="sk-SK"/>
              </w:rPr>
              <w:t>251 185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E8E8E8"/>
            <w:textDirection w:val="lrTb"/>
            <w:vAlign w:val="center"/>
          </w:tcPr>
          <w:p w:rsidR="007A1E0D" w:rsidRPr="00F5355A">
            <w:pPr>
              <w:rPr>
                <w:rFonts w:ascii="Arial Unicode MS" w:hAnsi="Arial Unicode MS" w:cs="Arial Unicode MS"/>
                <w:lang w:val="sk-SK"/>
              </w:rPr>
            </w:pPr>
            <w:r w:rsidRPr="00F5355A">
              <w:rPr>
                <w:rFonts w:ascii="Times New Roman" w:hAnsi="Times New Roman" w:cs="Times New Roman"/>
                <w:sz w:val="15"/>
                <w:szCs w:val="15"/>
                <w:lang w:val="sk-SK"/>
              </w:rPr>
              <w:t>254 279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E8E8E8"/>
            <w:textDirection w:val="lrTb"/>
            <w:vAlign w:val="center"/>
          </w:tcPr>
          <w:p w:rsidR="007A1E0D" w:rsidRPr="00F5355A">
            <w:pPr>
              <w:rPr>
                <w:rFonts w:ascii="Arial Unicode MS" w:hAnsi="Arial Unicode MS" w:cs="Arial Unicode MS"/>
                <w:lang w:val="sk-SK"/>
              </w:rPr>
            </w:pPr>
            <w:r w:rsidRPr="00F5355A">
              <w:rPr>
                <w:rFonts w:ascii="Times New Roman" w:hAnsi="Times New Roman" w:cs="Times New Roman"/>
                <w:sz w:val="15"/>
                <w:szCs w:val="15"/>
                <w:lang w:val="sk-SK"/>
              </w:rPr>
              <w:t>206 072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E8E8E8"/>
            <w:textDirection w:val="lrTb"/>
            <w:vAlign w:val="center"/>
          </w:tcPr>
          <w:p w:rsidR="007A1E0D" w:rsidRPr="00F5355A">
            <w:pPr>
              <w:rPr>
                <w:rFonts w:ascii="Arial Unicode MS" w:hAnsi="Arial Unicode MS" w:cs="Arial Unicode MS"/>
                <w:lang w:val="sk-SK"/>
              </w:rPr>
            </w:pPr>
            <w:r w:rsidRPr="00F5355A">
              <w:rPr>
                <w:rFonts w:ascii="Times New Roman" w:hAnsi="Times New Roman" w:cs="Times New Roman"/>
                <w:sz w:val="15"/>
                <w:szCs w:val="15"/>
                <w:lang w:val="sk-SK"/>
              </w:rPr>
              <w:t>148 360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E8E8E8"/>
            <w:textDirection w:val="lrTb"/>
            <w:vAlign w:val="center"/>
          </w:tcPr>
          <w:p w:rsidR="007A1E0D" w:rsidRPr="00F5355A">
            <w:pPr>
              <w:rPr>
                <w:rFonts w:ascii="Arial Unicode MS" w:hAnsi="Arial Unicode MS" w:cs="Arial Unicode MS"/>
                <w:lang w:val="sk-SK"/>
              </w:rPr>
            </w:pPr>
            <w:r w:rsidRPr="00F5355A">
              <w:rPr>
                <w:rFonts w:ascii="Times New Roman" w:hAnsi="Times New Roman" w:cs="Times New Roman"/>
                <w:sz w:val="15"/>
                <w:szCs w:val="15"/>
                <w:lang w:val="sk-SK"/>
              </w:rPr>
              <w:t>120 144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E8E8E8"/>
            <w:textDirection w:val="lrTb"/>
            <w:vAlign w:val="center"/>
          </w:tcPr>
          <w:p w:rsidR="007A1E0D" w:rsidRPr="00F5355A">
            <w:pPr>
              <w:rPr>
                <w:rFonts w:ascii="Arial Unicode MS" w:hAnsi="Arial Unicode MS" w:cs="Arial Unicode MS"/>
                <w:lang w:val="sk-SK"/>
              </w:rPr>
            </w:pPr>
            <w:r w:rsidRPr="00F5355A">
              <w:rPr>
                <w:rFonts w:ascii="Times New Roman" w:hAnsi="Times New Roman" w:cs="Times New Roman"/>
                <w:sz w:val="15"/>
                <w:szCs w:val="15"/>
                <w:lang w:val="sk-SK"/>
              </w:rPr>
              <w:t>120 644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E8E8E8"/>
            <w:textDirection w:val="lrTb"/>
            <w:vAlign w:val="center"/>
          </w:tcPr>
          <w:p w:rsidR="007A1E0D" w:rsidRPr="00F5355A">
            <w:pPr>
              <w:rPr>
                <w:rFonts w:ascii="Arial Unicode MS" w:hAnsi="Arial Unicode MS" w:cs="Arial Unicode MS"/>
                <w:lang w:val="sk-SK"/>
              </w:rPr>
            </w:pPr>
            <w:r w:rsidRPr="00F5355A">
              <w:rPr>
                <w:rStyle w:val="Strong"/>
                <w:rFonts w:ascii="Times New Roman" w:hAnsi="Times New Roman" w:cs="Times New Roman"/>
                <w:sz w:val="15"/>
                <w:szCs w:val="15"/>
                <w:lang w:val="sk-SK"/>
              </w:rPr>
              <w:t>1 937 642</w:t>
            </w:r>
          </w:p>
        </w:tc>
      </w:tr>
      <w:tr>
        <w:tblPrEx>
          <w:tblW w:w="5000" w:type="pct"/>
          <w:tblCellSpacing w:w="7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hRule="auto" w:val="0"/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E8E8E8"/>
            <w:textDirection w:val="lrTb"/>
            <w:vAlign w:val="center"/>
          </w:tcPr>
          <w:p w:rsidR="007A1E0D" w:rsidRPr="00F5355A">
            <w:pPr>
              <w:rPr>
                <w:rFonts w:ascii="Arial Unicode MS" w:hAnsi="Arial Unicode MS" w:cs="Arial Unicode MS"/>
                <w:lang w:val="sk-SK"/>
              </w:rPr>
            </w:pPr>
            <w:r w:rsidRPr="00F5355A">
              <w:rPr>
                <w:rStyle w:val="Strong"/>
                <w:rFonts w:ascii="Times New Roman" w:hAnsi="Times New Roman" w:cs="Times New Roman"/>
                <w:sz w:val="15"/>
                <w:szCs w:val="15"/>
                <w:lang w:val="sk-SK"/>
              </w:rPr>
              <w:t>2007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E8E8E8"/>
            <w:textDirection w:val="lrTb"/>
            <w:vAlign w:val="center"/>
          </w:tcPr>
          <w:p w:rsidR="007A1E0D" w:rsidRPr="00F5355A">
            <w:pPr>
              <w:rPr>
                <w:rFonts w:ascii="Arial Unicode MS" w:hAnsi="Arial Unicode MS" w:cs="Arial Unicode MS"/>
                <w:lang w:val="sk-SK"/>
              </w:rPr>
            </w:pPr>
            <w:r w:rsidRPr="00F5355A">
              <w:rPr>
                <w:rFonts w:ascii="Times New Roman" w:hAnsi="Times New Roman" w:cs="Times New Roman"/>
                <w:sz w:val="15"/>
                <w:szCs w:val="15"/>
                <w:lang w:val="sk-SK"/>
              </w:rPr>
              <w:t>110 360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E8E8E8"/>
            <w:textDirection w:val="lrTb"/>
            <w:vAlign w:val="center"/>
          </w:tcPr>
          <w:p w:rsidR="007A1E0D" w:rsidRPr="00F5355A">
            <w:pPr>
              <w:rPr>
                <w:rFonts w:ascii="Arial Unicode MS" w:hAnsi="Arial Unicode MS" w:cs="Arial Unicode MS"/>
                <w:lang w:val="sk-SK"/>
              </w:rPr>
            </w:pPr>
            <w:r w:rsidRPr="00F5355A">
              <w:rPr>
                <w:rFonts w:ascii="Times New Roman" w:hAnsi="Times New Roman" w:cs="Times New Roman"/>
                <w:sz w:val="15"/>
                <w:szCs w:val="15"/>
                <w:lang w:val="sk-SK"/>
              </w:rPr>
              <w:t>11</w:t>
            </w:r>
            <w:r w:rsidRPr="00F5355A">
              <w:rPr>
                <w:rFonts w:ascii="Times New Roman" w:hAnsi="Times New Roman" w:cs="Times New Roman"/>
                <w:sz w:val="15"/>
                <w:szCs w:val="15"/>
                <w:lang w:val="sk-SK"/>
              </w:rPr>
              <w:t>1 825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E8E8E8"/>
            <w:textDirection w:val="lrTb"/>
            <w:vAlign w:val="center"/>
          </w:tcPr>
          <w:p w:rsidR="007A1E0D" w:rsidRPr="00F5355A">
            <w:pPr>
              <w:rPr>
                <w:rFonts w:ascii="Arial Unicode MS" w:hAnsi="Arial Unicode MS" w:cs="Arial Unicode MS"/>
                <w:lang w:val="sk-SK"/>
              </w:rPr>
            </w:pPr>
            <w:r w:rsidRPr="00F5355A">
              <w:rPr>
                <w:rFonts w:ascii="Times New Roman" w:hAnsi="Times New Roman" w:cs="Times New Roman"/>
                <w:sz w:val="15"/>
                <w:szCs w:val="15"/>
                <w:lang w:val="sk-SK"/>
              </w:rPr>
              <w:t>137 625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E8E8E8"/>
            <w:textDirection w:val="lrTb"/>
            <w:vAlign w:val="center"/>
          </w:tcPr>
          <w:p w:rsidR="007A1E0D" w:rsidRPr="00F5355A">
            <w:pPr>
              <w:rPr>
                <w:rFonts w:ascii="Arial Unicode MS" w:hAnsi="Arial Unicode MS" w:cs="Arial Unicode MS"/>
                <w:lang w:val="sk-SK"/>
              </w:rPr>
            </w:pPr>
            <w:r w:rsidRPr="00F5355A">
              <w:rPr>
                <w:rFonts w:ascii="Times New Roman" w:hAnsi="Times New Roman" w:cs="Times New Roman"/>
                <w:sz w:val="15"/>
                <w:szCs w:val="15"/>
                <w:lang w:val="sk-SK"/>
              </w:rPr>
              <w:t>131 791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E8E8E8"/>
            <w:textDirection w:val="lrTb"/>
            <w:vAlign w:val="center"/>
          </w:tcPr>
          <w:p w:rsidR="007A1E0D" w:rsidRPr="00F5355A">
            <w:pPr>
              <w:rPr>
                <w:rFonts w:ascii="Arial Unicode MS" w:hAnsi="Arial Unicode MS" w:cs="Arial Unicode MS"/>
                <w:lang w:val="sk-SK"/>
              </w:rPr>
            </w:pPr>
            <w:r w:rsidRPr="00F5355A">
              <w:rPr>
                <w:rFonts w:ascii="Times New Roman" w:hAnsi="Times New Roman" w:cs="Times New Roman"/>
                <w:sz w:val="15"/>
                <w:szCs w:val="15"/>
                <w:lang w:val="sk-SK"/>
              </w:rPr>
              <w:t>147 151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E8E8E8"/>
            <w:textDirection w:val="lrTb"/>
            <w:vAlign w:val="center"/>
          </w:tcPr>
          <w:p w:rsidR="007A1E0D" w:rsidRPr="00F5355A">
            <w:pPr>
              <w:rPr>
                <w:rFonts w:ascii="Arial Unicode MS" w:hAnsi="Arial Unicode MS" w:cs="Arial Unicode MS"/>
                <w:lang w:val="sk-SK"/>
              </w:rPr>
            </w:pPr>
            <w:r w:rsidRPr="00F5355A">
              <w:rPr>
                <w:rFonts w:ascii="Times New Roman" w:hAnsi="Times New Roman" w:cs="Times New Roman"/>
                <w:sz w:val="15"/>
                <w:szCs w:val="15"/>
                <w:lang w:val="sk-SK"/>
              </w:rPr>
              <w:t>200 605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E8E8E8"/>
            <w:textDirection w:val="lrTb"/>
            <w:vAlign w:val="center"/>
          </w:tcPr>
          <w:p w:rsidR="007A1E0D" w:rsidRPr="00F5355A">
            <w:pPr>
              <w:rPr>
                <w:rFonts w:ascii="Arial Unicode MS" w:hAnsi="Arial Unicode MS" w:cs="Arial Unicode MS"/>
                <w:lang w:val="sk-SK"/>
              </w:rPr>
            </w:pPr>
            <w:r w:rsidRPr="00F5355A">
              <w:rPr>
                <w:rFonts w:ascii="Times New Roman" w:hAnsi="Times New Roman" w:cs="Times New Roman"/>
                <w:sz w:val="15"/>
                <w:szCs w:val="15"/>
                <w:lang w:val="sk-SK"/>
              </w:rPr>
              <w:t>261 672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E8E8E8"/>
            <w:textDirection w:val="lrTb"/>
            <w:vAlign w:val="center"/>
          </w:tcPr>
          <w:p w:rsidR="007A1E0D" w:rsidRPr="00F5355A">
            <w:pPr>
              <w:rPr>
                <w:rFonts w:ascii="Arial Unicode MS" w:hAnsi="Arial Unicode MS" w:cs="Arial Unicode MS"/>
                <w:lang w:val="sk-SK"/>
              </w:rPr>
            </w:pPr>
            <w:r w:rsidRPr="00F5355A">
              <w:rPr>
                <w:rFonts w:ascii="Times New Roman" w:hAnsi="Times New Roman" w:cs="Times New Roman"/>
                <w:sz w:val="15"/>
                <w:szCs w:val="15"/>
                <w:lang w:val="sk-SK"/>
              </w:rPr>
              <w:t>262 049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E8E8E8"/>
            <w:textDirection w:val="lrTb"/>
            <w:vAlign w:val="center"/>
          </w:tcPr>
          <w:p w:rsidR="007A1E0D" w:rsidRPr="00F5355A">
            <w:pPr>
              <w:rPr>
                <w:rFonts w:ascii="Arial Unicode MS" w:hAnsi="Arial Unicode MS" w:cs="Arial Unicode MS"/>
                <w:lang w:val="sk-SK"/>
              </w:rPr>
            </w:pPr>
            <w:r w:rsidRPr="00F5355A">
              <w:rPr>
                <w:rFonts w:ascii="Times New Roman" w:hAnsi="Times New Roman" w:cs="Times New Roman"/>
                <w:sz w:val="15"/>
                <w:szCs w:val="15"/>
                <w:lang w:val="sk-SK"/>
              </w:rPr>
              <w:t>209 218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E8E8E8"/>
            <w:textDirection w:val="lrTb"/>
            <w:vAlign w:val="center"/>
          </w:tcPr>
          <w:p w:rsidR="007A1E0D" w:rsidRPr="00F5355A">
            <w:pPr>
              <w:rPr>
                <w:rFonts w:ascii="Arial Unicode MS" w:hAnsi="Arial Unicode MS" w:cs="Arial Unicode MS"/>
                <w:lang w:val="sk-SK"/>
              </w:rPr>
            </w:pPr>
            <w:r w:rsidRPr="00F5355A">
              <w:rPr>
                <w:rFonts w:ascii="Times New Roman" w:hAnsi="Times New Roman" w:cs="Times New Roman"/>
                <w:sz w:val="15"/>
                <w:szCs w:val="15"/>
                <w:lang w:val="sk-SK"/>
              </w:rPr>
              <w:t>165 257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E8E8E8"/>
            <w:textDirection w:val="lrTb"/>
            <w:vAlign w:val="center"/>
          </w:tcPr>
          <w:p w:rsidR="007A1E0D" w:rsidRPr="00F5355A">
            <w:pPr>
              <w:rPr>
                <w:rFonts w:ascii="Arial Unicode MS" w:hAnsi="Arial Unicode MS" w:cs="Arial Unicode MS"/>
                <w:lang w:val="sk-SK"/>
              </w:rPr>
            </w:pPr>
            <w:r w:rsidRPr="00F5355A">
              <w:rPr>
                <w:rFonts w:ascii="Times New Roman" w:hAnsi="Times New Roman" w:cs="Times New Roman"/>
                <w:sz w:val="15"/>
                <w:szCs w:val="15"/>
                <w:lang w:val="sk-SK"/>
              </w:rPr>
              <w:t>142 737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E8E8E8"/>
            <w:textDirection w:val="lrTb"/>
            <w:vAlign w:val="center"/>
          </w:tcPr>
          <w:p w:rsidR="007A1E0D" w:rsidRPr="00F5355A">
            <w:pPr>
              <w:rPr>
                <w:rFonts w:ascii="Arial Unicode MS" w:hAnsi="Arial Unicode MS" w:cs="Arial Unicode MS"/>
                <w:lang w:val="sk-SK"/>
              </w:rPr>
            </w:pPr>
            <w:r w:rsidRPr="00F5355A">
              <w:rPr>
                <w:rFonts w:ascii="Times New Roman" w:hAnsi="Times New Roman" w:cs="Times New Roman"/>
                <w:sz w:val="15"/>
                <w:szCs w:val="15"/>
                <w:lang w:val="sk-SK"/>
              </w:rPr>
              <w:t>143 852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E8E8E8"/>
            <w:textDirection w:val="lrTb"/>
            <w:vAlign w:val="center"/>
          </w:tcPr>
          <w:p w:rsidR="007A1E0D" w:rsidRPr="00F5355A">
            <w:pPr>
              <w:rPr>
                <w:rFonts w:ascii="Arial Unicode MS" w:hAnsi="Arial Unicode MS" w:cs="Arial Unicode MS"/>
                <w:lang w:val="sk-SK"/>
              </w:rPr>
            </w:pPr>
            <w:r w:rsidRPr="00F5355A">
              <w:rPr>
                <w:rStyle w:val="Strong"/>
                <w:rFonts w:ascii="Times New Roman" w:hAnsi="Times New Roman" w:cs="Times New Roman"/>
                <w:sz w:val="15"/>
                <w:szCs w:val="15"/>
                <w:lang w:val="sk-SK"/>
              </w:rPr>
              <w:t>2 024 142</w:t>
            </w:r>
          </w:p>
        </w:tc>
      </w:tr>
      <w:tr>
        <w:tblPrEx>
          <w:tblW w:w="5000" w:type="pct"/>
          <w:tblCellSpacing w:w="7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hRule="auto" w:val="0"/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E8E8E8"/>
            <w:textDirection w:val="lrTb"/>
            <w:vAlign w:val="center"/>
          </w:tcPr>
          <w:p w:rsidR="007A1E0D" w:rsidRPr="00F5355A">
            <w:pPr>
              <w:rPr>
                <w:rFonts w:ascii="Arial Unicode MS" w:hAnsi="Arial Unicode MS" w:cs="Arial Unicode MS"/>
                <w:lang w:val="sk-SK"/>
              </w:rPr>
            </w:pPr>
            <w:r w:rsidRPr="00F5355A">
              <w:rPr>
                <w:rStyle w:val="Strong"/>
                <w:rFonts w:ascii="Times New Roman" w:hAnsi="Times New Roman" w:cs="Times New Roman"/>
                <w:sz w:val="15"/>
                <w:szCs w:val="15"/>
                <w:lang w:val="sk-SK"/>
              </w:rPr>
              <w:t>2008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E8E8E8"/>
            <w:textDirection w:val="lrTb"/>
            <w:vAlign w:val="center"/>
          </w:tcPr>
          <w:p w:rsidR="007A1E0D" w:rsidRPr="00F5355A">
            <w:pPr>
              <w:rPr>
                <w:rFonts w:ascii="Arial Unicode MS" w:hAnsi="Arial Unicode MS" w:cs="Arial Unicode MS"/>
                <w:lang w:val="sk-SK"/>
              </w:rPr>
            </w:pPr>
            <w:r w:rsidRPr="00F5355A">
              <w:rPr>
                <w:rFonts w:ascii="Times New Roman" w:hAnsi="Times New Roman" w:cs="Times New Roman"/>
                <w:sz w:val="15"/>
                <w:szCs w:val="15"/>
                <w:lang w:val="sk-SK"/>
              </w:rPr>
              <w:t>131 856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E8E8E8"/>
            <w:textDirection w:val="lrTb"/>
            <w:vAlign w:val="center"/>
          </w:tcPr>
          <w:p w:rsidR="007A1E0D" w:rsidRPr="00F5355A">
            <w:pPr>
              <w:rPr>
                <w:rFonts w:ascii="Arial Unicode MS" w:hAnsi="Arial Unicode MS" w:cs="Arial Unicode MS"/>
                <w:lang w:val="sk-SK"/>
              </w:rPr>
            </w:pPr>
            <w:r w:rsidRPr="00F5355A">
              <w:rPr>
                <w:rFonts w:ascii="Times New Roman" w:hAnsi="Times New Roman" w:cs="Times New Roman"/>
                <w:sz w:val="15"/>
                <w:szCs w:val="15"/>
                <w:lang w:val="sk-SK"/>
              </w:rPr>
              <w:t>137 732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E8E8E8"/>
            <w:textDirection w:val="lrTb"/>
            <w:vAlign w:val="center"/>
          </w:tcPr>
          <w:p w:rsidR="007A1E0D" w:rsidRPr="00F5355A">
            <w:pPr>
              <w:rPr>
                <w:rFonts w:ascii="Arial Unicode MS" w:hAnsi="Arial Unicode MS" w:cs="Arial Unicode MS"/>
                <w:lang w:val="sk-SK"/>
              </w:rPr>
            </w:pPr>
            <w:r w:rsidRPr="00F5355A">
              <w:rPr>
                <w:rFonts w:ascii="Times New Roman" w:hAnsi="Times New Roman" w:cs="Times New Roman"/>
                <w:sz w:val="15"/>
                <w:szCs w:val="15"/>
                <w:lang w:val="sk-SK"/>
              </w:rPr>
              <w:t>159 986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E8E8E8"/>
            <w:textDirection w:val="lrTb"/>
            <w:vAlign w:val="center"/>
          </w:tcPr>
          <w:p w:rsidR="007A1E0D" w:rsidRPr="00F5355A">
            <w:pPr>
              <w:rPr>
                <w:rFonts w:ascii="Arial Unicode MS" w:hAnsi="Arial Unicode MS" w:cs="Arial Unicode MS"/>
                <w:lang w:val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E8E8E8"/>
            <w:textDirection w:val="lrTb"/>
            <w:vAlign w:val="center"/>
          </w:tcPr>
          <w:p w:rsidR="007A1E0D" w:rsidRPr="00F5355A">
            <w:pPr>
              <w:rPr>
                <w:rFonts w:ascii="Arial Unicode MS" w:hAnsi="Arial Unicode MS" w:cs="Arial Unicode MS"/>
                <w:lang w:val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E8E8E8"/>
            <w:textDirection w:val="lrTb"/>
            <w:vAlign w:val="center"/>
          </w:tcPr>
          <w:p w:rsidR="007A1E0D" w:rsidRPr="00F5355A">
            <w:pPr>
              <w:rPr>
                <w:rFonts w:ascii="Arial Unicode MS" w:hAnsi="Arial Unicode MS" w:cs="Arial Unicode MS"/>
                <w:lang w:val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E8E8E8"/>
            <w:textDirection w:val="lrTb"/>
            <w:vAlign w:val="center"/>
          </w:tcPr>
          <w:p w:rsidR="007A1E0D" w:rsidRPr="00F5355A">
            <w:pPr>
              <w:rPr>
                <w:rFonts w:ascii="Arial Unicode MS" w:hAnsi="Arial Unicode MS" w:cs="Arial Unicode MS"/>
                <w:lang w:val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E8E8E8"/>
            <w:textDirection w:val="lrTb"/>
            <w:vAlign w:val="center"/>
          </w:tcPr>
          <w:p w:rsidR="007A1E0D" w:rsidRPr="00F5355A">
            <w:pPr>
              <w:rPr>
                <w:rFonts w:ascii="Arial Unicode MS" w:hAnsi="Arial Unicode MS" w:cs="Arial Unicode MS"/>
                <w:lang w:val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E8E8E8"/>
            <w:textDirection w:val="lrTb"/>
            <w:vAlign w:val="center"/>
          </w:tcPr>
          <w:p w:rsidR="007A1E0D" w:rsidRPr="00F5355A">
            <w:pPr>
              <w:rPr>
                <w:rFonts w:ascii="Arial Unicode MS" w:hAnsi="Arial Unicode MS" w:cs="Arial Unicode MS"/>
                <w:lang w:val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E8E8E8"/>
            <w:textDirection w:val="lrTb"/>
            <w:vAlign w:val="center"/>
          </w:tcPr>
          <w:p w:rsidR="007A1E0D" w:rsidRPr="00F5355A">
            <w:pPr>
              <w:rPr>
                <w:rFonts w:ascii="Arial Unicode MS" w:hAnsi="Arial Unicode MS" w:cs="Arial Unicode MS"/>
                <w:lang w:val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E8E8E8"/>
            <w:textDirection w:val="lrTb"/>
            <w:vAlign w:val="center"/>
          </w:tcPr>
          <w:p w:rsidR="007A1E0D" w:rsidRPr="00F5355A">
            <w:pPr>
              <w:rPr>
                <w:rFonts w:ascii="Arial Unicode MS" w:hAnsi="Arial Unicode MS" w:cs="Arial Unicode MS"/>
                <w:lang w:val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E8E8E8"/>
            <w:textDirection w:val="lrTb"/>
            <w:vAlign w:val="center"/>
          </w:tcPr>
          <w:p w:rsidR="007A1E0D" w:rsidRPr="00F5355A">
            <w:pPr>
              <w:rPr>
                <w:rFonts w:ascii="Arial Unicode MS" w:hAnsi="Arial Unicode MS" w:cs="Arial Unicode MS"/>
                <w:lang w:val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E8E8E8"/>
            <w:textDirection w:val="lrTb"/>
            <w:vAlign w:val="center"/>
          </w:tcPr>
          <w:p w:rsidR="007A1E0D" w:rsidRPr="00F5355A">
            <w:pPr>
              <w:rPr>
                <w:rFonts w:ascii="Arial Unicode MS" w:hAnsi="Arial Unicode MS" w:cs="Arial Unicode MS"/>
                <w:lang w:val="sk-SK"/>
              </w:rPr>
            </w:pPr>
            <w:r w:rsidRPr="00F5355A">
              <w:rPr>
                <w:rStyle w:val="Strong"/>
                <w:rFonts w:ascii="Times New Roman" w:hAnsi="Times New Roman" w:cs="Times New Roman"/>
                <w:sz w:val="15"/>
                <w:szCs w:val="15"/>
                <w:lang w:val="sk-SK"/>
              </w:rPr>
              <w:t>  429 574</w:t>
            </w:r>
          </w:p>
        </w:tc>
      </w:tr>
    </w:tbl>
    <w:p w:rsidR="007A1E0D" w:rsidRPr="00F5355A">
      <w:pPr>
        <w:jc w:val="both"/>
        <w:rPr>
          <w:rFonts w:ascii="Times New Roman" w:hAnsi="Times New Roman" w:cs="Times New Roman"/>
          <w:sz w:val="22"/>
          <w:lang w:val="sk-SK"/>
        </w:rPr>
      </w:pPr>
    </w:p>
    <w:p w:rsidR="007A1E0D" w:rsidRPr="008968FF">
      <w:pPr>
        <w:pStyle w:val="BodyText"/>
        <w:rPr>
          <w:rFonts w:ascii="Times New Roman" w:hAnsi="Times New Roman" w:cs="Times New Roman"/>
          <w:sz w:val="24"/>
          <w:u w:val="single"/>
        </w:rPr>
      </w:pPr>
      <w:r w:rsidRPr="008968FF">
        <w:rPr>
          <w:rFonts w:ascii="Times New Roman" w:hAnsi="Times New Roman" w:cs="Times New Roman"/>
          <w:sz w:val="24"/>
          <w:u w:val="single"/>
        </w:rPr>
        <w:t xml:space="preserve">Predpokladaný vývoj </w:t>
      </w:r>
      <w:r w:rsidRPr="008968FF" w:rsidR="009977B7">
        <w:rPr>
          <w:rFonts w:ascii="Times New Roman" w:hAnsi="Times New Roman" w:cs="Times New Roman"/>
          <w:sz w:val="24"/>
          <w:u w:val="single"/>
        </w:rPr>
        <w:t xml:space="preserve">objemu cestujúcich </w:t>
      </w:r>
      <w:r w:rsidRPr="008968FF" w:rsidR="00112347">
        <w:rPr>
          <w:rFonts w:ascii="Times New Roman" w:hAnsi="Times New Roman" w:cs="Times New Roman"/>
          <w:sz w:val="24"/>
          <w:u w:val="single"/>
        </w:rPr>
        <w:t>v</w:t>
      </w:r>
      <w:r w:rsidRPr="008968FF">
        <w:rPr>
          <w:rFonts w:ascii="Times New Roman" w:hAnsi="Times New Roman" w:cs="Times New Roman"/>
          <w:sz w:val="24"/>
          <w:u w:val="single"/>
        </w:rPr>
        <w:t xml:space="preserve"> rok</w:t>
      </w:r>
      <w:r w:rsidRPr="008968FF" w:rsidR="00112347">
        <w:rPr>
          <w:rFonts w:ascii="Times New Roman" w:hAnsi="Times New Roman" w:cs="Times New Roman"/>
          <w:sz w:val="24"/>
          <w:u w:val="single"/>
        </w:rPr>
        <w:t>u</w:t>
      </w:r>
      <w:r w:rsidRPr="008968FF">
        <w:rPr>
          <w:rFonts w:ascii="Times New Roman" w:hAnsi="Times New Roman" w:cs="Times New Roman"/>
          <w:sz w:val="24"/>
          <w:u w:val="single"/>
        </w:rPr>
        <w:t xml:space="preserve"> 2008 </w:t>
      </w:r>
    </w:p>
    <w:p w:rsidR="009977B7" w:rsidRPr="008968FF">
      <w:pPr>
        <w:pStyle w:val="BodyText"/>
        <w:rPr>
          <w:rFonts w:ascii="Times New Roman" w:hAnsi="Times New Roman" w:cs="Times New Roman"/>
          <w:sz w:val="24"/>
        </w:rPr>
      </w:pPr>
      <w:r w:rsidRPr="008968FF" w:rsidR="007A1E0D">
        <w:rPr>
          <w:rFonts w:ascii="Times New Roman" w:hAnsi="Times New Roman" w:cs="Times New Roman"/>
          <w:sz w:val="24"/>
        </w:rPr>
        <w:t xml:space="preserve">V prvom </w:t>
      </w:r>
      <w:r w:rsidRPr="008968FF" w:rsidR="00112347">
        <w:rPr>
          <w:rFonts w:ascii="Times New Roman" w:hAnsi="Times New Roman" w:cs="Times New Roman"/>
          <w:sz w:val="24"/>
        </w:rPr>
        <w:t>štvrťroku</w:t>
      </w:r>
      <w:r w:rsidRPr="008968FF" w:rsidR="007A1E0D">
        <w:rPr>
          <w:rFonts w:ascii="Times New Roman" w:hAnsi="Times New Roman" w:cs="Times New Roman"/>
          <w:sz w:val="24"/>
        </w:rPr>
        <w:t xml:space="preserve"> 2008 Letisko Bratislava vybavilo 429</w:t>
      </w:r>
      <w:r w:rsidRPr="008968FF" w:rsidR="00112347">
        <w:rPr>
          <w:rFonts w:ascii="Times New Roman" w:hAnsi="Times New Roman" w:cs="Times New Roman"/>
          <w:sz w:val="24"/>
        </w:rPr>
        <w:t> </w:t>
      </w:r>
      <w:r w:rsidRPr="008968FF" w:rsidR="007A1E0D">
        <w:rPr>
          <w:rFonts w:ascii="Times New Roman" w:hAnsi="Times New Roman" w:cs="Times New Roman"/>
          <w:sz w:val="24"/>
        </w:rPr>
        <w:t>574 cestujúcich, čo je o 19% viac ako za rovna</w:t>
      </w:r>
      <w:r w:rsidR="0032038A">
        <w:rPr>
          <w:rFonts w:ascii="Times New Roman" w:hAnsi="Times New Roman" w:cs="Times New Roman"/>
          <w:sz w:val="24"/>
        </w:rPr>
        <w:t>k</w:t>
      </w:r>
      <w:r w:rsidRPr="008968FF" w:rsidR="007A1E0D">
        <w:rPr>
          <w:rFonts w:ascii="Times New Roman" w:hAnsi="Times New Roman" w:cs="Times New Roman"/>
          <w:sz w:val="24"/>
        </w:rPr>
        <w:t>é obdobie rok</w:t>
      </w:r>
      <w:r w:rsidR="0032038A">
        <w:rPr>
          <w:rFonts w:ascii="Times New Roman" w:hAnsi="Times New Roman" w:cs="Times New Roman"/>
          <w:sz w:val="24"/>
        </w:rPr>
        <w:t>u 2007</w:t>
      </w:r>
      <w:r w:rsidRPr="008968FF" w:rsidR="007A1E0D">
        <w:rPr>
          <w:rFonts w:ascii="Times New Roman" w:hAnsi="Times New Roman" w:cs="Times New Roman"/>
          <w:sz w:val="24"/>
        </w:rPr>
        <w:t>. Nastúpený trend by mal pokračovať aj v nasledujúcich mesiacoch, kedy bude spustených niekoľko nových spojení</w:t>
      </w:r>
      <w:r w:rsidRPr="008968FF" w:rsidR="00112347">
        <w:rPr>
          <w:rFonts w:ascii="Times New Roman" w:hAnsi="Times New Roman" w:cs="Times New Roman"/>
          <w:sz w:val="24"/>
        </w:rPr>
        <w:t>:</w:t>
      </w:r>
      <w:r w:rsidRPr="008968FF" w:rsidR="007A1E0D">
        <w:rPr>
          <w:rFonts w:ascii="Times New Roman" w:hAnsi="Times New Roman" w:cs="Times New Roman"/>
          <w:sz w:val="24"/>
        </w:rPr>
        <w:t xml:space="preserve"> </w:t>
      </w:r>
    </w:p>
    <w:p w:rsidR="009977B7" w:rsidRPr="008968FF">
      <w:pPr>
        <w:pStyle w:val="BodyText"/>
        <w:rPr>
          <w:rFonts w:ascii="Times New Roman" w:hAnsi="Times New Roman" w:cs="Times New Roman"/>
          <w:sz w:val="24"/>
        </w:rPr>
      </w:pPr>
      <w:r w:rsidRPr="008968FF">
        <w:rPr>
          <w:rFonts w:ascii="Times New Roman" w:hAnsi="Times New Roman" w:cs="Times New Roman"/>
          <w:sz w:val="24"/>
        </w:rPr>
        <w:t xml:space="preserve">- </w:t>
      </w:r>
      <w:r w:rsidRPr="008968FF" w:rsidR="007A1E0D">
        <w:rPr>
          <w:rFonts w:ascii="Times New Roman" w:hAnsi="Times New Roman" w:cs="Times New Roman"/>
          <w:sz w:val="24"/>
        </w:rPr>
        <w:t>od 28. apríla bude otvorená pravidelná priama linka z Bratislavy do Istanbulu</w:t>
      </w:r>
      <w:r w:rsidRPr="008968FF" w:rsidR="007A1E0D">
        <w:rPr>
          <w:rFonts w:ascii="Times New Roman" w:hAnsi="Times New Roman" w:cs="Times New Roman"/>
          <w:sz w:val="24"/>
        </w:rPr>
        <w:t xml:space="preserve"> (SkyEurope), </w:t>
      </w:r>
    </w:p>
    <w:p w:rsidR="009977B7" w:rsidRPr="008968FF">
      <w:pPr>
        <w:pStyle w:val="BodyText"/>
        <w:rPr>
          <w:rFonts w:ascii="Times New Roman" w:hAnsi="Times New Roman" w:cs="Times New Roman"/>
          <w:sz w:val="24"/>
        </w:rPr>
      </w:pPr>
      <w:r w:rsidRPr="008968FF">
        <w:rPr>
          <w:rFonts w:ascii="Times New Roman" w:hAnsi="Times New Roman" w:cs="Times New Roman"/>
          <w:sz w:val="24"/>
        </w:rPr>
        <w:t xml:space="preserve">- od </w:t>
      </w:r>
      <w:r w:rsidRPr="008968FF" w:rsidR="007A1E0D">
        <w:rPr>
          <w:rFonts w:ascii="Times New Roman" w:hAnsi="Times New Roman" w:cs="Times New Roman"/>
          <w:sz w:val="24"/>
        </w:rPr>
        <w:t>27.</w:t>
      </w:r>
      <w:r w:rsidRPr="008968FF">
        <w:rPr>
          <w:rFonts w:ascii="Times New Roman" w:hAnsi="Times New Roman" w:cs="Times New Roman"/>
          <w:sz w:val="24"/>
        </w:rPr>
        <w:t xml:space="preserve"> mája </w:t>
      </w:r>
      <w:r w:rsidRPr="008968FF" w:rsidR="007A1E0D">
        <w:rPr>
          <w:rFonts w:ascii="Times New Roman" w:hAnsi="Times New Roman" w:cs="Times New Roman"/>
          <w:sz w:val="24"/>
        </w:rPr>
        <w:t xml:space="preserve">2008 bude obnovené spojenie do Moskvy (Aeroflot) </w:t>
      </w:r>
    </w:p>
    <w:p w:rsidR="007A1E0D" w:rsidRPr="008968FF">
      <w:pPr>
        <w:pStyle w:val="BodyText"/>
        <w:rPr>
          <w:rFonts w:ascii="Times New Roman" w:hAnsi="Times New Roman" w:cs="Times New Roman"/>
          <w:sz w:val="24"/>
        </w:rPr>
      </w:pPr>
      <w:r w:rsidRPr="008968FF" w:rsidR="009977B7">
        <w:rPr>
          <w:rFonts w:ascii="Times New Roman" w:hAnsi="Times New Roman" w:cs="Times New Roman"/>
          <w:sz w:val="24"/>
        </w:rPr>
        <w:t xml:space="preserve">- </w:t>
      </w:r>
      <w:r w:rsidRPr="008968FF">
        <w:rPr>
          <w:rFonts w:ascii="Times New Roman" w:hAnsi="Times New Roman" w:cs="Times New Roman"/>
          <w:sz w:val="24"/>
        </w:rPr>
        <w:t>od 24.</w:t>
      </w:r>
      <w:r w:rsidRPr="008968FF" w:rsidR="009977B7">
        <w:rPr>
          <w:rFonts w:ascii="Times New Roman" w:hAnsi="Times New Roman" w:cs="Times New Roman"/>
          <w:sz w:val="24"/>
        </w:rPr>
        <w:t xml:space="preserve"> septembra </w:t>
      </w:r>
      <w:r w:rsidRPr="008968FF">
        <w:rPr>
          <w:rFonts w:ascii="Times New Roman" w:hAnsi="Times New Roman" w:cs="Times New Roman"/>
          <w:sz w:val="24"/>
        </w:rPr>
        <w:t>2008 je ohlásené za</w:t>
      </w:r>
      <w:r w:rsidRPr="008968FF" w:rsidR="009977B7">
        <w:rPr>
          <w:rFonts w:ascii="Times New Roman" w:hAnsi="Times New Roman" w:cs="Times New Roman"/>
          <w:sz w:val="24"/>
        </w:rPr>
        <w:t>čat</w:t>
      </w:r>
      <w:r w:rsidRPr="008968FF">
        <w:rPr>
          <w:rFonts w:ascii="Times New Roman" w:hAnsi="Times New Roman" w:cs="Times New Roman"/>
          <w:sz w:val="24"/>
        </w:rPr>
        <w:t xml:space="preserve">ie </w:t>
      </w:r>
      <w:r w:rsidRPr="008968FF" w:rsidR="009977B7">
        <w:rPr>
          <w:rFonts w:ascii="Times New Roman" w:hAnsi="Times New Roman" w:cs="Times New Roman"/>
          <w:sz w:val="24"/>
        </w:rPr>
        <w:t>poskytovania dopravných služieb</w:t>
      </w:r>
      <w:r w:rsidRPr="008968FF">
        <w:rPr>
          <w:rFonts w:ascii="Times New Roman" w:hAnsi="Times New Roman" w:cs="Times New Roman"/>
          <w:sz w:val="24"/>
        </w:rPr>
        <w:t xml:space="preserve"> do Edinburgu (Ryanair).</w:t>
      </w:r>
    </w:p>
    <w:p w:rsidR="009977B7" w:rsidRPr="008968FF">
      <w:pPr>
        <w:pStyle w:val="BodyText"/>
        <w:rPr>
          <w:rFonts w:ascii="Times New Roman" w:hAnsi="Times New Roman" w:cs="Times New Roman"/>
          <w:sz w:val="24"/>
        </w:rPr>
      </w:pPr>
    </w:p>
    <w:p w:rsidR="007A1E0D" w:rsidRPr="008968FF">
      <w:pPr>
        <w:pStyle w:val="BodyText"/>
        <w:rPr>
          <w:rFonts w:ascii="Times New Roman" w:hAnsi="Times New Roman" w:cs="Times New Roman"/>
          <w:sz w:val="24"/>
        </w:rPr>
      </w:pPr>
      <w:r w:rsidRPr="008968FF">
        <w:rPr>
          <w:rFonts w:ascii="Times New Roman" w:hAnsi="Times New Roman" w:cs="Times New Roman"/>
          <w:sz w:val="24"/>
        </w:rPr>
        <w:t xml:space="preserve">Pokiaľ sa splnia všetky predpoklady, letisko by </w:t>
      </w:r>
      <w:r w:rsidR="00427168">
        <w:rPr>
          <w:rFonts w:ascii="Times New Roman" w:hAnsi="Times New Roman" w:cs="Times New Roman"/>
          <w:sz w:val="24"/>
        </w:rPr>
        <w:t xml:space="preserve">malo </w:t>
      </w:r>
      <w:r w:rsidRPr="008968FF">
        <w:rPr>
          <w:rFonts w:ascii="Times New Roman" w:hAnsi="Times New Roman" w:cs="Times New Roman"/>
          <w:sz w:val="24"/>
        </w:rPr>
        <w:t xml:space="preserve">v roku 2008 </w:t>
      </w:r>
      <w:r w:rsidR="00427168">
        <w:rPr>
          <w:rFonts w:ascii="Times New Roman" w:hAnsi="Times New Roman" w:cs="Times New Roman"/>
          <w:sz w:val="24"/>
        </w:rPr>
        <w:t>dosiahnuť o</w:t>
      </w:r>
      <w:r w:rsidR="00427168">
        <w:rPr>
          <w:rFonts w:ascii="Times New Roman" w:hAnsi="Times New Roman" w:cs="Times New Roman"/>
          <w:sz w:val="24"/>
        </w:rPr>
        <w:t>bjem</w:t>
      </w:r>
      <w:r w:rsidRPr="008968FF">
        <w:rPr>
          <w:rFonts w:ascii="Times New Roman" w:hAnsi="Times New Roman" w:cs="Times New Roman"/>
          <w:sz w:val="24"/>
        </w:rPr>
        <w:t xml:space="preserve"> 2,3 milióna cestujúcich, čo by predstavovalo zhruba 13%-ný nárast.</w:t>
      </w:r>
    </w:p>
    <w:p w:rsidR="007A1E0D" w:rsidRPr="008968FF">
      <w:pPr>
        <w:pStyle w:val="BodyText"/>
        <w:rPr>
          <w:rFonts w:ascii="Times New Roman" w:hAnsi="Times New Roman" w:cs="Times New Roman"/>
          <w:sz w:val="24"/>
        </w:rPr>
      </w:pPr>
    </w:p>
    <w:p w:rsidR="007A1E0D" w:rsidRPr="008968FF">
      <w:pPr>
        <w:pStyle w:val="BodyText"/>
        <w:rPr>
          <w:rFonts w:ascii="Times New Roman" w:hAnsi="Times New Roman" w:cs="Times New Roman"/>
          <w:sz w:val="24"/>
          <w:u w:val="single"/>
        </w:rPr>
      </w:pPr>
      <w:r w:rsidRPr="008968FF">
        <w:rPr>
          <w:rFonts w:ascii="Times New Roman" w:hAnsi="Times New Roman" w:cs="Times New Roman"/>
          <w:sz w:val="24"/>
          <w:u w:val="single"/>
        </w:rPr>
        <w:t>Nákladná preprava</w:t>
      </w:r>
    </w:p>
    <w:p w:rsidR="007A1E0D" w:rsidRPr="008968FF">
      <w:pPr>
        <w:pStyle w:val="BodyText"/>
        <w:rPr>
          <w:rFonts w:ascii="Times New Roman" w:hAnsi="Times New Roman" w:cs="Times New Roman"/>
          <w:sz w:val="24"/>
        </w:rPr>
      </w:pPr>
      <w:r w:rsidRPr="008968FF">
        <w:rPr>
          <w:rFonts w:ascii="Times New Roman" w:hAnsi="Times New Roman" w:cs="Times New Roman"/>
          <w:sz w:val="24"/>
        </w:rPr>
        <w:t>V uplynulých rokoch objem nákladnej prepravy na bratislavskom letisku stagnoval</w:t>
      </w:r>
      <w:r w:rsidRPr="008968FF" w:rsidR="00287F26">
        <w:rPr>
          <w:rFonts w:ascii="Times New Roman" w:hAnsi="Times New Roman" w:cs="Times New Roman"/>
          <w:sz w:val="24"/>
        </w:rPr>
        <w:t>, v niektorých prechodných obdobiach</w:t>
      </w:r>
      <w:r w:rsidRPr="008968FF">
        <w:rPr>
          <w:rFonts w:ascii="Times New Roman" w:hAnsi="Times New Roman" w:cs="Times New Roman"/>
          <w:sz w:val="24"/>
        </w:rPr>
        <w:t xml:space="preserve"> klesal. Negatívn</w:t>
      </w:r>
      <w:r w:rsidRPr="008968FF" w:rsidR="00287F26">
        <w:rPr>
          <w:rFonts w:ascii="Times New Roman" w:hAnsi="Times New Roman" w:cs="Times New Roman"/>
          <w:sz w:val="24"/>
        </w:rPr>
        <w:t xml:space="preserve">u úlohu v tomto smere zohrala EÚ </w:t>
      </w:r>
      <w:r w:rsidRPr="008968FF" w:rsidR="00287F26">
        <w:rPr>
          <w:rFonts w:ascii="Times New Roman" w:hAnsi="Times New Roman" w:cs="Times New Roman"/>
          <w:sz w:val="24"/>
        </w:rPr>
        <w:t>legislatíva, konkrétne</w:t>
      </w:r>
      <w:r w:rsidRPr="008968FF">
        <w:rPr>
          <w:rFonts w:ascii="Times New Roman" w:hAnsi="Times New Roman" w:cs="Times New Roman"/>
          <w:sz w:val="24"/>
        </w:rPr>
        <w:t xml:space="preserve"> sprísnené hluko</w:t>
      </w:r>
      <w:r w:rsidRPr="008968FF" w:rsidR="00287F26">
        <w:rPr>
          <w:rFonts w:ascii="Times New Roman" w:hAnsi="Times New Roman" w:cs="Times New Roman"/>
          <w:sz w:val="24"/>
        </w:rPr>
        <w:t>vé limity v E</w:t>
      </w:r>
      <w:r w:rsidR="00427168">
        <w:rPr>
          <w:rFonts w:ascii="Times New Roman" w:hAnsi="Times New Roman" w:cs="Times New Roman"/>
          <w:sz w:val="24"/>
        </w:rPr>
        <w:t>urópe</w:t>
      </w:r>
      <w:r w:rsidRPr="008968FF">
        <w:rPr>
          <w:rFonts w:ascii="Times New Roman" w:hAnsi="Times New Roman" w:cs="Times New Roman"/>
          <w:sz w:val="24"/>
        </w:rPr>
        <w:t xml:space="preserve">. </w:t>
      </w:r>
    </w:p>
    <w:p w:rsidR="007A1E0D" w:rsidRPr="008968FF">
      <w:pPr>
        <w:pStyle w:val="BodyText"/>
        <w:rPr>
          <w:rFonts w:ascii="Times New Roman" w:hAnsi="Times New Roman" w:cs="Times New Roman"/>
          <w:sz w:val="24"/>
        </w:rPr>
      </w:pPr>
      <w:r w:rsidRPr="008968FF">
        <w:rPr>
          <w:rFonts w:ascii="Times New Roman" w:hAnsi="Times New Roman" w:cs="Times New Roman"/>
          <w:sz w:val="24"/>
        </w:rPr>
        <w:t xml:space="preserve"> </w:t>
      </w:r>
    </w:p>
    <w:p w:rsidR="007A1E0D" w:rsidRPr="008968FF">
      <w:pPr>
        <w:pStyle w:val="BodyText"/>
        <w:rPr>
          <w:rFonts w:ascii="Times New Roman" w:hAnsi="Times New Roman" w:cs="Times New Roman"/>
          <w:sz w:val="24"/>
        </w:rPr>
      </w:pPr>
      <w:r w:rsidRPr="008968FF" w:rsidR="00287F26">
        <w:rPr>
          <w:rFonts w:ascii="Times New Roman" w:hAnsi="Times New Roman" w:cs="Times New Roman"/>
          <w:sz w:val="24"/>
        </w:rPr>
        <w:t>Letisko Bratislava po dlhšej dobe zaznamenalo p</w:t>
      </w:r>
      <w:r w:rsidRPr="008968FF">
        <w:rPr>
          <w:rFonts w:ascii="Times New Roman" w:hAnsi="Times New Roman" w:cs="Times New Roman"/>
          <w:sz w:val="24"/>
        </w:rPr>
        <w:t xml:space="preserve">rvý významný pokrok v preprave carga v marci 2008. Dňa 28.3.2008 sa uskutočnil prvý pravidelný nákladný let </w:t>
      </w:r>
      <w:r w:rsidRPr="008968FF" w:rsidR="00287F26">
        <w:rPr>
          <w:rFonts w:ascii="Times New Roman" w:hAnsi="Times New Roman" w:cs="Times New Roman"/>
          <w:sz w:val="24"/>
        </w:rPr>
        <w:t>zásielkovej spoločnosti DHL na trase Bra</w:t>
      </w:r>
      <w:r w:rsidRPr="008968FF" w:rsidR="00287F26">
        <w:rPr>
          <w:rFonts w:ascii="Times New Roman" w:hAnsi="Times New Roman" w:cs="Times New Roman"/>
          <w:sz w:val="24"/>
        </w:rPr>
        <w:t>tislava –</w:t>
      </w:r>
      <w:r w:rsidRPr="008968FF">
        <w:rPr>
          <w:rFonts w:ascii="Times New Roman" w:hAnsi="Times New Roman" w:cs="Times New Roman"/>
          <w:sz w:val="24"/>
        </w:rPr>
        <w:t xml:space="preserve"> Lipsk</w:t>
      </w:r>
      <w:r w:rsidRPr="008968FF" w:rsidR="00287F26">
        <w:rPr>
          <w:rFonts w:ascii="Times New Roman" w:hAnsi="Times New Roman" w:cs="Times New Roman"/>
          <w:sz w:val="24"/>
        </w:rPr>
        <w:t>o.</w:t>
      </w:r>
      <w:r w:rsidRPr="008968FF">
        <w:rPr>
          <w:rFonts w:ascii="Times New Roman" w:hAnsi="Times New Roman" w:cs="Times New Roman"/>
          <w:sz w:val="24"/>
        </w:rPr>
        <w:t xml:space="preserve"> </w:t>
      </w:r>
      <w:r w:rsidRPr="008968FF" w:rsidR="00287F26">
        <w:rPr>
          <w:rFonts w:ascii="Times New Roman" w:hAnsi="Times New Roman" w:cs="Times New Roman"/>
          <w:sz w:val="24"/>
        </w:rPr>
        <w:t>DHL</w:t>
      </w:r>
      <w:r w:rsidRPr="008968FF">
        <w:rPr>
          <w:rFonts w:ascii="Times New Roman" w:hAnsi="Times New Roman" w:cs="Times New Roman"/>
          <w:sz w:val="24"/>
        </w:rPr>
        <w:t> </w:t>
      </w:r>
      <w:r w:rsidRPr="008968FF" w:rsidR="00287F26">
        <w:rPr>
          <w:rFonts w:ascii="Times New Roman" w:hAnsi="Times New Roman" w:cs="Times New Roman"/>
          <w:sz w:val="24"/>
        </w:rPr>
        <w:t xml:space="preserve">si v </w:t>
      </w:r>
      <w:r w:rsidRPr="008968FF">
        <w:rPr>
          <w:rFonts w:ascii="Times New Roman" w:hAnsi="Times New Roman" w:cs="Times New Roman"/>
          <w:sz w:val="24"/>
        </w:rPr>
        <w:t xml:space="preserve">Bratislave </w:t>
      </w:r>
      <w:r w:rsidRPr="008968FF" w:rsidR="00287F26">
        <w:rPr>
          <w:rFonts w:ascii="Times New Roman" w:hAnsi="Times New Roman" w:cs="Times New Roman"/>
          <w:sz w:val="24"/>
        </w:rPr>
        <w:t xml:space="preserve">vytvorila </w:t>
      </w:r>
      <w:r w:rsidRPr="008968FF">
        <w:rPr>
          <w:rFonts w:ascii="Times New Roman" w:hAnsi="Times New Roman" w:cs="Times New Roman"/>
          <w:sz w:val="24"/>
        </w:rPr>
        <w:t>novú základňu. Za</w:t>
      </w:r>
      <w:r w:rsidRPr="008968FF" w:rsidR="00287F26">
        <w:rPr>
          <w:rFonts w:ascii="Times New Roman" w:hAnsi="Times New Roman" w:cs="Times New Roman"/>
          <w:sz w:val="24"/>
        </w:rPr>
        <w:t>čat</w:t>
      </w:r>
      <w:r w:rsidRPr="008968FF">
        <w:rPr>
          <w:rFonts w:ascii="Times New Roman" w:hAnsi="Times New Roman" w:cs="Times New Roman"/>
          <w:sz w:val="24"/>
        </w:rPr>
        <w:t xml:space="preserve">ie linky sa na prevádzkových výkonoch odzrkadlilo hneď v prvej polovici mesiaca apríl, kedy objem nákladu vybaveného v Bratislave vzrástol takmer 26,5-krát. DHL vyjadrila </w:t>
      </w:r>
      <w:r w:rsidRPr="008968FF" w:rsidR="00287F26">
        <w:rPr>
          <w:rFonts w:ascii="Times New Roman" w:hAnsi="Times New Roman" w:cs="Times New Roman"/>
          <w:sz w:val="24"/>
        </w:rPr>
        <w:t>vysokú spokojnosť</w:t>
      </w:r>
      <w:r w:rsidRPr="008968FF" w:rsidR="00287F26">
        <w:rPr>
          <w:rFonts w:ascii="Times New Roman" w:hAnsi="Times New Roman" w:cs="Times New Roman"/>
          <w:sz w:val="24"/>
        </w:rPr>
        <w:t xml:space="preserve"> </w:t>
      </w:r>
      <w:r w:rsidRPr="008968FF">
        <w:rPr>
          <w:rFonts w:ascii="Times New Roman" w:hAnsi="Times New Roman" w:cs="Times New Roman"/>
          <w:sz w:val="24"/>
        </w:rPr>
        <w:t xml:space="preserve">s obsluhou a prevádzkou na bratislavskom letisku a deklarovala úvahy o možnom zvýšení počtu frekvencií na trase </w:t>
      </w:r>
      <w:r w:rsidRPr="008968FF" w:rsidR="00287F26">
        <w:rPr>
          <w:rFonts w:ascii="Times New Roman" w:hAnsi="Times New Roman" w:cs="Times New Roman"/>
          <w:sz w:val="24"/>
        </w:rPr>
        <w:t>do</w:t>
      </w:r>
      <w:r w:rsidRPr="008968FF">
        <w:rPr>
          <w:rFonts w:ascii="Times New Roman" w:hAnsi="Times New Roman" w:cs="Times New Roman"/>
          <w:sz w:val="24"/>
        </w:rPr>
        <w:t xml:space="preserve"> Lipsk</w:t>
      </w:r>
      <w:r w:rsidRPr="008968FF" w:rsidR="00287F26">
        <w:rPr>
          <w:rFonts w:ascii="Times New Roman" w:hAnsi="Times New Roman" w:cs="Times New Roman"/>
          <w:sz w:val="24"/>
        </w:rPr>
        <w:t>a</w:t>
      </w:r>
      <w:r w:rsidRPr="008968FF">
        <w:rPr>
          <w:rFonts w:ascii="Times New Roman" w:hAnsi="Times New Roman" w:cs="Times New Roman"/>
          <w:sz w:val="24"/>
        </w:rPr>
        <w:t>.</w:t>
      </w:r>
    </w:p>
    <w:p w:rsidR="007A1E0D" w:rsidRPr="008968FF">
      <w:pPr>
        <w:pStyle w:val="BodyText"/>
        <w:rPr>
          <w:rFonts w:ascii="Times New Roman" w:hAnsi="Times New Roman" w:cs="Times New Roman"/>
          <w:sz w:val="24"/>
        </w:rPr>
      </w:pPr>
      <w:r w:rsidRPr="008968FF">
        <w:rPr>
          <w:rFonts w:ascii="Times New Roman" w:hAnsi="Times New Roman" w:cs="Times New Roman"/>
          <w:sz w:val="24"/>
        </w:rPr>
        <w:t>Úspech DHL priťahuje záujem konkurenčných zásielkových spoločností, čo by do budúcna mohlo priniesť ďalšie pravidelné nákladné spoje</w:t>
      </w:r>
      <w:r w:rsidRPr="008968FF">
        <w:rPr>
          <w:rFonts w:ascii="Times New Roman" w:hAnsi="Times New Roman" w:cs="Times New Roman"/>
          <w:sz w:val="24"/>
        </w:rPr>
        <w:t>nia a tým rast objemu vybaveného carga.</w:t>
      </w:r>
    </w:p>
    <w:p w:rsidR="007A1E0D" w:rsidRPr="008968FF">
      <w:pPr>
        <w:pStyle w:val="BodyText"/>
        <w:rPr>
          <w:rFonts w:ascii="Times New Roman" w:hAnsi="Times New Roman" w:cs="Times New Roman"/>
          <w:sz w:val="24"/>
        </w:rPr>
      </w:pPr>
      <w:r w:rsidRPr="008968FF" w:rsidR="00287F26">
        <w:rPr>
          <w:rFonts w:ascii="Times New Roman" w:hAnsi="Times New Roman" w:cs="Times New Roman"/>
          <w:sz w:val="24"/>
        </w:rPr>
        <w:t xml:space="preserve"> </w:t>
      </w:r>
    </w:p>
    <w:p w:rsidR="007A1E0D" w:rsidRPr="008968FF">
      <w:pPr>
        <w:pStyle w:val="BodyText"/>
        <w:rPr>
          <w:rFonts w:ascii="Times New Roman" w:hAnsi="Times New Roman" w:cs="Times New Roman"/>
          <w:b/>
          <w:bCs/>
          <w:sz w:val="24"/>
        </w:rPr>
      </w:pPr>
      <w:r w:rsidRPr="008968FF">
        <w:rPr>
          <w:rFonts w:ascii="Times New Roman" w:hAnsi="Times New Roman" w:cs="Times New Roman"/>
          <w:b/>
          <w:bCs/>
          <w:sz w:val="24"/>
        </w:rPr>
        <w:t>Investičná výstavba</w:t>
      </w:r>
    </w:p>
    <w:p w:rsidR="007A1E0D" w:rsidRPr="008968FF">
      <w:pPr>
        <w:pStyle w:val="BodyText"/>
        <w:rPr>
          <w:rFonts w:ascii="Times New Roman" w:hAnsi="Times New Roman" w:cs="Times New Roman"/>
          <w:sz w:val="24"/>
          <w:u w:val="single"/>
        </w:rPr>
      </w:pPr>
      <w:r w:rsidRPr="008968FF">
        <w:rPr>
          <w:rFonts w:ascii="Times New Roman" w:hAnsi="Times New Roman" w:cs="Times New Roman"/>
          <w:sz w:val="24"/>
          <w:u w:val="single"/>
        </w:rPr>
        <w:t>Výsledky investičnej výstavby v roku 2007</w:t>
      </w:r>
    </w:p>
    <w:p w:rsidR="007A1E0D" w:rsidRPr="008968FF">
      <w:pPr>
        <w:pStyle w:val="BodyText"/>
        <w:rPr>
          <w:rFonts w:ascii="Times New Roman" w:hAnsi="Times New Roman" w:cs="Times New Roman"/>
          <w:sz w:val="24"/>
        </w:rPr>
      </w:pPr>
      <w:r w:rsidRPr="008968FF">
        <w:rPr>
          <w:rFonts w:ascii="Times New Roman" w:hAnsi="Times New Roman" w:cs="Times New Roman"/>
          <w:sz w:val="24"/>
        </w:rPr>
        <w:t>Hlavnou investičnou prioritou v roku 2007 bolo dokončenie všetkých stavebných úprav podmienených a vyvolaných vstupom SR do schengenského priestoru. Najzásadnejšou stavbou v uplynulom roku boli dva nové odletové mosty, prostredníctvom ktorých bola rozšírená časť terminálu určená pre cestujúcich odlietavajúcich do krajín mimo schengenského priestoru. Išlo o investíciu v celkovej výške približne 210,5 mil. Sk, ktorá umožnila plne oddeliť tok neschengenských cestujúcich a zároveň zvýšila kapacitu tejto časti budovy na úroveň zodpovedajúcu potrebám prevádzky do doby dokončenia ďalšej plánovanej etapy rozširovania (rok 2010).</w:t>
      </w:r>
    </w:p>
    <w:p w:rsidR="007A1E0D" w:rsidRPr="008968FF">
      <w:pPr>
        <w:pStyle w:val="BodyText"/>
        <w:rPr>
          <w:rFonts w:ascii="Times New Roman" w:hAnsi="Times New Roman" w:cs="Times New Roman"/>
          <w:sz w:val="24"/>
        </w:rPr>
      </w:pPr>
    </w:p>
    <w:p w:rsidR="007A1E0D" w:rsidRPr="008968FF">
      <w:pPr>
        <w:pStyle w:val="BodyText"/>
        <w:rPr>
          <w:rFonts w:ascii="Times New Roman" w:hAnsi="Times New Roman" w:cs="Times New Roman"/>
          <w:sz w:val="24"/>
        </w:rPr>
      </w:pPr>
      <w:r w:rsidRPr="008968FF">
        <w:rPr>
          <w:rFonts w:ascii="Times New Roman" w:hAnsi="Times New Roman" w:cs="Times New Roman"/>
          <w:sz w:val="24"/>
          <w:u w:val="single"/>
        </w:rPr>
        <w:t>Prebiehajúce a plánované investíci</w:t>
      </w:r>
      <w:r w:rsidRPr="008968FF">
        <w:rPr>
          <w:rFonts w:ascii="Times New Roman" w:hAnsi="Times New Roman" w:cs="Times New Roman"/>
          <w:sz w:val="24"/>
          <w:u w:val="single"/>
        </w:rPr>
        <w:t xml:space="preserve">e v prvom polroku 2008 </w:t>
      </w:r>
    </w:p>
    <w:p w:rsidR="007A1E0D" w:rsidRPr="008968FF">
      <w:pPr>
        <w:pStyle w:val="BodyText"/>
        <w:rPr>
          <w:rFonts w:ascii="Times New Roman" w:hAnsi="Times New Roman" w:cs="Times New Roman"/>
          <w:sz w:val="24"/>
        </w:rPr>
      </w:pPr>
      <w:r w:rsidRPr="008968FF">
        <w:rPr>
          <w:rFonts w:ascii="Times New Roman" w:hAnsi="Times New Roman" w:cs="Times New Roman"/>
          <w:sz w:val="24"/>
        </w:rPr>
        <w:t>Na začiatku roka 2008 za</w:t>
      </w:r>
      <w:r w:rsidRPr="008968FF" w:rsidR="003B5348">
        <w:rPr>
          <w:rFonts w:ascii="Times New Roman" w:hAnsi="Times New Roman" w:cs="Times New Roman"/>
          <w:sz w:val="24"/>
        </w:rPr>
        <w:t>ča</w:t>
      </w:r>
      <w:r w:rsidRPr="008968FF">
        <w:rPr>
          <w:rFonts w:ascii="Times New Roman" w:hAnsi="Times New Roman" w:cs="Times New Roman"/>
          <w:sz w:val="24"/>
        </w:rPr>
        <w:t xml:space="preserve">lo letisko </w:t>
      </w:r>
      <w:r w:rsidRPr="008968FF" w:rsidR="003B5348">
        <w:rPr>
          <w:rFonts w:ascii="Times New Roman" w:hAnsi="Times New Roman" w:cs="Times New Roman"/>
          <w:sz w:val="24"/>
        </w:rPr>
        <w:t xml:space="preserve">nasledovné </w:t>
      </w:r>
      <w:r w:rsidRPr="008968FF">
        <w:rPr>
          <w:rFonts w:ascii="Times New Roman" w:hAnsi="Times New Roman" w:cs="Times New Roman"/>
          <w:sz w:val="24"/>
        </w:rPr>
        <w:t xml:space="preserve">hlavné investičné akcie, ktoré </w:t>
      </w:r>
      <w:r w:rsidR="00CD348C">
        <w:rPr>
          <w:rFonts w:ascii="Times New Roman" w:hAnsi="Times New Roman" w:cs="Times New Roman"/>
          <w:sz w:val="24"/>
        </w:rPr>
        <w:t xml:space="preserve">boli alebo </w:t>
      </w:r>
      <w:r w:rsidRPr="008968FF">
        <w:rPr>
          <w:rFonts w:ascii="Times New Roman" w:hAnsi="Times New Roman" w:cs="Times New Roman"/>
          <w:sz w:val="24"/>
        </w:rPr>
        <w:t xml:space="preserve">budú ukončené už v prvom polroku a prispejú k ďalšiemu zvýšeniu </w:t>
      </w:r>
      <w:r w:rsidRPr="008968FF" w:rsidR="003B5348">
        <w:rPr>
          <w:rFonts w:ascii="Times New Roman" w:hAnsi="Times New Roman" w:cs="Times New Roman"/>
          <w:sz w:val="24"/>
        </w:rPr>
        <w:t>komfortu cestujúcej verejnosti:</w:t>
      </w:r>
    </w:p>
    <w:p w:rsidR="003B5348" w:rsidRPr="008968FF">
      <w:pPr>
        <w:pStyle w:val="BodyText"/>
        <w:rPr>
          <w:rFonts w:ascii="Times New Roman" w:hAnsi="Times New Roman" w:cs="Times New Roman"/>
          <w:sz w:val="24"/>
        </w:rPr>
      </w:pPr>
    </w:p>
    <w:p w:rsidR="007A1E0D" w:rsidRPr="008968FF">
      <w:pPr>
        <w:pStyle w:val="BodyText"/>
        <w:rPr>
          <w:rFonts w:ascii="Times New Roman" w:hAnsi="Times New Roman" w:cs="Times New Roman"/>
          <w:sz w:val="24"/>
        </w:rPr>
      </w:pPr>
      <w:r w:rsidRPr="008968FF">
        <w:rPr>
          <w:rFonts w:ascii="Times New Roman" w:hAnsi="Times New Roman" w:cs="Times New Roman"/>
          <w:sz w:val="24"/>
        </w:rPr>
        <w:t>1. V novovytvorenej neschengenskej časti term</w:t>
      </w:r>
      <w:r w:rsidRPr="008968FF">
        <w:rPr>
          <w:rFonts w:ascii="Times New Roman" w:hAnsi="Times New Roman" w:cs="Times New Roman"/>
          <w:sz w:val="24"/>
        </w:rPr>
        <w:t xml:space="preserve">inálu boli vybudované nové kaviarenské a obchodné priestory, ktoré boli </w:t>
      </w:r>
      <w:r w:rsidRPr="008968FF" w:rsidR="003B5348">
        <w:rPr>
          <w:rFonts w:ascii="Times New Roman" w:hAnsi="Times New Roman" w:cs="Times New Roman"/>
          <w:sz w:val="24"/>
        </w:rPr>
        <w:t>uvedené do p</w:t>
      </w:r>
      <w:r w:rsidRPr="008968FF">
        <w:rPr>
          <w:rFonts w:ascii="Times New Roman" w:hAnsi="Times New Roman" w:cs="Times New Roman"/>
          <w:sz w:val="24"/>
        </w:rPr>
        <w:t>revádzk</w:t>
      </w:r>
      <w:r w:rsidRPr="008968FF" w:rsidR="003B5348">
        <w:rPr>
          <w:rFonts w:ascii="Times New Roman" w:hAnsi="Times New Roman" w:cs="Times New Roman"/>
          <w:sz w:val="24"/>
        </w:rPr>
        <w:t>y</w:t>
      </w:r>
      <w:r w:rsidRPr="008968FF">
        <w:rPr>
          <w:rFonts w:ascii="Times New Roman" w:hAnsi="Times New Roman" w:cs="Times New Roman"/>
          <w:sz w:val="24"/>
        </w:rPr>
        <w:t xml:space="preserve"> ku dňu otvorenia vzdušných hraníc, t.j. 29.</w:t>
      </w:r>
      <w:r w:rsidRPr="008968FF" w:rsidR="003B5348">
        <w:rPr>
          <w:rFonts w:ascii="Times New Roman" w:hAnsi="Times New Roman" w:cs="Times New Roman"/>
          <w:sz w:val="24"/>
        </w:rPr>
        <w:t xml:space="preserve"> </w:t>
      </w:r>
      <w:r w:rsidR="00CD348C">
        <w:rPr>
          <w:rFonts w:ascii="Times New Roman" w:hAnsi="Times New Roman" w:cs="Times New Roman"/>
          <w:sz w:val="24"/>
        </w:rPr>
        <w:t>marc</w:t>
      </w:r>
      <w:r w:rsidRPr="008968FF" w:rsidR="003B5348">
        <w:rPr>
          <w:rFonts w:ascii="Times New Roman" w:hAnsi="Times New Roman" w:cs="Times New Roman"/>
          <w:sz w:val="24"/>
        </w:rPr>
        <w:t xml:space="preserve">a </w:t>
      </w:r>
      <w:r w:rsidRPr="008968FF">
        <w:rPr>
          <w:rFonts w:ascii="Times New Roman" w:hAnsi="Times New Roman" w:cs="Times New Roman"/>
          <w:sz w:val="24"/>
        </w:rPr>
        <w:t xml:space="preserve">2008. </w:t>
      </w:r>
    </w:p>
    <w:p w:rsidR="007A1E0D" w:rsidRPr="008968FF">
      <w:pPr>
        <w:pStyle w:val="BodyText"/>
        <w:rPr>
          <w:rFonts w:ascii="Times New Roman" w:hAnsi="Times New Roman" w:cs="Times New Roman"/>
          <w:sz w:val="24"/>
        </w:rPr>
      </w:pPr>
    </w:p>
    <w:p w:rsidR="007A1E0D" w:rsidRPr="008968FF">
      <w:pPr>
        <w:pStyle w:val="BodyText"/>
        <w:rPr>
          <w:rFonts w:ascii="Times New Roman" w:hAnsi="Times New Roman" w:cs="Times New Roman"/>
          <w:sz w:val="24"/>
        </w:rPr>
      </w:pPr>
      <w:r w:rsidRPr="008968FF">
        <w:rPr>
          <w:rFonts w:ascii="Times New Roman" w:hAnsi="Times New Roman" w:cs="Times New Roman"/>
          <w:sz w:val="24"/>
        </w:rPr>
        <w:t>2. Na druhej strane v termináli pre schengenských cestujúcich bol na mieste bývalého obslužného zázemia vybudovaný úplne nový salónik pre tzv. biznis cestujúcich. Do prevádzky bol uvedený 15. apríla 2008 a v moderných reprezentatívnych priestoroch ponúka služby zodpovedajúce požiadavkám náročnej biznis klientely.</w:t>
      </w:r>
    </w:p>
    <w:p w:rsidR="007A1E0D" w:rsidRPr="008968FF">
      <w:pPr>
        <w:pStyle w:val="BodyText"/>
        <w:rPr>
          <w:rFonts w:ascii="Times New Roman" w:hAnsi="Times New Roman" w:cs="Times New Roman"/>
          <w:sz w:val="24"/>
        </w:rPr>
      </w:pPr>
    </w:p>
    <w:p w:rsidR="007A1E0D" w:rsidRPr="008968FF">
      <w:pPr>
        <w:pStyle w:val="BodyText"/>
        <w:rPr>
          <w:rFonts w:ascii="Times New Roman" w:hAnsi="Times New Roman" w:cs="Times New Roman"/>
          <w:sz w:val="24"/>
        </w:rPr>
      </w:pPr>
      <w:r w:rsidRPr="008968FF">
        <w:rPr>
          <w:rFonts w:ascii="Times New Roman" w:hAnsi="Times New Roman" w:cs="Times New Roman"/>
          <w:sz w:val="24"/>
        </w:rPr>
        <w:t xml:space="preserve">3. Ďalšou významnou investičnou akciou je rozširovanie verejného pozemného parkoviska. Od 1. júna 2008 tak pribudne ďalších 300 </w:t>
      </w:r>
      <w:r w:rsidR="00CD348C">
        <w:rPr>
          <w:rFonts w:ascii="Times New Roman" w:hAnsi="Times New Roman" w:cs="Times New Roman"/>
          <w:sz w:val="24"/>
        </w:rPr>
        <w:t xml:space="preserve">parkovacích </w:t>
      </w:r>
      <w:r w:rsidRPr="008968FF">
        <w:rPr>
          <w:rFonts w:ascii="Times New Roman" w:hAnsi="Times New Roman" w:cs="Times New Roman"/>
          <w:sz w:val="24"/>
        </w:rPr>
        <w:t>miest, z ktorých prevažná väčšina bude určen</w:t>
      </w:r>
      <w:r w:rsidR="00CD348C">
        <w:rPr>
          <w:rFonts w:ascii="Times New Roman" w:hAnsi="Times New Roman" w:cs="Times New Roman"/>
          <w:sz w:val="24"/>
        </w:rPr>
        <w:t>á</w:t>
      </w:r>
      <w:r w:rsidRPr="008968FF">
        <w:rPr>
          <w:rFonts w:ascii="Times New Roman" w:hAnsi="Times New Roman" w:cs="Times New Roman"/>
          <w:sz w:val="24"/>
        </w:rPr>
        <w:t xml:space="preserve"> pre cestujúcu verejnosť. Menšia časť </w:t>
      </w:r>
      <w:r w:rsidRPr="008968FF" w:rsidR="003B5348">
        <w:rPr>
          <w:rFonts w:ascii="Times New Roman" w:hAnsi="Times New Roman" w:cs="Times New Roman"/>
          <w:sz w:val="24"/>
        </w:rPr>
        <w:t xml:space="preserve">parkovacích </w:t>
      </w:r>
      <w:r w:rsidRPr="008968FF">
        <w:rPr>
          <w:rFonts w:ascii="Times New Roman" w:hAnsi="Times New Roman" w:cs="Times New Roman"/>
          <w:sz w:val="24"/>
        </w:rPr>
        <w:t>miest bude vyhraden</w:t>
      </w:r>
      <w:r w:rsidRPr="008968FF" w:rsidR="003B5348">
        <w:rPr>
          <w:rFonts w:ascii="Times New Roman" w:hAnsi="Times New Roman" w:cs="Times New Roman"/>
          <w:sz w:val="24"/>
        </w:rPr>
        <w:t>á</w:t>
      </w:r>
      <w:r w:rsidRPr="008968FF">
        <w:rPr>
          <w:rFonts w:ascii="Times New Roman" w:hAnsi="Times New Roman" w:cs="Times New Roman"/>
          <w:sz w:val="24"/>
        </w:rPr>
        <w:t xml:space="preserve"> pre rôznych zmluvných partnerov letiska, čo umožní odbremeniť priestor pred budovami terminálu a tým zaistiť prehľadnejšiu a bezpečnejšiu dopravnú situáciu v celom areáli.</w:t>
      </w:r>
    </w:p>
    <w:p w:rsidR="007A1E0D" w:rsidRPr="008968FF">
      <w:pPr>
        <w:pStyle w:val="BodyText"/>
        <w:rPr>
          <w:rFonts w:ascii="Times New Roman" w:hAnsi="Times New Roman" w:cs="Times New Roman"/>
          <w:sz w:val="24"/>
        </w:rPr>
      </w:pPr>
    </w:p>
    <w:p w:rsidR="007A1E0D" w:rsidRPr="008968FF">
      <w:pPr>
        <w:pStyle w:val="BodyText"/>
        <w:rPr>
          <w:rFonts w:ascii="Times New Roman" w:hAnsi="Times New Roman" w:cs="Times New Roman"/>
          <w:sz w:val="24"/>
        </w:rPr>
      </w:pPr>
      <w:r w:rsidRPr="008968FF">
        <w:rPr>
          <w:rFonts w:ascii="Times New Roman" w:hAnsi="Times New Roman" w:cs="Times New Roman"/>
          <w:sz w:val="24"/>
        </w:rPr>
        <w:t xml:space="preserve">4. Letisko ďalej v prvom polroku vybuduje dvojpodlažný spájací objekt medzi halami A a B, ktorý značne rozšíri pôdorys budovy. V prízemí vznikne priestor pre rozšírenie výdaja batožín na prílete, rozšírenie </w:t>
      </w:r>
      <w:r w:rsidR="00CD348C">
        <w:rPr>
          <w:rFonts w:ascii="Times New Roman" w:hAnsi="Times New Roman" w:cs="Times New Roman"/>
          <w:sz w:val="24"/>
        </w:rPr>
        <w:t>sociálnej vybavenosti</w:t>
      </w:r>
      <w:r w:rsidRPr="008968FF">
        <w:rPr>
          <w:rFonts w:ascii="Times New Roman" w:hAnsi="Times New Roman" w:cs="Times New Roman"/>
          <w:sz w:val="24"/>
        </w:rPr>
        <w:t xml:space="preserve"> pre verejnosť a zároveň bude vytvorený priestor pre umiestnenie pultov cestovných kancelárií a ďalších podporných služieb. Plocha na prvom poschodí je určená na rozšírenie reštauračnej zóny a nov</w:t>
      </w:r>
      <w:r w:rsidR="00CD348C">
        <w:rPr>
          <w:rFonts w:ascii="Times New Roman" w:hAnsi="Times New Roman" w:cs="Times New Roman"/>
          <w:sz w:val="24"/>
        </w:rPr>
        <w:t>ých</w:t>
      </w:r>
      <w:r w:rsidRPr="008968FF">
        <w:rPr>
          <w:rFonts w:ascii="Times New Roman" w:hAnsi="Times New Roman" w:cs="Times New Roman"/>
          <w:sz w:val="24"/>
        </w:rPr>
        <w:t xml:space="preserve"> obchodn</w:t>
      </w:r>
      <w:r w:rsidR="00CD348C">
        <w:rPr>
          <w:rFonts w:ascii="Times New Roman" w:hAnsi="Times New Roman" w:cs="Times New Roman"/>
          <w:sz w:val="24"/>
        </w:rPr>
        <w:t>ých</w:t>
      </w:r>
      <w:r w:rsidRPr="008968FF">
        <w:rPr>
          <w:rFonts w:ascii="Times New Roman" w:hAnsi="Times New Roman" w:cs="Times New Roman"/>
          <w:sz w:val="24"/>
        </w:rPr>
        <w:t xml:space="preserve"> priestor</w:t>
      </w:r>
      <w:r w:rsidR="00CD348C">
        <w:rPr>
          <w:rFonts w:ascii="Times New Roman" w:hAnsi="Times New Roman" w:cs="Times New Roman"/>
          <w:sz w:val="24"/>
        </w:rPr>
        <w:t>ov</w:t>
      </w:r>
      <w:r w:rsidRPr="008968FF">
        <w:rPr>
          <w:rFonts w:ascii="Times New Roman" w:hAnsi="Times New Roman" w:cs="Times New Roman"/>
          <w:sz w:val="24"/>
        </w:rPr>
        <w:t>. Tento objekt by mal byť dokončený do 15. júla 2008.</w:t>
      </w:r>
    </w:p>
    <w:p w:rsidR="007A1E0D" w:rsidRPr="008968FF">
      <w:pPr>
        <w:pStyle w:val="BodyText"/>
        <w:rPr>
          <w:rFonts w:ascii="Times New Roman" w:hAnsi="Times New Roman" w:cs="Times New Roman"/>
          <w:sz w:val="24"/>
        </w:rPr>
      </w:pPr>
    </w:p>
    <w:p w:rsidR="007A1E0D" w:rsidRPr="008968FF">
      <w:pPr>
        <w:pStyle w:val="BodyText"/>
        <w:rPr>
          <w:rFonts w:ascii="Times New Roman" w:hAnsi="Times New Roman" w:cs="Times New Roman"/>
          <w:sz w:val="24"/>
        </w:rPr>
      </w:pPr>
      <w:r w:rsidRPr="008968FF">
        <w:rPr>
          <w:rFonts w:ascii="Times New Roman" w:hAnsi="Times New Roman" w:cs="Times New Roman"/>
          <w:sz w:val="24"/>
        </w:rPr>
        <w:t xml:space="preserve">Vymenované investície </w:t>
      </w:r>
      <w:r w:rsidRPr="008968FF" w:rsidR="003B5348">
        <w:rPr>
          <w:rFonts w:ascii="Times New Roman" w:hAnsi="Times New Roman" w:cs="Times New Roman"/>
          <w:sz w:val="24"/>
        </w:rPr>
        <w:t>predstavujú finančnú náročnosť</w:t>
      </w:r>
      <w:r w:rsidRPr="008968FF">
        <w:rPr>
          <w:rFonts w:ascii="Times New Roman" w:hAnsi="Times New Roman" w:cs="Times New Roman"/>
          <w:sz w:val="24"/>
        </w:rPr>
        <w:t xml:space="preserve"> približne 145,5 mil. Sk, ktoré budú </w:t>
      </w:r>
      <w:r w:rsidRPr="008968FF" w:rsidR="003B5348">
        <w:rPr>
          <w:rFonts w:ascii="Times New Roman" w:hAnsi="Times New Roman" w:cs="Times New Roman"/>
          <w:sz w:val="24"/>
        </w:rPr>
        <w:t>zabezpeč</w:t>
      </w:r>
      <w:r w:rsidRPr="008968FF">
        <w:rPr>
          <w:rFonts w:ascii="Times New Roman" w:hAnsi="Times New Roman" w:cs="Times New Roman"/>
          <w:sz w:val="24"/>
        </w:rPr>
        <w:t>ené z vlastných zdrojov.</w:t>
      </w:r>
    </w:p>
    <w:p w:rsidR="007A1E0D" w:rsidRPr="00CD348C">
      <w:pPr>
        <w:pStyle w:val="BodyText"/>
        <w:rPr>
          <w:rFonts w:ascii="Times New Roman" w:hAnsi="Times New Roman" w:cs="Times New Roman"/>
          <w:sz w:val="24"/>
        </w:rPr>
      </w:pPr>
    </w:p>
    <w:p w:rsidR="00CD348C" w:rsidRPr="00CD348C" w:rsidP="00CD348C">
      <w:pPr>
        <w:pStyle w:val="BodyText"/>
        <w:rPr>
          <w:rFonts w:ascii="Times New Roman" w:hAnsi="Times New Roman" w:cs="Times New Roman"/>
          <w:sz w:val="24"/>
        </w:rPr>
      </w:pPr>
      <w:r w:rsidRPr="00CD348C">
        <w:rPr>
          <w:rFonts w:ascii="Times New Roman" w:hAnsi="Times New Roman" w:cs="Times New Roman"/>
          <w:sz w:val="24"/>
        </w:rPr>
        <w:t xml:space="preserve">V druhom polroku 2008 sú plánované investície do projektov: realizácia ďalších dvoch nástupných mostov, inštalácia technológií do spájacieho objektu medzi halami A,B, inštalácia rekuperačnej jednotky na benzín a oplotenie skladov LPH a osové vytýčenie pojazdovej dráhy F. </w:t>
      </w:r>
    </w:p>
    <w:p w:rsidR="00CD348C" w:rsidRPr="00CD348C" w:rsidP="00CD348C">
      <w:pPr>
        <w:pStyle w:val="BodyText"/>
        <w:rPr>
          <w:rFonts w:ascii="Times New Roman" w:hAnsi="Times New Roman" w:cs="Times New Roman"/>
          <w:sz w:val="24"/>
        </w:rPr>
      </w:pPr>
      <w:r w:rsidRPr="00CD348C">
        <w:rPr>
          <w:rFonts w:ascii="Times New Roman" w:hAnsi="Times New Roman" w:cs="Times New Roman"/>
          <w:sz w:val="24"/>
        </w:rPr>
        <w:t>Celkovo by v roku 2008 malo byť do stavebných projektov a strojného vybavenia preinvestovaných približne 670 mil. Sk, všetko z vlastných zdrojov spoločnosti.</w:t>
      </w:r>
    </w:p>
    <w:p w:rsidR="008968FF" w:rsidRPr="008968FF">
      <w:pPr>
        <w:pStyle w:val="BodyText"/>
        <w:rPr>
          <w:rFonts w:ascii="Times New Roman" w:hAnsi="Times New Roman" w:cs="Times New Roman"/>
          <w:sz w:val="24"/>
        </w:rPr>
      </w:pPr>
    </w:p>
    <w:p w:rsidR="007A1E0D" w:rsidRPr="003B5348" w:rsidP="003B5348">
      <w:pPr>
        <w:pStyle w:val="Title"/>
        <w:jc w:val="both"/>
        <w:rPr>
          <w:rFonts w:ascii="Times New Roman" w:hAnsi="Times New Roman" w:cs="Times New Roman"/>
          <w:sz w:val="24"/>
        </w:rPr>
      </w:pPr>
      <w:r w:rsidR="003B5348">
        <w:rPr>
          <w:rFonts w:ascii="Times New Roman" w:hAnsi="Times New Roman" w:cs="Times New Roman"/>
          <w:sz w:val="24"/>
        </w:rPr>
        <w:t xml:space="preserve">B) </w:t>
      </w:r>
      <w:r w:rsidRPr="003B5348">
        <w:rPr>
          <w:rFonts w:ascii="Times New Roman" w:hAnsi="Times New Roman" w:cs="Times New Roman"/>
          <w:sz w:val="24"/>
        </w:rPr>
        <w:t>Koncepci</w:t>
      </w:r>
      <w:r w:rsidR="003B5348">
        <w:rPr>
          <w:rFonts w:ascii="Times New Roman" w:hAnsi="Times New Roman" w:cs="Times New Roman"/>
          <w:sz w:val="24"/>
        </w:rPr>
        <w:t>a</w:t>
      </w:r>
      <w:r w:rsidRPr="003B5348">
        <w:rPr>
          <w:rFonts w:ascii="Times New Roman" w:hAnsi="Times New Roman" w:cs="Times New Roman"/>
          <w:sz w:val="24"/>
        </w:rPr>
        <w:t xml:space="preserve"> rozvoja</w:t>
      </w:r>
    </w:p>
    <w:p w:rsidR="007A1E0D" w:rsidRPr="00F5355A">
      <w:pPr>
        <w:pStyle w:val="BodyText"/>
        <w:rPr>
          <w:rFonts w:ascii="Times New Roman" w:hAnsi="Times New Roman" w:cs="Times New Roman"/>
        </w:rPr>
      </w:pPr>
    </w:p>
    <w:p w:rsidR="007A1E0D" w:rsidRPr="008968FF">
      <w:pPr>
        <w:pStyle w:val="BodyText"/>
        <w:rPr>
          <w:rFonts w:ascii="Times New Roman" w:hAnsi="Times New Roman" w:cs="Times New Roman"/>
          <w:i/>
          <w:iCs/>
          <w:sz w:val="24"/>
        </w:rPr>
      </w:pPr>
      <w:r w:rsidRPr="008968FF">
        <w:rPr>
          <w:rFonts w:ascii="Times New Roman" w:hAnsi="Times New Roman" w:cs="Times New Roman"/>
          <w:i/>
          <w:iCs/>
          <w:sz w:val="24"/>
        </w:rPr>
        <w:t>Bratislavské letisko je hlavným medzinárodným letiskom</w:t>
      </w:r>
      <w:r w:rsidR="008968FF">
        <w:rPr>
          <w:rFonts w:ascii="Times New Roman" w:hAnsi="Times New Roman" w:cs="Times New Roman"/>
          <w:i/>
          <w:iCs/>
          <w:sz w:val="24"/>
        </w:rPr>
        <w:t xml:space="preserve"> Slovenskej republiky</w:t>
      </w:r>
      <w:r w:rsidRPr="008968FF">
        <w:rPr>
          <w:rFonts w:ascii="Times New Roman" w:hAnsi="Times New Roman" w:cs="Times New Roman"/>
          <w:i/>
          <w:iCs/>
          <w:sz w:val="24"/>
        </w:rPr>
        <w:t xml:space="preserve">, je významnou vstupnou bránou do krajiny a zároveň je dôležitým strategickým podnikom. </w:t>
      </w:r>
    </w:p>
    <w:p w:rsidR="007A1E0D" w:rsidRPr="008968FF">
      <w:pPr>
        <w:pStyle w:val="BodyText"/>
        <w:rPr>
          <w:rFonts w:ascii="Times New Roman" w:hAnsi="Times New Roman" w:cs="Times New Roman"/>
          <w:i/>
          <w:iCs/>
          <w:sz w:val="24"/>
        </w:rPr>
      </w:pPr>
      <w:r w:rsidRPr="008968FF">
        <w:rPr>
          <w:rFonts w:ascii="Times New Roman" w:hAnsi="Times New Roman" w:cs="Times New Roman"/>
          <w:i/>
          <w:iCs/>
          <w:sz w:val="24"/>
        </w:rPr>
        <w:t>Vďaka zvýšeniu životnej úrovne a novým konceptom</w:t>
      </w:r>
      <w:r w:rsidR="008968FF">
        <w:rPr>
          <w:rFonts w:ascii="Times New Roman" w:hAnsi="Times New Roman" w:cs="Times New Roman"/>
          <w:i/>
          <w:iCs/>
          <w:sz w:val="24"/>
        </w:rPr>
        <w:t>,</w:t>
      </w:r>
      <w:r w:rsidRPr="008968FF">
        <w:rPr>
          <w:rFonts w:ascii="Times New Roman" w:hAnsi="Times New Roman" w:cs="Times New Roman"/>
          <w:i/>
          <w:iCs/>
          <w:sz w:val="24"/>
        </w:rPr>
        <w:t xml:space="preserve"> ako je </w:t>
      </w:r>
      <w:r w:rsidR="008968FF">
        <w:rPr>
          <w:rFonts w:ascii="Times New Roman" w:hAnsi="Times New Roman" w:cs="Times New Roman"/>
          <w:i/>
          <w:iCs/>
          <w:sz w:val="24"/>
        </w:rPr>
        <w:t xml:space="preserve">poskytovanie služieb </w:t>
      </w:r>
      <w:r w:rsidRPr="008968FF">
        <w:rPr>
          <w:rFonts w:ascii="Times New Roman" w:hAnsi="Times New Roman" w:cs="Times New Roman"/>
          <w:i/>
          <w:iCs/>
          <w:sz w:val="24"/>
        </w:rPr>
        <w:t>nízkonákladov</w:t>
      </w:r>
      <w:r w:rsidR="008968FF">
        <w:rPr>
          <w:rFonts w:ascii="Times New Roman" w:hAnsi="Times New Roman" w:cs="Times New Roman"/>
          <w:i/>
          <w:iCs/>
          <w:sz w:val="24"/>
        </w:rPr>
        <w:t>ými dopravcami,</w:t>
      </w:r>
      <w:r w:rsidRPr="008968FF">
        <w:rPr>
          <w:rFonts w:ascii="Times New Roman" w:hAnsi="Times New Roman" w:cs="Times New Roman"/>
          <w:i/>
          <w:iCs/>
          <w:sz w:val="24"/>
        </w:rPr>
        <w:t xml:space="preserve"> sa letecká </w:t>
      </w:r>
      <w:r w:rsidR="00CD348C">
        <w:rPr>
          <w:rFonts w:ascii="Times New Roman" w:hAnsi="Times New Roman" w:cs="Times New Roman"/>
          <w:i/>
          <w:iCs/>
          <w:sz w:val="24"/>
        </w:rPr>
        <w:t>do</w:t>
      </w:r>
      <w:r w:rsidRPr="008968FF">
        <w:rPr>
          <w:rFonts w:ascii="Times New Roman" w:hAnsi="Times New Roman" w:cs="Times New Roman"/>
          <w:i/>
          <w:iCs/>
          <w:sz w:val="24"/>
        </w:rPr>
        <w:t>prava stala dostupným a čoraz viac obľúbený</w:t>
      </w:r>
      <w:r w:rsidR="00CD348C">
        <w:rPr>
          <w:rFonts w:ascii="Times New Roman" w:hAnsi="Times New Roman" w:cs="Times New Roman"/>
          <w:i/>
          <w:iCs/>
          <w:sz w:val="24"/>
        </w:rPr>
        <w:t>m</w:t>
      </w:r>
      <w:r w:rsidRPr="008968FF">
        <w:rPr>
          <w:rFonts w:ascii="Times New Roman" w:hAnsi="Times New Roman" w:cs="Times New Roman"/>
          <w:i/>
          <w:iCs/>
          <w:sz w:val="24"/>
        </w:rPr>
        <w:t xml:space="preserve"> spôsobom </w:t>
      </w:r>
      <w:r w:rsidR="00CD348C">
        <w:rPr>
          <w:rFonts w:ascii="Times New Roman" w:hAnsi="Times New Roman" w:cs="Times New Roman"/>
          <w:i/>
          <w:iCs/>
          <w:sz w:val="24"/>
        </w:rPr>
        <w:t>do</w:t>
      </w:r>
      <w:r w:rsidRPr="008968FF">
        <w:rPr>
          <w:rFonts w:ascii="Times New Roman" w:hAnsi="Times New Roman" w:cs="Times New Roman"/>
          <w:i/>
          <w:iCs/>
          <w:sz w:val="24"/>
        </w:rPr>
        <w:t>pravy aj pre obyvateľov Slovenska.</w:t>
      </w:r>
    </w:p>
    <w:p w:rsidR="007A1E0D" w:rsidRPr="008968FF">
      <w:pPr>
        <w:pStyle w:val="BodyText"/>
        <w:rPr>
          <w:rFonts w:ascii="Times New Roman" w:hAnsi="Times New Roman" w:cs="Times New Roman"/>
          <w:sz w:val="24"/>
        </w:rPr>
      </w:pPr>
    </w:p>
    <w:p w:rsidR="007A1E0D" w:rsidRPr="008968FF">
      <w:pPr>
        <w:pStyle w:val="BodyText"/>
        <w:rPr>
          <w:rFonts w:ascii="Times New Roman" w:hAnsi="Times New Roman" w:cs="Times New Roman"/>
          <w:sz w:val="24"/>
        </w:rPr>
      </w:pPr>
      <w:r w:rsidRPr="008968FF">
        <w:rPr>
          <w:rFonts w:ascii="Times New Roman" w:hAnsi="Times New Roman" w:cs="Times New Roman"/>
          <w:sz w:val="24"/>
        </w:rPr>
        <w:t>Vzhľadom na neustále rastúci význam mesta Bratislavy ako hlavného mesta členského štátu EÚ</w:t>
      </w:r>
      <w:r w:rsidR="008968FF">
        <w:rPr>
          <w:rFonts w:ascii="Times New Roman" w:hAnsi="Times New Roman" w:cs="Times New Roman"/>
          <w:sz w:val="24"/>
        </w:rPr>
        <w:t>,</w:t>
      </w:r>
      <w:r w:rsidRPr="008968FF">
        <w:rPr>
          <w:rFonts w:ascii="Times New Roman" w:hAnsi="Times New Roman" w:cs="Times New Roman"/>
          <w:sz w:val="24"/>
        </w:rPr>
        <w:t xml:space="preserve"> na </w:t>
      </w:r>
      <w:r w:rsidR="008968FF">
        <w:rPr>
          <w:rFonts w:ascii="Times New Roman" w:hAnsi="Times New Roman" w:cs="Times New Roman"/>
          <w:sz w:val="24"/>
        </w:rPr>
        <w:t>hodnotenie</w:t>
      </w:r>
      <w:r w:rsidRPr="008968FF">
        <w:rPr>
          <w:rFonts w:ascii="Times New Roman" w:hAnsi="Times New Roman" w:cs="Times New Roman"/>
          <w:sz w:val="24"/>
        </w:rPr>
        <w:t xml:space="preserve"> Slovenska</w:t>
      </w:r>
      <w:r w:rsidR="008968FF">
        <w:rPr>
          <w:rFonts w:ascii="Times New Roman" w:hAnsi="Times New Roman" w:cs="Times New Roman"/>
          <w:sz w:val="24"/>
        </w:rPr>
        <w:t>,</w:t>
      </w:r>
      <w:r w:rsidRPr="008968FF">
        <w:rPr>
          <w:rFonts w:ascii="Times New Roman" w:hAnsi="Times New Roman" w:cs="Times New Roman"/>
          <w:sz w:val="24"/>
        </w:rPr>
        <w:t xml:space="preserve"> ako najrýchlejšie rastúcej ekonomiky v rámci EÚ v poslednom roku</w:t>
      </w:r>
      <w:r w:rsidR="008968FF">
        <w:rPr>
          <w:rFonts w:ascii="Times New Roman" w:hAnsi="Times New Roman" w:cs="Times New Roman"/>
          <w:sz w:val="24"/>
        </w:rPr>
        <w:t>,</w:t>
      </w:r>
      <w:r w:rsidRPr="008968FF">
        <w:rPr>
          <w:rFonts w:ascii="Times New Roman" w:hAnsi="Times New Roman" w:cs="Times New Roman"/>
          <w:sz w:val="24"/>
        </w:rPr>
        <w:t xml:space="preserve"> m</w:t>
      </w:r>
      <w:r w:rsidR="008968FF">
        <w:rPr>
          <w:rFonts w:ascii="Times New Roman" w:hAnsi="Times New Roman" w:cs="Times New Roman"/>
          <w:sz w:val="24"/>
        </w:rPr>
        <w:t>ô</w:t>
      </w:r>
      <w:r w:rsidRPr="008968FF">
        <w:rPr>
          <w:rFonts w:ascii="Times New Roman" w:hAnsi="Times New Roman" w:cs="Times New Roman"/>
          <w:sz w:val="24"/>
        </w:rPr>
        <w:t>ž</w:t>
      </w:r>
      <w:r w:rsidR="008968FF">
        <w:rPr>
          <w:rFonts w:ascii="Times New Roman" w:hAnsi="Times New Roman" w:cs="Times New Roman"/>
          <w:sz w:val="24"/>
        </w:rPr>
        <w:t>eme</w:t>
      </w:r>
      <w:r w:rsidRPr="008968FF">
        <w:rPr>
          <w:rFonts w:ascii="Times New Roman" w:hAnsi="Times New Roman" w:cs="Times New Roman"/>
          <w:sz w:val="24"/>
        </w:rPr>
        <w:t xml:space="preserve"> reálne očakávať pokračovanie rastu objemu </w:t>
      </w:r>
      <w:r w:rsidR="00CD348C">
        <w:rPr>
          <w:rFonts w:ascii="Times New Roman" w:hAnsi="Times New Roman" w:cs="Times New Roman"/>
          <w:sz w:val="24"/>
        </w:rPr>
        <w:t>do</w:t>
      </w:r>
      <w:r w:rsidRPr="008968FF">
        <w:rPr>
          <w:rFonts w:ascii="Times New Roman" w:hAnsi="Times New Roman" w:cs="Times New Roman"/>
          <w:sz w:val="24"/>
        </w:rPr>
        <w:t>pravy na bratislavskom letisku.</w:t>
      </w:r>
    </w:p>
    <w:p w:rsidR="007A1E0D" w:rsidRPr="008968FF">
      <w:pPr>
        <w:pStyle w:val="BodyText"/>
        <w:rPr>
          <w:rFonts w:ascii="Times New Roman" w:hAnsi="Times New Roman" w:cs="Times New Roman"/>
          <w:sz w:val="24"/>
        </w:rPr>
      </w:pPr>
    </w:p>
    <w:p w:rsidR="007A1E0D" w:rsidRPr="008968FF">
      <w:pPr>
        <w:pStyle w:val="BodyText"/>
        <w:rPr>
          <w:rFonts w:ascii="Times New Roman" w:hAnsi="Times New Roman" w:cs="Times New Roman"/>
          <w:sz w:val="24"/>
        </w:rPr>
      </w:pPr>
      <w:r w:rsidRPr="005B347F" w:rsidR="008968FF">
        <w:rPr>
          <w:rFonts w:ascii="Times New Roman" w:hAnsi="Times New Roman" w:cs="Times New Roman"/>
          <w:sz w:val="24"/>
        </w:rPr>
        <w:t>Podľa</w:t>
      </w:r>
      <w:r w:rsidRPr="005B347F">
        <w:rPr>
          <w:rFonts w:ascii="Times New Roman" w:hAnsi="Times New Roman" w:cs="Times New Roman"/>
          <w:sz w:val="24"/>
        </w:rPr>
        <w:t xml:space="preserve"> </w:t>
      </w:r>
      <w:r w:rsidRPr="005B347F" w:rsidR="005B347F">
        <w:rPr>
          <w:rFonts w:ascii="Times New Roman" w:hAnsi="Times New Roman" w:cs="Times New Roman"/>
          <w:sz w:val="24"/>
        </w:rPr>
        <w:t xml:space="preserve">všeobecných </w:t>
      </w:r>
      <w:r w:rsidRPr="005B347F">
        <w:rPr>
          <w:rFonts w:ascii="Times New Roman" w:hAnsi="Times New Roman" w:cs="Times New Roman"/>
          <w:sz w:val="24"/>
        </w:rPr>
        <w:t xml:space="preserve">predpokladov </w:t>
      </w:r>
      <w:r w:rsidRPr="005B347F" w:rsidR="005B347F">
        <w:rPr>
          <w:rFonts w:ascii="Times New Roman" w:hAnsi="Times New Roman" w:cs="Times New Roman"/>
          <w:sz w:val="24"/>
        </w:rPr>
        <w:t xml:space="preserve">uvedených v materiále </w:t>
      </w:r>
      <w:r w:rsidR="004D4541">
        <w:rPr>
          <w:rFonts w:ascii="Times New Roman" w:hAnsi="Times New Roman" w:cs="Times New Roman"/>
          <w:sz w:val="24"/>
        </w:rPr>
        <w:t>„</w:t>
      </w:r>
      <w:r w:rsidRPr="005B347F" w:rsidR="005B347F">
        <w:rPr>
          <w:rFonts w:ascii="Times New Roman" w:hAnsi="Times New Roman" w:cs="Times New Roman"/>
          <w:sz w:val="24"/>
        </w:rPr>
        <w:t>Koncepcia</w:t>
      </w:r>
      <w:r w:rsidRPr="005B347F">
        <w:rPr>
          <w:rFonts w:ascii="Times New Roman" w:hAnsi="Times New Roman" w:cs="Times New Roman"/>
          <w:sz w:val="24"/>
        </w:rPr>
        <w:t xml:space="preserve"> </w:t>
      </w:r>
      <w:r w:rsidRPr="005B347F" w:rsidR="005B347F">
        <w:rPr>
          <w:rFonts w:ascii="Times New Roman" w:hAnsi="Times New Roman" w:cs="Times New Roman"/>
          <w:sz w:val="24"/>
        </w:rPr>
        <w:t>rozvoja leteckej dopravy Slovenskej republiky na obdobie do roku 2010</w:t>
      </w:r>
      <w:r w:rsidR="004D4541">
        <w:rPr>
          <w:rFonts w:ascii="Times New Roman" w:hAnsi="Times New Roman" w:cs="Times New Roman"/>
          <w:sz w:val="24"/>
        </w:rPr>
        <w:t>“</w:t>
      </w:r>
      <w:r w:rsidR="005B347F">
        <w:rPr>
          <w:rFonts w:ascii="Times New Roman" w:hAnsi="Times New Roman" w:cs="Times New Roman"/>
          <w:sz w:val="24"/>
        </w:rPr>
        <w:t xml:space="preserve"> a vlastných analýz letiska </w:t>
      </w:r>
      <w:r w:rsidRPr="005B347F" w:rsidR="008968FF">
        <w:rPr>
          <w:rFonts w:ascii="Times New Roman" w:hAnsi="Times New Roman" w:cs="Times New Roman"/>
          <w:sz w:val="24"/>
        </w:rPr>
        <w:t>b</w:t>
      </w:r>
      <w:r w:rsidR="005B347F">
        <w:rPr>
          <w:rFonts w:ascii="Times New Roman" w:hAnsi="Times New Roman" w:cs="Times New Roman"/>
          <w:sz w:val="24"/>
        </w:rPr>
        <w:t xml:space="preserve">y mala </w:t>
      </w:r>
      <w:r w:rsidRPr="005B347F">
        <w:rPr>
          <w:rFonts w:ascii="Times New Roman" w:hAnsi="Times New Roman" w:cs="Times New Roman"/>
          <w:sz w:val="24"/>
        </w:rPr>
        <w:t xml:space="preserve">letecká </w:t>
      </w:r>
      <w:r w:rsidR="00CD348C">
        <w:rPr>
          <w:rFonts w:ascii="Times New Roman" w:hAnsi="Times New Roman" w:cs="Times New Roman"/>
          <w:sz w:val="24"/>
        </w:rPr>
        <w:t>do</w:t>
      </w:r>
      <w:r w:rsidRPr="005B347F">
        <w:rPr>
          <w:rFonts w:ascii="Times New Roman" w:hAnsi="Times New Roman" w:cs="Times New Roman"/>
          <w:sz w:val="24"/>
        </w:rPr>
        <w:t>prava na Slovensku do roku 2010 rásť v rozmedzí 10% (pesimistický predpoklad) – 23% (optimistický predpoklad). Na základe t</w:t>
      </w:r>
      <w:r w:rsidRPr="005B347F" w:rsidR="008968FF">
        <w:rPr>
          <w:rFonts w:ascii="Times New Roman" w:hAnsi="Times New Roman" w:cs="Times New Roman"/>
          <w:sz w:val="24"/>
        </w:rPr>
        <w:t>o</w:t>
      </w:r>
      <w:r w:rsidRPr="005B347F">
        <w:rPr>
          <w:rFonts w:ascii="Times New Roman" w:hAnsi="Times New Roman" w:cs="Times New Roman"/>
          <w:sz w:val="24"/>
        </w:rPr>
        <w:t>ho</w:t>
      </w:r>
      <w:r w:rsidRPr="005B347F" w:rsidR="008968FF">
        <w:rPr>
          <w:rFonts w:ascii="Times New Roman" w:hAnsi="Times New Roman" w:cs="Times New Roman"/>
          <w:sz w:val="24"/>
        </w:rPr>
        <w:t>,</w:t>
      </w:r>
      <w:r w:rsidRPr="005B347F">
        <w:rPr>
          <w:rFonts w:ascii="Times New Roman" w:hAnsi="Times New Roman" w:cs="Times New Roman"/>
          <w:sz w:val="24"/>
        </w:rPr>
        <w:t xml:space="preserve"> ako aj </w:t>
      </w:r>
      <w:r w:rsidRPr="005B347F" w:rsidR="008968FF">
        <w:rPr>
          <w:rFonts w:ascii="Times New Roman" w:hAnsi="Times New Roman" w:cs="Times New Roman"/>
          <w:sz w:val="24"/>
        </w:rPr>
        <w:t xml:space="preserve">na základe </w:t>
      </w:r>
      <w:r w:rsidRPr="005B347F">
        <w:rPr>
          <w:rFonts w:ascii="Times New Roman" w:hAnsi="Times New Roman" w:cs="Times New Roman"/>
          <w:sz w:val="24"/>
        </w:rPr>
        <w:t>ďalších konzultácií s odbornými poradcami a</w:t>
      </w:r>
      <w:r w:rsidRPr="005B347F" w:rsidR="008968FF">
        <w:rPr>
          <w:rFonts w:ascii="Times New Roman" w:hAnsi="Times New Roman" w:cs="Times New Roman"/>
          <w:sz w:val="24"/>
        </w:rPr>
        <w:t> </w:t>
      </w:r>
      <w:r w:rsidRPr="005B347F">
        <w:rPr>
          <w:rFonts w:ascii="Times New Roman" w:hAnsi="Times New Roman" w:cs="Times New Roman"/>
          <w:sz w:val="24"/>
        </w:rPr>
        <w:t>inštitúciami</w:t>
      </w:r>
      <w:r w:rsidRPr="005B347F" w:rsidR="008968FF">
        <w:rPr>
          <w:rFonts w:ascii="Times New Roman" w:hAnsi="Times New Roman" w:cs="Times New Roman"/>
          <w:sz w:val="24"/>
        </w:rPr>
        <w:t>,</w:t>
      </w:r>
      <w:r w:rsidRPr="008968FF">
        <w:rPr>
          <w:rFonts w:ascii="Times New Roman" w:hAnsi="Times New Roman" w:cs="Times New Roman"/>
          <w:sz w:val="24"/>
        </w:rPr>
        <w:t xml:space="preserve"> manažment letisk</w:t>
      </w:r>
      <w:r w:rsidR="008968FF">
        <w:rPr>
          <w:rFonts w:ascii="Times New Roman" w:hAnsi="Times New Roman" w:cs="Times New Roman"/>
          <w:sz w:val="24"/>
        </w:rPr>
        <w:t>a</w:t>
      </w:r>
      <w:r w:rsidRPr="008968FF">
        <w:rPr>
          <w:rFonts w:ascii="Times New Roman" w:hAnsi="Times New Roman" w:cs="Times New Roman"/>
          <w:sz w:val="24"/>
        </w:rPr>
        <w:t xml:space="preserve"> zostavil </w:t>
      </w:r>
      <w:r w:rsidR="009B73CE">
        <w:rPr>
          <w:rFonts w:ascii="Times New Roman" w:hAnsi="Times New Roman" w:cs="Times New Roman"/>
          <w:sz w:val="24"/>
        </w:rPr>
        <w:t xml:space="preserve">aktualizovanú </w:t>
      </w:r>
      <w:r w:rsidRPr="008968FF">
        <w:rPr>
          <w:rFonts w:ascii="Times New Roman" w:hAnsi="Times New Roman" w:cs="Times New Roman"/>
          <w:sz w:val="24"/>
        </w:rPr>
        <w:t xml:space="preserve">očakávanú krivku vývoja </w:t>
      </w:r>
      <w:r w:rsidR="00CD348C">
        <w:rPr>
          <w:rFonts w:ascii="Times New Roman" w:hAnsi="Times New Roman" w:cs="Times New Roman"/>
          <w:sz w:val="24"/>
        </w:rPr>
        <w:t>do</w:t>
      </w:r>
      <w:r w:rsidRPr="008968FF">
        <w:rPr>
          <w:rFonts w:ascii="Times New Roman" w:hAnsi="Times New Roman" w:cs="Times New Roman"/>
          <w:sz w:val="24"/>
        </w:rPr>
        <w:t>pravy na Letisku M. R. Štefánika Bratislav</w:t>
      </w:r>
      <w:r w:rsidR="00CD348C">
        <w:rPr>
          <w:rFonts w:ascii="Times New Roman" w:hAnsi="Times New Roman" w:cs="Times New Roman"/>
          <w:sz w:val="24"/>
        </w:rPr>
        <w:t>a</w:t>
      </w:r>
      <w:r w:rsidRPr="008968FF">
        <w:rPr>
          <w:rFonts w:ascii="Times New Roman" w:hAnsi="Times New Roman" w:cs="Times New Roman"/>
          <w:sz w:val="24"/>
        </w:rPr>
        <w:t xml:space="preserve"> pre nasledujúce obdobie.</w:t>
      </w:r>
    </w:p>
    <w:p w:rsidR="007A1E0D">
      <w:pPr>
        <w:pStyle w:val="BodyText"/>
        <w:rPr>
          <w:rFonts w:ascii="Times New Roman" w:hAnsi="Times New Roman" w:cs="Times New Roman"/>
          <w:sz w:val="24"/>
        </w:rPr>
      </w:pPr>
    </w:p>
    <w:p w:rsidR="008968FF">
      <w:pPr>
        <w:pStyle w:val="BodyText"/>
        <w:rPr>
          <w:rFonts w:ascii="Times New Roman" w:hAnsi="Times New Roman" w:cs="Times New Roman"/>
          <w:sz w:val="24"/>
        </w:rPr>
      </w:pPr>
    </w:p>
    <w:p w:rsidR="008968FF">
      <w:pPr>
        <w:pStyle w:val="BodyText"/>
        <w:rPr>
          <w:rFonts w:ascii="Times New Roman" w:hAnsi="Times New Roman" w:cs="Times New Roman"/>
          <w:sz w:val="24"/>
        </w:rPr>
      </w:pPr>
    </w:p>
    <w:p w:rsidR="008968FF">
      <w:pPr>
        <w:pStyle w:val="BodyText"/>
        <w:rPr>
          <w:rFonts w:ascii="Times New Roman" w:hAnsi="Times New Roman" w:cs="Times New Roman"/>
          <w:sz w:val="24"/>
        </w:rPr>
      </w:pPr>
    </w:p>
    <w:p w:rsidR="008968FF">
      <w:pPr>
        <w:pStyle w:val="BodyText"/>
        <w:rPr>
          <w:rFonts w:ascii="Times New Roman" w:hAnsi="Times New Roman" w:cs="Times New Roman"/>
          <w:sz w:val="24"/>
        </w:rPr>
      </w:pPr>
    </w:p>
    <w:p w:rsidR="008968FF">
      <w:pPr>
        <w:pStyle w:val="BodyText"/>
        <w:rPr>
          <w:rFonts w:ascii="Times New Roman" w:hAnsi="Times New Roman" w:cs="Times New Roman"/>
          <w:sz w:val="24"/>
        </w:rPr>
      </w:pPr>
    </w:p>
    <w:p w:rsidR="008968FF">
      <w:pPr>
        <w:pStyle w:val="BodyText"/>
        <w:rPr>
          <w:rFonts w:ascii="Times New Roman" w:hAnsi="Times New Roman" w:cs="Times New Roman"/>
          <w:sz w:val="24"/>
        </w:rPr>
      </w:pPr>
    </w:p>
    <w:p w:rsidR="007A1E0D" w:rsidRPr="00130E3B">
      <w:pPr>
        <w:pStyle w:val="BodyText"/>
        <w:rPr>
          <w:rFonts w:ascii="Times New Roman" w:hAnsi="Times New Roman" w:cs="Times New Roman"/>
          <w:b/>
          <w:sz w:val="24"/>
        </w:rPr>
      </w:pPr>
      <w:r w:rsidRPr="00130E3B">
        <w:rPr>
          <w:rFonts w:ascii="Times New Roman" w:hAnsi="Times New Roman" w:cs="Times New Roman"/>
          <w:b/>
          <w:sz w:val="24"/>
        </w:rPr>
        <w:t xml:space="preserve">Predpokladaný vývoj objemu </w:t>
      </w:r>
      <w:r w:rsidR="00CD348C">
        <w:rPr>
          <w:rFonts w:ascii="Times New Roman" w:hAnsi="Times New Roman" w:cs="Times New Roman"/>
          <w:b/>
          <w:sz w:val="24"/>
        </w:rPr>
        <w:t>do</w:t>
      </w:r>
      <w:r w:rsidRPr="00130E3B">
        <w:rPr>
          <w:rFonts w:ascii="Times New Roman" w:hAnsi="Times New Roman" w:cs="Times New Roman"/>
          <w:b/>
          <w:sz w:val="24"/>
        </w:rPr>
        <w:t>pravy na Letisku M. R. Štefánika Bratislav</w:t>
      </w:r>
      <w:r w:rsidR="00130E3B">
        <w:rPr>
          <w:rFonts w:ascii="Times New Roman" w:hAnsi="Times New Roman" w:cs="Times New Roman"/>
          <w:b/>
          <w:sz w:val="24"/>
        </w:rPr>
        <w:t>a</w:t>
      </w:r>
      <w:r w:rsidRPr="00130E3B">
        <w:rPr>
          <w:rFonts w:ascii="Times New Roman" w:hAnsi="Times New Roman" w:cs="Times New Roman"/>
          <w:b/>
          <w:sz w:val="24"/>
        </w:rPr>
        <w:t xml:space="preserve"> na obdobie do roku 2020</w:t>
      </w:r>
    </w:p>
    <w:p w:rsidR="007A1E0D" w:rsidRPr="00F5355A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0"/>
        </w:rPr>
        <w:pict>
          <v:shape id="Object 2058" o:spid="_x0000_s1026" type="#_x0000_t75" style="width:377.7pt;height:198pt;margin-top:16.45pt;margin-left:9pt;position:absolute;z-index:251658240" o:oleicon="f" filled="f" fillcolor="#f00000" stroked="f" strokeweight="1pt">
            <v:stroke startarrowwidth="narrow" startarrowlength="short" endarrowwidth="narrow" endarrowlength="short"/>
            <v:imagedata r:id="rId7" o:title=""/>
            <v:shadow color="white"/>
            <w10:wrap type="topAndBottom"/>
          </v:shape>
          <o:OLEObject Type="Embed" ProgID="Excel.Chart.8" ShapeID="Object 2058" DrawAspect="Content" ObjectID="_2" r:id="rId8"/>
        </w:pict>
      </w:r>
    </w:p>
    <w:p w:rsidR="007A1E0D" w:rsidRPr="00F5355A">
      <w:pPr>
        <w:pStyle w:val="BodyText"/>
        <w:jc w:val="center"/>
        <w:rPr>
          <w:rFonts w:ascii="Times New Roman" w:hAnsi="Times New Roman" w:cs="Times New Roman"/>
        </w:rPr>
      </w:pPr>
    </w:p>
    <w:p w:rsidR="007A1E0D" w:rsidRPr="00130E3B">
      <w:pPr>
        <w:pStyle w:val="BodyText"/>
        <w:rPr>
          <w:rFonts w:ascii="Times New Roman" w:hAnsi="Times New Roman" w:cs="Times New Roman"/>
          <w:sz w:val="24"/>
        </w:rPr>
      </w:pPr>
      <w:r w:rsidRPr="00130E3B">
        <w:rPr>
          <w:rFonts w:ascii="Times New Roman" w:hAnsi="Times New Roman" w:cs="Times New Roman"/>
          <w:sz w:val="24"/>
        </w:rPr>
        <w:t>Následne manažment analyzoval kapacit</w:t>
      </w:r>
      <w:r w:rsidR="00CD348C">
        <w:rPr>
          <w:rFonts w:ascii="Times New Roman" w:hAnsi="Times New Roman" w:cs="Times New Roman"/>
          <w:sz w:val="24"/>
        </w:rPr>
        <w:t>u</w:t>
      </w:r>
      <w:r w:rsidRPr="00130E3B">
        <w:rPr>
          <w:rFonts w:ascii="Times New Roman" w:hAnsi="Times New Roman" w:cs="Times New Roman"/>
          <w:sz w:val="24"/>
        </w:rPr>
        <w:t xml:space="preserve"> letiska a jeho schopnosť absorbovať očakávaný rast </w:t>
      </w:r>
      <w:r w:rsidR="00CD348C">
        <w:rPr>
          <w:rFonts w:ascii="Times New Roman" w:hAnsi="Times New Roman" w:cs="Times New Roman"/>
          <w:sz w:val="24"/>
        </w:rPr>
        <w:t>do</w:t>
      </w:r>
      <w:r w:rsidRPr="00130E3B">
        <w:rPr>
          <w:rFonts w:ascii="Times New Roman" w:hAnsi="Times New Roman" w:cs="Times New Roman"/>
          <w:sz w:val="24"/>
        </w:rPr>
        <w:t xml:space="preserve">pravy. </w:t>
      </w:r>
    </w:p>
    <w:p w:rsidR="007A1E0D" w:rsidRPr="00130E3B">
      <w:pPr>
        <w:pStyle w:val="BodyText"/>
        <w:rPr>
          <w:rFonts w:ascii="Times New Roman" w:hAnsi="Times New Roman" w:cs="Times New Roman"/>
          <w:sz w:val="24"/>
        </w:rPr>
      </w:pPr>
      <w:r w:rsidRPr="00130E3B">
        <w:rPr>
          <w:rFonts w:ascii="Times New Roman" w:hAnsi="Times New Roman" w:cs="Times New Roman"/>
          <w:sz w:val="24"/>
        </w:rPr>
        <w:t>Spomedzi základných prevádzkových prvkov letiska, ktorými sú vzletové a pristávacie dráhy, vybavovacie plochy, vybavovacie budovy a prednádražie (príjazdové komunikácie a obslužné zázemie), najkritickejšia sa ukázala kapacita budov na vybavovanie cestujúcich</w:t>
      </w:r>
      <w:r w:rsidR="009B73CE">
        <w:rPr>
          <w:rFonts w:ascii="Times New Roman" w:hAnsi="Times New Roman" w:cs="Times New Roman"/>
          <w:sz w:val="24"/>
        </w:rPr>
        <w:t xml:space="preserve"> - terminál</w:t>
      </w:r>
      <w:r w:rsidRPr="00130E3B">
        <w:rPr>
          <w:rFonts w:ascii="Times New Roman" w:hAnsi="Times New Roman" w:cs="Times New Roman"/>
          <w:sz w:val="24"/>
        </w:rPr>
        <w:t xml:space="preserve">.  </w:t>
      </w:r>
    </w:p>
    <w:p w:rsidR="007A1E0D" w:rsidRPr="00130E3B">
      <w:pPr>
        <w:pStyle w:val="BodyText"/>
        <w:rPr>
          <w:rFonts w:ascii="Times New Roman" w:hAnsi="Times New Roman" w:cs="Times New Roman"/>
          <w:sz w:val="24"/>
        </w:rPr>
      </w:pPr>
      <w:r w:rsidRPr="00130E3B">
        <w:rPr>
          <w:rFonts w:ascii="Times New Roman" w:hAnsi="Times New Roman" w:cs="Times New Roman"/>
          <w:sz w:val="24"/>
        </w:rPr>
        <w:t>Teoretickú kapacitu dnešného terminálu, ktorá je približne 2,6 mil. cestujúcich</w:t>
      </w:r>
      <w:r w:rsidR="004D4541">
        <w:rPr>
          <w:rFonts w:ascii="Times New Roman" w:hAnsi="Times New Roman" w:cs="Times New Roman"/>
          <w:sz w:val="24"/>
        </w:rPr>
        <w:t xml:space="preserve">/rok </w:t>
      </w:r>
      <w:r w:rsidRPr="00130E3B">
        <w:rPr>
          <w:rFonts w:ascii="Times New Roman" w:hAnsi="Times New Roman" w:cs="Times New Roman"/>
          <w:sz w:val="24"/>
        </w:rPr>
        <w:t xml:space="preserve">(resp. </w:t>
      </w:r>
      <w:r w:rsidR="009B73CE">
        <w:rPr>
          <w:rFonts w:ascii="Times New Roman" w:hAnsi="Times New Roman" w:cs="Times New Roman"/>
          <w:sz w:val="24"/>
        </w:rPr>
        <w:t xml:space="preserve">špičková hodinová kapacita </w:t>
      </w:r>
      <w:r w:rsidRPr="00130E3B">
        <w:rPr>
          <w:rFonts w:ascii="Times New Roman" w:hAnsi="Times New Roman" w:cs="Times New Roman"/>
          <w:sz w:val="24"/>
        </w:rPr>
        <w:t>950 cestujúcich/hod.)</w:t>
      </w:r>
      <w:r w:rsidR="004D4541">
        <w:rPr>
          <w:rFonts w:ascii="Times New Roman" w:hAnsi="Times New Roman" w:cs="Times New Roman"/>
          <w:sz w:val="24"/>
        </w:rPr>
        <w:t>,</w:t>
      </w:r>
      <w:r w:rsidRPr="00130E3B">
        <w:rPr>
          <w:rFonts w:ascii="Times New Roman" w:hAnsi="Times New Roman" w:cs="Times New Roman"/>
          <w:sz w:val="24"/>
        </w:rPr>
        <w:t xml:space="preserve"> </w:t>
      </w:r>
      <w:r w:rsidRPr="00130E3B" w:rsidR="004D4541">
        <w:rPr>
          <w:rFonts w:ascii="Times New Roman" w:hAnsi="Times New Roman" w:cs="Times New Roman"/>
          <w:sz w:val="24"/>
        </w:rPr>
        <w:t xml:space="preserve">dosiahne </w:t>
      </w:r>
      <w:r w:rsidRPr="00130E3B">
        <w:rPr>
          <w:rFonts w:ascii="Times New Roman" w:hAnsi="Times New Roman" w:cs="Times New Roman"/>
          <w:sz w:val="24"/>
        </w:rPr>
        <w:t xml:space="preserve">letisko v závislosti od skutočného vývoja v rokoch 2010-11. Preto je nevyhnutné vykonať zásadnú rekonštrukciu </w:t>
      </w:r>
      <w:r w:rsidR="005102BE">
        <w:rPr>
          <w:rFonts w:ascii="Times New Roman" w:hAnsi="Times New Roman" w:cs="Times New Roman"/>
          <w:sz w:val="24"/>
        </w:rPr>
        <w:t>terminálu</w:t>
      </w:r>
      <w:r w:rsidRPr="00130E3B">
        <w:rPr>
          <w:rFonts w:ascii="Times New Roman" w:hAnsi="Times New Roman" w:cs="Times New Roman"/>
          <w:sz w:val="24"/>
        </w:rPr>
        <w:t xml:space="preserve"> a dobudovať dostatočnú kapacitu pre vybavovanie cestujúcich na nasledujúce roky. </w:t>
      </w:r>
    </w:p>
    <w:p w:rsidR="007A1E0D" w:rsidRPr="00130E3B">
      <w:pPr>
        <w:pStyle w:val="BodyText"/>
        <w:rPr>
          <w:rFonts w:ascii="Times New Roman" w:hAnsi="Times New Roman" w:cs="Times New Roman"/>
          <w:sz w:val="24"/>
        </w:rPr>
      </w:pPr>
    </w:p>
    <w:p w:rsidR="007A1E0D">
      <w:pPr>
        <w:pStyle w:val="BodyText"/>
        <w:rPr>
          <w:rFonts w:ascii="Times New Roman" w:hAnsi="Times New Roman" w:cs="Times New Roman"/>
          <w:sz w:val="24"/>
        </w:rPr>
      </w:pPr>
      <w:r w:rsidRPr="00130E3B">
        <w:rPr>
          <w:rFonts w:ascii="Times New Roman" w:hAnsi="Times New Roman" w:cs="Times New Roman"/>
          <w:sz w:val="24"/>
        </w:rPr>
        <w:t xml:space="preserve">Manažment letiska na základe týchto predpokladov spracoval </w:t>
      </w:r>
      <w:r w:rsidR="006345ED">
        <w:rPr>
          <w:rFonts w:ascii="Times New Roman" w:hAnsi="Times New Roman" w:cs="Times New Roman"/>
          <w:sz w:val="24"/>
        </w:rPr>
        <w:t xml:space="preserve">prípravné štúdie a materiál </w:t>
      </w:r>
      <w:r w:rsidR="004D4541">
        <w:rPr>
          <w:rFonts w:ascii="Times New Roman" w:hAnsi="Times New Roman" w:cs="Times New Roman"/>
          <w:sz w:val="24"/>
        </w:rPr>
        <w:t>„</w:t>
      </w:r>
      <w:r w:rsidR="006345ED">
        <w:rPr>
          <w:rFonts w:ascii="Times New Roman" w:hAnsi="Times New Roman" w:cs="Times New Roman"/>
          <w:sz w:val="24"/>
        </w:rPr>
        <w:t>Príprava nového terminálu pre cestujúcich na Letisku M.R. Štefánika Bratislava</w:t>
      </w:r>
      <w:r w:rsidR="004D4541">
        <w:rPr>
          <w:rFonts w:ascii="Times New Roman" w:hAnsi="Times New Roman" w:cs="Times New Roman"/>
          <w:sz w:val="24"/>
        </w:rPr>
        <w:t>“</w:t>
      </w:r>
      <w:r w:rsidR="006345ED">
        <w:rPr>
          <w:rFonts w:ascii="Times New Roman" w:hAnsi="Times New Roman" w:cs="Times New Roman"/>
          <w:sz w:val="24"/>
        </w:rPr>
        <w:t xml:space="preserve">. Letisko má na rozvoj terminálu územné rozhodnutie a štúdiu o vplyve stavby na životné prostredie, v súčasnosti je spracovávaná projektová dokumentácia stavby. </w:t>
      </w:r>
    </w:p>
    <w:p w:rsidR="006345ED" w:rsidRPr="00130E3B">
      <w:pPr>
        <w:pStyle w:val="BodyText"/>
        <w:rPr>
          <w:rFonts w:ascii="Times New Roman" w:hAnsi="Times New Roman" w:cs="Times New Roman"/>
          <w:sz w:val="24"/>
        </w:rPr>
      </w:pPr>
    </w:p>
    <w:p w:rsidR="007A1E0D" w:rsidRPr="00130E3B">
      <w:pPr>
        <w:pStyle w:val="BodyText"/>
        <w:rPr>
          <w:rFonts w:ascii="Times New Roman" w:hAnsi="Times New Roman" w:cs="Times New Roman"/>
          <w:sz w:val="24"/>
        </w:rPr>
      </w:pPr>
      <w:r w:rsidRPr="00130E3B">
        <w:rPr>
          <w:rFonts w:ascii="Times New Roman" w:hAnsi="Times New Roman" w:cs="Times New Roman"/>
          <w:sz w:val="24"/>
        </w:rPr>
        <w:t xml:space="preserve">Základné parametre </w:t>
      </w:r>
      <w:r w:rsidR="006345ED">
        <w:rPr>
          <w:rFonts w:ascii="Times New Roman" w:hAnsi="Times New Roman" w:cs="Times New Roman"/>
          <w:sz w:val="24"/>
        </w:rPr>
        <w:t>uvede</w:t>
      </w:r>
      <w:r w:rsidRPr="00130E3B">
        <w:rPr>
          <w:rFonts w:ascii="Times New Roman" w:hAnsi="Times New Roman" w:cs="Times New Roman"/>
          <w:sz w:val="24"/>
        </w:rPr>
        <w:t>ného zámeru</w:t>
      </w:r>
      <w:r w:rsidR="006345ED">
        <w:rPr>
          <w:rFonts w:ascii="Times New Roman" w:hAnsi="Times New Roman" w:cs="Times New Roman"/>
          <w:sz w:val="24"/>
        </w:rPr>
        <w:t>, ako aj</w:t>
      </w:r>
      <w:r w:rsidRPr="00130E3B">
        <w:rPr>
          <w:rFonts w:ascii="Times New Roman" w:hAnsi="Times New Roman" w:cs="Times New Roman"/>
          <w:sz w:val="24"/>
        </w:rPr>
        <w:t xml:space="preserve"> podrobné nákresy dispozičného riešenia jednotlivých podlaží a rozmiestnenia základných funkčných celkov a</w:t>
      </w:r>
      <w:r w:rsidR="006345ED">
        <w:rPr>
          <w:rFonts w:ascii="Times New Roman" w:hAnsi="Times New Roman" w:cs="Times New Roman"/>
          <w:sz w:val="24"/>
        </w:rPr>
        <w:t> </w:t>
      </w:r>
      <w:r w:rsidRPr="00130E3B">
        <w:rPr>
          <w:rFonts w:ascii="Times New Roman" w:hAnsi="Times New Roman" w:cs="Times New Roman"/>
          <w:sz w:val="24"/>
        </w:rPr>
        <w:t>technológií</w:t>
      </w:r>
      <w:r w:rsidR="006345ED">
        <w:rPr>
          <w:rFonts w:ascii="Times New Roman" w:hAnsi="Times New Roman" w:cs="Times New Roman"/>
          <w:sz w:val="24"/>
        </w:rPr>
        <w:t xml:space="preserve"> prezentoval manažment letiska</w:t>
      </w:r>
      <w:r w:rsidRPr="00130E3B">
        <w:rPr>
          <w:rFonts w:ascii="Times New Roman" w:hAnsi="Times New Roman" w:cs="Times New Roman"/>
          <w:sz w:val="24"/>
        </w:rPr>
        <w:t xml:space="preserve"> na tlačovej konferencii dňa 18.3.2008.</w:t>
      </w:r>
    </w:p>
    <w:p w:rsidR="007A1E0D" w:rsidRPr="00130E3B">
      <w:pPr>
        <w:pStyle w:val="BodyText"/>
        <w:rPr>
          <w:rFonts w:ascii="Times New Roman" w:hAnsi="Times New Roman" w:cs="Times New Roman"/>
          <w:sz w:val="24"/>
        </w:rPr>
      </w:pPr>
    </w:p>
    <w:p w:rsidR="007A1E0D">
      <w:pPr>
        <w:pStyle w:val="BodyText"/>
        <w:rPr>
          <w:rFonts w:ascii="Times New Roman" w:hAnsi="Times New Roman" w:cs="Times New Roman"/>
        </w:rPr>
      </w:pPr>
    </w:p>
    <w:p w:rsidR="007A1E0D" w:rsidRPr="00F5355A">
      <w:pPr>
        <w:pStyle w:val="BodyText"/>
        <w:jc w:val="center"/>
        <w:rPr>
          <w:rFonts w:ascii="Times New Roman" w:hAnsi="Times New Roman" w:cs="Times New Roman"/>
          <w:b/>
          <w:bCs/>
          <w:sz w:val="24"/>
        </w:rPr>
      </w:pPr>
      <w:r w:rsidRPr="00F5355A">
        <w:rPr>
          <w:rFonts w:ascii="Times New Roman" w:hAnsi="Times New Roman" w:cs="Times New Roman"/>
          <w:b/>
          <w:bCs/>
          <w:sz w:val="24"/>
        </w:rPr>
        <w:t>Základné aspekty podnikateľského plánu spoločnosti Letisko M. R. Štefánika – Airport Bratislava, a.s. (BTS)</w:t>
      </w:r>
    </w:p>
    <w:p w:rsidR="007A1E0D" w:rsidRPr="00F5355A">
      <w:pPr>
        <w:pStyle w:val="BodyText"/>
        <w:rPr>
          <w:rFonts w:ascii="Times New Roman" w:hAnsi="Times New Roman" w:cs="Times New Roman"/>
        </w:rPr>
      </w:pPr>
    </w:p>
    <w:p w:rsidR="007A1E0D" w:rsidRPr="005102BE">
      <w:pPr>
        <w:pStyle w:val="BodyText"/>
        <w:rPr>
          <w:rFonts w:ascii="Times New Roman" w:hAnsi="Times New Roman" w:cs="Times New Roman"/>
          <w:sz w:val="24"/>
        </w:rPr>
      </w:pPr>
      <w:r w:rsidRPr="005102BE">
        <w:rPr>
          <w:rFonts w:ascii="Times New Roman" w:hAnsi="Times New Roman" w:cs="Times New Roman"/>
          <w:sz w:val="24"/>
        </w:rPr>
        <w:t>Podnikateľský plán, ktorý manažment letiska predložil akcionárom vo februári 2008, je zostavený na obdobie do roku 2012.</w:t>
      </w:r>
    </w:p>
    <w:p w:rsidR="007A1E0D" w:rsidRPr="005102BE">
      <w:pPr>
        <w:pStyle w:val="BodyText"/>
        <w:rPr>
          <w:rFonts w:ascii="Times New Roman" w:hAnsi="Times New Roman" w:cs="Times New Roman"/>
          <w:sz w:val="24"/>
        </w:rPr>
      </w:pPr>
    </w:p>
    <w:p w:rsidR="007A1E0D" w:rsidRPr="005102BE">
      <w:pPr>
        <w:pStyle w:val="BodyText"/>
        <w:rPr>
          <w:rFonts w:ascii="Times New Roman" w:hAnsi="Times New Roman" w:cs="Times New Roman"/>
          <w:sz w:val="24"/>
        </w:rPr>
      </w:pPr>
      <w:r w:rsidRPr="005102BE">
        <w:rPr>
          <w:rFonts w:ascii="Times New Roman" w:hAnsi="Times New Roman" w:cs="Times New Roman"/>
          <w:sz w:val="24"/>
        </w:rPr>
        <w:t xml:space="preserve">Plán vychádza zo širšieho kontextu vládou schváleného strategického </w:t>
      </w:r>
      <w:r w:rsidR="004D4541">
        <w:rPr>
          <w:rFonts w:ascii="Times New Roman" w:hAnsi="Times New Roman" w:cs="Times New Roman"/>
          <w:sz w:val="24"/>
        </w:rPr>
        <w:t xml:space="preserve">materiálu </w:t>
      </w:r>
      <w:r w:rsidRPr="005102BE">
        <w:rPr>
          <w:rFonts w:ascii="Times New Roman" w:hAnsi="Times New Roman" w:cs="Times New Roman"/>
          <w:sz w:val="24"/>
        </w:rPr>
        <w:t>rozvoja letiska do roku 2020, ktorý je zakreslený v tzv. genereli Letiska M. R. Štefánika v Bratislave. Generel je najzákladnejším územno-plánovacím dokumentom o areáli bratislavského letiska a obsahuje princípy rozmiestnenia jednotlivých prevádzkových aktivít ako sú obsluha cestujúcich, vybavovanie nákladu (cargo), opravárenstvo, a riešenie prednádražia  v rámci letiskového areálu.</w:t>
      </w:r>
    </w:p>
    <w:p w:rsidR="007A1E0D" w:rsidRPr="00F5355A">
      <w:pPr>
        <w:pStyle w:val="BodyText"/>
        <w:rPr>
          <w:rFonts w:ascii="Times New Roman" w:hAnsi="Times New Roman" w:cs="Times New Roman"/>
        </w:rPr>
      </w:pPr>
    </w:p>
    <w:p w:rsidR="007A1E0D" w:rsidRPr="00F5355A">
      <w:pPr>
        <w:pStyle w:val="BodyText"/>
        <w:rPr>
          <w:rFonts w:ascii="Times New Roman" w:hAnsi="Times New Roman" w:cs="Times New Roman"/>
        </w:rPr>
      </w:pPr>
    </w:p>
    <w:p w:rsidR="007A1E0D" w:rsidRPr="00F5355A">
      <w:pPr>
        <w:pStyle w:val="Body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rtl w:val="0"/>
        </w:rPr>
        <w:object>
          <v:shape id="_x0000_i1027" type="#_x0000_t75" style="width:363.05pt;height:252.7pt" o:oleicon="f" o:ole="" stroked="f">
            <v:imagedata r:id="rId9" o:title=""/>
          </v:shape>
          <o:OLEObject Type="Embed" ProgID="PBrush" ShapeID="_x0000_i1027" DrawAspect="Content" ObjectID="_3" r:id="rId10"/>
        </w:object>
      </w:r>
    </w:p>
    <w:p w:rsidR="007A1E0D" w:rsidRPr="00F5355A">
      <w:pPr>
        <w:pStyle w:val="BodyText"/>
        <w:rPr>
          <w:rFonts w:ascii="Times New Roman" w:hAnsi="Times New Roman" w:cs="Times New Roman"/>
          <w:sz w:val="18"/>
        </w:rPr>
      </w:pPr>
    </w:p>
    <w:p w:rsidR="007A1E0D" w:rsidRPr="00F5355A">
      <w:pPr>
        <w:pStyle w:val="BodyText"/>
        <w:rPr>
          <w:rFonts w:ascii="Times New Roman" w:hAnsi="Times New Roman" w:cs="Times New Roman"/>
          <w:sz w:val="18"/>
        </w:rPr>
      </w:pPr>
      <w:r w:rsidRPr="00F5355A">
        <w:rPr>
          <w:rFonts w:ascii="Times New Roman" w:hAnsi="Times New Roman" w:cs="Times New Roman"/>
          <w:sz w:val="18"/>
        </w:rPr>
        <w:t>Obrázok: Generel Letiska M. R. Štefánika v Bratislave</w:t>
      </w:r>
    </w:p>
    <w:p w:rsidR="007A1E0D" w:rsidRPr="00F5355A">
      <w:pPr>
        <w:pStyle w:val="BodyText"/>
        <w:rPr>
          <w:rFonts w:ascii="Times New Roman" w:hAnsi="Times New Roman" w:cs="Times New Roman"/>
        </w:rPr>
      </w:pPr>
    </w:p>
    <w:p w:rsidR="007A1E0D" w:rsidRPr="00F5355A">
      <w:pPr>
        <w:pStyle w:val="BodyText"/>
        <w:rPr>
          <w:rFonts w:ascii="Times New Roman" w:hAnsi="Times New Roman" w:cs="Times New Roman"/>
        </w:rPr>
      </w:pPr>
    </w:p>
    <w:p w:rsidR="005102BE">
      <w:pPr>
        <w:pStyle w:val="BodyText"/>
        <w:rPr>
          <w:rFonts w:ascii="Times New Roman" w:hAnsi="Times New Roman" w:cs="Times New Roman"/>
          <w:sz w:val="24"/>
        </w:rPr>
      </w:pPr>
    </w:p>
    <w:p w:rsidR="005102BE">
      <w:pPr>
        <w:pStyle w:val="BodyText"/>
        <w:rPr>
          <w:rFonts w:ascii="Times New Roman" w:hAnsi="Times New Roman" w:cs="Times New Roman"/>
          <w:sz w:val="24"/>
        </w:rPr>
      </w:pPr>
    </w:p>
    <w:p w:rsidR="007A1E0D" w:rsidRPr="005102BE">
      <w:pPr>
        <w:pStyle w:val="BodyText"/>
        <w:rPr>
          <w:rFonts w:ascii="Times New Roman" w:hAnsi="Times New Roman" w:cs="Times New Roman"/>
          <w:sz w:val="24"/>
        </w:rPr>
      </w:pPr>
      <w:r w:rsidRPr="005102BE">
        <w:rPr>
          <w:rFonts w:ascii="Times New Roman" w:hAnsi="Times New Roman" w:cs="Times New Roman"/>
          <w:sz w:val="24"/>
        </w:rPr>
        <w:t xml:space="preserve">V zmysle definovaných kapacitných </w:t>
      </w:r>
      <w:r w:rsidR="003E2997">
        <w:rPr>
          <w:rFonts w:ascii="Times New Roman" w:hAnsi="Times New Roman" w:cs="Times New Roman"/>
          <w:sz w:val="24"/>
        </w:rPr>
        <w:t>potrieb</w:t>
      </w:r>
      <w:r w:rsidRPr="005102BE">
        <w:rPr>
          <w:rFonts w:ascii="Times New Roman" w:hAnsi="Times New Roman" w:cs="Times New Roman"/>
          <w:sz w:val="24"/>
        </w:rPr>
        <w:t xml:space="preserve"> a v súlade s princípmi generelu letiska </w:t>
      </w:r>
      <w:r w:rsidR="003E2997">
        <w:rPr>
          <w:rFonts w:ascii="Times New Roman" w:hAnsi="Times New Roman" w:cs="Times New Roman"/>
          <w:sz w:val="24"/>
        </w:rPr>
        <w:t xml:space="preserve">je </w:t>
      </w:r>
      <w:r w:rsidRPr="005102BE">
        <w:rPr>
          <w:rFonts w:ascii="Times New Roman" w:hAnsi="Times New Roman" w:cs="Times New Roman"/>
          <w:sz w:val="24"/>
        </w:rPr>
        <w:t>prioritou podnikateľského plánu na roky 2008-2012 rekonštrukci</w:t>
      </w:r>
      <w:r w:rsidR="003E2997">
        <w:rPr>
          <w:rFonts w:ascii="Times New Roman" w:hAnsi="Times New Roman" w:cs="Times New Roman"/>
          <w:sz w:val="24"/>
        </w:rPr>
        <w:t>a</w:t>
      </w:r>
      <w:r w:rsidRPr="005102BE">
        <w:rPr>
          <w:rFonts w:ascii="Times New Roman" w:hAnsi="Times New Roman" w:cs="Times New Roman"/>
          <w:sz w:val="24"/>
        </w:rPr>
        <w:t xml:space="preserve"> budovy pre vybavovanie cestujúcich. Napriek tomu sa však počíta aj s primeraným rozvojom ostatných prvkov základnej infraštruktúry – t.j. vybavovacích a odstavných plôch, dráhového systému, obslužných budov, či strojného vybavenia.</w:t>
      </w:r>
    </w:p>
    <w:p w:rsidR="007A1E0D" w:rsidRPr="005102BE">
      <w:pPr>
        <w:pStyle w:val="BodyText"/>
        <w:rPr>
          <w:rFonts w:ascii="Times New Roman" w:hAnsi="Times New Roman" w:cs="Times New Roman"/>
          <w:sz w:val="24"/>
        </w:rPr>
      </w:pPr>
    </w:p>
    <w:p w:rsidR="007A1E0D" w:rsidRPr="005102BE">
      <w:pPr>
        <w:pStyle w:val="BodyText"/>
        <w:rPr>
          <w:rFonts w:ascii="Times New Roman" w:hAnsi="Times New Roman" w:cs="Times New Roman"/>
          <w:sz w:val="24"/>
        </w:rPr>
      </w:pPr>
    </w:p>
    <w:p w:rsidR="007A1E0D">
      <w:pPr>
        <w:pStyle w:val="BodyText"/>
        <w:rPr>
          <w:rFonts w:ascii="Times New Roman" w:hAnsi="Times New Roman" w:cs="Times New Roman"/>
          <w:sz w:val="24"/>
        </w:rPr>
      </w:pPr>
      <w:r w:rsidRPr="005102BE">
        <w:rPr>
          <w:rFonts w:ascii="Times New Roman" w:hAnsi="Times New Roman" w:cs="Times New Roman"/>
          <w:sz w:val="24"/>
        </w:rPr>
        <w:t>Celkový objem prostriedkov potrebných na prefinancovanie investičných zámerov plánovaných do roku 2012 je 4,9 mld. Sk. Z toho 2,9 mld. Sk bude stáť rekonštrukcia terminálu a 2 mld. Sk budú potrebné na údržbu a menšie rekonštrukcie spomínaných ostatných prvkov letiskovej infraštruktúry.</w:t>
      </w:r>
    </w:p>
    <w:p w:rsidR="005102BE">
      <w:pPr>
        <w:pStyle w:val="BodyText"/>
        <w:rPr>
          <w:rFonts w:ascii="Times New Roman" w:hAnsi="Times New Roman" w:cs="Times New Roman"/>
          <w:sz w:val="24"/>
        </w:rPr>
      </w:pPr>
    </w:p>
    <w:p w:rsidR="005102BE">
      <w:pPr>
        <w:pStyle w:val="BodyText"/>
        <w:rPr>
          <w:rFonts w:ascii="Times New Roman" w:hAnsi="Times New Roman" w:cs="Times New Roman"/>
          <w:sz w:val="24"/>
        </w:rPr>
      </w:pPr>
    </w:p>
    <w:p w:rsidR="003E2997">
      <w:pPr>
        <w:pStyle w:val="BodyText"/>
        <w:rPr>
          <w:rFonts w:ascii="Times New Roman" w:hAnsi="Times New Roman" w:cs="Times New Roman"/>
          <w:sz w:val="24"/>
        </w:rPr>
      </w:pPr>
    </w:p>
    <w:p w:rsidR="003E2997">
      <w:pPr>
        <w:pStyle w:val="BodyText"/>
        <w:rPr>
          <w:rFonts w:ascii="Times New Roman" w:hAnsi="Times New Roman" w:cs="Times New Roman"/>
          <w:sz w:val="24"/>
        </w:rPr>
      </w:pPr>
    </w:p>
    <w:p w:rsidR="003E2997">
      <w:pPr>
        <w:pStyle w:val="BodyText"/>
        <w:rPr>
          <w:rFonts w:ascii="Times New Roman" w:hAnsi="Times New Roman" w:cs="Times New Roman"/>
          <w:sz w:val="24"/>
        </w:rPr>
      </w:pPr>
    </w:p>
    <w:p w:rsidR="003E2997">
      <w:pPr>
        <w:pStyle w:val="BodyText"/>
        <w:rPr>
          <w:rFonts w:ascii="Times New Roman" w:hAnsi="Times New Roman" w:cs="Times New Roman"/>
          <w:sz w:val="24"/>
        </w:rPr>
      </w:pPr>
    </w:p>
    <w:p w:rsidR="003E2997">
      <w:pPr>
        <w:pStyle w:val="BodyText"/>
        <w:rPr>
          <w:rFonts w:ascii="Times New Roman" w:hAnsi="Times New Roman" w:cs="Times New Roman"/>
          <w:sz w:val="24"/>
        </w:rPr>
      </w:pPr>
    </w:p>
    <w:p w:rsidR="003E2997">
      <w:pPr>
        <w:pStyle w:val="BodyText"/>
        <w:rPr>
          <w:rFonts w:ascii="Times New Roman" w:hAnsi="Times New Roman" w:cs="Times New Roman"/>
          <w:sz w:val="24"/>
        </w:rPr>
      </w:pPr>
    </w:p>
    <w:p w:rsidR="003E2997">
      <w:pPr>
        <w:pStyle w:val="BodyText"/>
        <w:rPr>
          <w:rFonts w:ascii="Times New Roman" w:hAnsi="Times New Roman" w:cs="Times New Roman"/>
          <w:sz w:val="24"/>
        </w:rPr>
      </w:pPr>
    </w:p>
    <w:p w:rsidR="003E2997">
      <w:pPr>
        <w:pStyle w:val="BodyText"/>
        <w:rPr>
          <w:rFonts w:ascii="Times New Roman" w:hAnsi="Times New Roman" w:cs="Times New Roman"/>
          <w:sz w:val="24"/>
        </w:rPr>
      </w:pPr>
    </w:p>
    <w:p w:rsidR="007A1E0D" w:rsidRPr="00F5355A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width:243pt;height:36pt;margin-top:11.4pt;margin-left:0;position:absolute;z-index:251661312" stroked="f">
            <v:textbox>
              <w:txbxContent>
                <w:p w:rsidR="007A1E0D" w:rsidRPr="004D4541">
                  <w:pPr>
                    <w:rPr>
                      <w:rFonts w:ascii="Times New Roman" w:hAnsi="Times New Roman" w:cs="Times New Roman"/>
                      <w:b/>
                      <w:sz w:val="20"/>
                      <w:u w:val="single"/>
                      <w:lang w:val="sk-SK"/>
                    </w:rPr>
                  </w:pPr>
                  <w:r w:rsidRPr="004D4541" w:rsidR="004D4541">
                    <w:rPr>
                      <w:rFonts w:ascii="Times New Roman" w:hAnsi="Times New Roman" w:cs="Times New Roman"/>
                      <w:sz w:val="20"/>
                      <w:lang w:val="sk-SK"/>
                    </w:rPr>
                    <w:t xml:space="preserve">     </w:t>
                  </w:r>
                  <w:r w:rsidRPr="004D4541">
                    <w:rPr>
                      <w:rFonts w:ascii="Times New Roman" w:hAnsi="Times New Roman" w:cs="Times New Roman"/>
                      <w:b/>
                      <w:sz w:val="20"/>
                      <w:u w:val="single"/>
                      <w:lang w:val="sk-SK"/>
                    </w:rPr>
                    <w:t>Základná štruktúra investícií do roku 2012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</w:rPr>
        <w:pict>
          <v:shape id="_x0000_s1029" type="#_x0000_t202" style="width:117pt;height:36pt;margin-top:182.4pt;margin-left:63pt;position:absolute;z-index:251660288" filled="f" stroked="f">
            <v:textbox>
              <w:txbxContent>
                <w:p w:rsidR="007A1E0D">
                  <w:pPr>
                    <w:pStyle w:val="Heading1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Ostatné investície</w:t>
                  </w:r>
                </w:p>
                <w:p w:rsidR="007A1E0D">
                  <w:pPr>
                    <w:jc w:val="center"/>
                    <w:rPr>
                      <w:rFonts w:ascii="Times New Roman" w:hAnsi="Times New Roman" w:cs="Times New Roman"/>
                      <w:sz w:val="18"/>
                      <w:lang w:val="sk-SK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lang w:val="sk-SK"/>
                    </w:rPr>
                    <w:t>(celkom 2 mld. Sk)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</w:rPr>
        <w:pict>
          <v:shape id="_x0000_s1030" type="#_x0000_t202" style="width:198pt;height:36pt;margin-top:200.4pt;margin-left:198pt;position:absolute;z-index:251659264" filled="f" stroked="f">
            <v:textbox>
              <w:txbxContent>
                <w:p w:rsidR="007A1E0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lang w:val="sk-SK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lang w:val="sk-SK"/>
                    </w:rPr>
                    <w:t>Terminál a terminálové technológie</w:t>
                  </w:r>
                </w:p>
                <w:p w:rsidR="007A1E0D">
                  <w:pPr>
                    <w:jc w:val="center"/>
                    <w:rPr>
                      <w:rFonts w:ascii="Times New Roman" w:hAnsi="Times New Roman" w:cs="Times New Roman"/>
                      <w:sz w:val="18"/>
                      <w:lang w:val="sk-SK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lang w:val="sk-SK"/>
                    </w:rPr>
                    <w:t>(celkom 2,9 mld. Sk)</w:t>
                  </w:r>
                </w:p>
              </w:txbxContent>
            </v:textbox>
          </v:shape>
        </w:pict>
      </w:r>
      <w:r w:rsidRPr="00F5355A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  <w:rtl w:val="0"/>
        </w:rPr>
        <w:object>
          <v:shape id="_x0000_i1031" type="#_x0000_t75" style="width:366.15pt;height:338.38pt" o:oleicon="f" o:ole="" filled="f" stroked="f">
            <v:fill o:detectmouseclick="f"/>
            <v:imagedata r:id="rId11" o:title=""/>
          </v:shape>
          <o:OLEObject Type="Embed" ProgID="Excel.Chart.8" ShapeID="_x0000_i1031" DrawAspect="Content" ObjectID="_4" r:id="rId12"/>
        </w:object>
      </w:r>
    </w:p>
    <w:p w:rsidR="007A1E0D" w:rsidRPr="005102BE">
      <w:pPr>
        <w:pStyle w:val="BodyText"/>
        <w:rPr>
          <w:rFonts w:ascii="Times New Roman" w:hAnsi="Times New Roman" w:cs="Times New Roman"/>
          <w:sz w:val="24"/>
        </w:rPr>
      </w:pPr>
      <w:r w:rsidRPr="005102BE">
        <w:rPr>
          <w:rFonts w:ascii="Times New Roman" w:hAnsi="Times New Roman" w:cs="Times New Roman"/>
          <w:sz w:val="24"/>
        </w:rPr>
        <w:t>Vláda Slovenskej republiky v rámci schváleného materiálu</w:t>
      </w:r>
      <w:r>
        <w:rPr>
          <w:rStyle w:val="FootnoteReference"/>
          <w:rFonts w:ascii="Times New Roman" w:hAnsi="Times New Roman" w:cs="Times New Roman"/>
          <w:sz w:val="24"/>
          <w:rtl w:val="0"/>
        </w:rPr>
        <w:footnoteReference w:id="2"/>
      </w:r>
      <w:r w:rsidRPr="005102BE">
        <w:rPr>
          <w:rFonts w:ascii="Times New Roman" w:hAnsi="Times New Roman" w:cs="Times New Roman"/>
          <w:sz w:val="24"/>
        </w:rPr>
        <w:t xml:space="preserve"> o výstavbe terminálu na bratislavskom letisku odsúhlasila aj základnú štruktúru financovania tohto projektu. V zmysle uznesenia vlády k danému materiálu pôjde o kombináciu vlastných a verejných zdrojov. Z celkovej sumy 2,9 mld. Sk, </w:t>
      </w:r>
      <w:r w:rsidR="003E2997">
        <w:rPr>
          <w:rFonts w:ascii="Times New Roman" w:hAnsi="Times New Roman" w:cs="Times New Roman"/>
          <w:sz w:val="24"/>
        </w:rPr>
        <w:t>potrebnej</w:t>
      </w:r>
      <w:r w:rsidRPr="005102BE">
        <w:rPr>
          <w:rFonts w:ascii="Times New Roman" w:hAnsi="Times New Roman" w:cs="Times New Roman"/>
          <w:sz w:val="24"/>
        </w:rPr>
        <w:t xml:space="preserve"> na dostavbu a rekonštrukciu terminálu vrátane navrhnutých technológií, </w:t>
      </w:r>
      <w:r w:rsidRPr="005102BE" w:rsidR="003E2997">
        <w:rPr>
          <w:rFonts w:ascii="Times New Roman" w:hAnsi="Times New Roman" w:cs="Times New Roman"/>
          <w:sz w:val="24"/>
        </w:rPr>
        <w:t xml:space="preserve">zabezpečí štát </w:t>
      </w:r>
      <w:r w:rsidRPr="005102BE">
        <w:rPr>
          <w:rFonts w:ascii="Times New Roman" w:hAnsi="Times New Roman" w:cs="Times New Roman"/>
          <w:sz w:val="24"/>
        </w:rPr>
        <w:t xml:space="preserve">2,1 mld. Sk z verejných zdrojov a 0,8 mld. Sk si letisko požičia formou bankového úveru. Z vlastných zdrojov bude letisko financovať ostatné investície do opráv a údržby, rekonštrukcie pristávacej dráhy a obslužných plôch, do stojného vybavenia a na rozšírenie cargo zázemia. </w:t>
      </w:r>
    </w:p>
    <w:p w:rsidR="007A1E0D" w:rsidRPr="005102BE">
      <w:pPr>
        <w:pStyle w:val="BodyText"/>
        <w:rPr>
          <w:rFonts w:ascii="Times New Roman" w:hAnsi="Times New Roman" w:cs="Times New Roman"/>
          <w:sz w:val="24"/>
        </w:rPr>
      </w:pPr>
      <w:r w:rsidRPr="005102BE">
        <w:rPr>
          <w:rFonts w:ascii="Times New Roman" w:hAnsi="Times New Roman" w:cs="Times New Roman"/>
          <w:sz w:val="24"/>
        </w:rPr>
        <w:t>Rozloženie investícií počas jednotlivých rokov ilustrujú nasledovné grafy:</w:t>
      </w:r>
    </w:p>
    <w:p w:rsidR="007A1E0D" w:rsidRPr="00F5355A">
      <w:pPr>
        <w:pStyle w:val="BodyText"/>
        <w:rPr>
          <w:rFonts w:ascii="Times New Roman" w:hAnsi="Times New Roman" w:cs="Times New Roman"/>
        </w:rPr>
      </w:pPr>
    </w:p>
    <w:p w:rsidR="007A1E0D" w:rsidRPr="00F5355A">
      <w:pPr>
        <w:pStyle w:val="Body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rtl w:val="0"/>
        </w:rPr>
        <w:object>
          <v:shape id="_x0000_i1032" type="#_x0000_t75" style="width:198pt;height:180pt" o:oleicon="f" o:ole="" filled="f" stroked="f">
            <v:fill o:detectmouseclick="f"/>
            <v:imagedata r:id="rId13" o:title=""/>
          </v:shape>
          <o:OLEObject Type="Embed" ProgID="Excel.Chart.8" ShapeID="_x0000_i1032" DrawAspect="Content" ObjectID="_5" r:id="rId14"/>
        </w:object>
      </w:r>
      <w:r w:rsidRPr="00F5355A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  <w:rtl w:val="0"/>
        </w:rPr>
        <w:object>
          <v:shape id="_x0000_i1033" type="#_x0000_t75" style="width:198pt;height:179.25pt" o:oleicon="f" o:ole="" filled="f" stroked="f">
            <v:fill o:detectmouseclick="f"/>
            <v:imagedata r:id="rId15" o:title=""/>
          </v:shape>
          <o:OLEObject Type="Embed" ProgID="Excel.Chart.8" ShapeID="_x0000_i1033" DrawAspect="Content" ObjectID="_6" r:id="rId16"/>
        </w:object>
      </w:r>
    </w:p>
    <w:p w:rsidR="005102BE">
      <w:pPr>
        <w:pStyle w:val="BodyText"/>
        <w:rPr>
          <w:rFonts w:ascii="Times New Roman" w:hAnsi="Times New Roman" w:cs="Times New Roman"/>
          <w:b/>
          <w:bCs/>
        </w:rPr>
      </w:pPr>
    </w:p>
    <w:p w:rsidR="00E95D60">
      <w:pPr>
        <w:pStyle w:val="BodyText"/>
        <w:rPr>
          <w:rFonts w:ascii="Times New Roman" w:hAnsi="Times New Roman" w:cs="Times New Roman"/>
          <w:b/>
          <w:bCs/>
          <w:sz w:val="24"/>
        </w:rPr>
      </w:pPr>
    </w:p>
    <w:p w:rsidR="004D4541" w:rsidRPr="00B70FD7">
      <w:pPr>
        <w:pStyle w:val="BodyText"/>
        <w:rPr>
          <w:rFonts w:ascii="Times New Roman" w:hAnsi="Times New Roman" w:cs="Times New Roman"/>
          <w:b/>
          <w:bCs/>
          <w:sz w:val="24"/>
        </w:rPr>
      </w:pPr>
    </w:p>
    <w:p w:rsidR="004D4541" w:rsidRPr="00B70FD7" w:rsidP="004D4541">
      <w:pPr>
        <w:pStyle w:val="BodyText"/>
        <w:rPr>
          <w:rFonts w:ascii="Times New Roman" w:hAnsi="Times New Roman" w:cs="Times New Roman"/>
          <w:sz w:val="24"/>
        </w:rPr>
      </w:pPr>
      <w:r w:rsidRPr="00B70FD7">
        <w:rPr>
          <w:rFonts w:ascii="Times New Roman" w:hAnsi="Times New Roman" w:cs="Times New Roman"/>
          <w:sz w:val="24"/>
        </w:rPr>
        <w:t>Letisko spracovalo podrobný časový a vecný harmonogram prác rozvoja terminálu a investícií do ostatnej infraštruktúry na obdobie do roku 2012. Ďalšie etapy rozvoja letiska budú realizované v súlade s vývojom objemu prepravy, a to v zmysle vládou schválenej koncepcie.</w:t>
      </w:r>
    </w:p>
    <w:p w:rsidR="004D4541" w:rsidRPr="00B70FD7" w:rsidP="004D4541">
      <w:pPr>
        <w:pStyle w:val="BodyText"/>
        <w:rPr>
          <w:rFonts w:ascii="Times New Roman" w:hAnsi="Times New Roman" w:cs="Times New Roman"/>
          <w:b/>
          <w:bCs/>
          <w:sz w:val="24"/>
        </w:rPr>
      </w:pPr>
    </w:p>
    <w:p w:rsidR="004D4541" w:rsidRPr="00B70FD7" w:rsidP="004D4541">
      <w:pPr>
        <w:pStyle w:val="BodyText"/>
        <w:rPr>
          <w:rFonts w:ascii="Times New Roman" w:hAnsi="Times New Roman" w:cs="Times New Roman"/>
          <w:sz w:val="24"/>
        </w:rPr>
      </w:pPr>
      <w:r w:rsidRPr="00B70FD7">
        <w:rPr>
          <w:rFonts w:ascii="Times New Roman" w:hAnsi="Times New Roman" w:cs="Times New Roman"/>
          <w:sz w:val="24"/>
        </w:rPr>
        <w:t xml:space="preserve">V aktuálnom období sa spracúva projektová dokumentácia pre stavebné povolenie, ktorá bude dokončená do polovice júla 2008. Následne bude vyhlásené výberové konanie na dodávateľa stavby. </w:t>
      </w:r>
      <w:r w:rsidR="003B4485">
        <w:rPr>
          <w:rFonts w:ascii="Times New Roman" w:hAnsi="Times New Roman" w:cs="Times New Roman"/>
          <w:sz w:val="24"/>
        </w:rPr>
        <w:t>Pre s</w:t>
      </w:r>
      <w:r w:rsidRPr="00B70FD7">
        <w:rPr>
          <w:rFonts w:ascii="Times New Roman" w:hAnsi="Times New Roman" w:cs="Times New Roman"/>
          <w:sz w:val="24"/>
        </w:rPr>
        <w:t xml:space="preserve">tavebné povolenie </w:t>
      </w:r>
      <w:r w:rsidR="003B4485">
        <w:rPr>
          <w:rFonts w:ascii="Times New Roman" w:hAnsi="Times New Roman" w:cs="Times New Roman"/>
          <w:sz w:val="24"/>
        </w:rPr>
        <w:t>je termín</w:t>
      </w:r>
      <w:r w:rsidRPr="00B70FD7">
        <w:rPr>
          <w:rFonts w:ascii="Times New Roman" w:hAnsi="Times New Roman" w:cs="Times New Roman"/>
          <w:sz w:val="24"/>
        </w:rPr>
        <w:t xml:space="preserve"> novemb</w:t>
      </w:r>
      <w:r w:rsidR="003B4485">
        <w:rPr>
          <w:rFonts w:ascii="Times New Roman" w:hAnsi="Times New Roman" w:cs="Times New Roman"/>
          <w:sz w:val="24"/>
        </w:rPr>
        <w:t>e</w:t>
      </w:r>
      <w:r w:rsidRPr="00B70FD7">
        <w:rPr>
          <w:rFonts w:ascii="Times New Roman" w:hAnsi="Times New Roman" w:cs="Times New Roman"/>
          <w:sz w:val="24"/>
        </w:rPr>
        <w:t>r 2008 a </w:t>
      </w:r>
      <w:r w:rsidR="003B4485">
        <w:rPr>
          <w:rFonts w:ascii="Times New Roman" w:hAnsi="Times New Roman" w:cs="Times New Roman"/>
          <w:sz w:val="24"/>
        </w:rPr>
        <w:t>pre</w:t>
      </w:r>
      <w:r w:rsidRPr="00B70FD7">
        <w:rPr>
          <w:rFonts w:ascii="Times New Roman" w:hAnsi="Times New Roman" w:cs="Times New Roman"/>
          <w:sz w:val="24"/>
        </w:rPr>
        <w:t xml:space="preserve"> za</w:t>
      </w:r>
      <w:r w:rsidR="003B4485">
        <w:rPr>
          <w:rFonts w:ascii="Times New Roman" w:hAnsi="Times New Roman" w:cs="Times New Roman"/>
          <w:sz w:val="24"/>
        </w:rPr>
        <w:t>čatie</w:t>
      </w:r>
      <w:r w:rsidRPr="00B70FD7">
        <w:rPr>
          <w:rFonts w:ascii="Times New Roman" w:hAnsi="Times New Roman" w:cs="Times New Roman"/>
          <w:sz w:val="24"/>
        </w:rPr>
        <w:t xml:space="preserve"> stavby január 2009.</w:t>
      </w:r>
    </w:p>
    <w:p w:rsidR="004D4541" w:rsidRPr="00B70FD7" w:rsidP="004D4541">
      <w:pPr>
        <w:pStyle w:val="BodyText"/>
        <w:rPr>
          <w:rFonts w:ascii="Times New Roman" w:hAnsi="Times New Roman" w:cs="Times New Roman"/>
          <w:sz w:val="24"/>
        </w:rPr>
      </w:pPr>
    </w:p>
    <w:p w:rsidR="004D4541" w:rsidRPr="00B70FD7" w:rsidP="004D4541">
      <w:pPr>
        <w:pStyle w:val="BodyText"/>
        <w:rPr>
          <w:rFonts w:ascii="Times New Roman" w:hAnsi="Times New Roman" w:cs="Times New Roman"/>
          <w:sz w:val="24"/>
        </w:rPr>
      </w:pPr>
      <w:r w:rsidRPr="00B70FD7">
        <w:rPr>
          <w:rFonts w:ascii="Times New Roman" w:hAnsi="Times New Roman" w:cs="Times New Roman"/>
          <w:sz w:val="24"/>
        </w:rPr>
        <w:t>Letisko M. R. Štefánika v Bratislave sa v nasledujúcich rokoch bude rozvíjať v súlade s jasne stanovenou koncepciou, pričom vyplývajúc z príslušného unesenia Vlády SR je naprojektovaná aj štruktúra financovania prvej etapy rozvoja, teda rozšírenia a rekonštrukcie terminálu pre cestujúcich.</w:t>
      </w:r>
    </w:p>
    <w:p w:rsidR="004D4541" w:rsidRPr="00B70FD7">
      <w:pPr>
        <w:pStyle w:val="BodyText"/>
        <w:rPr>
          <w:rFonts w:ascii="Times New Roman" w:hAnsi="Times New Roman" w:cs="Times New Roman"/>
          <w:b/>
          <w:bCs/>
          <w:sz w:val="24"/>
        </w:rPr>
      </w:pPr>
    </w:p>
    <w:p w:rsidR="00B30169" w:rsidRPr="00B70FD7" w:rsidP="00B30169">
      <w:pPr>
        <w:pStyle w:val="BodyText"/>
        <w:rPr>
          <w:rFonts w:ascii="Times New Roman" w:hAnsi="Times New Roman" w:cs="Times New Roman"/>
          <w:sz w:val="24"/>
        </w:rPr>
      </w:pPr>
    </w:p>
    <w:sectPr>
      <w:footerReference w:type="default" r:id="rId17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2BE" w:rsidRPr="005102BE" w:rsidP="005102BE">
    <w:pPr>
      <w:pStyle w:val="Footer"/>
      <w:jc w:val="center"/>
      <w:rPr>
        <w:rFonts w:ascii="Times New Roman" w:hAnsi="Times New Roman" w:cs="Times New Roman"/>
        <w:sz w:val="18"/>
        <w:szCs w:val="18"/>
      </w:rPr>
    </w:pPr>
    <w:r w:rsidRPr="005102BE">
      <w:rPr>
        <w:rStyle w:val="PageNumber"/>
        <w:rFonts w:ascii="Times New Roman" w:hAnsi="Times New Roman" w:cs="Times New Roman"/>
        <w:sz w:val="18"/>
        <w:szCs w:val="18"/>
      </w:rPr>
      <w:fldChar w:fldCharType="begin"/>
    </w:r>
    <w:r w:rsidRPr="005102BE">
      <w:rPr>
        <w:rStyle w:val="PageNumber"/>
        <w:rFonts w:ascii="Times New Roman" w:hAnsi="Times New Roman" w:cs="Times New Roman"/>
        <w:sz w:val="18"/>
        <w:szCs w:val="18"/>
      </w:rPr>
      <w:instrText xml:space="preserve"> PAGE </w:instrText>
    </w:r>
    <w:r w:rsidRPr="005102BE">
      <w:rPr>
        <w:rStyle w:val="PageNumber"/>
        <w:rFonts w:ascii="Times New Roman" w:hAnsi="Times New Roman" w:cs="Times New Roman"/>
        <w:sz w:val="18"/>
        <w:szCs w:val="18"/>
      </w:rPr>
      <w:fldChar w:fldCharType="separate"/>
    </w:r>
    <w:r w:rsidR="00DF6BB2">
      <w:rPr>
        <w:rStyle w:val="PageNumber"/>
        <w:rFonts w:ascii="Times New Roman" w:hAnsi="Times New Roman" w:cs="Times New Roman"/>
        <w:noProof/>
        <w:sz w:val="18"/>
        <w:szCs w:val="18"/>
      </w:rPr>
      <w:t>1</w:t>
    </w:r>
    <w:r w:rsidRPr="005102BE">
      <w:rPr>
        <w:rStyle w:val="PageNumber"/>
        <w:rFonts w:ascii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637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2">
    <w:p>
      <w:pPr>
        <w:pStyle w:val="FootnoteText"/>
        <w:rPr>
          <w:rFonts w:ascii="Times New Roman" w:hAnsi="Times New Roman" w:cs="Times New Roman"/>
        </w:rPr>
      </w:pPr>
      <w:r w:rsidR="007A1E0D">
        <w:rPr>
          <w:rStyle w:val="FootnoteReference"/>
          <w:rFonts w:ascii="Times New Roman" w:hAnsi="Times New Roman" w:cs="Times New Roman"/>
        </w:rPr>
        <w:footnoteRef/>
      </w:r>
      <w:r w:rsidR="007A1E0D">
        <w:rPr>
          <w:rFonts w:ascii="Times New Roman" w:hAnsi="Times New Roman" w:cs="Times New Roman"/>
        </w:rPr>
        <w:t xml:space="preserve"> Materiál č. 711/2008 „Príprava nového terminálu pre cestujúcich na Letisku M. R. Štefánika Bratislava“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32F1C"/>
    <w:multiLevelType w:val="hybridMultilevel"/>
    <w:tmpl w:val="905CB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12347"/>
    <w:rsid w:val="00130E3B"/>
    <w:rsid w:val="00287F26"/>
    <w:rsid w:val="002D5C0F"/>
    <w:rsid w:val="0032038A"/>
    <w:rsid w:val="003B4485"/>
    <w:rsid w:val="003B5348"/>
    <w:rsid w:val="003E2997"/>
    <w:rsid w:val="00427168"/>
    <w:rsid w:val="004D4541"/>
    <w:rsid w:val="005102BE"/>
    <w:rsid w:val="005B347F"/>
    <w:rsid w:val="006345ED"/>
    <w:rsid w:val="007A1E0D"/>
    <w:rsid w:val="008968FF"/>
    <w:rsid w:val="009977B7"/>
    <w:rsid w:val="009B73CE"/>
    <w:rsid w:val="00B30169"/>
    <w:rsid w:val="00B70FD7"/>
    <w:rsid w:val="00C570BF"/>
    <w:rsid w:val="00CD348C"/>
    <w:rsid w:val="00D72DA6"/>
    <w:rsid w:val="00DF6BB2"/>
    <w:rsid w:val="00E13964"/>
    <w:rsid w:val="00E95D60"/>
    <w:rsid w:val="00F5355A"/>
    <w:rsid w:val="00FD373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cs-CZ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lang w:val="sk-SK"/>
    </w:rPr>
  </w:style>
  <w:style w:type="paragraph" w:styleId="Heading2">
    <w:name w:val="heading 2"/>
    <w:basedOn w:val="Normal"/>
    <w:next w:val="Normal"/>
    <w:qFormat/>
    <w:pPr>
      <w:keepNext/>
      <w:jc w:val="left"/>
      <w:outlineLvl w:val="1"/>
    </w:pPr>
    <w:rPr>
      <w:rFonts w:ascii="Arial" w:hAnsi="Arial" w:cs="Arial"/>
      <w:b/>
      <w:bCs/>
      <w:color w:val="000000"/>
      <w:sz w:val="22"/>
      <w:szCs w:val="22"/>
      <w:u w:val="single"/>
    </w:rPr>
  </w:style>
  <w:style w:type="paragraph" w:styleId="Heading3">
    <w:name w:val="heading 3"/>
    <w:basedOn w:val="Normal"/>
    <w:qFormat/>
    <w:pPr>
      <w:spacing w:before="100" w:beforeAutospacing="1" w:after="100" w:afterAutospacing="1"/>
      <w:jc w:val="left"/>
      <w:outlineLvl w:val="2"/>
    </w:pPr>
    <w:rPr>
      <w:rFonts w:ascii="Arial Unicode MS" w:hAnsi="Arial Unicode MS" w:cs="Arial Unicode MS"/>
      <w:b/>
      <w:bCs/>
      <w:sz w:val="27"/>
      <w:szCs w:val="27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  <w:rPr>
      <w:b/>
      <w:bCs/>
      <w:sz w:val="22"/>
      <w:lang w:val="sk-SK"/>
    </w:rPr>
  </w:style>
  <w:style w:type="paragraph" w:styleId="BodyText">
    <w:name w:val="Body Text"/>
    <w:basedOn w:val="Normal"/>
    <w:pPr>
      <w:jc w:val="both"/>
    </w:pPr>
    <w:rPr>
      <w:sz w:val="22"/>
      <w:lang w:val="sk-SK"/>
    </w:rPr>
  </w:style>
  <w:style w:type="paragraph" w:styleId="NormalWeb">
    <w:name w:val="Normal (Web)"/>
    <w:basedOn w:val="Normal"/>
    <w:pPr>
      <w:spacing w:before="100" w:beforeAutospacing="1" w:after="100" w:afterAutospacing="1"/>
      <w:jc w:val="left"/>
    </w:pPr>
    <w:rPr>
      <w:rFonts w:ascii="Arial Unicode MS" w:hAnsi="Arial Unicode MS" w:cs="Arial Unicode MS"/>
    </w:rPr>
  </w:style>
  <w:style w:type="character" w:styleId="Strong">
    <w:name w:val="Strong"/>
    <w:basedOn w:val="DefaultParagraphFont"/>
    <w:qFormat/>
    <w:rPr>
      <w:b/>
      <w:bCs/>
      <w:rtl w:val="0"/>
    </w:rPr>
  </w:style>
  <w:style w:type="paragraph" w:styleId="FootnoteText">
    <w:name w:val="footnote text"/>
    <w:basedOn w:val="Normal"/>
    <w:semiHidden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rsid w:val="005102BE"/>
    <w:pPr>
      <w:tabs>
        <w:tab w:val="center" w:pos="4536"/>
        <w:tab w:val="right" w:pos="9072"/>
      </w:tabs>
      <w:jc w:val="left"/>
    </w:pPr>
  </w:style>
  <w:style w:type="paragraph" w:styleId="Footer">
    <w:name w:val="footer"/>
    <w:basedOn w:val="Normal"/>
    <w:rsid w:val="005102BE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5102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oleObject" Target="embeddings/oleObject3.bin" /><Relationship Id="rId11" Type="http://schemas.openxmlformats.org/officeDocument/2006/relationships/image" Target="media/image4.wmf" /><Relationship Id="rId12" Type="http://schemas.openxmlformats.org/officeDocument/2006/relationships/oleObject" Target="embeddings/oleObject4.bin" /><Relationship Id="rId13" Type="http://schemas.openxmlformats.org/officeDocument/2006/relationships/image" Target="media/image5.wmf" /><Relationship Id="rId14" Type="http://schemas.openxmlformats.org/officeDocument/2006/relationships/oleObject" Target="embeddings/oleObject5.bin" /><Relationship Id="rId15" Type="http://schemas.openxmlformats.org/officeDocument/2006/relationships/image" Target="media/image6.wmf" /><Relationship Id="rId16" Type="http://schemas.openxmlformats.org/officeDocument/2006/relationships/oleObject" Target="embeddings/oleObject6.bin" /><Relationship Id="rId17" Type="http://schemas.openxmlformats.org/officeDocument/2006/relationships/footer" Target="footer1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settings" Target="settings.xml" /><Relationship Id="rId20" Type="http://schemas.openxmlformats.org/officeDocument/2006/relationships/styles" Target="style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1.wmf" /><Relationship Id="rId6" Type="http://schemas.openxmlformats.org/officeDocument/2006/relationships/oleObject" Target="embeddings/oleObject1.bin" /><Relationship Id="rId7" Type="http://schemas.openxmlformats.org/officeDocument/2006/relationships/image" Target="media/image2.wmf" /><Relationship Id="rId8" Type="http://schemas.openxmlformats.org/officeDocument/2006/relationships/oleObject" Target="embeddings/oleObject2.bin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2223</Words>
  <Characters>12676</Characters>
  <Application>Microsoft Office Word</Application>
  <DocSecurity>0</DocSecurity>
  <Lines>0</Lines>
  <Paragraphs>0</Paragraphs>
  <ScaleCrop>false</ScaleCrop>
  <Company>airport bratislava</Company>
  <LinksUpToDate>false</LinksUpToDate>
  <CharactersWithSpaces>14870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Správa o súčasnom stave</dc:title>
  <dc:creator>sekrpr2</dc:creator>
  <cp:lastModifiedBy>EgyenEva</cp:lastModifiedBy>
  <cp:revision>2</cp:revision>
  <cp:lastPrinted>2008-04-24T09:32:00Z</cp:lastPrinted>
  <dcterms:created xsi:type="dcterms:W3CDTF">2008-06-11T06:54:00Z</dcterms:created>
  <dcterms:modified xsi:type="dcterms:W3CDTF">2008-06-11T06:54:00Z</dcterms:modified>
</cp:coreProperties>
</file>