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37" w:rsidRDefault="00E06F56" w:rsidP="001A3380">
      <w:pPr>
        <w:jc w:val="center"/>
        <w:rPr>
          <w:rFonts w:ascii="Segoe UI" w:hAnsi="Segoe UI" w:cs="Segoe UI"/>
          <w:b/>
          <w:color w:val="494949"/>
          <w:sz w:val="16"/>
          <w:szCs w:val="16"/>
          <w:shd w:val="clear" w:color="auto" w:fill="FFFFFF"/>
        </w:rPr>
      </w:pPr>
      <w:r>
        <w:rPr>
          <w:b/>
        </w:rPr>
        <w:t>O</w:t>
      </w:r>
      <w:r w:rsidRPr="00FF3937">
        <w:rPr>
          <w:b/>
        </w:rPr>
        <w:t>CHRANA OZNAMOVATEĽOV PROTISPOLOČENSKEJ ČINNOSTI A INFORMÁCIE O PODÁVANÍ A VNÚTORNOM SYSTÉME PREVEROVANIA OZNÁMENÍ PROTISPOLOČENSKEJ ČINNOSTI</w:t>
      </w:r>
      <w:r w:rsidRPr="00FF3937">
        <w:rPr>
          <w:b/>
        </w:rPr>
        <w:br/>
      </w:r>
    </w:p>
    <w:p w:rsidR="00FF3937" w:rsidRPr="00FF3937" w:rsidRDefault="00FF3937" w:rsidP="00FF3937">
      <w:pPr>
        <w:jc w:val="both"/>
      </w:pPr>
      <w:r>
        <w:t xml:space="preserve">Od 01. marca 2019 je účinný </w:t>
      </w:r>
      <w:r w:rsidR="0029307C">
        <w:rPr>
          <w:b/>
        </w:rPr>
        <w:t>zákon</w:t>
      </w:r>
      <w:r w:rsidRPr="0029307C">
        <w:rPr>
          <w:b/>
        </w:rPr>
        <w:t xml:space="preserve"> č. 54/2019 Z. z. o ochrane oznamovateľov protispoločenskej činnosti a o zmene a doplnení niektorých zákonov v platnom znení</w:t>
      </w:r>
      <w:r>
        <w:t xml:space="preserve">, ktorého predmetom je okrem iného i úprava podmienok </w:t>
      </w:r>
      <w:r w:rsidRPr="00FF3937">
        <w:t>poskytovania ochrany osobám v pracovnoprávnom vzťahu v súvislosti s oznamovaním kriminality alebo inej protispoločenskej činnosti</w:t>
      </w:r>
      <w:r>
        <w:t xml:space="preserve"> a úprava práv a povinností osôb pri oznamovaní protispoločenskej </w:t>
      </w:r>
      <w:r w:rsidRPr="00FF3937">
        <w:t xml:space="preserve">činnosti. </w:t>
      </w:r>
    </w:p>
    <w:p w:rsidR="00FF3937" w:rsidRPr="00FF3937" w:rsidRDefault="00FF3937" w:rsidP="00FF3937">
      <w:pPr>
        <w:jc w:val="both"/>
      </w:pPr>
      <w:r w:rsidRPr="00FF3937">
        <w:t>Na účely tohto zákona sa rozumie</w:t>
      </w:r>
      <w:r>
        <w:t xml:space="preserve"> </w:t>
      </w:r>
      <w:r w:rsidRPr="00FF3937">
        <w:rPr>
          <w:b/>
        </w:rPr>
        <w:t>oznamovateľom</w:t>
      </w:r>
      <w:r w:rsidRPr="00FF3937">
        <w:t xml:space="preserve"> fyzická osoba, ktorá v dobrej viere urobí oznámenie orgánu príslušnému na prijatie oznámenia, úradu alebo zamestnávateľovi</w:t>
      </w:r>
      <w:r w:rsidR="0007386A">
        <w:t xml:space="preserve"> a </w:t>
      </w:r>
      <w:r w:rsidRPr="0007386A">
        <w:rPr>
          <w:b/>
        </w:rPr>
        <w:t>oznámením</w:t>
      </w:r>
      <w:r w:rsidRPr="00FF3937">
        <w:t xml:space="preserve"> </w:t>
      </w:r>
      <w:r w:rsidR="0007386A">
        <w:t xml:space="preserve">sa rozumie </w:t>
      </w:r>
      <w:r w:rsidRPr="00FF3937">
        <w:t>uvedenie skutočností, o ktorých sa fyzická osoba dozvedela v súvislosti s výkonom svojho zamestnania, povolania, postavenia alebo funkcie alebo v súvislosti s činnosťou vo verejnom záujme a ktoré sa týkajú protispoločenskej činnosti,</w:t>
      </w:r>
    </w:p>
    <w:p w:rsidR="00FF3937" w:rsidRDefault="0007386A" w:rsidP="00FF3937">
      <w:pPr>
        <w:jc w:val="both"/>
      </w:pPr>
      <w:r>
        <w:t xml:space="preserve">Oznamovateľ pri oznámení závažnej protispoločenskej činnosti, </w:t>
      </w:r>
      <w:r w:rsidRPr="0007386A">
        <w:rPr>
          <w:b/>
        </w:rPr>
        <w:t>ktorá je trestným činom</w:t>
      </w:r>
      <w:r>
        <w:t>, môže podať žiadosť o poskytnutie ochrany, ktorá sa podáva prokurátorovi písomne alebo ústne do zápisnice.</w:t>
      </w:r>
    </w:p>
    <w:p w:rsidR="0007386A" w:rsidRDefault="0007386A" w:rsidP="00FF3937">
      <w:pPr>
        <w:jc w:val="both"/>
      </w:pPr>
      <w:r>
        <w:t xml:space="preserve">Oznamovateľ pri oznámení závažnej protispoločenskej činnosti, </w:t>
      </w:r>
      <w:r w:rsidRPr="0007386A">
        <w:rPr>
          <w:b/>
        </w:rPr>
        <w:t>ktorá je správnym deliktom</w:t>
      </w:r>
      <w:r>
        <w:t xml:space="preserve">, môže podať žiadosť o poskytnutie ochrany, ktorá sa podáva písomne alebo ústne do zápisnice orgánu, ktorý je príslušný na konanie o správnom delikte. </w:t>
      </w:r>
    </w:p>
    <w:p w:rsidR="0007386A" w:rsidRDefault="0007386A" w:rsidP="001A3380">
      <w:pPr>
        <w:jc w:val="both"/>
        <w:rPr>
          <w:b/>
        </w:rPr>
      </w:pPr>
      <w:r>
        <w:t>Kancelária Národnej rady Slovenskej republiky v zmysle zákona určila osobu, ktorá pln</w:t>
      </w:r>
      <w:r w:rsidR="0029307C">
        <w:t>í</w:t>
      </w:r>
      <w:r>
        <w:t xml:space="preserve"> úlohy zamestnávateľa ako </w:t>
      </w:r>
      <w:r w:rsidRPr="0007386A">
        <w:rPr>
          <w:b/>
        </w:rPr>
        <w:t>zodpovedná osoba</w:t>
      </w:r>
      <w:r>
        <w:t xml:space="preserve">, ktorou je </w:t>
      </w:r>
      <w:r w:rsidRPr="0007386A">
        <w:rPr>
          <w:b/>
        </w:rPr>
        <w:t>Mgr. Martin Mucha, PhD.</w:t>
      </w:r>
    </w:p>
    <w:p w:rsidR="0007386A" w:rsidRDefault="0007386A" w:rsidP="001A3380">
      <w:pPr>
        <w:jc w:val="both"/>
      </w:pPr>
      <w:r>
        <w:t>Spôsoby podávania oznámení protispoločenskej činnosti:</w:t>
      </w:r>
    </w:p>
    <w:p w:rsidR="0007386A" w:rsidRPr="00E06F56" w:rsidRDefault="0007386A" w:rsidP="001A3380">
      <w:pPr>
        <w:jc w:val="both"/>
      </w:pPr>
      <w:r>
        <w:t>- elektronickou poštou na emailovú adresu:</w:t>
      </w:r>
      <w:r w:rsidR="00E06F56">
        <w:t xml:space="preserve"> </w:t>
      </w:r>
      <w:r w:rsidR="00E06F56">
        <w:tab/>
      </w:r>
      <w:r w:rsidR="00E06F56">
        <w:tab/>
        <w:t xml:space="preserve">  </w:t>
      </w:r>
      <w:r w:rsidR="00E06F56" w:rsidRPr="00E06F56">
        <w:rPr>
          <w:b/>
        </w:rPr>
        <w:t>protispolocenskacinnost@nrsr.sk</w:t>
      </w:r>
      <w:r w:rsidR="00E06F56">
        <w:t xml:space="preserve">       (tento</w:t>
      </w:r>
      <w:r w:rsidRPr="0007386A">
        <w:rPr>
          <w:b/>
        </w:rPr>
        <w:t xml:space="preserve"> </w:t>
      </w:r>
      <w:r w:rsidRPr="00E06F56">
        <w:t xml:space="preserve">spôsob </w:t>
      </w:r>
      <w:r w:rsidR="00E06F56" w:rsidRPr="00E06F56">
        <w:t xml:space="preserve">oznamovania </w:t>
      </w:r>
      <w:r w:rsidRPr="00E06F56">
        <w:t>je prístupný nepretržite v zmysle zákona</w:t>
      </w:r>
      <w:r w:rsidR="00E06F56" w:rsidRPr="00E06F56">
        <w:t>)</w:t>
      </w:r>
    </w:p>
    <w:p w:rsidR="00E06F56" w:rsidRPr="00E06F56" w:rsidRDefault="0007386A" w:rsidP="00E06F56">
      <w:pPr>
        <w:shd w:val="clear" w:color="auto" w:fill="FFFFFF"/>
        <w:rPr>
          <w:b/>
          <w:lang w:eastAsia="sk-SK"/>
        </w:rPr>
      </w:pPr>
      <w:r>
        <w:t>-</w:t>
      </w:r>
      <w:r w:rsidR="0029307C">
        <w:t xml:space="preserve"> telefonicky na telefónnom čísle</w:t>
      </w:r>
      <w:r>
        <w:t>:</w:t>
      </w:r>
      <w:r w:rsidR="00E06F56">
        <w:t xml:space="preserve">  </w:t>
      </w:r>
      <w:r w:rsidR="00E06F56">
        <w:tab/>
      </w:r>
      <w:r w:rsidR="00E06F56">
        <w:tab/>
      </w:r>
      <w:r w:rsidR="00E06F56">
        <w:tab/>
      </w:r>
      <w:r w:rsidR="00E06F56" w:rsidRPr="00E06F56">
        <w:rPr>
          <w:b/>
        </w:rPr>
        <w:t xml:space="preserve"> </w:t>
      </w:r>
      <w:r w:rsidR="00E06F56" w:rsidRPr="00E06F56">
        <w:rPr>
          <w:b/>
          <w:lang w:eastAsia="sk-SK"/>
        </w:rPr>
        <w:t>+421 2 5972 2353</w:t>
      </w:r>
    </w:p>
    <w:p w:rsidR="0007386A" w:rsidRDefault="0007386A" w:rsidP="00FF3937">
      <w:r>
        <w:t>- písomne na adresu:</w:t>
      </w:r>
    </w:p>
    <w:p w:rsidR="0007386A" w:rsidRPr="0029307C" w:rsidRDefault="0007386A" w:rsidP="001A3380">
      <w:pPr>
        <w:spacing w:after="0"/>
        <w:rPr>
          <w:b/>
        </w:rPr>
      </w:pPr>
      <w:r w:rsidRPr="0029307C">
        <w:rPr>
          <w:b/>
        </w:rPr>
        <w:t>Kancelária Národnej rady Slovenskej republiky</w:t>
      </w:r>
    </w:p>
    <w:p w:rsidR="0007386A" w:rsidRPr="0029307C" w:rsidRDefault="0007386A" w:rsidP="001A3380">
      <w:pPr>
        <w:spacing w:after="0"/>
        <w:rPr>
          <w:b/>
        </w:rPr>
      </w:pPr>
      <w:r w:rsidRPr="0029307C">
        <w:rPr>
          <w:b/>
        </w:rPr>
        <w:t>nám. Alexandra Dubčeka 1</w:t>
      </w:r>
    </w:p>
    <w:p w:rsidR="0007386A" w:rsidRDefault="0007386A" w:rsidP="001A3380">
      <w:r w:rsidRPr="0029307C">
        <w:rPr>
          <w:b/>
        </w:rPr>
        <w:t>812 80  Bratislava</w:t>
      </w:r>
      <w:r>
        <w:t xml:space="preserve">, </w:t>
      </w:r>
    </w:p>
    <w:p w:rsidR="0007386A" w:rsidRDefault="0007386A" w:rsidP="001A3380">
      <w:pPr>
        <w:spacing w:after="0"/>
        <w:jc w:val="both"/>
      </w:pPr>
      <w:r>
        <w:t xml:space="preserve">pričom na obálke je potrebné vyznačiť </w:t>
      </w:r>
      <w:r w:rsidR="001A3380" w:rsidRPr="001A3380">
        <w:rPr>
          <w:b/>
        </w:rPr>
        <w:t>"OZNÁMENIE PROTISPOLOČENSKEJ ČINNOSTI"</w:t>
      </w:r>
    </w:p>
    <w:p w:rsidR="001A3380" w:rsidRDefault="001A3380" w:rsidP="001A3380">
      <w:pPr>
        <w:spacing w:after="0"/>
      </w:pPr>
    </w:p>
    <w:p w:rsidR="0007386A" w:rsidRPr="0007386A" w:rsidRDefault="0007386A" w:rsidP="001A3380">
      <w:pPr>
        <w:jc w:val="both"/>
      </w:pPr>
      <w:r>
        <w:t xml:space="preserve">- </w:t>
      </w:r>
      <w:r w:rsidRPr="00E06F56">
        <w:rPr>
          <w:b/>
        </w:rPr>
        <w:t>ústne u zodpovednej osoby v pracovných dňoch od  09.30 hod. do 14.30 hod.</w:t>
      </w:r>
      <w:r>
        <w:t xml:space="preserve"> (priestory v sídle Kancelárie Národnej rady Slovenskej republiky,  nám. A. Dubčeka 1, Bratislava).</w:t>
      </w:r>
    </w:p>
    <w:p w:rsidR="001A3380" w:rsidRDefault="001A3380" w:rsidP="001A3380">
      <w:pPr>
        <w:jc w:val="both"/>
      </w:pPr>
      <w:r>
        <w:lastRenderedPageBreak/>
        <w:t xml:space="preserve">Kancelária Národnej rady Slovenskej republiky, ako zamestnávateľ v zmysle ustanovení zákona, </w:t>
      </w:r>
      <w:r w:rsidRPr="0029307C">
        <w:rPr>
          <w:b/>
        </w:rPr>
        <w:t>je povinná prijať</w:t>
      </w:r>
      <w:r>
        <w:t xml:space="preserve"> </w:t>
      </w:r>
      <w:r w:rsidRPr="0029307C">
        <w:rPr>
          <w:b/>
        </w:rPr>
        <w:t xml:space="preserve">a </w:t>
      </w:r>
      <w:r>
        <w:t xml:space="preserve">prostredníctvom zodpovednej osoby </w:t>
      </w:r>
      <w:r w:rsidRPr="0029307C">
        <w:rPr>
          <w:b/>
        </w:rPr>
        <w:t>preveri</w:t>
      </w:r>
      <w:r>
        <w:t xml:space="preserve">ť </w:t>
      </w:r>
      <w:r w:rsidRPr="0029307C">
        <w:rPr>
          <w:b/>
        </w:rPr>
        <w:t>každé oznámenie</w:t>
      </w:r>
      <w:r>
        <w:t xml:space="preserve">  do </w:t>
      </w:r>
      <w:r w:rsidRPr="0029307C">
        <w:rPr>
          <w:b/>
        </w:rPr>
        <w:t>90 dní</w:t>
      </w:r>
      <w:r>
        <w:t xml:space="preserve"> od jeho prijatia, ktorú lehotu možno </w:t>
      </w:r>
      <w:r w:rsidRPr="0029307C">
        <w:rPr>
          <w:b/>
        </w:rPr>
        <w:t>predĺž</w:t>
      </w:r>
      <w:r w:rsidR="0029307C" w:rsidRPr="0029307C">
        <w:rPr>
          <w:b/>
        </w:rPr>
        <w:t>iť o ďalších 30 dní</w:t>
      </w:r>
      <w:r w:rsidR="0029307C">
        <w:t xml:space="preserve"> s tým, že predĺženie lehoty sa oznámi oznamovateľovi s uvedením dôvodov predĺženia. Pri preverovaní oznámení je povinnosťou zachovávanie mlčanlivosti o totožnosti oznamovateľa. </w:t>
      </w:r>
    </w:p>
    <w:p w:rsidR="0029307C" w:rsidRDefault="0029307C" w:rsidP="001A3380">
      <w:pPr>
        <w:jc w:val="both"/>
      </w:pPr>
      <w:r>
        <w:t xml:space="preserve">Kancelária Národnej rady Slovenskej republiky </w:t>
      </w:r>
      <w:r w:rsidRPr="0029307C">
        <w:rPr>
          <w:b/>
        </w:rPr>
        <w:t>je</w:t>
      </w:r>
      <w:r>
        <w:t xml:space="preserve"> </w:t>
      </w:r>
      <w:r w:rsidRPr="0029307C">
        <w:rPr>
          <w:b/>
        </w:rPr>
        <w:t>povinná oznámiť oznamovateľovi výsledok</w:t>
      </w:r>
      <w:r>
        <w:t xml:space="preserve"> </w:t>
      </w:r>
      <w:r w:rsidRPr="0029307C">
        <w:rPr>
          <w:b/>
        </w:rPr>
        <w:t>preverenia</w:t>
      </w:r>
      <w:r>
        <w:t xml:space="preserve"> </w:t>
      </w:r>
      <w:r w:rsidRPr="0029307C">
        <w:rPr>
          <w:b/>
        </w:rPr>
        <w:t>oznámenia  a opatrenia</w:t>
      </w:r>
      <w:r>
        <w:t xml:space="preserve">, ak sa prijali na základe preverenia oznámenia a to do </w:t>
      </w:r>
      <w:r w:rsidRPr="0029307C">
        <w:rPr>
          <w:b/>
        </w:rPr>
        <w:t>10 dní</w:t>
      </w:r>
      <w:r>
        <w:t xml:space="preserve"> od preverenia oznámenia. </w:t>
      </w:r>
    </w:p>
    <w:p w:rsidR="00DC61CC" w:rsidRDefault="001A3380" w:rsidP="001A3380">
      <w:pPr>
        <w:jc w:val="both"/>
      </w:pPr>
      <w:r>
        <w:t>Po</w:t>
      </w:r>
      <w:r w:rsidR="0029307C">
        <w:t>drobnejší po</w:t>
      </w:r>
      <w:r>
        <w:t>stup Kancelárie Národnej rady Slovenskej republiky pri vybavovaní oznámení protispoločenskej činnosti ako aj pri ochrane oznamovateľov protispoločenskej činnosti upravuje vnútroorganizačný predpis - Smernica o ochrane oznamovateľov protispoločenskej činnosti.</w:t>
      </w:r>
    </w:p>
    <w:p w:rsidR="00E06F56" w:rsidRDefault="00E06F56" w:rsidP="001A3380">
      <w:pPr>
        <w:jc w:val="both"/>
      </w:pPr>
    </w:p>
    <w:p w:rsidR="00E06F56" w:rsidRDefault="00E06F56" w:rsidP="001A3380">
      <w:pPr>
        <w:jc w:val="both"/>
      </w:pPr>
    </w:p>
    <w:sectPr w:rsidR="00E06F56" w:rsidSect="0029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C61CC"/>
    <w:rsid w:val="0007386A"/>
    <w:rsid w:val="00100FAE"/>
    <w:rsid w:val="00156135"/>
    <w:rsid w:val="001A3380"/>
    <w:rsid w:val="0021695A"/>
    <w:rsid w:val="002311E9"/>
    <w:rsid w:val="0029219F"/>
    <w:rsid w:val="0029307C"/>
    <w:rsid w:val="00522369"/>
    <w:rsid w:val="00641024"/>
    <w:rsid w:val="00666470"/>
    <w:rsid w:val="00740A1C"/>
    <w:rsid w:val="00815970"/>
    <w:rsid w:val="00875279"/>
    <w:rsid w:val="0087555C"/>
    <w:rsid w:val="009A3244"/>
    <w:rsid w:val="00AB654E"/>
    <w:rsid w:val="00BE6EF3"/>
    <w:rsid w:val="00C87A62"/>
    <w:rsid w:val="00DC61CC"/>
    <w:rsid w:val="00E06F56"/>
    <w:rsid w:val="00F8295E"/>
    <w:rsid w:val="00FC0320"/>
    <w:rsid w:val="00FC4011"/>
    <w:rsid w:val="00FF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21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C61CC"/>
    <w:rPr>
      <w:color w:val="0000FF"/>
      <w:u w:val="single"/>
    </w:rPr>
  </w:style>
  <w:style w:type="character" w:customStyle="1" w:styleId="rpci1">
    <w:name w:val="_rpc_i1"/>
    <w:basedOn w:val="Predvolenpsmoodseku"/>
    <w:rsid w:val="00E06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76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6943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624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3283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515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729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011">
          <w:marLeft w:val="19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2021-10-11T13:49:00Z</dcterms:created>
  <dcterms:modified xsi:type="dcterms:W3CDTF">2021-10-13T08:26:00Z</dcterms:modified>
</cp:coreProperties>
</file>