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>
      <w:pPr>
        <w:pStyle w:val="Heading1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Kancelária Národnej rady SR</w:t>
      </w:r>
    </w:p>
    <w:p>
      <w:pPr>
        <w:rPr>
          <w:sz w:val="28"/>
        </w:rPr>
      </w:pPr>
      <w:r>
        <w:rPr>
          <w:sz w:val="28"/>
        </w:rPr>
        <w:t>Odbor legislatívy a aproximácie práva</w:t>
      </w:r>
    </w:p>
    <w:p>
      <w:pPr>
        <w:rPr>
          <w:sz w:val="28"/>
        </w:rPr>
      </w:pPr>
    </w:p>
    <w:p>
      <w:pPr>
        <w:rPr>
          <w:sz w:val="28"/>
        </w:rPr>
      </w:pPr>
      <w:r>
        <w:rPr>
          <w:sz w:val="28"/>
        </w:rPr>
        <w:tab/>
        <w:tab/>
        <w:tab/>
        <w:tab/>
        <w:tab/>
        <w:tab/>
        <w:tab/>
        <w:tab/>
        <w:tab/>
        <w:t>Číslo: 767/2002</w:t>
      </w:r>
    </w:p>
    <w:p>
      <w:pPr>
        <w:rPr>
          <w:sz w:val="28"/>
        </w:rPr>
      </w:pPr>
      <w:r>
        <w:rPr>
          <w:sz w:val="28"/>
        </w:rPr>
        <w:tab/>
        <w:tab/>
        <w:tab/>
        <w:tab/>
        <w:tab/>
        <w:tab/>
        <w:tab/>
        <w:tab/>
        <w:tab/>
      </w:r>
    </w:p>
    <w:p>
      <w:pPr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S t a n o v i s k o</w:t>
      </w:r>
    </w:p>
    <w:p>
      <w:pPr>
        <w:jc w:val="center"/>
        <w:rPr>
          <w:sz w:val="28"/>
        </w:rPr>
      </w:pPr>
      <w:r>
        <w:rPr>
          <w:sz w:val="28"/>
        </w:rPr>
        <w:t xml:space="preserve"> </w:t>
      </w:r>
    </w:p>
    <w:p>
      <w:pPr>
        <w:jc w:val="center"/>
        <w:rPr>
          <w:sz w:val="28"/>
        </w:rPr>
      </w:pPr>
      <w:r>
        <w:rPr>
          <w:sz w:val="28"/>
        </w:rPr>
        <w:t>k návrhu skupiny poslancov Národnej rady Slovenskej republiky na vydanie zákona, ktorým sa mení a dopĺňa zákon Národnej rady Slovenskej republiky č. 259/1993 Z.z. o Slovenskej lesníckej komore (tlač 1453)</w:t>
      </w:r>
    </w:p>
    <w:p>
      <w:pPr>
        <w:jc w:val="center"/>
        <w:rPr>
          <w:sz w:val="28"/>
        </w:rPr>
      </w:pPr>
      <w:r>
        <w:rPr>
          <w:sz w:val="28"/>
        </w:rPr>
        <w:t>_____________________________________________________________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A.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I.</w:t>
      </w:r>
    </w:p>
    <w:p>
      <w:pPr>
        <w:jc w:val="both"/>
        <w:rPr>
          <w:sz w:val="28"/>
        </w:rPr>
      </w:pPr>
    </w:p>
    <w:p>
      <w:pPr>
        <w:pStyle w:val="BodyText"/>
        <w:rPr>
          <w:sz w:val="28"/>
        </w:rPr>
      </w:pPr>
      <w:r>
        <w:rPr>
          <w:sz w:val="28"/>
        </w:rPr>
        <w:tab/>
        <w:t>Zákon Národnej rady Slovenskej republiky č. 259/1993 Z.z. o Slovenskej lesníckej komore (ďalej len „zákon“) upravuje postavenie a pôsobnosť Slovenskej lesníckej komory (ďalej len „komora“).</w:t>
      </w:r>
    </w:p>
    <w:p>
      <w:pPr>
        <w:pStyle w:val="BodyText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>Cieľom návrhu skupiny poslancov NR SR (ďalej len „navrhovateľ“) je upraviť členstvo v komore, a to zavedením obligatórneho a fakultatívneho členstva, ale tiež rozšíriť pôsobnosť komory.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 xml:space="preserve">§ 4 zákona upravuje vzťah komory k orgánom štátnej správy a zámerom navrhovateľa je jeho rozšírenie o dva nové pododseky priznaním práva komore poskytovať poradenstvo v oblasti lesníctva a zúčastňovať sa procesu prerozdeľovania prostriedkov určených na dotácie pre oblasť lesného hospodárstva. Z predloženého návrhu zákona ale nie je zrejmé, ako bude komora poskytovať poradenstvo z hľadiska odplatnosti – odplatne alebo bezodplatne. Ak odplatne, v tomto prípade nie je jasné kto, na základe čoho, čím, resp. kde určí sadzby za takéto poradenstvo. </w:t>
      </w:r>
    </w:p>
    <w:p>
      <w:pPr>
        <w:jc w:val="both"/>
        <w:rPr>
          <w:sz w:val="28"/>
        </w:rPr>
      </w:pPr>
    </w:p>
    <w:p>
      <w:pPr>
        <w:ind w:firstLine="708"/>
        <w:jc w:val="both"/>
        <w:rPr>
          <w:sz w:val="28"/>
        </w:rPr>
      </w:pPr>
      <w:r>
        <w:rPr>
          <w:sz w:val="28"/>
        </w:rPr>
        <w:t>V prípade účasti na procese prerozdeľovania prostriedkov určených na dotácie pre oblasť lesného hospodárstva nie je bližšie uvedené, v akej forme sa má komora tohto procesu zúčastňovať z hľadiska možnosti relevantne do neho zasiahnuť, ovplyvňovať ho alebo byť len pozorovateľom. Navyše možnosť účasti na procese prerozdeľovania prostriedkov určených na dotácie pre oblasť lesného hospodárstva vyplýva pre komoru aj z jej terajšie postavenia podľa § 4 ods. 1 písm. a) až c) a je len na komore, ako svoje postavenie využije.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>§ 5 zákona upravuje postavenie komory vo vzťahu ku svojim členom. Dnes komora nemá žiadne oprávnenie vykonávať nejaké skúšky odbornej spôsobilosti, len sa na požiadanie vyjadruje k odbornej spôsobilosti členov (§ 5 písm. c)). Navrhovateľ v návrhu rozširuje právomoc komory aj o právomoc organizovať skúšky odbornej spôsobilosti. Z návrhu ale nie je jasné, o skúšky akej spôsobilosti by išlo v tomto prípade. Odborná spôsobilosť na vybrané činnosti v oblasti lesného hospodárstva je upravená v zákone č. 100/1977 Zb. o hospodárení v lesoch a štátnej správe lesného hospodárstva, ktorý pozná odbornú spôsobilosť na vyhotovovanie návrhov lesných hospodárskych plánov, osvedčenie o ktorej ale vydáva Ministerstvo pôdohospodárstva SR (ďalej len „ministerstvo“) za podmienok určených jeho všeobecne záväzným právnym predpisom, ďalej je to odborná spôsobilosť na zber semien lesných drevín, ich lúštenie, skladovanie a produkciu sadeníc lesných drevín, ale aj tu osvedčenie o odbornej spôsobilosti vydáva ministerstvo na základe podrobností určených v jeho všeobecne záväznom právnom predpise a nakoniec spôsobilosť byť odborným lesným hospodárom za podmienok uvedených vo vyhláške MP SR č. 52/1994 Z.z. o odbornom lesnom hospodárovi v znení vyhlášky MP SR č. 32/1999 Z.z., ktorý vykonáva skúšku pred skúšobnou komisiou ministerstva. Kedže súčasťou predloženého návrhu zákona nie je aj návrh na zmenu zákona č. 100/1977 Zb., pravdepodobne mal navrhovateľ na mysli inú spôsobilosť, ale nie je zrejmé akú (ani z dôvodovej správy). Ak by aj komora mala právomoc vykonávať skúšky odbornej spôsobilosti, nie je z návrhu zrejmé, ktorý orgán by ich vykonával, ako by bol tvorený, ako a na základe čoho by rozhodoval. Tiež by v tom prípade bol nejasný vzťah k už spomínanému § 5 písm. c) zákona, pretože tu by sa komora pravdepodobne vyjadrovala k odbornej spôsobilosti svojich členov, ktorú by ale sama preskúmavala skúškou.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>Navrhovateľ navrhuje rozšírenie právomoci komory aj o právomoc viesť evidenciu vydaných vysvedčení, ale zákon taký pojem vôbec nepozná a nie je zrejmé o aké vysvedčenie ide.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>Súčasne sa má umožniť komore zakladať profesné kluby a sekcie, bez uvedenia bližších podrobností o postavení klubov (napr. poradné, iniciatívne a pod.) a členstve v nich. Nie je ani zrejmé, či sekcie podľa novonavrhovaného § 7 ods. 5 sú tie isté ako sekcie podľa terajšieho § 8 ods. 7 alebo nie, navyše ak sekcie podľa § 7 ods. 5 má zakladať komora v záujme presadzovania odbornosti, kým sekcie podľa § 8 ods. 7 zriaďuje valné zhromaždenie komory pre plnenie úloh komory pre jednotlivé oblasti svojej činnosti.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II.</w:t>
      </w:r>
    </w:p>
    <w:p>
      <w:pPr>
        <w:jc w:val="both"/>
        <w:rPr>
          <w:sz w:val="28"/>
        </w:rPr>
      </w:pPr>
    </w:p>
    <w:p>
      <w:pPr>
        <w:pStyle w:val="BodyText"/>
        <w:rPr>
          <w:sz w:val="28"/>
        </w:rPr>
      </w:pPr>
      <w:r>
        <w:rPr>
          <w:sz w:val="28"/>
        </w:rPr>
        <w:tab/>
        <w:t>Z legislatívno-technického hľadiska uplatňujeme k návrhu zákona tieto pripomienky:</w:t>
      </w:r>
    </w:p>
    <w:p>
      <w:pPr>
        <w:jc w:val="both"/>
        <w:rPr>
          <w:sz w:val="28"/>
        </w:rPr>
      </w:pPr>
    </w:p>
    <w:p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u w:val="single"/>
        </w:rPr>
        <w:t>K bodu 1. § 3 ods. 1</w:t>
      </w:r>
      <w:r>
        <w:rPr>
          <w:sz w:val="28"/>
        </w:rPr>
        <w:t xml:space="preserve">  </w:t>
      </w:r>
    </w:p>
    <w:p>
      <w:pPr>
        <w:ind w:left="360" w:firstLine="348"/>
        <w:jc w:val="both"/>
        <w:rPr>
          <w:sz w:val="28"/>
        </w:rPr>
      </w:pPr>
      <w:r>
        <w:rPr>
          <w:sz w:val="28"/>
        </w:rPr>
        <w:t>V § 3 ods. 1 sa slovo „alebo“ nahrád</w:t>
      </w:r>
      <w:r>
        <w:rPr>
          <w:sz w:val="28"/>
        </w:rPr>
        <w:t>za slovom „a“.</w:t>
      </w:r>
    </w:p>
    <w:p>
      <w:pPr>
        <w:ind w:left="360"/>
        <w:jc w:val="both"/>
        <w:rPr>
          <w:sz w:val="28"/>
          <w:u w:val="single"/>
        </w:rPr>
      </w:pPr>
    </w:p>
    <w:p>
      <w:pPr>
        <w:ind w:left="2832"/>
        <w:jc w:val="both"/>
        <w:rPr>
          <w:sz w:val="28"/>
        </w:rPr>
      </w:pPr>
      <w:r>
        <w:rPr>
          <w:sz w:val="28"/>
        </w:rPr>
        <w:t>Členmi komory sú aj fyzické osoby aj právnické osoby.</w:t>
      </w:r>
    </w:p>
    <w:p>
      <w:pPr>
        <w:ind w:left="3540"/>
        <w:jc w:val="both"/>
        <w:rPr>
          <w:sz w:val="28"/>
        </w:rPr>
      </w:pPr>
    </w:p>
    <w:p>
      <w:pPr>
        <w:pStyle w:val="BodyTextIndent"/>
        <w:numPr>
          <w:ilvl w:val="0"/>
          <w:numId w:val="1"/>
        </w:numPr>
        <w:rPr>
          <w:sz w:val="28"/>
        </w:rPr>
      </w:pPr>
      <w:r>
        <w:rPr>
          <w:sz w:val="28"/>
          <w:u w:val="single"/>
        </w:rPr>
        <w:t>K bodu 1. § 3 ods. 3</w:t>
      </w:r>
      <w:r>
        <w:rPr>
          <w:sz w:val="28"/>
        </w:rPr>
        <w:t xml:space="preserve">  </w:t>
      </w:r>
    </w:p>
    <w:p>
      <w:pPr>
        <w:pStyle w:val="BodyTextIndent"/>
        <w:ind w:left="708" w:firstLine="75"/>
        <w:rPr>
          <w:sz w:val="28"/>
        </w:rPr>
      </w:pPr>
      <w:r>
        <w:rPr>
          <w:sz w:val="28"/>
        </w:rPr>
        <w:t>V § 3 ods. 3 sa slová „pre  osoby uvedené“ nahrádzajú slovami „osobám uvedeným“.</w:t>
      </w:r>
    </w:p>
    <w:p>
      <w:pPr>
        <w:ind w:left="1800" w:hanging="1800"/>
        <w:jc w:val="both"/>
        <w:rPr>
          <w:sz w:val="28"/>
        </w:rPr>
      </w:pPr>
    </w:p>
    <w:p>
      <w:pPr>
        <w:ind w:left="1800" w:hanging="1800"/>
        <w:jc w:val="both"/>
        <w:rPr>
          <w:sz w:val="28"/>
        </w:rPr>
      </w:pPr>
      <w:r>
        <w:rPr>
          <w:sz w:val="28"/>
        </w:rPr>
        <w:tab/>
        <w:tab/>
        <w:tab/>
        <w:t>Štylistická úprava.</w:t>
      </w:r>
    </w:p>
    <w:p>
      <w:pPr>
        <w:ind w:left="1800" w:hanging="1800"/>
        <w:jc w:val="both"/>
        <w:rPr>
          <w:sz w:val="28"/>
        </w:rPr>
      </w:pPr>
    </w:p>
    <w:p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u w:val="single"/>
        </w:rPr>
        <w:t>K bodu 2.</w:t>
      </w:r>
      <w:r>
        <w:rPr>
          <w:sz w:val="28"/>
        </w:rPr>
        <w:t xml:space="preserve">  </w:t>
      </w:r>
    </w:p>
    <w:p>
      <w:pPr>
        <w:pStyle w:val="BodyTextIndent2"/>
        <w:ind w:left="708" w:firstLine="0"/>
      </w:pPr>
      <w:r>
        <w:t>Úvodná vetu k bodu 2. znie: „V § 4 sa odsek 1 dopĺňa písmenami d) a e), ktoré znejú:“.</w:t>
      </w:r>
    </w:p>
    <w:p>
      <w:pPr>
        <w:ind w:left="3540"/>
        <w:jc w:val="both"/>
        <w:rPr>
          <w:sz w:val="28"/>
          <w:u w:val="single"/>
        </w:rPr>
      </w:pPr>
    </w:p>
    <w:p>
      <w:pPr>
        <w:ind w:left="2832"/>
        <w:jc w:val="both"/>
        <w:rPr>
          <w:sz w:val="28"/>
        </w:rPr>
      </w:pPr>
      <w:r>
        <w:rPr>
          <w:sz w:val="28"/>
        </w:rPr>
        <w:t>Legislatívno-technická úprava.</w:t>
      </w:r>
    </w:p>
    <w:p>
      <w:pPr>
        <w:jc w:val="both"/>
        <w:rPr>
          <w:sz w:val="28"/>
        </w:rPr>
      </w:pPr>
    </w:p>
    <w:p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u w:val="single"/>
        </w:rPr>
        <w:t>K bodu 4.</w:t>
      </w:r>
      <w:r>
        <w:rPr>
          <w:sz w:val="28"/>
        </w:rPr>
        <w:t xml:space="preserve">  </w:t>
      </w:r>
    </w:p>
    <w:p>
      <w:pPr>
        <w:ind w:left="360" w:firstLine="348"/>
        <w:jc w:val="both"/>
        <w:rPr>
          <w:sz w:val="28"/>
        </w:rPr>
      </w:pPr>
      <w:r>
        <w:rPr>
          <w:sz w:val="28"/>
        </w:rPr>
        <w:t>V úvodnej vete sa vypúšťajú slová „na konci“.</w:t>
      </w:r>
    </w:p>
    <w:p>
      <w:pPr>
        <w:ind w:left="360"/>
        <w:jc w:val="both"/>
        <w:rPr>
          <w:sz w:val="28"/>
          <w:u w:val="single"/>
        </w:rPr>
      </w:pPr>
    </w:p>
    <w:p>
      <w:pPr>
        <w:ind w:left="2832"/>
        <w:jc w:val="both"/>
        <w:rPr>
          <w:sz w:val="28"/>
        </w:rPr>
      </w:pPr>
      <w:r>
        <w:rPr>
          <w:sz w:val="28"/>
        </w:rPr>
        <w:t>Legislatívno-technická úprava.</w:t>
      </w:r>
    </w:p>
    <w:p>
      <w:pPr>
        <w:jc w:val="both"/>
        <w:rPr>
          <w:sz w:val="28"/>
        </w:rPr>
      </w:pPr>
    </w:p>
    <w:p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u w:val="single"/>
        </w:rPr>
        <w:t>K bodu 5.</w:t>
      </w:r>
      <w:r>
        <w:rPr>
          <w:sz w:val="28"/>
        </w:rPr>
        <w:t xml:space="preserve">  </w:t>
      </w:r>
    </w:p>
    <w:p>
      <w:pPr>
        <w:ind w:left="360" w:firstLine="348"/>
        <w:jc w:val="both"/>
        <w:rPr>
          <w:sz w:val="28"/>
        </w:rPr>
      </w:pPr>
      <w:r>
        <w:rPr>
          <w:sz w:val="28"/>
        </w:rPr>
        <w:t>V úvodnej vete sa vypúšťajú slová „na konci“.</w:t>
      </w:r>
    </w:p>
    <w:p>
      <w:pPr>
        <w:ind w:left="360"/>
        <w:jc w:val="both"/>
        <w:rPr>
          <w:sz w:val="28"/>
          <w:u w:val="single"/>
        </w:rPr>
      </w:pPr>
    </w:p>
    <w:p>
      <w:pPr>
        <w:ind w:left="2832"/>
        <w:jc w:val="both"/>
        <w:rPr>
          <w:sz w:val="28"/>
        </w:rPr>
      </w:pPr>
      <w:r>
        <w:rPr>
          <w:sz w:val="28"/>
        </w:rPr>
        <w:t>Legislatívno-technická úprava. Okrem toho, čo je kluboch a sekciách uvedené vyššie, poukazujeme aj na to, že toto ustanovenie je nesystematicky zaradené do paragrafu, ktorý upravuje postavenie oblastných komôr.</w:t>
      </w:r>
    </w:p>
    <w:p>
      <w:pPr>
        <w:jc w:val="both"/>
        <w:rPr>
          <w:sz w:val="28"/>
        </w:rPr>
      </w:pPr>
    </w:p>
    <w:p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u w:val="single"/>
        </w:rPr>
        <w:t>K bodu 6.</w:t>
      </w:r>
      <w:r>
        <w:rPr>
          <w:sz w:val="28"/>
        </w:rPr>
        <w:t xml:space="preserve">  </w:t>
      </w:r>
    </w:p>
    <w:p>
      <w:pPr>
        <w:ind w:left="708"/>
        <w:jc w:val="both"/>
        <w:rPr>
          <w:sz w:val="28"/>
        </w:rPr>
      </w:pPr>
      <w:r>
        <w:rPr>
          <w:sz w:val="28"/>
        </w:rPr>
        <w:t>V úvodnej vete sa slová „koniec vkladajú“ nahrádzajú slovami „</w:t>
      </w:r>
      <w:r>
        <w:rPr>
          <w:sz w:val="28"/>
        </w:rPr>
        <w:t>konci pripájajú tieto“.</w:t>
      </w:r>
    </w:p>
    <w:p>
      <w:pPr>
        <w:ind w:left="360"/>
        <w:jc w:val="both"/>
        <w:rPr>
          <w:sz w:val="28"/>
          <w:u w:val="single"/>
        </w:rPr>
      </w:pPr>
    </w:p>
    <w:p>
      <w:pPr>
        <w:ind w:left="2832"/>
        <w:jc w:val="both"/>
        <w:rPr>
          <w:sz w:val="28"/>
        </w:rPr>
      </w:pPr>
      <w:r>
        <w:rPr>
          <w:sz w:val="28"/>
        </w:rPr>
        <w:t>Legislatívno-technická úprava.</w:t>
      </w:r>
    </w:p>
    <w:p>
      <w:pPr>
        <w:jc w:val="both"/>
        <w:rPr>
          <w:sz w:val="28"/>
        </w:rPr>
      </w:pPr>
    </w:p>
    <w:p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u w:val="single"/>
        </w:rPr>
        <w:t>K bodu 7.</w:t>
      </w:r>
      <w:r>
        <w:rPr>
          <w:sz w:val="28"/>
        </w:rPr>
        <w:t xml:space="preserve">  </w:t>
      </w:r>
    </w:p>
    <w:p>
      <w:pPr>
        <w:ind w:left="708"/>
        <w:jc w:val="both"/>
        <w:rPr>
          <w:sz w:val="28"/>
        </w:rPr>
      </w:pPr>
      <w:r>
        <w:rPr>
          <w:sz w:val="28"/>
        </w:rPr>
        <w:t>V úvodnej vete sa slová „koniec vkladá nová“ nahrádzajú slovami „konci pripája táto“ a slová „, ktorá znie“ sa nahrádzajú dvojbodkou.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ab/>
        <w:tab/>
        <w:tab/>
        <w:t>Legislatívno-technická úprava.</w:t>
      </w:r>
    </w:p>
    <w:p>
      <w:pPr>
        <w:jc w:val="both"/>
        <w:rPr>
          <w:sz w:val="28"/>
        </w:rPr>
      </w:pPr>
    </w:p>
    <w:p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K Čl. II</w:t>
      </w:r>
    </w:p>
    <w:p>
      <w:pPr>
        <w:ind w:left="720"/>
        <w:jc w:val="both"/>
        <w:rPr>
          <w:sz w:val="28"/>
        </w:rPr>
      </w:pPr>
      <w:r>
        <w:rPr>
          <w:sz w:val="28"/>
        </w:rPr>
        <w:t>Slová „</w:t>
      </w:r>
      <w:r>
        <w:rPr>
          <w:sz w:val="28"/>
        </w:rPr>
        <w:t>1. augusta“ sa nahrádzajú slovami „1. septembra“.</w:t>
      </w:r>
    </w:p>
    <w:p>
      <w:pPr>
        <w:ind w:left="720"/>
        <w:jc w:val="both"/>
        <w:rPr>
          <w:sz w:val="28"/>
        </w:rPr>
      </w:pPr>
    </w:p>
    <w:p>
      <w:pPr>
        <w:ind w:left="720"/>
        <w:jc w:val="both"/>
        <w:rPr>
          <w:sz w:val="28"/>
        </w:rPr>
      </w:pPr>
      <w:r>
        <w:rPr>
          <w:sz w:val="28"/>
        </w:rPr>
        <w:tab/>
        <w:tab/>
        <w:tab/>
        <w:t>Navrhovaný termín je nereálny.</w:t>
      </w:r>
    </w:p>
    <w:p>
      <w:pPr>
        <w:jc w:val="both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B.</w:t>
      </w:r>
    </w:p>
    <w:p>
      <w:pPr>
        <w:pStyle w:val="BodyTextIndent"/>
        <w:rPr>
          <w:sz w:val="28"/>
        </w:rPr>
      </w:pPr>
    </w:p>
    <w:p>
      <w:pPr>
        <w:pStyle w:val="BodyText"/>
        <w:ind w:firstLine="708"/>
        <w:rPr>
          <w:sz w:val="28"/>
        </w:rPr>
      </w:pPr>
      <w:r>
        <w:rPr>
          <w:sz w:val="28"/>
        </w:rPr>
        <w:t xml:space="preserve">Predložený návrh zákona z hľadiska predmetu úpravy nepatrí medzi prioritné oblasti aproximácie práva uvedené v článku 70 Európskej dohody o pridružení, a rovnako nepatrí medzi priority odporúčané v  Príprave asociovaných krajín strednej a východnej Európy na integráciu do vnútorného trhu Európskej únie (Biela kniha). </w:t>
      </w:r>
    </w:p>
    <w:p>
      <w:pPr>
        <w:pStyle w:val="BodyText"/>
        <w:ind w:firstLine="708"/>
        <w:rPr>
          <w:sz w:val="28"/>
        </w:rPr>
      </w:pPr>
    </w:p>
    <w:p>
      <w:pPr>
        <w:pStyle w:val="BodyText"/>
        <w:ind w:firstLine="708"/>
        <w:rPr>
          <w:sz w:val="28"/>
        </w:rPr>
      </w:pPr>
      <w:r>
        <w:rPr>
          <w:sz w:val="28"/>
        </w:rPr>
        <w:t xml:space="preserve">Ale i napriek tomuto konštatovaniu možno uviesť, že predkladaný návrh zákona sa čiastočne dotýka kapitoly 18 Bielej knihy „Vzájomné uznanie odbornej kvalifikácie“ a to  bodu 3. „Členstvo v profesijných organizáciách a rešpektovanie etických princípov“. Ide najmä o požiadavky a všeobecné princípy práva Európskej únie, ktoré sa týkajú organizačného členenia a plnenia úloh komôr, kontroly dodržiavania povinností súvisiacich s výkonom povolania; ide najmä o dodržiavanie etických princípov, ako aj uloženie sankcií členom komory v dôsledku porušenia povinností, ktoré priamo súvisia s výkonom ich povolania.  </w:t>
      </w:r>
    </w:p>
    <w:p>
      <w:pPr>
        <w:pStyle w:val="BodyText"/>
        <w:ind w:firstLine="708"/>
        <w:rPr>
          <w:sz w:val="28"/>
        </w:rPr>
      </w:pPr>
    </w:p>
    <w:p>
      <w:pPr>
        <w:pStyle w:val="BodyText"/>
        <w:ind w:firstLine="708"/>
        <w:rPr>
          <w:sz w:val="28"/>
        </w:rPr>
      </w:pPr>
      <w:r>
        <w:rPr>
          <w:sz w:val="28"/>
        </w:rPr>
        <w:t xml:space="preserve">  Ďalej možno uviesť kapitolu 14 Bielej knihy „Ochrana osobných údajov“, ktorá úzko súvisí so spracovávaním a zabezpečením ochrany osobných údajov, teda s vedením zoznamu členov komory.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  <w:r>
        <w:rPr>
          <w:sz w:val="28"/>
        </w:rPr>
        <w:t>Bratislava 27. mája 2002</w:t>
      </w:r>
    </w:p>
    <w:p>
      <w:pPr>
        <w:pStyle w:val="BodyText"/>
        <w:rPr>
          <w:sz w:val="28"/>
        </w:rPr>
      </w:pPr>
      <w:r>
        <w:rPr>
          <w:sz w:val="28"/>
        </w:rPr>
        <w:t>Vypracovala:   A.  JUDr. Boris Balog</w:t>
      </w:r>
    </w:p>
    <w:p>
      <w:pPr>
        <w:pStyle w:val="BodyText"/>
        <w:numPr>
          <w:ilvl w:val="0"/>
          <w:numId w:val="2"/>
        </w:numPr>
        <w:rPr>
          <w:sz w:val="28"/>
        </w:rPr>
      </w:pPr>
      <w:r>
        <w:rPr>
          <w:sz w:val="28"/>
        </w:rPr>
        <w:t>JUDr</w:t>
      </w:r>
      <w:r>
        <w:rPr>
          <w:sz w:val="28"/>
        </w:rPr>
        <w:t>. B. Sedláková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ind w:left="4956" w:firstLine="708"/>
        <w:rPr>
          <w:sz w:val="28"/>
        </w:rPr>
      </w:pPr>
      <w:r>
        <w:rPr>
          <w:sz w:val="28"/>
        </w:rPr>
        <w:t>JUDr. Peter Kukliš, CSc.</w:t>
      </w:r>
    </w:p>
    <w:p>
      <w:pPr>
        <w:pStyle w:val="BodyText"/>
        <w:ind w:left="4956" w:firstLine="708"/>
        <w:rPr>
          <w:sz w:val="28"/>
        </w:rPr>
      </w:pPr>
      <w:r>
        <w:rPr>
          <w:sz w:val="28"/>
        </w:rPr>
        <w:t xml:space="preserve">           riaditeľ</w:t>
      </w:r>
    </w:p>
    <w:p>
      <w:pPr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sectPr>
      <w:footerReference w:type="even" r:id="rId4"/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3A87" w:usb1="00000000" w:usb2="00000000" w:usb3="00000000" w:csb0="000000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3A87" w:usb1="00000000" w:usb2="00000000" w:usb3="00000000" w:csb0="000000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233B6"/>
    <w:multiLevelType w:val="hybridMultilevel"/>
    <w:tmpl w:val="1C0406B4"/>
    <w:lvl w:ilvl="0">
      <w:start w:val="2"/>
      <w:numFmt w:val="upperLetter"/>
      <w:lvlText w:val="%1."/>
      <w:lvlJc w:val="left"/>
      <w:pPr>
        <w:tabs>
          <w:tab w:val="num" w:pos="2100"/>
        </w:tabs>
        <w:ind w:left="2100" w:hanging="4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775"/>
        </w:tabs>
        <w:ind w:left="277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</w:lvl>
    <w:lvl w:ilvl="3" w:tentative="1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</w:lvl>
    <w:lvl w:ilvl="6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</w:lvl>
  </w:abstractNum>
  <w:abstractNum w:abstractNumId="1">
    <w:nsid w:val="5F4D664C"/>
    <w:multiLevelType w:val="hybridMultilevel"/>
    <w:tmpl w:val="D4764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sk-SK" w:eastAsia="sk-SK" w:bidi="ar-SA"/>
    </w:rPr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</w:style>
  <w:style w:type="paragraph" w:styleId="BodyText">
    <w:name w:val="Body Text"/>
    <w:basedOn w:val="Normal"/>
    <w:pPr>
      <w:jc w:val="both"/>
    </w:pPr>
  </w:style>
  <w:style w:type="paragraph" w:styleId="BodyTextIndent">
    <w:name w:val="Body Text Indent"/>
    <w:basedOn w:val="Normal"/>
    <w:pPr>
      <w:ind w:left="1800" w:hanging="1800"/>
      <w:jc w:val="both"/>
    </w:pPr>
  </w:style>
  <w:style w:type="paragraph" w:styleId="BodyTextIndent2">
    <w:name w:val="Body Text Indent 2"/>
    <w:basedOn w:val="Normal"/>
    <w:pPr>
      <w:ind w:left="360" w:firstLine="348"/>
      <w:jc w:val="both"/>
    </w:pPr>
    <w:rPr>
      <w:sz w:val="28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17</TotalTime>
  <Pages>1</Pages>
  <Words>1011</Words>
  <Characters>5763</Characters>
  <Application>Microsoft Office Word</Application>
  <DocSecurity>0</DocSecurity>
  <Lines>48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Kancelária Národnej rady SR</vt:lpstr>
    </vt:vector>
  </TitlesOfParts>
  <Company>...</Company>
  <LinksUpToDate>false</LinksUpToDate>
  <CharactersWithSpaces>7077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Kancelária Národnej rady SR</dc:title>
  <dc:creator>balobori</dc:creator>
  <cp:lastModifiedBy>IM 5403/6554</cp:lastModifiedBy>
  <cp:revision>5</cp:revision>
  <cp:lastPrinted>2002-06-04T09:37:00Z</cp:lastPrinted>
  <dcterms:created xsi:type="dcterms:W3CDTF">2002-05-27T11:11:00Z</dcterms:created>
  <dcterms:modified xsi:type="dcterms:W3CDTF">2002-06-04T09:42:00Z</dcterms:modified>
</cp:coreProperties>
</file>