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>
      <w:pPr>
        <w:pStyle w:val="Heading1"/>
      </w:pPr>
      <w:r>
        <w:t>Kancelária Národnej rady SR</w:t>
      </w:r>
    </w:p>
    <w:p>
      <w:pPr>
        <w:rPr>
          <w:sz w:val="28"/>
        </w:rPr>
      </w:pPr>
      <w:r>
        <w:rPr>
          <w:sz w:val="28"/>
        </w:rPr>
        <w:t>Odbor legislatívy a aproximácie práva</w:t>
      </w:r>
    </w:p>
    <w:p>
      <w:pPr>
        <w:rPr>
          <w:sz w:val="28"/>
        </w:rPr>
      </w:pPr>
    </w:p>
    <w:p>
      <w:pPr>
        <w:rPr>
          <w:sz w:val="28"/>
        </w:rPr>
      </w:pPr>
    </w:p>
    <w:p>
      <w:pPr>
        <w:ind w:left="6372" w:firstLine="708"/>
        <w:rPr>
          <w:sz w:val="28"/>
        </w:rPr>
      </w:pPr>
      <w:r>
        <w:rPr>
          <w:sz w:val="28"/>
        </w:rPr>
        <w:t>Číslo: 74/2002</w:t>
      </w:r>
    </w:p>
    <w:p>
      <w:pPr>
        <w:ind w:left="6372" w:firstLine="708"/>
        <w:rPr>
          <w:sz w:val="28"/>
        </w:rPr>
      </w:pPr>
    </w:p>
    <w:p>
      <w:pPr>
        <w:ind w:left="6372" w:firstLine="708"/>
        <w:rPr>
          <w:sz w:val="28"/>
        </w:rPr>
      </w:pPr>
    </w:p>
    <w:p>
      <w:pPr>
        <w:jc w:val="center"/>
        <w:rPr>
          <w:sz w:val="28"/>
        </w:rPr>
      </w:pPr>
      <w:r>
        <w:rPr>
          <w:sz w:val="28"/>
        </w:rPr>
        <w:t>S t a n o v i s k o</w:t>
      </w:r>
    </w:p>
    <w:p>
      <w:pPr>
        <w:jc w:val="center"/>
        <w:rPr>
          <w:sz w:val="28"/>
        </w:rPr>
      </w:pPr>
    </w:p>
    <w:p>
      <w:pPr>
        <w:jc w:val="center"/>
        <w:rPr>
          <w:sz w:val="28"/>
        </w:rPr>
      </w:pPr>
    </w:p>
    <w:p>
      <w:pPr>
        <w:rPr>
          <w:sz w:val="28"/>
        </w:rPr>
      </w:pPr>
      <w:r>
        <w:rPr>
          <w:sz w:val="28"/>
        </w:rPr>
        <w:t>k návrhu skupiny poslancov Národnej rady Slovenskej republiky, ktorým sa mení a dopĺňa zákon Slovenskej národnej rady č. 369/1990 Zb. o obecnom zriadení v znení neskorších predpisov (tlač 1318)</w:t>
      </w:r>
    </w:p>
    <w:p>
      <w:pPr>
        <w:rPr>
          <w:sz w:val="28"/>
        </w:rPr>
      </w:pPr>
      <w:r>
        <w:rPr>
          <w:sz w:val="28"/>
        </w:rPr>
        <w:t>______________________________________________________________</w:t>
      </w:r>
    </w:p>
    <w:p>
      <w:pPr>
        <w:rPr>
          <w:sz w:val="28"/>
        </w:rPr>
      </w:pPr>
    </w:p>
    <w:p>
      <w:pPr>
        <w:rPr>
          <w:sz w:val="28"/>
        </w:rPr>
      </w:pPr>
    </w:p>
    <w:p>
      <w:pPr>
        <w:jc w:val="center"/>
        <w:rPr>
          <w:sz w:val="28"/>
        </w:rPr>
      </w:pPr>
      <w:r>
        <w:rPr>
          <w:sz w:val="28"/>
        </w:rPr>
        <w:t>A.</w:t>
      </w:r>
    </w:p>
    <w:p>
      <w:pPr>
        <w:jc w:val="center"/>
        <w:rPr>
          <w:sz w:val="28"/>
        </w:rPr>
      </w:pPr>
    </w:p>
    <w:p>
      <w:pPr>
        <w:jc w:val="center"/>
        <w:rPr>
          <w:sz w:val="28"/>
        </w:rPr>
      </w:pPr>
      <w:r>
        <w:rPr>
          <w:sz w:val="28"/>
        </w:rPr>
        <w:t>I.</w:t>
      </w:r>
    </w:p>
    <w:p>
      <w:pPr>
        <w:jc w:val="center"/>
        <w:rPr>
          <w:sz w:val="28"/>
        </w:rPr>
      </w:pPr>
    </w:p>
    <w:p>
      <w:pPr>
        <w:jc w:val="both"/>
        <w:rPr>
          <w:sz w:val="28"/>
        </w:rPr>
      </w:pPr>
      <w:r>
        <w:rPr>
          <w:sz w:val="28"/>
        </w:rPr>
        <w:tab/>
        <w:t>Predložený návrh zákona má odstrániť nejednotnosť pri uplatňovaní ustanovení zákona o obecnom zriadení upravujúcich nezlučiteľnosť výkonu mandátu starostu obce a poslanca obecného zastupiteľstva s funkciou štatutárneho orgánu obchodnej spoločnosti, do ktorej obec vložila svoj majetok, prípadne inej právnickej osoby, ktorá vznikla združením podľa Občianskeho zákonníka, alebo zákona o obecnom</w:t>
      </w:r>
      <w:r>
        <w:rPr>
          <w:sz w:val="28"/>
        </w:rPr>
        <w:t xml:space="preserve"> zriadení.</w:t>
      </w:r>
    </w:p>
    <w:p>
      <w:pPr>
        <w:jc w:val="both"/>
        <w:rPr>
          <w:sz w:val="28"/>
        </w:rPr>
      </w:pPr>
    </w:p>
    <w:p>
      <w:pPr>
        <w:jc w:val="center"/>
        <w:rPr>
          <w:sz w:val="28"/>
        </w:rPr>
      </w:pPr>
    </w:p>
    <w:p>
      <w:pPr>
        <w:jc w:val="center"/>
        <w:rPr>
          <w:sz w:val="28"/>
        </w:rPr>
      </w:pPr>
      <w:r>
        <w:rPr>
          <w:sz w:val="28"/>
        </w:rPr>
        <w:t>II.</w:t>
      </w:r>
    </w:p>
    <w:p>
      <w:pPr>
        <w:jc w:val="both"/>
        <w:rPr>
          <w:sz w:val="28"/>
        </w:rPr>
      </w:pPr>
    </w:p>
    <w:p>
      <w:pPr>
        <w:jc w:val="both"/>
        <w:rPr>
          <w:sz w:val="28"/>
        </w:rPr>
      </w:pPr>
      <w:r>
        <w:rPr>
          <w:sz w:val="28"/>
        </w:rPr>
        <w:tab/>
        <w:t>Vychádzajúc z terajšieho znenia zákona o obecnom zriadení i z dôvodovej správy vysvetľujúcej normatívny text novely odporúčame návrh zákona upraviť aj v zmysle pripomienok vlády Slovenskej republiky takto:</w:t>
      </w:r>
    </w:p>
    <w:p>
      <w:pPr>
        <w:jc w:val="both"/>
        <w:rPr>
          <w:sz w:val="28"/>
        </w:rPr>
      </w:pPr>
    </w:p>
    <w:p>
      <w:pPr>
        <w:jc w:val="both"/>
        <w:rPr>
          <w:sz w:val="28"/>
        </w:rPr>
      </w:pPr>
    </w:p>
    <w:p>
      <w:pPr>
        <w:jc w:val="both"/>
        <w:rPr>
          <w:sz w:val="28"/>
          <w:u w:val="single"/>
        </w:rPr>
      </w:pPr>
      <w:r>
        <w:rPr>
          <w:sz w:val="28"/>
        </w:rPr>
        <w:t xml:space="preserve">1. </w:t>
      </w:r>
      <w:r>
        <w:rPr>
          <w:sz w:val="28"/>
          <w:u w:val="single"/>
        </w:rPr>
        <w:t>K čl. I § 13</w:t>
      </w:r>
    </w:p>
    <w:p>
      <w:pPr>
        <w:pStyle w:val="BodyText"/>
        <w:ind w:left="360" w:hanging="360"/>
        <w:rPr>
          <w:sz w:val="28"/>
        </w:rPr>
      </w:pPr>
      <w:r>
        <w:rPr>
          <w:sz w:val="28"/>
        </w:rPr>
        <w:t xml:space="preserve">    V § 13 ods. 3 písm. e) sa vypúšťajú slová „zamestnanca, ktorý vykonáva funkciu štatutárneho orgánu“.</w:t>
      </w:r>
    </w:p>
    <w:p>
      <w:pPr>
        <w:jc w:val="both"/>
        <w:rPr>
          <w:sz w:val="28"/>
        </w:rPr>
      </w:pPr>
    </w:p>
    <w:p>
      <w:pPr>
        <w:pStyle w:val="BodyTextIndent"/>
        <w:ind w:left="2124"/>
        <w:rPr>
          <w:sz w:val="28"/>
        </w:rPr>
      </w:pPr>
      <w:r>
        <w:rPr>
          <w:sz w:val="28"/>
        </w:rPr>
        <w:t>Vypustenie týchto slov odstraňuje nadbytočný text, pretože vedúci orgánu štátnej správy je vlastne jeho štatutárnym orgánom (konajúcim priamo v mene orgánu štátnej</w:t>
      </w:r>
      <w:r>
        <w:rPr>
          <w:sz w:val="28"/>
        </w:rPr>
        <w:t xml:space="preserve"> správy).</w:t>
      </w:r>
    </w:p>
    <w:p>
      <w:pPr>
        <w:pStyle w:val="BodyTextIndent"/>
        <w:ind w:left="2124"/>
        <w:rPr>
          <w:sz w:val="28"/>
        </w:rPr>
      </w:pPr>
    </w:p>
    <w:p>
      <w:pPr>
        <w:pStyle w:val="BodyTextIndent"/>
        <w:ind w:left="0"/>
        <w:rPr>
          <w:sz w:val="28"/>
          <w:u w:val="single"/>
        </w:rPr>
      </w:pPr>
      <w:r>
        <w:rPr>
          <w:sz w:val="28"/>
        </w:rPr>
        <w:t xml:space="preserve">2. </w:t>
      </w:r>
      <w:r>
        <w:rPr>
          <w:sz w:val="28"/>
          <w:u w:val="single"/>
        </w:rPr>
        <w:t>K čl. II</w:t>
      </w:r>
    </w:p>
    <w:p>
      <w:pPr>
        <w:pStyle w:val="BodyTextIndent"/>
        <w:ind w:left="0"/>
        <w:rPr>
          <w:sz w:val="28"/>
        </w:rPr>
      </w:pPr>
      <w:r>
        <w:rPr>
          <w:sz w:val="28"/>
        </w:rPr>
        <w:t xml:space="preserve">    Článok II znie:</w:t>
      </w:r>
    </w:p>
    <w:p>
      <w:pPr>
        <w:pStyle w:val="BodyTextIndent"/>
        <w:ind w:left="0"/>
        <w:rPr>
          <w:sz w:val="28"/>
        </w:rPr>
      </w:pPr>
    </w:p>
    <w:p>
      <w:pPr>
        <w:pStyle w:val="BodyTextIndent"/>
        <w:ind w:left="0"/>
        <w:jc w:val="center"/>
        <w:rPr>
          <w:sz w:val="28"/>
        </w:rPr>
      </w:pPr>
      <w:r>
        <w:rPr>
          <w:sz w:val="28"/>
        </w:rPr>
        <w:t>„Čl. II</w:t>
      </w:r>
    </w:p>
    <w:p>
      <w:pPr>
        <w:pStyle w:val="BodyTextIndent"/>
        <w:ind w:left="0"/>
        <w:jc w:val="center"/>
        <w:rPr>
          <w:sz w:val="28"/>
        </w:rPr>
      </w:pPr>
    </w:p>
    <w:p>
      <w:pPr>
        <w:pStyle w:val="BodyTextIndent"/>
        <w:ind w:left="0" w:firstLine="708"/>
        <w:rPr>
          <w:sz w:val="28"/>
        </w:rPr>
      </w:pPr>
      <w:r>
        <w:rPr>
          <w:sz w:val="28"/>
        </w:rPr>
        <w:t>Tento zákon nadobúda účinnosť pätnástym dňom odo dňa vyhlásenia.“.</w:t>
      </w:r>
    </w:p>
    <w:p>
      <w:pPr>
        <w:pStyle w:val="BodyTextIndent"/>
        <w:ind w:left="0"/>
        <w:rPr>
          <w:sz w:val="28"/>
        </w:rPr>
      </w:pPr>
    </w:p>
    <w:p>
      <w:pPr>
        <w:pStyle w:val="BodyTextIndent"/>
        <w:ind w:left="0"/>
        <w:rPr>
          <w:sz w:val="28"/>
        </w:rPr>
      </w:pPr>
    </w:p>
    <w:p>
      <w:pPr>
        <w:pStyle w:val="BodyTextIndent"/>
        <w:ind w:left="0"/>
        <w:rPr>
          <w:sz w:val="28"/>
        </w:rPr>
      </w:pPr>
    </w:p>
    <w:p>
      <w:pPr>
        <w:pStyle w:val="BodyTextIndent"/>
        <w:ind w:left="2124" w:firstLine="6"/>
        <w:rPr>
          <w:sz w:val="28"/>
        </w:rPr>
      </w:pPr>
      <w:r>
        <w:rPr>
          <w:sz w:val="28"/>
        </w:rPr>
        <w:t>Navrhovanú účinnosť zákona 1. marca 2002 je potrebné upraviť s ohľadom na legislatívny proces v Národnej rade Slovenskej republiky a </w:t>
      </w:r>
      <w:r>
        <w:rPr>
          <w:sz w:val="28"/>
        </w:rPr>
        <w:t xml:space="preserve">uverejnenie zákona v Zbierke zákonov SR. </w:t>
      </w:r>
    </w:p>
    <w:p>
      <w:pPr>
        <w:pStyle w:val="BodyTextIndent"/>
        <w:ind w:left="2124"/>
        <w:rPr>
          <w:sz w:val="28"/>
        </w:rPr>
      </w:pPr>
    </w:p>
    <w:p>
      <w:pPr>
        <w:pStyle w:val="BodyTextIndent"/>
        <w:ind w:left="2124"/>
        <w:rPr>
          <w:sz w:val="28"/>
        </w:rPr>
      </w:pPr>
    </w:p>
    <w:p>
      <w:pPr>
        <w:pStyle w:val="BodyTextIndent"/>
        <w:ind w:left="0"/>
        <w:rPr>
          <w:sz w:val="28"/>
        </w:rPr>
      </w:pPr>
      <w:r>
        <w:rPr>
          <w:sz w:val="28"/>
        </w:rPr>
        <w:t>3. Ďalšie drobné legislatívno-technické, jazykové a gramatické úpravy, ktoré však nemenia vecný obsah navrhovaného zákona, sa vykonajú pri spracovaní jeho čistopisu a pri autorskej korektúre v Redakcii Zb. zákono</w:t>
      </w:r>
      <w:r>
        <w:rPr>
          <w:sz w:val="28"/>
        </w:rPr>
        <w:t>v Slovenskej republiky.</w:t>
      </w:r>
    </w:p>
    <w:p>
      <w:pPr>
        <w:jc w:val="center"/>
        <w:rPr>
          <w:sz w:val="28"/>
        </w:rPr>
      </w:pPr>
    </w:p>
    <w:p>
      <w:pPr>
        <w:jc w:val="center"/>
        <w:rPr>
          <w:sz w:val="28"/>
        </w:rPr>
      </w:pPr>
      <w:r>
        <w:rPr>
          <w:sz w:val="28"/>
        </w:rPr>
        <w:t>B.</w:t>
      </w:r>
    </w:p>
    <w:p>
      <w:pPr>
        <w:rPr>
          <w:sz w:val="28"/>
        </w:rPr>
      </w:pPr>
    </w:p>
    <w:p>
      <w:pPr>
        <w:ind w:firstLine="708"/>
        <w:jc w:val="both"/>
        <w:rPr>
          <w:sz w:val="28"/>
        </w:rPr>
      </w:pPr>
      <w:r>
        <w:rPr>
          <w:sz w:val="28"/>
        </w:rPr>
        <w:t xml:space="preserve">Návrh zákona svojou problematikou nepatrí medzi prioritné oblasti aproximácie práva uvedené v článku 70 Európskej dohody o pridružení, ani medzi priority odporúčané v Príprave asociovaných krajín strednej a východnej Európy na integráciu do vnútorného trhu Európskej únie – Biela kniha. Predmet úpravy predloženého návrhu zákona nie je obsiahnutý ani v Národnom programe pre prijatie acquis communautaire. </w:t>
      </w:r>
    </w:p>
    <w:p>
      <w:pPr>
        <w:ind w:firstLine="180"/>
        <w:jc w:val="both"/>
        <w:rPr>
          <w:sz w:val="28"/>
        </w:rPr>
      </w:pPr>
    </w:p>
    <w:p>
      <w:pPr>
        <w:pStyle w:val="BodyTextIndent"/>
        <w:rPr>
          <w:sz w:val="28"/>
        </w:rPr>
      </w:pPr>
      <w:r>
        <w:rPr>
          <w:sz w:val="28"/>
        </w:rPr>
        <w:t>V primárnom ani sekundárnom práve ES/EÚ nie je problematika návrhu zákona p</w:t>
      </w:r>
      <w:r>
        <w:rPr>
          <w:sz w:val="28"/>
        </w:rPr>
        <w:t xml:space="preserve">riamo upravená. </w:t>
      </w:r>
    </w:p>
    <w:p>
      <w:pPr>
        <w:pStyle w:val="BodyTextIndent"/>
        <w:rPr>
          <w:sz w:val="28"/>
        </w:rPr>
      </w:pPr>
      <w:r>
        <w:rPr>
          <w:sz w:val="28"/>
        </w:rPr>
        <w:t xml:space="preserve">Nepriamo však možno spomenúť ustanovenie článku 6 odsek 1 Zmluvy o založení EÚ v amsterdamskom znení. V súlade s ním je únia založená na zásadách slobody, </w:t>
      </w:r>
      <w:r>
        <w:rPr>
          <w:i/>
          <w:iCs/>
          <w:sz w:val="28"/>
        </w:rPr>
        <w:t>demokracie, právneho štátu</w:t>
      </w:r>
      <w:r>
        <w:rPr>
          <w:sz w:val="28"/>
        </w:rPr>
        <w:t xml:space="preserve"> a rešpektovania ľudských práv a základných slobôd, zásadách ktoré sú spoločné členským štátom. V súvislosti s navrhovanou úpravou by sme chceli upozorniť na možnosť vzniku </w:t>
      </w:r>
      <w:r>
        <w:rPr>
          <w:i/>
          <w:iCs/>
          <w:sz w:val="28"/>
        </w:rPr>
        <w:t>stretu záujmov</w:t>
      </w:r>
      <w:r>
        <w:rPr>
          <w:sz w:val="28"/>
        </w:rPr>
        <w:t xml:space="preserve"> u starostu, či poslanca obecného zastupiteľstva. </w:t>
      </w:r>
    </w:p>
    <w:p>
      <w:pPr>
        <w:ind w:left="360"/>
        <w:jc w:val="both"/>
        <w:rPr>
          <w:sz w:val="28"/>
        </w:rPr>
      </w:pPr>
    </w:p>
    <w:p>
      <w:pPr>
        <w:ind w:left="360"/>
        <w:jc w:val="both"/>
        <w:rPr>
          <w:sz w:val="28"/>
        </w:rPr>
      </w:pPr>
    </w:p>
    <w:p>
      <w:pPr>
        <w:ind w:left="360"/>
        <w:jc w:val="both"/>
        <w:rPr>
          <w:sz w:val="28"/>
        </w:rPr>
      </w:pPr>
    </w:p>
    <w:p>
      <w:pPr>
        <w:ind w:left="360"/>
        <w:jc w:val="both"/>
        <w:rPr>
          <w:sz w:val="28"/>
        </w:rPr>
      </w:pPr>
    </w:p>
    <w:p>
      <w:pPr>
        <w:ind w:left="360"/>
        <w:jc w:val="both"/>
        <w:rPr>
          <w:sz w:val="28"/>
        </w:rPr>
      </w:pPr>
    </w:p>
    <w:p>
      <w:pPr>
        <w:ind w:firstLine="708"/>
        <w:jc w:val="both"/>
        <w:rPr>
          <w:sz w:val="28"/>
        </w:rPr>
      </w:pPr>
      <w:r>
        <w:rPr>
          <w:sz w:val="28"/>
        </w:rPr>
        <w:t>Vzhľadom na vyššie uvedené sa stupeň kompatibility návrhu zákona s práv</w:t>
      </w:r>
      <w:r>
        <w:rPr>
          <w:sz w:val="28"/>
        </w:rPr>
        <w:t>om ES/EÚ nestanovuje.</w:t>
      </w:r>
    </w:p>
    <w:p>
      <w:pPr>
        <w:jc w:val="both"/>
        <w:rPr>
          <w:sz w:val="28"/>
        </w:rPr>
      </w:pPr>
    </w:p>
    <w:p>
      <w:pPr>
        <w:jc w:val="both"/>
        <w:rPr>
          <w:sz w:val="28"/>
        </w:rPr>
      </w:pPr>
    </w:p>
    <w:p>
      <w:pPr>
        <w:jc w:val="both"/>
        <w:rPr>
          <w:sz w:val="28"/>
        </w:rPr>
      </w:pPr>
    </w:p>
    <w:p>
      <w:pPr>
        <w:jc w:val="both"/>
        <w:rPr>
          <w:sz w:val="28"/>
        </w:rPr>
      </w:pPr>
      <w:r>
        <w:rPr>
          <w:sz w:val="28"/>
        </w:rPr>
        <w:t>Bratislava 3. marca 2002</w:t>
      </w:r>
    </w:p>
    <w:p>
      <w:pPr>
        <w:jc w:val="both"/>
        <w:rPr>
          <w:sz w:val="28"/>
        </w:rPr>
      </w:pPr>
      <w:r>
        <w:rPr>
          <w:sz w:val="28"/>
        </w:rPr>
        <w:t>Vypracovali: JUDr. Viera Mrázová, CSc.</w:t>
      </w:r>
    </w:p>
    <w:p>
      <w:pPr>
        <w:pStyle w:val="Heading2"/>
      </w:pPr>
      <w:r>
        <w:t xml:space="preserve">                      JUDr. Miriam Somorová</w:t>
      </w:r>
    </w:p>
    <w:p/>
    <w:p/>
    <w:p/>
    <w:p>
      <w:pPr>
        <w:ind w:left="4956"/>
        <w:rPr>
          <w:sz w:val="28"/>
        </w:rPr>
      </w:pPr>
      <w:r>
        <w:rPr>
          <w:sz w:val="28"/>
        </w:rPr>
        <w:t>JUDr. Dušan Nikodým, CSc.</w:t>
      </w:r>
    </w:p>
    <w:p>
      <w:pPr>
        <w:rPr>
          <w:sz w:val="28"/>
        </w:rPr>
      </w:pPr>
      <w:r>
        <w:rPr>
          <w:sz w:val="28"/>
        </w:rPr>
        <w:t xml:space="preserve">                                                                     vedúci legislatívneho oddelenia</w:t>
      </w:r>
    </w:p>
    <w:p>
      <w:pPr>
        <w:rPr>
          <w:sz w:val="28"/>
        </w:rPr>
      </w:pPr>
      <w:r>
        <w:rPr>
          <w:sz w:val="28"/>
        </w:rPr>
        <w:t xml:space="preserve">                                                                               </w:t>
      </w:r>
      <w:r>
        <w:rPr>
          <w:sz w:val="28"/>
        </w:rPr>
        <w:t>v zastúpení riaditeľa</w:t>
      </w:r>
    </w:p>
    <w:p>
      <w:pPr>
        <w:jc w:val="both"/>
        <w:rPr>
          <w:sz w:val="28"/>
        </w:rPr>
      </w:pPr>
    </w:p>
    <w:p>
      <w:pPr>
        <w:jc w:val="both"/>
        <w:rPr>
          <w:sz w:val="28"/>
        </w:rPr>
      </w:pPr>
    </w:p>
    <w:p>
      <w:pPr>
        <w:rPr>
          <w:sz w:val="28"/>
        </w:rPr>
      </w:pPr>
    </w:p>
    <w:p>
      <w:pPr>
        <w:pStyle w:val="BodyTextIndent"/>
        <w:ind w:left="0"/>
        <w:jc w:val="center"/>
        <w:rPr>
          <w:sz w:val="28"/>
        </w:rPr>
      </w:pPr>
    </w:p>
    <w:sectPr>
      <w:footerReference w:type="even" r:id="rId4"/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00003A87" w:usb1="00000000" w:usb2="00000000" w:usb3="00000000" w:csb0="000000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00003A87" w:usb1="00000000" w:usb2="00000000" w:usb3="00000000" w:csb0="000000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>
    <w:pPr>
      <w:pStyle w:val="Footer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0000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sk-SK" w:eastAsia="sk-SK" w:bidi="ar-SA"/>
    </w:rPr>
  </w:style>
  <w:style w:type="paragraph" w:styleId="Heading1">
    <w:name w:val="heading 1"/>
    <w:basedOn w:val="Normal"/>
    <w:next w:val="Normal"/>
    <w:uiPriority w:val="9"/>
    <w:qFormat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uiPriority w:val="9"/>
    <w:qFormat/>
    <w:pPr>
      <w:keepNext/>
      <w:jc w:val="both"/>
      <w:outlineLvl w:val="1"/>
    </w:pPr>
    <w:rPr>
      <w:sz w:val="28"/>
    </w:rPr>
  </w:style>
  <w:style w:type="character" w:default="1" w:styleId="DefaultParagraphFont">
    <w:name w:val="Default Paragraph Font"/>
  </w:style>
  <w:style w:type="paragraph" w:styleId="BodyTextIndent">
    <w:name w:val="Body Text Indent"/>
    <w:basedOn w:val="Normal"/>
    <w:pPr>
      <w:ind w:left="1410"/>
      <w:jc w:val="both"/>
    </w:pPr>
  </w:style>
  <w:style w:type="paragraph" w:styleId="BodyText">
    <w:name w:val="Body Text"/>
    <w:basedOn w:val="Normal"/>
    <w:pPr>
      <w:jc w:val="both"/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6</TotalTime>
  <Pages>1</Pages>
  <Words>460</Words>
  <Characters>2625</Characters>
  <Application>Microsoft Office Word</Application>
  <DocSecurity>0</DocSecurity>
  <Lines>21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dddddddddd</vt:lpstr>
    </vt:vector>
  </TitlesOfParts>
  <Company>K-NR SR</Company>
  <LinksUpToDate>false</LinksUpToDate>
  <CharactersWithSpaces>3223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dddddddddd</dc:title>
  <dc:creator>IM 5403/6554</dc:creator>
  <cp:lastModifiedBy>IM 5403/6554</cp:lastModifiedBy>
  <cp:revision>5</cp:revision>
  <cp:lastPrinted>2002-03-04T11:26:00Z</cp:lastPrinted>
  <dcterms:created xsi:type="dcterms:W3CDTF">2002-03-04T11:21:00Z</dcterms:created>
  <dcterms:modified xsi:type="dcterms:W3CDTF">2002-03-04T11:30:00Z</dcterms:modified>
</cp:coreProperties>
</file>