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2 -->
  <w:body>
    <w:p>
      <w:pPr>
        <w:jc w:val="both"/>
        <w:rPr>
          <w:sz w:val="28"/>
        </w:rPr>
      </w:pPr>
      <w:r>
        <w:rPr>
          <w:sz w:val="28"/>
        </w:rPr>
        <w:t xml:space="preserve">      Kancelária Národnej rady SR</w:t>
      </w:r>
    </w:p>
    <w:p>
      <w:pPr>
        <w:jc w:val="both"/>
        <w:rPr>
          <w:sz w:val="28"/>
        </w:rPr>
      </w:pPr>
      <w:r>
        <w:rPr>
          <w:sz w:val="28"/>
        </w:rPr>
        <w:t>Odbor legislatívy a aproximácie práva</w:t>
      </w:r>
    </w:p>
    <w:p>
      <w:pPr>
        <w:ind w:left="6372" w:firstLine="708"/>
        <w:jc w:val="both"/>
        <w:rPr>
          <w:sz w:val="28"/>
        </w:rPr>
      </w:pPr>
      <w:r>
        <w:rPr>
          <w:sz w:val="28"/>
        </w:rPr>
        <w:t>Číslo: 55/2002</w:t>
      </w:r>
    </w:p>
    <w:p>
      <w:pPr>
        <w:jc w:val="both"/>
        <w:rPr>
          <w:sz w:val="28"/>
        </w:rPr>
      </w:pPr>
    </w:p>
    <w:p>
      <w:pPr>
        <w:jc w:val="center"/>
        <w:rPr>
          <w:sz w:val="28"/>
        </w:rPr>
      </w:pPr>
      <w:r>
        <w:rPr>
          <w:sz w:val="28"/>
        </w:rPr>
        <w:t>S t a n o v i s k o</w:t>
      </w:r>
    </w:p>
    <w:p>
      <w:pPr>
        <w:jc w:val="both"/>
        <w:rPr>
          <w:sz w:val="28"/>
        </w:rPr>
      </w:pPr>
    </w:p>
    <w:p>
      <w:pPr>
        <w:jc w:val="center"/>
        <w:rPr>
          <w:sz w:val="28"/>
        </w:rPr>
      </w:pPr>
      <w:r>
        <w:rPr>
          <w:sz w:val="28"/>
        </w:rPr>
        <w:t>k návrhu skupiny poslancov Národnej rady Slovenskej republiky na vydanie zákona, ktorým sa mení a dopĺňa zákon č. 140/1998 Z.z. o liekoch a zdravotníckych pomôckach, o zmene zákona č. 455/1991 Zb. o živnostenskom podnikaní (živnostenský zákona) v znení neskorších predpisov a o zmene a doplnení zákona Národnej rady Slovenskej republiky č. 220/1996 Z.z. o reklame v znení neskorších predpisov (tlač 1307</w:t>
      </w:r>
      <w:r>
        <w:rPr>
          <w:sz w:val="28"/>
        </w:rPr>
        <w:t>)</w:t>
      </w:r>
    </w:p>
    <w:p>
      <w:pPr>
        <w:jc w:val="both"/>
        <w:rPr>
          <w:sz w:val="28"/>
        </w:rPr>
      </w:pPr>
      <w:r>
        <w:rPr>
          <w:sz w:val="28"/>
        </w:rPr>
        <w:t>________________________________________________________________</w:t>
      </w:r>
    </w:p>
    <w:p>
      <w:pPr>
        <w:jc w:val="center"/>
        <w:rPr>
          <w:sz w:val="28"/>
        </w:rPr>
      </w:pPr>
      <w:r>
        <w:rPr>
          <w:sz w:val="28"/>
        </w:rPr>
        <w:t>A.</w:t>
      </w:r>
    </w:p>
    <w:p>
      <w:pPr>
        <w:jc w:val="both"/>
        <w:rPr>
          <w:sz w:val="28"/>
        </w:rPr>
      </w:pPr>
    </w:p>
    <w:p>
      <w:pPr>
        <w:jc w:val="both"/>
        <w:rPr>
          <w:sz w:val="28"/>
        </w:rPr>
      </w:pPr>
      <w:r>
        <w:rPr>
          <w:sz w:val="28"/>
        </w:rPr>
        <w:tab/>
        <w:t>Účelom návrhu zákona má byť úprava § 7 ods. 4 zákona č. 140/1998 Z.z. o liekoch a zdravotníckych pomôckach ..., a to vypustením slova "kladné".</w:t>
      </w:r>
    </w:p>
    <w:p>
      <w:pPr>
        <w:jc w:val="both"/>
        <w:rPr>
          <w:sz w:val="28"/>
        </w:rPr>
      </w:pPr>
    </w:p>
    <w:p>
      <w:pPr>
        <w:jc w:val="both"/>
        <w:rPr>
          <w:sz w:val="28"/>
        </w:rPr>
      </w:pPr>
      <w:r>
        <w:rPr>
          <w:sz w:val="28"/>
        </w:rPr>
        <w:tab/>
        <w:t xml:space="preserve">Navrhovatelia odôvodňujú svoj návrh tým, že nie je nijako odôvodnené, aby stavovská organizácia mala mať také oprávnenie pri vyjadrovaní stanoviska k žiadosti o vydanie povolenia na zaobchádzanie s liekmi a so zdravotníckymi pomôckami, ktoré znamená absolútne veto vo vzťahu komory k príslušnému štátnemu orgánu, čím prakticky posúva tento štátny orgán do postavenia vykonávateľa vôle orgánu komory. </w:t>
      </w:r>
    </w:p>
    <w:p>
      <w:pPr>
        <w:jc w:val="both"/>
        <w:rPr>
          <w:sz w:val="28"/>
        </w:rPr>
      </w:pPr>
    </w:p>
    <w:p>
      <w:pPr>
        <w:jc w:val="both"/>
        <w:rPr>
          <w:sz w:val="28"/>
        </w:rPr>
      </w:pPr>
      <w:r>
        <w:rPr>
          <w:sz w:val="28"/>
        </w:rPr>
        <w:tab/>
        <w:t>Navrhovatelia poukazujú aj na možné rozpory cit. ustanovenia zákona č. 140/1998 Z.z. s čl. 35 ods. 1 Ústavy Slovenskej republiky s poukázaním na judikát Ústavného súdu Slovenskej republiky vo veci PL ÚS 7/96, ako aj na rozpor s § 3 ods. 1 zákona č. 136/2001 Z.z. o ochrane hospodárskej súťaže.</w:t>
      </w:r>
    </w:p>
    <w:p>
      <w:pPr>
        <w:jc w:val="both"/>
        <w:rPr>
          <w:sz w:val="28"/>
        </w:rPr>
      </w:pPr>
    </w:p>
    <w:p>
      <w:pPr>
        <w:jc w:val="both"/>
        <w:rPr>
          <w:sz w:val="28"/>
        </w:rPr>
      </w:pPr>
      <w:r>
        <w:rPr>
          <w:sz w:val="28"/>
        </w:rPr>
        <w:tab/>
        <w:t>K návrhu zákona nemáme konkrétne pripomienky.</w:t>
      </w:r>
    </w:p>
    <w:p>
      <w:pPr>
        <w:jc w:val="both"/>
        <w:rPr>
          <w:sz w:val="28"/>
        </w:rPr>
      </w:pPr>
    </w:p>
    <w:p>
      <w:pPr>
        <w:jc w:val="both"/>
        <w:rPr>
          <w:sz w:val="28"/>
        </w:rPr>
      </w:pPr>
      <w:r>
        <w:rPr>
          <w:sz w:val="28"/>
        </w:rPr>
        <w:tab/>
        <w:t xml:space="preserve">Upozorňujeme však na termín nadobudnutia účinnosti návrhu zákona, ktorý vzhľadom na časové možnosti prerokúvania návrhu zákona nemusí byť reálny. Preto dávame na zváženie ustanoviť účinnosť zákona </w:t>
      </w:r>
      <w:r>
        <w:rPr>
          <w:sz w:val="28"/>
          <w:u w:val="single"/>
        </w:rPr>
        <w:t>"pätnástym dňom po vyhlásení zákona v Zbierke zákonov Slovenskej republiky.</w:t>
      </w:r>
    </w:p>
    <w:p>
      <w:pPr>
        <w:jc w:val="both"/>
        <w:rPr>
          <w:sz w:val="28"/>
        </w:rPr>
      </w:pPr>
    </w:p>
    <w:p>
      <w:pPr>
        <w:jc w:val="both"/>
        <w:rPr>
          <w:sz w:val="28"/>
        </w:rPr>
      </w:pPr>
    </w:p>
    <w:p>
      <w:pPr>
        <w:jc w:val="center"/>
        <w:rPr>
          <w:sz w:val="28"/>
        </w:rPr>
      </w:pPr>
      <w:r>
        <w:rPr>
          <w:sz w:val="28"/>
        </w:rPr>
        <w:t>B.</w:t>
      </w:r>
    </w:p>
    <w:p>
      <w:pPr>
        <w:jc w:val="both"/>
        <w:rPr>
          <w:sz w:val="28"/>
        </w:rPr>
      </w:pPr>
    </w:p>
    <w:p>
      <w:pPr>
        <w:ind w:firstLine="708"/>
        <w:jc w:val="both"/>
        <w:rPr>
          <w:sz w:val="28"/>
        </w:rPr>
      </w:pPr>
      <w:r>
        <w:rPr>
          <w:sz w:val="28"/>
        </w:rPr>
        <w:t>Návrh zákona n e p a t r í medzi priority uvedené v čl. 70 Európskej dohody o pridružení, ale možno k nemu uviesť čl. 47 tejto dohody. Podľa neho, s cieľom uľahčiť občanom ES a SR založenie a vykonávanie viazaných odborných činností, posúdi Asociačná rada, ktoré kroky bude nevyhnutné vykonať na zabezpečenie vzájomného uznania kvalifikácie.</w:t>
      </w:r>
    </w:p>
    <w:p>
      <w:pPr>
        <w:jc w:val="both"/>
        <w:rPr>
          <w:sz w:val="28"/>
        </w:rPr>
      </w:pPr>
      <w:r>
        <w:rPr>
          <w:sz w:val="28"/>
        </w:rPr>
        <w:t xml:space="preserve">Obsah úpravy nepriamo j e predmetom odporúčaní v Príprave asociovaných krajín strednej a východnej Európy na integráciu do vnútorného trhu Európskej únie /Biela kniha/, v 18. oblasti „Vzájomné uznanie odbornej kvalifikácie“. V nej sú totiž obsiahnuté určité spoločné pravidlá a požiadavky (medzi inými aj možnosť alebo povinnosť registrácie v príslušnej profesijnej organizácii) na uznávanie vzdelania a odbornej prípravy, ktoré sa vyžadujú na výkon niektorých profesií alebo činností. Medzi tzv. regulované činnosti podliehajúce osobitnej úprave patria aj zdravotnícke profesie vrátane lekárnikov. </w:t>
      </w:r>
    </w:p>
    <w:p>
      <w:pPr>
        <w:ind w:firstLine="708"/>
        <w:jc w:val="both"/>
        <w:rPr>
          <w:sz w:val="28"/>
        </w:rPr>
      </w:pPr>
      <w:r>
        <w:rPr>
          <w:sz w:val="28"/>
        </w:rPr>
        <w:t>K predmetnej problematike možno z práva ES/EU uviesť nasledovné:</w:t>
      </w:r>
    </w:p>
    <w:p>
      <w:pPr>
        <w:jc w:val="both"/>
        <w:rPr>
          <w:sz w:val="28"/>
        </w:rPr>
      </w:pPr>
      <w:r>
        <w:rPr>
          <w:sz w:val="28"/>
        </w:rPr>
        <w:t xml:space="preserve">a/ z primárnej legislatívy - čl. 47 (ex čl. 57) Zmluvy o založení ES /Maastricht, 1992/ v znení jej zmien a doplnkov Amsterdamskou zmluvou z r. 1997. Podľa neho Rada (EU), s cieľom uľahčiť zriadenie a vykonávanie samostatnej zárobkovej činnosti osôb, vydá smernice na vzájomné uznanie diplomov, osvedčení a iných dokladov o kvalifikácii. Pri lekárskom povolaní, povolaniach súvisiacich s medicínou a farmáciou bude postupné rušenie obmedzení závisieť od koordinácie podmienok a výkonu povolania v jednotlivých členských štátoch. </w:t>
      </w:r>
    </w:p>
    <w:p>
      <w:pPr>
        <w:jc w:val="both"/>
        <w:rPr>
          <w:sz w:val="28"/>
        </w:rPr>
      </w:pPr>
      <w:r>
        <w:rPr>
          <w:sz w:val="28"/>
        </w:rPr>
        <w:t>b) zo sekundárnej legislatívy (závä</w:t>
      </w:r>
      <w:r>
        <w:rPr>
          <w:sz w:val="28"/>
        </w:rPr>
        <w:t xml:space="preserve">znej)-Smernica Rady 85/433/EHS zo 16.9.1985 týkajúca sa </w:t>
      </w:r>
    </w:p>
    <w:p>
      <w:pPr>
        <w:jc w:val="both"/>
        <w:rPr>
          <w:sz w:val="28"/>
        </w:rPr>
      </w:pPr>
      <w:r>
        <w:rPr>
          <w:sz w:val="28"/>
        </w:rPr>
        <w:t>vzájomného uznávania diplomov, vysvedčení a iných dokladov o formálnej kvalifikácii vo farmácii, vrátane opatrení na uľahčenie efektívneho výkonu práva na podnikanie vzťahujúceho sa na určité činnosti vo farmácii, v znení jej neskorších zmien a doplnení. Podľa čl. 8 štát, ktorý vyžaduje od svojich občanov doklad o bezúhonnosti alebo dobrom mene, pri začatí vykonávania vymedzených činností, akceptuje od príslušníkov iných členských štátov ako dostatočný dôkaz potvrdenie vydané kompetentným orgánom domovského štátu.</w:t>
      </w:r>
    </w:p>
    <w:p>
      <w:pPr>
        <w:ind w:firstLine="708"/>
        <w:jc w:val="both"/>
        <w:rPr>
          <w:sz w:val="28"/>
        </w:rPr>
      </w:pPr>
      <w:r>
        <w:rPr>
          <w:sz w:val="28"/>
        </w:rPr>
        <w:t xml:space="preserve">Keďže predmet tohto návrhu zákona nie je v práve ES/EU jednotne upravený, stupeň jeho kompatibility sa neurčuje. </w:t>
      </w:r>
    </w:p>
    <w:p>
      <w:pPr>
        <w:ind w:firstLine="708"/>
        <w:jc w:val="both"/>
        <w:rPr>
          <w:sz w:val="28"/>
        </w:rPr>
      </w:pPr>
    </w:p>
    <w:p>
      <w:pPr>
        <w:jc w:val="both"/>
        <w:rPr>
          <w:sz w:val="28"/>
        </w:rPr>
      </w:pPr>
      <w:r>
        <w:rPr>
          <w:sz w:val="28"/>
        </w:rPr>
        <w:t>Bratislava 27. februára 2002</w:t>
      </w:r>
    </w:p>
    <w:p>
      <w:pPr>
        <w:jc w:val="both"/>
        <w:rPr>
          <w:sz w:val="28"/>
        </w:rPr>
      </w:pPr>
      <w:r>
        <w:rPr>
          <w:sz w:val="28"/>
        </w:rPr>
        <w:t>Vypracovali A: JUDr. Alojz Zahradník</w:t>
      </w:r>
    </w:p>
    <w:p>
      <w:pPr>
        <w:jc w:val="both"/>
        <w:rPr>
          <w:sz w:val="28"/>
        </w:rPr>
      </w:pPr>
      <w:r>
        <w:rPr>
          <w:sz w:val="28"/>
        </w:rPr>
        <w:t xml:space="preserve">          </w:t>
      </w:r>
      <w:r>
        <w:rPr>
          <w:sz w:val="28"/>
        </w:rPr>
        <w:t xml:space="preserve">           B: JUDr. Janetta Kubicová</w:t>
      </w:r>
    </w:p>
    <w:p>
      <w:pPr>
        <w:jc w:val="both"/>
        <w:rPr>
          <w:sz w:val="28"/>
        </w:rPr>
      </w:pPr>
    </w:p>
    <w:p>
      <w:pPr>
        <w:jc w:val="both"/>
        <w:rPr>
          <w:sz w:val="28"/>
        </w:rPr>
      </w:pPr>
    </w:p>
    <w:p>
      <w:pPr>
        <w:jc w:val="both"/>
        <w:rPr>
          <w:sz w:val="28"/>
        </w:rPr>
      </w:pPr>
    </w:p>
    <w:p>
      <w:pPr>
        <w:ind w:left="4956" w:firstLine="708"/>
        <w:jc w:val="both"/>
        <w:rPr>
          <w:sz w:val="28"/>
        </w:rPr>
      </w:pPr>
      <w:r>
        <w:rPr>
          <w:sz w:val="28"/>
        </w:rPr>
        <w:t>JUDr. Dušan Nikodým, CSc.</w:t>
      </w:r>
    </w:p>
    <w:p>
      <w:pPr>
        <w:ind w:left="4248" w:firstLine="708"/>
        <w:jc w:val="both"/>
        <w:rPr>
          <w:sz w:val="28"/>
        </w:rPr>
      </w:pPr>
      <w:r>
        <w:rPr>
          <w:sz w:val="28"/>
        </w:rPr>
        <w:t xml:space="preserve">        vedúci legislatívneho oddelenia</w:t>
      </w:r>
    </w:p>
    <w:p>
      <w:pPr>
        <w:ind w:left="4956" w:firstLine="708"/>
        <w:jc w:val="both"/>
        <w:rPr>
          <w:sz w:val="28"/>
        </w:rPr>
      </w:pPr>
      <w:r>
        <w:rPr>
          <w:sz w:val="28"/>
        </w:rPr>
        <w:t xml:space="preserve">     v zastúpení riaditeľa</w:t>
      </w:r>
    </w:p>
    <w:p>
      <w:pPr>
        <w:jc w:val="both"/>
        <w:rPr>
          <w:sz w:val="28"/>
        </w:rPr>
      </w:pPr>
    </w:p>
    <w:sectPr>
      <w:footerReference w:type="even" r:id="rId4"/>
      <w:footerReference w:type="default" r:id="rId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00003A87" w:usb1="00000000" w:usb2="00000000" w:usb3="00000000" w:csb0="000000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00003A87" w:usb1="00000000" w:usb2="00000000" w:usb3="00000000" w:csb0="000000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>
    <w:pPr>
      <w:pStyle w:val="Footer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90"/>
  <w:defaultTabStop w:val="708"/>
  <w:hyphenationZone w:val="425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00000"/>
  </w:rsid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sk-SK" w:eastAsia="sk-SK" w:bidi="ar-SA"/>
    </w:rPr>
  </w:style>
  <w:style w:type="character" w:default="1" w:styleId="DefaultParagraphFont">
    <w:name w:val="Default Paragraph Font"/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footer" Target="footer2.xml" /><Relationship Id="rId6" Type="http://schemas.openxmlformats.org/officeDocument/2006/relationships/styles" Target="style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611</Words>
  <Characters>3488</Characters>
  <Application>Microsoft Office Word</Application>
  <DocSecurity>0</DocSecurity>
  <Lines>29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      Kancelária Národnej rady SR</vt:lpstr>
    </vt:vector>
  </TitlesOfParts>
  <Company>Kancelária NR SR</Company>
  <LinksUpToDate>false</LinksUpToDate>
  <CharactersWithSpaces>4283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Kancelária Národnej rady SR</dc:title>
  <dc:creator>vachhele</dc:creator>
  <cp:lastModifiedBy>vachhele</cp:lastModifiedBy>
  <cp:revision>2</cp:revision>
  <dcterms:created xsi:type="dcterms:W3CDTF">2002-02-27T07:48:00Z</dcterms:created>
  <dcterms:modified xsi:type="dcterms:W3CDTF">2002-02-27T08:34:00Z</dcterms:modified>
</cp:coreProperties>
</file>