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pPr>
        <w:jc w:val="both"/>
        <w:rPr>
          <w:sz w:val="28"/>
        </w:rPr>
      </w:pPr>
      <w:r>
        <w:rPr>
          <w:sz w:val="28"/>
        </w:rPr>
        <w:t xml:space="preserve">     Kancelária Národnej rady SR</w:t>
      </w:r>
    </w:p>
    <w:p>
      <w:pPr>
        <w:jc w:val="both"/>
        <w:rPr>
          <w:sz w:val="28"/>
        </w:rPr>
      </w:pPr>
      <w:r>
        <w:rPr>
          <w:sz w:val="28"/>
        </w:rPr>
        <w:t>Odbor legislatívy a aproximácie práva</w:t>
      </w:r>
    </w:p>
    <w:p>
      <w:pPr>
        <w:jc w:val="both"/>
        <w:rPr>
          <w:sz w:val="28"/>
        </w:rPr>
      </w:pPr>
    </w:p>
    <w:p>
      <w:pPr>
        <w:ind w:left="6372" w:firstLine="708"/>
        <w:jc w:val="both"/>
        <w:rPr>
          <w:sz w:val="28"/>
        </w:rPr>
      </w:pPr>
      <w:r>
        <w:rPr>
          <w:sz w:val="28"/>
        </w:rPr>
        <w:t>Číslo: 2280/2001</w:t>
      </w:r>
    </w:p>
    <w:p>
      <w:pPr>
        <w:jc w:val="both"/>
        <w:rPr>
          <w:sz w:val="28"/>
        </w:rPr>
      </w:pPr>
    </w:p>
    <w:p>
      <w:pPr>
        <w:jc w:val="both"/>
        <w:rPr>
          <w:sz w:val="28"/>
        </w:rPr>
      </w:pPr>
    </w:p>
    <w:p>
      <w:pPr>
        <w:jc w:val="center"/>
        <w:rPr>
          <w:sz w:val="28"/>
        </w:rPr>
      </w:pPr>
      <w:r>
        <w:rPr>
          <w:sz w:val="28"/>
        </w:rPr>
        <w:t>S t a n o v i s k o</w:t>
      </w:r>
    </w:p>
    <w:p>
      <w:pPr>
        <w:jc w:val="both"/>
        <w:rPr>
          <w:sz w:val="28"/>
        </w:rPr>
      </w:pPr>
    </w:p>
    <w:p>
      <w:pPr>
        <w:jc w:val="center"/>
        <w:rPr>
          <w:sz w:val="28"/>
        </w:rPr>
      </w:pPr>
      <w:r>
        <w:rPr>
          <w:sz w:val="28"/>
        </w:rPr>
        <w:t>k návrhu skupiny poslancov na vydanie zákona, ktorým sa upravia podmienky držania psov (tlač 1288)</w:t>
      </w:r>
    </w:p>
    <w:p>
      <w:pPr>
        <w:jc w:val="both"/>
        <w:rPr>
          <w:sz w:val="28"/>
        </w:rPr>
      </w:pPr>
      <w:r>
        <w:rPr>
          <w:sz w:val="28"/>
        </w:rPr>
        <w:t>_____________________________________________</w:t>
      </w:r>
      <w:r>
        <w:rPr>
          <w:sz w:val="28"/>
        </w:rPr>
        <w:t>___________________</w:t>
      </w:r>
    </w:p>
    <w:p>
      <w:pPr>
        <w:jc w:val="center"/>
        <w:rPr>
          <w:sz w:val="28"/>
        </w:rPr>
      </w:pPr>
      <w:r>
        <w:rPr>
          <w:sz w:val="28"/>
        </w:rPr>
        <w:t>A.</w:t>
      </w:r>
    </w:p>
    <w:p>
      <w:pPr>
        <w:jc w:val="both"/>
        <w:rPr>
          <w:sz w:val="28"/>
        </w:rPr>
      </w:pPr>
    </w:p>
    <w:p>
      <w:pPr>
        <w:jc w:val="both"/>
        <w:rPr>
          <w:sz w:val="28"/>
        </w:rPr>
      </w:pPr>
      <w:r>
        <w:rPr>
          <w:sz w:val="28"/>
        </w:rPr>
        <w:tab/>
        <w:t>Predložený návrh zákona si kladie za cieľ vytvoriť právny rámec pre definovanie povinností vlastníkov psov v snahe zamedziť negatívnym javom, vyskytujúcim sa v spolužití človeka a psa a odvrátiť tak neprimerané útoky psov.</w:t>
      </w:r>
    </w:p>
    <w:p>
      <w:pPr>
        <w:jc w:val="both"/>
        <w:rPr>
          <w:sz w:val="28"/>
        </w:rPr>
      </w:pPr>
    </w:p>
    <w:p>
      <w:pPr>
        <w:jc w:val="both"/>
        <w:rPr>
          <w:sz w:val="28"/>
        </w:rPr>
      </w:pPr>
      <w:r>
        <w:rPr>
          <w:sz w:val="28"/>
        </w:rPr>
        <w:tab/>
        <w:t>Podstata predloženej právnej úpravy spočíva v zavedení evidencie psov, súčasťou ktorej bude evidencia agresívnych psov, ktoré sa takto prejavili.</w:t>
      </w:r>
    </w:p>
    <w:p>
      <w:pPr>
        <w:jc w:val="both"/>
        <w:rPr>
          <w:sz w:val="28"/>
        </w:rPr>
      </w:pPr>
    </w:p>
    <w:p>
      <w:pPr>
        <w:jc w:val="both"/>
        <w:rPr>
          <w:sz w:val="28"/>
        </w:rPr>
      </w:pPr>
      <w:r>
        <w:rPr>
          <w:sz w:val="28"/>
        </w:rPr>
        <w:tab/>
        <w:t xml:space="preserve">Návrh zákona dáva obciam možnosť vydať všeobecne záväzné nariadenie, ktoré bude riešiť otázku vytvorenia jednotnej evidencie psov a tiež úpravy voľného pohybu psov označením miest, kde bude vstup so psom alebo voľný pohyb psa zakázaný resp. povolený. Špecifiká úpravy sú ponechané na obce. </w:t>
      </w:r>
    </w:p>
    <w:p>
      <w:pPr>
        <w:ind w:firstLine="708"/>
        <w:jc w:val="both"/>
        <w:rPr>
          <w:sz w:val="28"/>
        </w:rPr>
      </w:pPr>
    </w:p>
    <w:p>
      <w:pPr>
        <w:ind w:firstLine="708"/>
        <w:jc w:val="both"/>
        <w:rPr>
          <w:sz w:val="28"/>
        </w:rPr>
      </w:pPr>
      <w:r>
        <w:rPr>
          <w:sz w:val="28"/>
        </w:rPr>
        <w:t xml:space="preserve">Zákon Slovenskej národnej rady č. 544/1990 Zb. o miestnych poplatkoch v znení neskorších predpisov uvádza že „poplatok za psa platí fyzická osoba alebo právnická osoba, ktorá je vlastníkom psa". Zaplatením tohto poplatku sa teda priznáva vlastníctvo psa. Pokiaľ však poplatok nie je zaplatený, dokazovanie vlastníctva psa je zložité a uloženie pokuty takejto osobe je problematické. </w:t>
      </w:r>
    </w:p>
    <w:p>
      <w:pPr>
        <w:ind w:firstLine="708"/>
        <w:jc w:val="both"/>
        <w:rPr>
          <w:sz w:val="28"/>
        </w:rPr>
      </w:pPr>
    </w:p>
    <w:p>
      <w:pPr>
        <w:ind w:firstLine="708"/>
        <w:jc w:val="both"/>
        <w:rPr>
          <w:sz w:val="28"/>
        </w:rPr>
      </w:pPr>
      <w:r>
        <w:rPr>
          <w:sz w:val="28"/>
        </w:rPr>
        <w:t>Pomerne zúženou sa javí formulácia podmienky na vznik evidenčnej povinnosti vlastníka psa a to iba v prípade pohryznutia psom a nie aj iného druhu napadnutia.</w:t>
      </w:r>
    </w:p>
    <w:p>
      <w:pPr>
        <w:jc w:val="both"/>
        <w:rPr>
          <w:sz w:val="28"/>
        </w:rPr>
      </w:pPr>
    </w:p>
    <w:p>
      <w:pPr>
        <w:jc w:val="both"/>
        <w:rPr>
          <w:sz w:val="28"/>
        </w:rPr>
      </w:pPr>
      <w:r>
        <w:rPr>
          <w:sz w:val="28"/>
        </w:rPr>
        <w:tab/>
        <w:t>Neprepracovaným sa javí ustanovenie § 7 ods. 2 písm. a), podľa ktorého sa priestupku dopustí ten, kto neohlásil adresu trvalého pobytu vlastníka psa, hoci k nesplneniu tejto povinnosti môže dôjsť bez úmyslu toho, kto má túto povinnosť.</w:t>
      </w:r>
    </w:p>
    <w:p>
      <w:pPr>
        <w:jc w:val="both"/>
        <w:rPr>
          <w:sz w:val="28"/>
        </w:rPr>
      </w:pPr>
    </w:p>
    <w:p>
      <w:pPr>
        <w:jc w:val="both"/>
        <w:rPr>
          <w:sz w:val="28"/>
        </w:rPr>
      </w:pPr>
      <w:r>
        <w:rPr>
          <w:sz w:val="28"/>
        </w:rPr>
        <w:tab/>
      </w:r>
    </w:p>
    <w:p>
      <w:pPr>
        <w:ind w:firstLine="708"/>
        <w:jc w:val="both"/>
        <w:rPr>
          <w:sz w:val="28"/>
        </w:rPr>
      </w:pPr>
      <w:r>
        <w:rPr>
          <w:sz w:val="28"/>
        </w:rPr>
        <w:t>K predloženému návrhu zákona máme okrem opráv číslovania odsekov a označovania písmen tieto legislatívno – technické  pripomienky:</w:t>
      </w:r>
    </w:p>
    <w:p>
      <w:pPr>
        <w:ind w:firstLine="708"/>
        <w:jc w:val="both"/>
        <w:rPr>
          <w:sz w:val="28"/>
        </w:rPr>
      </w:pPr>
    </w:p>
    <w:p>
      <w:pPr>
        <w:pStyle w:val="Heading1"/>
      </w:pPr>
      <w:r>
        <w:t>1. K nadpisu zákona</w:t>
      </w:r>
    </w:p>
    <w:p>
      <w:pPr>
        <w:jc w:val="both"/>
        <w:rPr>
          <w:bCs/>
          <w:sz w:val="28"/>
        </w:rPr>
      </w:pPr>
      <w:r>
        <w:rPr>
          <w:bCs/>
          <w:sz w:val="28"/>
        </w:rPr>
        <w:t xml:space="preserve">     Slová „ktorým sa upravia“ sa nahrádzajú slovami „ktorým sa  upravujú“.</w:t>
      </w:r>
    </w:p>
    <w:p>
      <w:pPr>
        <w:jc w:val="both"/>
        <w:rPr>
          <w:bCs/>
          <w:sz w:val="28"/>
        </w:rPr>
      </w:pPr>
    </w:p>
    <w:p>
      <w:pPr>
        <w:pStyle w:val="Heading3"/>
      </w:pPr>
      <w:r>
        <w:tab/>
        <w:tab/>
        <w:tab/>
        <w:tab/>
        <w:tab/>
        <w:t>Legislatívno-technická pripomienka</w:t>
      </w:r>
    </w:p>
    <w:p>
      <w:pPr>
        <w:jc w:val="both"/>
        <w:rPr>
          <w:bCs/>
          <w:sz w:val="28"/>
          <w:u w:val="single"/>
        </w:rPr>
      </w:pPr>
    </w:p>
    <w:p>
      <w:pPr>
        <w:jc w:val="both"/>
        <w:rPr>
          <w:bCs/>
          <w:sz w:val="28"/>
          <w:u w:val="single"/>
        </w:rPr>
      </w:pPr>
      <w:r>
        <w:rPr>
          <w:bCs/>
          <w:sz w:val="28"/>
          <w:u w:val="single"/>
        </w:rPr>
        <w:t>2. K § 1</w:t>
      </w:r>
    </w:p>
    <w:p>
      <w:pPr>
        <w:rPr>
          <w:sz w:val="28"/>
        </w:rPr>
      </w:pPr>
      <w:r>
        <w:rPr>
          <w:sz w:val="28"/>
        </w:rPr>
        <w:t xml:space="preserve">   Nad § 1 sa vypúšťajú slová „VŠEOBEC</w:t>
      </w:r>
      <w:r>
        <w:rPr>
          <w:sz w:val="28"/>
        </w:rPr>
        <w:t>NÉ USTANOVENIA“</w:t>
      </w:r>
    </w:p>
    <w:p>
      <w:pPr>
        <w:rPr>
          <w:sz w:val="28"/>
        </w:rPr>
      </w:pPr>
    </w:p>
    <w:p>
      <w:pPr>
        <w:rPr>
          <w:sz w:val="28"/>
        </w:rPr>
      </w:pPr>
      <w:r>
        <w:rPr>
          <w:sz w:val="28"/>
        </w:rPr>
        <w:tab/>
        <w:tab/>
        <w:tab/>
        <w:tab/>
        <w:tab/>
        <w:t>Legislatívno-technická pripomienka.</w:t>
      </w:r>
    </w:p>
    <w:p>
      <w:pPr>
        <w:pStyle w:val="Heading2"/>
        <w:rPr>
          <w:sz w:val="28"/>
        </w:rPr>
      </w:pPr>
    </w:p>
    <w:p>
      <w:pPr>
        <w:pStyle w:val="Heading2"/>
        <w:rPr>
          <w:sz w:val="28"/>
        </w:rPr>
      </w:pPr>
      <w:r>
        <w:rPr>
          <w:sz w:val="28"/>
        </w:rPr>
        <w:t>3. K § 2 písm. a) bod 3</w:t>
      </w:r>
    </w:p>
    <w:p>
      <w:pPr>
        <w:pStyle w:val="Footer"/>
        <w:tabs>
          <w:tab w:val="clear" w:pos="4536"/>
          <w:tab w:val="clear" w:pos="9072"/>
        </w:tabs>
        <w:jc w:val="both"/>
        <w:rPr>
          <w:sz w:val="28"/>
        </w:rPr>
      </w:pPr>
      <w:r>
        <w:rPr>
          <w:sz w:val="28"/>
        </w:rPr>
        <w:t xml:space="preserve">   Slová „záchranných akciách“ sa nahrádza slovami „záchranných, lokalizačných a likvidačných prácach pri plnení úloh civilnej ochrany,</w:t>
      </w:r>
      <w:r>
        <w:rPr>
          <w:sz w:val="28"/>
          <w:vertAlign w:val="superscript"/>
        </w:rPr>
        <w:t>4)</w:t>
      </w:r>
      <w:r>
        <w:rPr>
          <w:sz w:val="28"/>
        </w:rPr>
        <w:t>“.</w:t>
      </w:r>
    </w:p>
    <w:p>
      <w:pPr>
        <w:pStyle w:val="Footer"/>
        <w:tabs>
          <w:tab w:val="clear" w:pos="4536"/>
          <w:tab w:val="clear" w:pos="9072"/>
        </w:tabs>
        <w:rPr>
          <w:sz w:val="28"/>
        </w:rPr>
      </w:pPr>
    </w:p>
    <w:p>
      <w:pPr>
        <w:pStyle w:val="Footer"/>
        <w:tabs>
          <w:tab w:val="clear" w:pos="4536"/>
          <w:tab w:val="clear" w:pos="9072"/>
        </w:tabs>
        <w:rPr>
          <w:sz w:val="28"/>
        </w:rPr>
      </w:pPr>
      <w:r>
        <w:rPr>
          <w:sz w:val="28"/>
        </w:rPr>
        <w:t>Poznámka pod čiarou k novému odk</w:t>
      </w:r>
      <w:r>
        <w:rPr>
          <w:sz w:val="28"/>
        </w:rPr>
        <w:t>azu 4 znie:</w:t>
      </w:r>
    </w:p>
    <w:p>
      <w:pPr>
        <w:pStyle w:val="Footer"/>
        <w:tabs>
          <w:tab w:val="clear" w:pos="4536"/>
          <w:tab w:val="clear" w:pos="9072"/>
        </w:tabs>
        <w:ind w:left="360" w:hanging="360"/>
        <w:jc w:val="both"/>
        <w:rPr>
          <w:sz w:val="28"/>
        </w:rPr>
      </w:pPr>
      <w:r>
        <w:rPr>
          <w:sz w:val="28"/>
        </w:rPr>
        <w:t>„4) Zákon Národnej rady  Slovenskej republiky č.42/1994 Z.z. o civilnej ochrane obyvateľstva v znení neskorších predpisov.“.</w:t>
      </w:r>
    </w:p>
    <w:p>
      <w:pPr>
        <w:pStyle w:val="Footer"/>
        <w:tabs>
          <w:tab w:val="clear" w:pos="4536"/>
          <w:tab w:val="clear" w:pos="9072"/>
        </w:tabs>
        <w:rPr>
          <w:sz w:val="28"/>
        </w:rPr>
      </w:pPr>
    </w:p>
    <w:p>
      <w:pPr>
        <w:pStyle w:val="Footer"/>
        <w:tabs>
          <w:tab w:val="clear" w:pos="4536"/>
          <w:tab w:val="clear" w:pos="9072"/>
        </w:tabs>
        <w:rPr>
          <w:sz w:val="28"/>
        </w:rPr>
      </w:pPr>
      <w:r>
        <w:rPr>
          <w:sz w:val="28"/>
        </w:rPr>
        <w:t>Následne sa prečíslujú odkazy.</w:t>
      </w:r>
    </w:p>
    <w:p>
      <w:pPr>
        <w:pStyle w:val="Footer"/>
        <w:tabs>
          <w:tab w:val="clear" w:pos="4536"/>
          <w:tab w:val="clear" w:pos="9072"/>
        </w:tabs>
        <w:rPr>
          <w:sz w:val="28"/>
        </w:rPr>
      </w:pPr>
      <w:r>
        <w:rPr>
          <w:sz w:val="28"/>
        </w:rPr>
        <w:tab/>
        <w:tab/>
        <w:tab/>
        <w:tab/>
        <w:tab/>
      </w:r>
    </w:p>
    <w:p>
      <w:pPr>
        <w:ind w:left="3540"/>
        <w:jc w:val="both"/>
        <w:rPr>
          <w:sz w:val="28"/>
        </w:rPr>
      </w:pPr>
      <w:r>
        <w:rPr>
          <w:sz w:val="28"/>
        </w:rPr>
        <w:t xml:space="preserve">Pre vymedzenie právneho rámca všeobecne záväzných právnych predpisov, ktorých ustanovenia zostávajú nedotknuté, je potrebné doplniť do textu nový odkaz. </w:t>
      </w:r>
    </w:p>
    <w:p>
      <w:pPr>
        <w:jc w:val="both"/>
        <w:rPr>
          <w:sz w:val="28"/>
        </w:rPr>
      </w:pPr>
    </w:p>
    <w:p>
      <w:pPr>
        <w:jc w:val="both"/>
        <w:rPr>
          <w:sz w:val="28"/>
          <w:u w:val="single"/>
        </w:rPr>
      </w:pPr>
      <w:r>
        <w:rPr>
          <w:sz w:val="28"/>
          <w:u w:val="single"/>
        </w:rPr>
        <w:t>4. K § 2 písm. b)</w:t>
      </w:r>
    </w:p>
    <w:p>
      <w:pPr>
        <w:jc w:val="both"/>
        <w:rPr>
          <w:sz w:val="28"/>
        </w:rPr>
      </w:pPr>
      <w:r>
        <w:rPr>
          <w:sz w:val="28"/>
        </w:rPr>
        <w:t xml:space="preserve">    Slovo „pohrýzol“ sa nahrádza slovom „napadol“.</w:t>
      </w:r>
    </w:p>
    <w:p>
      <w:pPr>
        <w:jc w:val="both"/>
        <w:rPr>
          <w:sz w:val="28"/>
        </w:rPr>
      </w:pPr>
    </w:p>
    <w:p>
      <w:pPr>
        <w:pStyle w:val="BodyTextIndent"/>
      </w:pPr>
      <w:r>
        <w:t>Pripomienka nadväzujúca na obsah všeobecnej časti stanoviska. Podobne aj v § 3 ods. 3, § 4 ods. 4, § 7 ods. 1 pí</w:t>
      </w:r>
      <w:r>
        <w:t>sm. c) a § 7 ods.2 písm. a) a c).</w:t>
      </w:r>
    </w:p>
    <w:p>
      <w:pPr>
        <w:ind w:left="3540"/>
        <w:jc w:val="both"/>
        <w:rPr>
          <w:sz w:val="28"/>
        </w:rPr>
      </w:pPr>
    </w:p>
    <w:p>
      <w:pPr>
        <w:jc w:val="both"/>
        <w:rPr>
          <w:sz w:val="28"/>
          <w:u w:val="single"/>
        </w:rPr>
      </w:pPr>
      <w:r>
        <w:rPr>
          <w:sz w:val="28"/>
          <w:u w:val="single"/>
        </w:rPr>
        <w:t>5. K § 2 písm. b)</w:t>
      </w:r>
    </w:p>
    <w:p>
      <w:pPr>
        <w:jc w:val="both"/>
        <w:rPr>
          <w:sz w:val="28"/>
        </w:rPr>
      </w:pPr>
      <w:r>
        <w:rPr>
          <w:sz w:val="28"/>
        </w:rPr>
        <w:t xml:space="preserve">   Slová „ak nebol použitý v nutnej obrane a krajnej núdzi,</w:t>
      </w:r>
      <w:r>
        <w:rPr>
          <w:sz w:val="28"/>
          <w:vertAlign w:val="superscript"/>
        </w:rPr>
        <w:t>4)</w:t>
      </w:r>
      <w:r>
        <w:rPr>
          <w:sz w:val="28"/>
        </w:rPr>
        <w:t>“ sa nahrádzajú slovami „okrem prípadov nutnej obrany a krajnej núdze,</w:t>
      </w:r>
      <w:r>
        <w:rPr>
          <w:sz w:val="28"/>
          <w:vertAlign w:val="superscript"/>
        </w:rPr>
        <w:t>4)</w:t>
      </w:r>
      <w:r>
        <w:rPr>
          <w:sz w:val="28"/>
        </w:rPr>
        <w:t>“.</w:t>
      </w:r>
    </w:p>
    <w:p>
      <w:pPr>
        <w:jc w:val="both"/>
        <w:rPr>
          <w:sz w:val="28"/>
        </w:rPr>
      </w:pPr>
    </w:p>
    <w:p>
      <w:pPr>
        <w:pStyle w:val="BodyText"/>
        <w:ind w:left="3540"/>
      </w:pPr>
      <w:r>
        <w:t>Štylistická pripomienka. Podobne aj v § 3 ods. 3 písm. e), § 4 ods</w:t>
      </w:r>
      <w:r>
        <w:t>. 4, § 7 ods. 1 písm. c) a  § 7 ods. 2 písm. c) .</w:t>
      </w:r>
    </w:p>
    <w:p>
      <w:pPr>
        <w:pStyle w:val="BodyText"/>
        <w:rPr>
          <w:u w:val="single"/>
        </w:rPr>
      </w:pPr>
      <w:r>
        <w:rPr>
          <w:u w:val="single"/>
        </w:rPr>
        <w:t>6. K § 7 ods. 2 písm. e)</w:t>
      </w:r>
    </w:p>
    <w:p>
      <w:pPr>
        <w:pStyle w:val="BodyText"/>
      </w:pPr>
      <w:r>
        <w:t xml:space="preserve">    Za slovo „psom“ sa vkladajú slová „alebo zákaz voľného pohybu psa“.</w:t>
      </w:r>
    </w:p>
    <w:p>
      <w:pPr>
        <w:pStyle w:val="BodyText"/>
      </w:pPr>
    </w:p>
    <w:p>
      <w:pPr>
        <w:ind w:left="3540"/>
        <w:jc w:val="both"/>
        <w:rPr>
          <w:sz w:val="28"/>
        </w:rPr>
      </w:pPr>
      <w:r>
        <w:rPr>
          <w:sz w:val="28"/>
        </w:rPr>
        <w:t>Táto skutková podstata vyplýva z ustanovenia  § 5 ods. 1 písm. b).</w:t>
      </w:r>
    </w:p>
    <w:p>
      <w:pPr>
        <w:pStyle w:val="Heading1"/>
      </w:pPr>
    </w:p>
    <w:p>
      <w:pPr>
        <w:pStyle w:val="Heading1"/>
      </w:pPr>
      <w:r>
        <w:t>7. K § 8</w:t>
      </w:r>
    </w:p>
    <w:p>
      <w:pPr>
        <w:jc w:val="both"/>
        <w:rPr>
          <w:sz w:val="28"/>
        </w:rPr>
      </w:pPr>
      <w:r>
        <w:rPr>
          <w:sz w:val="28"/>
        </w:rPr>
        <w:t xml:space="preserve">   Slová „Obce sú povinné prispôsobiť svoje evidencie tomuto zákonu“ sa nahrádzajú slovami  „Obce sú povinné upraviť vedenie evidencie podľa tohto zákona“ a slová „účinnosti tohto zákona“ sa nahrádzajú slovami „jeho účinnosti“.</w:t>
      </w:r>
    </w:p>
    <w:p>
      <w:pPr>
        <w:jc w:val="both"/>
        <w:rPr>
          <w:sz w:val="28"/>
        </w:rPr>
      </w:pPr>
      <w:r>
        <w:rPr>
          <w:sz w:val="28"/>
        </w:rPr>
        <w:tab/>
        <w:tab/>
        <w:tab/>
        <w:tab/>
        <w:tab/>
        <w:t>Štylistická pripomienka.</w:t>
      </w:r>
    </w:p>
    <w:p>
      <w:pPr>
        <w:jc w:val="both"/>
        <w:rPr>
          <w:sz w:val="28"/>
          <w:u w:val="single"/>
        </w:rPr>
      </w:pPr>
      <w:r>
        <w:rPr>
          <w:sz w:val="28"/>
        </w:rPr>
        <w:tab/>
        <w:tab/>
        <w:tab/>
        <w:tab/>
        <w:tab/>
      </w:r>
    </w:p>
    <w:p>
      <w:pPr>
        <w:pStyle w:val="Heading4"/>
        <w:rPr>
          <w:sz w:val="28"/>
        </w:rPr>
      </w:pPr>
      <w:r>
        <w:rPr>
          <w:sz w:val="28"/>
        </w:rPr>
        <w:t>8. K § 9</w:t>
      </w:r>
    </w:p>
    <w:p>
      <w:pPr>
        <w:rPr>
          <w:sz w:val="28"/>
        </w:rPr>
      </w:pPr>
      <w:r>
        <w:rPr>
          <w:sz w:val="28"/>
        </w:rPr>
        <w:t xml:space="preserve">   Slovo „aprí</w:t>
      </w:r>
      <w:r>
        <w:rPr>
          <w:sz w:val="28"/>
        </w:rPr>
        <w:t>la“ sa nahrádza slovom „mája“.</w:t>
      </w:r>
    </w:p>
    <w:p>
      <w:pPr>
        <w:rPr>
          <w:sz w:val="28"/>
        </w:rPr>
      </w:pPr>
    </w:p>
    <w:p>
      <w:pPr>
        <w:ind w:left="3540"/>
        <w:jc w:val="both"/>
        <w:rPr>
          <w:sz w:val="28"/>
        </w:rPr>
      </w:pPr>
      <w:r>
        <w:rPr>
          <w:sz w:val="28"/>
        </w:rPr>
        <w:t>Neskoršiu účinnosť zákona navrhujeme z toho dôvodu, že treba rátať s lehotou potrebnou na prerokovanie návrhu zákona jeho podpísanie a vyhlásenie pri zachovaní potrebnej legisvakančnej lehoty.</w:t>
      </w:r>
    </w:p>
    <w:p>
      <w:pPr>
        <w:rPr>
          <w:sz w:val="28"/>
        </w:rPr>
      </w:pPr>
    </w:p>
    <w:p>
      <w:pPr>
        <w:rPr>
          <w:sz w:val="28"/>
        </w:rPr>
      </w:pPr>
    </w:p>
    <w:p>
      <w:pPr>
        <w:jc w:val="center"/>
        <w:rPr>
          <w:sz w:val="28"/>
        </w:rPr>
      </w:pPr>
      <w:r>
        <w:rPr>
          <w:sz w:val="28"/>
        </w:rPr>
        <w:t>B.</w:t>
      </w:r>
    </w:p>
    <w:p>
      <w:pPr>
        <w:jc w:val="both"/>
        <w:rPr>
          <w:sz w:val="28"/>
        </w:rPr>
      </w:pPr>
    </w:p>
    <w:p>
      <w:pPr>
        <w:ind w:firstLine="708"/>
        <w:jc w:val="both"/>
        <w:rPr>
          <w:sz w:val="28"/>
        </w:rPr>
      </w:pPr>
      <w:r>
        <w:rPr>
          <w:sz w:val="28"/>
        </w:rPr>
        <w:t>Návrh zákona n e p a t r í  medzi priority uvedené v čl. 70 Európskej dohody o pridružení a svojou problematikou n e p a t r í ani medzi priority odporúčané v Príprave asociovaných krajín strednej a východnej Európy na integráciu do vnútorného trhu Európskej únie /Biela kniha/.</w:t>
      </w:r>
    </w:p>
    <w:p>
      <w:pPr>
        <w:jc w:val="both"/>
        <w:rPr>
          <w:sz w:val="28"/>
        </w:rPr>
      </w:pPr>
    </w:p>
    <w:p>
      <w:pPr>
        <w:ind w:firstLine="708"/>
        <w:jc w:val="both"/>
        <w:rPr>
          <w:sz w:val="28"/>
        </w:rPr>
      </w:pPr>
      <w:r>
        <w:rPr>
          <w:sz w:val="28"/>
        </w:rPr>
        <w:t>V</w:t>
      </w:r>
      <w:r>
        <w:rPr>
          <w:sz w:val="28"/>
        </w:rPr>
        <w:t> legislatíve ES/EU sú upravené  l e n  nasledujúce problematiky, týkajúce sa psov:</w:t>
      </w:r>
    </w:p>
    <w:p>
      <w:pPr>
        <w:jc w:val="both"/>
        <w:rPr>
          <w:sz w:val="28"/>
        </w:rPr>
      </w:pPr>
    </w:p>
    <w:p>
      <w:pPr>
        <w:jc w:val="both"/>
        <w:rPr>
          <w:sz w:val="28"/>
        </w:rPr>
      </w:pPr>
      <w:r>
        <w:rPr>
          <w:sz w:val="28"/>
        </w:rPr>
        <w:t>a) pravidlá o ochrane zvierat počas prepravy ( smernica 91/628/EHS). Táto smernica sa aplikuje tiež na prepravu psov, najmä Kapitola III prílohy k tejto smernici.</w:t>
      </w:r>
    </w:p>
    <w:p>
      <w:pPr>
        <w:jc w:val="both"/>
        <w:rPr>
          <w:sz w:val="28"/>
        </w:rPr>
      </w:pPr>
      <w:r>
        <w:rPr>
          <w:sz w:val="28"/>
        </w:rPr>
        <w:t>b) ochrana zvierat používaných na experimentálne a vedecké účely (smernica 86/609/EHS o aproximácii právnych predpisov a opatrení vo vzťahu k ochrane zvierat používaných na experimentálne a vedecké účely). Túto problematiku rieši v rámci Rady Európy aj Európsky dohovor o ochrane stavovcov používaných na experimentálne a iné vedecké účely, Štrasburg, 18.3.1986.</w:t>
      </w:r>
    </w:p>
    <w:p>
      <w:pPr>
        <w:jc w:val="both"/>
        <w:rPr>
          <w:sz w:val="28"/>
        </w:rPr>
      </w:pPr>
    </w:p>
    <w:p>
      <w:pPr>
        <w:ind w:firstLine="360"/>
        <w:jc w:val="both"/>
        <w:rPr>
          <w:sz w:val="28"/>
        </w:rPr>
      </w:pPr>
      <w:r>
        <w:rPr>
          <w:sz w:val="28"/>
        </w:rPr>
        <w:t>V tejto oblasti boli položené Európskej komisii tieto otázky poslancami Európskeho parlamentu:</w:t>
      </w:r>
    </w:p>
    <w:p>
      <w:pPr>
        <w:jc w:val="both"/>
        <w:rPr>
          <w:sz w:val="28"/>
        </w:rPr>
      </w:pPr>
    </w:p>
    <w:p>
      <w:pPr>
        <w:numPr>
          <w:ilvl w:val="0"/>
          <w:numId w:val="1"/>
        </w:numPr>
        <w:tabs>
          <w:tab w:val="num" w:pos="360"/>
        </w:tabs>
        <w:jc w:val="both"/>
        <w:rPr>
          <w:sz w:val="28"/>
        </w:rPr>
      </w:pPr>
      <w:r>
        <w:rPr>
          <w:sz w:val="28"/>
        </w:rPr>
        <w:t>Či, vzhľadom na právne vákuum existujúce na úrovni Európskeho spoločenstva a v jeho členských štátoch v oblasti chovu, výcviku a vlastníctva “agresívnych“ plemien psov, Európska Komisia neuvažuje o príprave smernice upravujúcej chov, výcvik, použitie, predaj, držbu a vlastníctvo takýchto psov? Komisia odpovedala, že táto oblasť spadá do kompetencie jednotlivých členských štátov a preto neuvažuje v súčasnosti o návrhu osobitnej legislatívy v tejto oblasti.</w:t>
      </w:r>
    </w:p>
    <w:p>
      <w:pPr>
        <w:numPr>
          <w:ilvl w:val="0"/>
          <w:numId w:val="1"/>
        </w:numPr>
        <w:tabs>
          <w:tab w:val="num" w:pos="360"/>
        </w:tabs>
        <w:jc w:val="both"/>
        <w:rPr>
          <w:sz w:val="28"/>
        </w:rPr>
      </w:pPr>
      <w:r>
        <w:rPr>
          <w:sz w:val="28"/>
        </w:rPr>
        <w:t>Či si je Európska komisia vedomá súčasnej nemeckej legislatívy zakazujúcej chov niektorých plemien psov a či takýto zákaz plánuje zaviesť aj na úrovni Európskej únie? Komisia odpovedala, že vzhľadom k neexistencii osobitej legislatívy Spoločenstva, upravujúcej túto oblasť a teda pri absencii harmonizácii na úrovni Spoločenstva, si môžu členské štáty prijať také opatrenia, ktoré budú chrániť život ľudí ak budú v súlade s ustanoveniami zmluvy o Európskom spoločenstve, najmä s článkami 28 a 30 (voľný pohyb tovaru)</w:t>
      </w:r>
    </w:p>
    <w:p>
      <w:pPr>
        <w:numPr>
          <w:ilvl w:val="0"/>
          <w:numId w:val="1"/>
        </w:numPr>
        <w:tabs>
          <w:tab w:val="num" w:pos="360"/>
        </w:tabs>
        <w:jc w:val="both"/>
        <w:rPr>
          <w:sz w:val="28"/>
        </w:rPr>
      </w:pPr>
      <w:r>
        <w:rPr>
          <w:sz w:val="28"/>
        </w:rPr>
        <w:t>Keďže problém nebezpečných psov nemá hraníc v rámci Spoločenstva nepodnikne Komisia opatrenia na ukončenie sérií hrôzostrašných  a často osudných útokov? Názor Komisie je, že je to na jednotlivých členských štátoch, aby prijali vhodné opatrenia na ochranu ľudského života, ale nesmú prijať opatrenia vytvárajúce prekážky pohybu takýchto psov (cez hranice), iba ak by ich odôvodnili ochranou zdravia a života ľudí a zvierat. Takéto opatrenia by museli byť proporčné a presne zamerané na dosiahnutie tohto cieľa.</w:t>
      </w:r>
    </w:p>
    <w:p>
      <w:pPr>
        <w:ind w:left="360"/>
        <w:jc w:val="both"/>
        <w:rPr>
          <w:sz w:val="28"/>
        </w:rPr>
      </w:pPr>
      <w:r>
        <w:rPr>
          <w:sz w:val="28"/>
        </w:rPr>
        <w:t xml:space="preserve"> </w:t>
      </w:r>
    </w:p>
    <w:p>
      <w:pPr>
        <w:ind w:firstLine="360"/>
        <w:jc w:val="both"/>
        <w:rPr>
          <w:sz w:val="28"/>
        </w:rPr>
      </w:pPr>
      <w:r>
        <w:rPr>
          <w:sz w:val="28"/>
        </w:rPr>
        <w:t>Vzhľadom na vyššie uvedené, ako aj na konštatovanie predkladateľov v doložke zlučiteľnosti sa stupeň kompatibility tohto návrhu zákona s právom ES/EU neurčuje.</w:t>
      </w:r>
    </w:p>
    <w:p>
      <w:pPr>
        <w:jc w:val="both"/>
        <w:rPr>
          <w:sz w:val="28"/>
        </w:rPr>
      </w:pPr>
    </w:p>
    <w:p>
      <w:pPr>
        <w:jc w:val="both"/>
        <w:rPr>
          <w:sz w:val="28"/>
        </w:rPr>
      </w:pPr>
    </w:p>
    <w:p>
      <w:pPr>
        <w:jc w:val="both"/>
        <w:rPr>
          <w:sz w:val="28"/>
        </w:rPr>
      </w:pPr>
      <w:r>
        <w:rPr>
          <w:sz w:val="28"/>
        </w:rPr>
        <w:t>Bratislava 4. marca 2002</w:t>
      </w:r>
    </w:p>
    <w:p>
      <w:pPr>
        <w:jc w:val="both"/>
        <w:rPr>
          <w:sz w:val="28"/>
        </w:rPr>
      </w:pPr>
      <w:r>
        <w:rPr>
          <w:sz w:val="28"/>
        </w:rPr>
        <w:t>Vypracovali A: JUDr. Eva Panenková</w:t>
      </w:r>
    </w:p>
    <w:p>
      <w:pPr>
        <w:jc w:val="both"/>
        <w:rPr>
          <w:sz w:val="28"/>
        </w:rPr>
      </w:pPr>
      <w:r>
        <w:rPr>
          <w:sz w:val="28"/>
        </w:rPr>
        <w:t xml:space="preserve">                     B: Mgr. Katarína Manczalová</w:t>
      </w:r>
    </w:p>
    <w:p>
      <w:pPr>
        <w:jc w:val="both"/>
        <w:rPr>
          <w:sz w:val="28"/>
        </w:rPr>
      </w:pPr>
    </w:p>
    <w:p>
      <w:pPr>
        <w:jc w:val="both"/>
        <w:rPr>
          <w:sz w:val="28"/>
        </w:rPr>
      </w:pPr>
    </w:p>
    <w:p>
      <w:pPr>
        <w:jc w:val="both"/>
        <w:rPr>
          <w:sz w:val="28"/>
        </w:rPr>
      </w:pPr>
    </w:p>
    <w:p>
      <w:pPr>
        <w:jc w:val="both"/>
        <w:rPr>
          <w:sz w:val="28"/>
        </w:rPr>
      </w:pPr>
    </w:p>
    <w:p>
      <w:pPr>
        <w:jc w:val="both"/>
        <w:rPr>
          <w:sz w:val="28"/>
        </w:rPr>
      </w:pPr>
    </w:p>
    <w:p>
      <w:pPr>
        <w:ind w:left="4248" w:firstLine="708"/>
        <w:jc w:val="both"/>
        <w:rPr>
          <w:sz w:val="28"/>
        </w:rPr>
      </w:pPr>
      <w:r>
        <w:rPr>
          <w:sz w:val="28"/>
        </w:rPr>
        <w:t>JUDr. Dušan Nikodým, CSc.</w:t>
      </w:r>
    </w:p>
    <w:p>
      <w:pPr>
        <w:ind w:left="3540" w:firstLine="708"/>
        <w:jc w:val="both"/>
        <w:rPr>
          <w:sz w:val="28"/>
        </w:rPr>
      </w:pPr>
      <w:r>
        <w:rPr>
          <w:sz w:val="28"/>
        </w:rPr>
        <w:t xml:space="preserve">       vedúci legislatívneho oddelenia</w:t>
      </w:r>
    </w:p>
    <w:p>
      <w:pPr>
        <w:jc w:val="both"/>
        <w:rPr>
          <w:sz w:val="28"/>
        </w:rPr>
      </w:pPr>
      <w:r>
        <w:rPr>
          <w:sz w:val="28"/>
        </w:rPr>
        <w:t xml:space="preserve">                                                                           v zastúpení riaditeľa</w:t>
      </w:r>
    </w:p>
    <w:p>
      <w:pPr>
        <w:rPr>
          <w:sz w:val="28"/>
        </w:rPr>
      </w:pPr>
    </w:p>
    <w:sectPr>
      <w:footerReference w:type="even" r:id="rId4"/>
      <w:footerReference w:type="default" r:id="rId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3A87" w:usb1="00000000" w:usb2="00000000" w:usb3="00000000" w:csb0="000000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6C6055"/>
    <w:multiLevelType w:val="hybridMultilevel"/>
    <w:tmpl w:val="C232954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0"/>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sk-SK" w:eastAsia="sk-SK" w:bidi="ar-SA"/>
    </w:rPr>
  </w:style>
  <w:style w:type="paragraph" w:styleId="Heading1">
    <w:name w:val="heading 1"/>
    <w:basedOn w:val="Normal"/>
    <w:next w:val="Normal"/>
    <w:uiPriority w:val="9"/>
    <w:qFormat/>
    <w:pPr>
      <w:keepNext/>
      <w:jc w:val="both"/>
      <w:outlineLvl w:val="0"/>
    </w:pPr>
    <w:rPr>
      <w:sz w:val="28"/>
      <w:u w:val="single"/>
    </w:rPr>
  </w:style>
  <w:style w:type="paragraph" w:styleId="Heading2">
    <w:name w:val="heading 2"/>
    <w:basedOn w:val="Normal"/>
    <w:next w:val="Normal"/>
    <w:uiPriority w:val="9"/>
    <w:qFormat/>
    <w:pPr>
      <w:keepNext/>
      <w:outlineLvl w:val="1"/>
    </w:pPr>
    <w:rPr>
      <w:u w:val="single"/>
    </w:rPr>
  </w:style>
  <w:style w:type="paragraph" w:styleId="Heading3">
    <w:name w:val="heading 3"/>
    <w:basedOn w:val="Normal"/>
    <w:next w:val="Normal"/>
    <w:uiPriority w:val="9"/>
    <w:qFormat/>
    <w:pPr>
      <w:keepNext/>
      <w:jc w:val="both"/>
      <w:outlineLvl w:val="2"/>
    </w:pPr>
    <w:rPr>
      <w:bCs/>
      <w:sz w:val="28"/>
    </w:rPr>
  </w:style>
  <w:style w:type="paragraph" w:styleId="Heading4">
    <w:name w:val="heading 4"/>
    <w:basedOn w:val="Normal"/>
    <w:next w:val="Normal"/>
    <w:uiPriority w:val="9"/>
    <w:qFormat/>
    <w:pPr>
      <w:keepNext/>
      <w:jc w:val="both"/>
      <w:outlineLvl w:val="3"/>
    </w:pPr>
    <w:rPr>
      <w:u w:val="single"/>
    </w:rPr>
  </w:style>
  <w:style w:type="character" w:default="1" w:styleId="DefaultParagraphFont">
    <w:name w:val="Default Paragraph Font"/>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odyText3">
    <w:name w:val="Body Text 3"/>
    <w:basedOn w:val="Normal"/>
    <w:pPr>
      <w:jc w:val="center"/>
    </w:pPr>
    <w:rPr>
      <w:color w:val="FF0000"/>
      <w:szCs w:val="20"/>
      <w:lang w:eastAsia="cs-CZ"/>
    </w:rPr>
  </w:style>
  <w:style w:type="character" w:styleId="FootnoteReference">
    <w:name w:val="footnote reference"/>
    <w:basedOn w:val="DefaultParagraphFont"/>
    <w:rPr>
      <w:vertAlign w:val="superscript"/>
    </w:rPr>
  </w:style>
  <w:style w:type="paragraph" w:styleId="FootnoteText">
    <w:name w:val="footnote text"/>
    <w:basedOn w:val="Normal"/>
    <w:rPr>
      <w:sz w:val="20"/>
      <w:szCs w:val="20"/>
    </w:rPr>
  </w:style>
  <w:style w:type="paragraph" w:styleId="BodyTextIndent">
    <w:name w:val="Body Text Indent"/>
    <w:basedOn w:val="Normal"/>
    <w:pPr>
      <w:ind w:left="3540"/>
      <w:jc w:val="both"/>
    </w:pPr>
    <w:rPr>
      <w:sz w:val="28"/>
    </w:rPr>
  </w:style>
  <w:style w:type="paragraph" w:styleId="BodyText">
    <w:name w:val="Body Text"/>
    <w:basedOn w:val="Normal"/>
    <w:pPr>
      <w:jc w:val="both"/>
    </w:pPr>
    <w:rPr>
      <w:sz w:val="2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numbering" Target="numbering.xml" /><Relationship Id="rId7"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28</TotalTime>
  <Pages>1</Pages>
  <Words>973</Words>
  <Characters>5551</Characters>
  <Application>Microsoft Office Word</Application>
  <DocSecurity>0</DocSecurity>
  <Lines>46</Lines>
  <Paragraphs>11</Paragraphs>
  <ScaleCrop>false</ScaleCrop>
  <HeadingPairs>
    <vt:vector size="2" baseType="variant">
      <vt:variant>
        <vt:lpstr>Názov</vt:lpstr>
      </vt:variant>
      <vt:variant>
        <vt:i4>1</vt:i4>
      </vt:variant>
    </vt:vector>
  </HeadingPairs>
  <TitlesOfParts>
    <vt:vector size="1" baseType="lpstr">
      <vt:lpstr>     Kancelária Národnej rady SR</vt:lpstr>
    </vt:vector>
  </TitlesOfParts>
  <Company>Kancelária NR SR</Company>
  <LinksUpToDate>false</LinksUpToDate>
  <CharactersWithSpaces>6817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Kancelária Národnej rady SR</dc:title>
  <dc:creator>vachhele</dc:creator>
  <cp:lastModifiedBy>vachhele</cp:lastModifiedBy>
  <cp:revision>3</cp:revision>
  <cp:lastPrinted>2002-03-05T06:52:00Z</cp:lastPrinted>
  <dcterms:created xsi:type="dcterms:W3CDTF">2002-03-05T06:37:00Z</dcterms:created>
  <dcterms:modified xsi:type="dcterms:W3CDTF">2002-03-05T07:08:00Z</dcterms:modified>
</cp:coreProperties>
</file>