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pPr>
        <w:pStyle w:val="BodyText"/>
      </w:pPr>
      <w:r>
        <w:t>Kancelária Národnej rady SR</w:t>
        <w:tab/>
        <w:tab/>
        <w:tab/>
        <w:tab/>
        <w:tab/>
      </w:r>
    </w:p>
    <w:p>
      <w:pPr>
        <w:pStyle w:val="BodyText"/>
      </w:pPr>
      <w:r>
        <w:t>Odbor legislatívy a aproximácie práva</w:t>
      </w:r>
    </w:p>
    <w:p>
      <w:pPr>
        <w:pStyle w:val="BodyText"/>
        <w:jc w:val="center"/>
      </w:pPr>
    </w:p>
    <w:p>
      <w:pPr>
        <w:pStyle w:val="BodyText"/>
        <w:jc w:val="center"/>
      </w:pPr>
    </w:p>
    <w:p>
      <w:pPr>
        <w:pStyle w:val="BodyText"/>
        <w:jc w:val="center"/>
      </w:pPr>
    </w:p>
    <w:p>
      <w:pPr>
        <w:pStyle w:val="BodyText"/>
        <w:jc w:val="center"/>
      </w:pPr>
      <w:r>
        <w:tab/>
        <w:t xml:space="preserve">                                                                                  </w:t>
        <w:tab/>
        <w:t>Číslo: 1576/2001</w:t>
      </w:r>
    </w:p>
    <w:p>
      <w:pPr>
        <w:pStyle w:val="BodyText"/>
        <w:jc w:val="center"/>
      </w:pPr>
    </w:p>
    <w:p>
      <w:pPr>
        <w:pStyle w:val="BodyText"/>
        <w:jc w:val="center"/>
      </w:pPr>
      <w:r>
        <w:t>S t a n o v i s k o</w:t>
      </w:r>
    </w:p>
    <w:p>
      <w:pPr>
        <w:pStyle w:val="BodyText"/>
        <w:jc w:val="center"/>
      </w:pPr>
    </w:p>
    <w:p>
      <w:pPr>
        <w:pStyle w:val="BodyText"/>
        <w:jc w:val="both"/>
      </w:pPr>
      <w:r>
        <w:t>k návrhu  skupiny poslancov na vydanie zákona, ktorým sa mení a dopĺňa zákon Slovenskej národnej rady  č. 138/1992 Zb. o autorizovaných architektoch a autorizovaných stavebných inžinieroch v znení zákona č. 236/2000 Z.z., zákon č. 50/1976 Zb. o územnom plánovaní a stavebnom poriadku (stavebný zákon) v znení zákona č. 237/2000 Z.z. a zákon č. 455/1991 Zb. o živnostenskom podnikaní (živnostenský zákon) v znení neskorších predpisov (tlač 1129)</w:t>
      </w:r>
    </w:p>
    <w:p>
      <w:pPr>
        <w:pStyle w:val="BodyText"/>
      </w:pPr>
      <w:r>
        <w:t>________________________________________________________________</w:t>
      </w:r>
    </w:p>
    <w:p>
      <w:pPr>
        <w:pStyle w:val="BodyText"/>
      </w:pPr>
      <w:r>
        <w:t xml:space="preserve"> </w:t>
      </w:r>
    </w:p>
    <w:p>
      <w:pPr>
        <w:pStyle w:val="BodyText"/>
        <w:ind w:firstLine="708"/>
        <w:jc w:val="center"/>
      </w:pPr>
      <w:r>
        <w:t>A</w:t>
      </w:r>
    </w:p>
    <w:p>
      <w:pPr>
        <w:pStyle w:val="BodyText"/>
        <w:ind w:firstLine="708"/>
        <w:jc w:val="center"/>
      </w:pPr>
    </w:p>
    <w:p>
      <w:pPr>
        <w:pStyle w:val="BodyText"/>
        <w:ind w:firstLine="708"/>
        <w:jc w:val="center"/>
      </w:pPr>
      <w:r>
        <w:t>I.</w:t>
      </w:r>
    </w:p>
    <w:p>
      <w:pPr>
        <w:pStyle w:val="BodyText"/>
        <w:ind w:firstLine="708"/>
        <w:jc w:val="center"/>
      </w:pPr>
    </w:p>
    <w:p>
      <w:pPr>
        <w:pStyle w:val="BodyText"/>
        <w:ind w:firstLine="708"/>
        <w:jc w:val="both"/>
      </w:pPr>
      <w:r>
        <w:t>Zámerom  predloženého návrhu novely zákona Slovenskej národnej rady č. 138/1992 Zb. o autorizovaných architektoch a autorizovaných stavebných inžinieroch v znení zákona č.236/2000 Z.z. je odstrániť nedostatky diskriminačného charakteru, ktoré vniesli do oblasti vybraných činností vo výstavbe  posledné novelizácie tohto  zákona  i zákona č. 50/1976 Zb. o územnom plánovaní a stavebnom poriadku (stavebný zákon).</w:t>
      </w:r>
    </w:p>
    <w:p>
      <w:pPr>
        <w:pStyle w:val="BodyText"/>
        <w:ind w:firstLine="708"/>
        <w:jc w:val="both"/>
      </w:pPr>
    </w:p>
    <w:p>
      <w:pPr>
        <w:pStyle w:val="BodyText"/>
        <w:ind w:firstLine="708"/>
        <w:jc w:val="both"/>
      </w:pPr>
      <w:r>
        <w:t xml:space="preserve">Dôvodová správa predloženého návrhu novelizácie okrem iného uvádza „nadväznosť“  stavebného zákona na tento zákon. Pre pochopenie zložitosti problematiky upozorňujeme na to, že zákon Slovenskej národnej rady č.138/1992 Zb. je osobitným predpisom, ktorý rieši podrobnosti o oprávneniach na vybrané činnosti vo výstavbe, o spôsobe a podmienkach ich nadobudnutia a zániku v medziach stavebného zákona. Stavebný zákon určuje z hľadiska ochrany záujmov spoločnosti  vybrané činnosti vo výstavbe a ich rozsah, a takto určuje celkovú koncepciu   právnej úpravy. Predložená novelizácia teda sa v niektorých ustanoveniach týka koncepcie stavebného zákona  a predstavuje v predmetných ustanoveniach v konečnom dôsledku jej   zmenu, a to konkrétne doplnením ustanovení o vybraných činnostiach vo výstavbe. </w:t>
      </w:r>
    </w:p>
    <w:p>
      <w:pPr>
        <w:pStyle w:val="BodyText"/>
        <w:ind w:firstLine="708"/>
        <w:jc w:val="both"/>
      </w:pPr>
      <w:r>
        <w:tab/>
      </w:r>
    </w:p>
    <w:p>
      <w:pPr>
        <w:pStyle w:val="BodyText"/>
        <w:ind w:firstLine="708"/>
        <w:jc w:val="both"/>
      </w:pPr>
      <w:r>
        <w:t>Vo všeobecnosti uvádzame niektoré problémové ustanovenia predkladaného návrhu novely.</w:t>
      </w:r>
    </w:p>
    <w:p>
      <w:pPr>
        <w:pStyle w:val="BodyText"/>
        <w:ind w:firstLine="708"/>
        <w:jc w:val="both"/>
      </w:pPr>
    </w:p>
    <w:p>
      <w:pPr>
        <w:pStyle w:val="BodyText"/>
        <w:ind w:firstLine="708"/>
        <w:jc w:val="both"/>
      </w:pPr>
      <w:r>
        <w:t>V súvislosti s opätovne zavádzaným pojmom „technik“ v 3. bode návrhu, ktorý sa vracia k jeho pôvodnému obsahu spred novely č.236/2000 Z.z., je spojené aj jeho „zapísanie do zoznamu odborne spôsobilých technikov“. Ustanovenia o vedení zoznamov  (§ 3 ods. 3) však nie sú dotknuté potrebným novelizačným ustanovením, vzťahujúcim režim vedenia zoznamov aj na tento ďalší zoznam.</w:t>
      </w:r>
    </w:p>
    <w:p>
      <w:pPr>
        <w:pStyle w:val="BodyText"/>
        <w:ind w:firstLine="708"/>
        <w:jc w:val="both"/>
      </w:pPr>
    </w:p>
    <w:p>
      <w:pPr>
        <w:pStyle w:val="BodyText"/>
        <w:ind w:firstLine="708"/>
        <w:jc w:val="both"/>
      </w:pPr>
      <w:r>
        <w:t>V súvislosti s ustanovením povinnosti odovzdať pečiatku technika, po tom, čo „stratil oprávnenie“ (§ 14) upozorňujeme na absenciu ustanovenia o strate oprávnenia. Uvažovaná strata oprávnenia technika  by bola vážnym zásahom do jeho práv  a teda môže k nej dôjsť len za určitých presne stanovených podmienok. Podobne ako architekt alebo inžinier, môže byť vyčiarknutý zo zoznamu len z dôvodov taxatívne uvedených v § 17 noveli</w:t>
      </w:r>
      <w:r>
        <w:t>zovaného zákona.</w:t>
      </w:r>
    </w:p>
    <w:p>
      <w:pPr>
        <w:pStyle w:val="BodyText"/>
        <w:ind w:firstLine="708"/>
        <w:jc w:val="both"/>
      </w:pPr>
    </w:p>
    <w:p>
      <w:pPr>
        <w:pStyle w:val="BodyText"/>
        <w:ind w:firstLine="708"/>
        <w:jc w:val="both"/>
      </w:pPr>
      <w:r>
        <w:t>Predložený návrh novely svojimi ustanoveniami bodov 13. 14. a 16.  pripúšťa  spájanie prípravy a realizácie stavieb. Už zákon SNR č.138/1992 Zb. považoval  „uzavretie pracovného pomeru architekta s  právnickou  osobou  vykonávajúcou projektové,   inžinierske   a   stavebné   práce alebo  so živnostníkom, alebo začal sám podnikať v stavebníctve“ za dôvod na vyčiarknutie zo zoznamu vedeného komorou, čím vyjadril princíp nezlučiteľnosti navrhovateľa stavby a  zhotoviteľa stavby ako spôsob zamedzenia konfliktu záujmov medzi navrhovaním  a projektovaním stavieb  a uskutočňovaním stavieb.</w:t>
      </w:r>
    </w:p>
    <w:p>
      <w:pPr>
        <w:pStyle w:val="BodyText"/>
        <w:ind w:firstLine="708"/>
        <w:jc w:val="both"/>
      </w:pPr>
    </w:p>
    <w:p>
      <w:pPr>
        <w:pStyle w:val="BodyText"/>
        <w:ind w:firstLine="708"/>
        <w:jc w:val="both"/>
      </w:pPr>
      <w:r>
        <w:t>Navrhované nové znenie § 16 ods. 2  (15. bod návrhu) je zrejme nepresné vo formulácii „komora môže uznať aj iné vzdelanie“. Má však obrovský vplyv na uznávanie vzdelania, keďže sa týmto de facto uznáva na účely autorizácie  „akéhokoľvek vzdelanie“.</w:t>
      </w:r>
    </w:p>
    <w:p>
      <w:pPr>
        <w:pStyle w:val="BodyText"/>
        <w:ind w:firstLine="708"/>
        <w:jc w:val="both"/>
      </w:pPr>
    </w:p>
    <w:p>
      <w:pPr>
        <w:pStyle w:val="BodyText"/>
        <w:ind w:firstLine="708"/>
        <w:jc w:val="both"/>
      </w:pPr>
      <w:r>
        <w:t>Upozorňujeme tiež na nerovnaké podmienky vykonávania praxe architektmi  a inžiniermi na jednej strane a technikmi na strane druhej. Podľa predloženého návrhu  v 15. bode návrhu (§ 16 ods.5) technici môžu vykonávať odbornú prax bez  dozoru. Dozor sa však predpokladá u architektov a inžinierov. Ani z dôvodovej správy nie je jasné, prečo predkladateľ zvolil tento prístup.</w:t>
      </w:r>
    </w:p>
    <w:p>
      <w:pPr>
        <w:pStyle w:val="BodyText"/>
        <w:ind w:firstLine="708"/>
        <w:jc w:val="both"/>
      </w:pPr>
    </w:p>
    <w:p>
      <w:pPr>
        <w:pStyle w:val="BodyText"/>
        <w:ind w:firstLine="708"/>
        <w:jc w:val="both"/>
      </w:pPr>
      <w:r>
        <w:t>Navrhovateľ navrhuje uvádzať v osvedčení údaj o dátume  zápisu do zoznamu, ktorý môže mať význam pre daňové účely autorizovanej osoby – daňovníka (§ 19 ods.1 písm.g)).  Treba upozorniť na skutočnosť, že  návrh v 19. bode (§ 23 ods.3), ktorým sa dáva  uchádzačovi možnosť požiadať o iný termín zápisu, znamená prelomenie zásady o zapisovaní osoby do zoznamu do troch dní odo dňa zloženia sľubu a svojím obsahom predstavuje pomerne vážny zásah do procesu získavania autorizácie resp. osvedčenia o odbornej spôsobilosti.  Bolo  by potrebné navrhovanú žiadosť o „zapísanie   do zoznamu v inom termíne“ doriešiť v legislatívnych a formulačných súvislostiach.</w:t>
      </w:r>
    </w:p>
    <w:p>
      <w:pPr>
        <w:pStyle w:val="BodyText"/>
        <w:ind w:firstLine="708"/>
        <w:jc w:val="both"/>
      </w:pPr>
    </w:p>
    <w:p>
      <w:pPr>
        <w:pStyle w:val="BodyText"/>
        <w:ind w:firstLine="708"/>
        <w:jc w:val="both"/>
      </w:pPr>
      <w:r>
        <w:t>V 28. bode návrhu rieši predkladateľ obmenu 1/3 členov predstavenstva formou „vystriedania novými členmi“. Tento pojem však nie je vysvetlený a bolo by   potrebné ho definovať, čím by dostal konkrétny obsah.</w:t>
      </w:r>
    </w:p>
    <w:p>
      <w:pPr>
        <w:pStyle w:val="BodyText"/>
        <w:ind w:firstLine="708"/>
        <w:jc w:val="both"/>
      </w:pPr>
    </w:p>
    <w:p>
      <w:pPr>
        <w:pStyle w:val="BodyText"/>
        <w:ind w:firstLine="708"/>
        <w:jc w:val="both"/>
      </w:pPr>
      <w:r>
        <w:t xml:space="preserve">Návrh na predĺženie prechodného obdobia, uplynutím ktorého stratia preukazy o odbornej spôsobilosti na projektovú činnosť platnosť (30. bod) by musel svojou účinnosťou predchádzať 31. december 2001, čo sa ale, vzhľadom na súčasný stav prerokúvania návrhov zákonov a nami navrhovaný najskorší možný termín účinnosti, nedá uskutočniť.  </w:t>
      </w:r>
    </w:p>
    <w:p>
      <w:pPr>
        <w:pStyle w:val="BodyText"/>
        <w:ind w:firstLine="708"/>
        <w:jc w:val="both"/>
      </w:pPr>
    </w:p>
    <w:p>
      <w:pPr>
        <w:pStyle w:val="BodyText"/>
        <w:ind w:firstLine="708"/>
        <w:jc w:val="both"/>
      </w:pPr>
      <w:r>
        <w:t xml:space="preserve">S týmto problémom súvisia aj  nadväzujúce body návrhu, ktorých obsah je retroaktívny. Predkladateľ chce, ako vyslovene uvádza v dôvodovej správe,  odvodzovať právo zápisu do zoznamu priamo z odbornej spôsobilosti získanej  podľa vyhlášky Štátnej komisie pre vedeckotechnický a investičný rozvoj č.186/1990 Zb. o oprávnení na projektovú činnosť a uplatňovať toto právo bez vykonania odbornej skúšky. Zákon č. 236/2000 Z.z. však podmienil zápis do zoznamu oprávnených osôb okrem splnenia iných podmienok aj skúškou.   </w:t>
      </w:r>
    </w:p>
    <w:p>
      <w:pPr>
        <w:pStyle w:val="BodyText"/>
        <w:ind w:firstLine="708"/>
        <w:jc w:val="both"/>
      </w:pPr>
    </w:p>
    <w:p>
      <w:pPr>
        <w:pStyle w:val="BodyText"/>
        <w:ind w:firstLine="708"/>
        <w:jc w:val="both"/>
      </w:pPr>
      <w:r>
        <w:t>Návrh na zrušenie povinného členstva odôvodňujú predkladatelia porušením čl. 35 ods. 1 a čl. 37 ods.1 Ústavy Slovenskej republiky. V tomto prípade  stanovená povinnosť byť členom komory nie je v rozpore s právami ako sú formulované v ustanoveniach ústavy, na ktoré sa predkladateľ odvoláva. Predmetné články  rozvíjajú čl.12, ktorý obsahuje ustanovenia   o základných právach a slobodách. Ak mal predkladateľ na mysli  právo občana na podnikanie (čl. 35 ods. 1), potom treba poukázať aj na odsek 2 toho istého článku, podľa ktorého “zákon môže ustanoviť podmienky a obmedzenia výkonu určitých povolaní alebo činností “ a pokiaľ ide o právo občana na združovanie, toto právo  nie je dotknuté stanovením povinnosti byť členom komory. Zároveň treba upozorniť, že  prijatie navrhovaného  ustanovenia by vytvorilo v rámci zákona neodôvodnene rozdielny režim pre Komoru architektov, kde členstvo zostane povinné a pre Komoru inžinierov, kde  by členstvo povinné nebolo.</w:t>
      </w:r>
    </w:p>
    <w:p>
      <w:pPr>
        <w:pStyle w:val="BodyText"/>
        <w:ind w:firstLine="708"/>
        <w:jc w:val="both"/>
      </w:pPr>
    </w:p>
    <w:p>
      <w:pPr>
        <w:pStyle w:val="BodyText"/>
        <w:ind w:firstLine="708"/>
        <w:jc w:val="center"/>
      </w:pPr>
      <w:r>
        <w:t>II.</w:t>
      </w:r>
    </w:p>
    <w:p>
      <w:pPr>
        <w:pStyle w:val="BodyText"/>
        <w:ind w:firstLine="708"/>
        <w:jc w:val="both"/>
      </w:pPr>
    </w:p>
    <w:p>
      <w:pPr>
        <w:pStyle w:val="BodyText"/>
        <w:ind w:firstLine="708"/>
        <w:jc w:val="both"/>
      </w:pPr>
      <w:r>
        <w:t>Okrem týchto všeobecných pripomienok a okrem opravy legislatívnych chýb a zjavných opisových a formulačných chýb  máme k predloženému návrhu zákona tieto pripomienky:</w:t>
      </w:r>
    </w:p>
    <w:p>
      <w:pPr>
        <w:pStyle w:val="BodyText"/>
        <w:ind w:firstLine="708"/>
        <w:jc w:val="both"/>
      </w:pPr>
    </w:p>
    <w:p>
      <w:pPr>
        <w:pStyle w:val="BodyText"/>
        <w:ind w:firstLine="708"/>
        <w:jc w:val="both"/>
      </w:pPr>
    </w:p>
    <w:p>
      <w:pPr>
        <w:pStyle w:val="BodyText"/>
        <w:ind w:firstLine="708"/>
        <w:jc w:val="both"/>
        <w:rPr>
          <w:u w:val="single"/>
        </w:rPr>
      </w:pPr>
    </w:p>
    <w:p>
      <w:pPr>
        <w:pStyle w:val="BodyText"/>
        <w:ind w:firstLine="708"/>
        <w:jc w:val="both"/>
        <w:rPr>
          <w:u w:val="single"/>
        </w:rPr>
      </w:pPr>
      <w:r>
        <w:rPr>
          <w:u w:val="single"/>
        </w:rPr>
        <w:t xml:space="preserve">1. K I. čl. 2. bodu. </w:t>
      </w:r>
    </w:p>
    <w:p>
      <w:pPr>
        <w:pStyle w:val="BodyText"/>
        <w:ind w:firstLine="708"/>
        <w:jc w:val="both"/>
      </w:pPr>
      <w:r>
        <w:t>V texte 2. bodu slová „ako zamestnanec“ sa nahrádzajú slovami „ako jej zamestnanec (ďalej len „zamestnanec“)“.</w:t>
      </w:r>
    </w:p>
    <w:p>
      <w:pPr>
        <w:pStyle w:val="BodyText"/>
        <w:ind w:left="4248"/>
        <w:jc w:val="both"/>
      </w:pPr>
    </w:p>
    <w:p>
      <w:pPr>
        <w:pStyle w:val="BodyText"/>
        <w:ind w:left="4248"/>
        <w:jc w:val="both"/>
      </w:pPr>
      <w:r>
        <w:t xml:space="preserve">Pripomienkou sa precizuje novelizačný   zámer predkladateľa.  </w:t>
      </w:r>
    </w:p>
    <w:p>
      <w:pPr>
        <w:pStyle w:val="BodyText"/>
        <w:ind w:firstLine="708"/>
        <w:jc w:val="both"/>
      </w:pPr>
    </w:p>
    <w:p>
      <w:pPr>
        <w:pStyle w:val="BodyText"/>
        <w:ind w:firstLine="708"/>
        <w:jc w:val="both"/>
      </w:pPr>
    </w:p>
    <w:p>
      <w:pPr>
        <w:pStyle w:val="BodyText"/>
        <w:ind w:firstLine="708"/>
        <w:jc w:val="both"/>
        <w:rPr>
          <w:u w:val="single"/>
        </w:rPr>
      </w:pPr>
      <w:r>
        <w:rPr>
          <w:u w:val="single"/>
        </w:rPr>
        <w:t xml:space="preserve">2. K I. čl. 5. bodu. </w:t>
      </w:r>
    </w:p>
    <w:p>
      <w:pPr>
        <w:pStyle w:val="BodyText"/>
        <w:ind w:firstLine="708"/>
        <w:jc w:val="both"/>
      </w:pPr>
      <w:r>
        <w:t>V texte 5. bodu slovo „preukazovania“ nahradiť slovom „preukázania“.</w:t>
      </w:r>
    </w:p>
    <w:p>
      <w:pPr>
        <w:pStyle w:val="BodyText"/>
        <w:jc w:val="both"/>
      </w:pPr>
      <w:r>
        <w:t>Rovnako aj v 10. bode.</w:t>
      </w:r>
    </w:p>
    <w:p>
      <w:pPr>
        <w:pStyle w:val="BodyText"/>
        <w:jc w:val="both"/>
      </w:pPr>
      <w:r>
        <w:tab/>
        <w:tab/>
        <w:tab/>
        <w:tab/>
        <w:tab/>
        <w:tab/>
      </w:r>
    </w:p>
    <w:p>
      <w:pPr>
        <w:pStyle w:val="BodyText"/>
        <w:ind w:left="3540" w:firstLine="708"/>
        <w:jc w:val="both"/>
      </w:pPr>
      <w:r>
        <w:t xml:space="preserve">Pripomienkou sa precizuje novelizačný    </w:t>
      </w:r>
    </w:p>
    <w:p>
      <w:pPr>
        <w:pStyle w:val="BodyText"/>
        <w:ind w:left="3540" w:firstLine="708"/>
        <w:jc w:val="both"/>
      </w:pPr>
      <w:r>
        <w:t>zámer predkladateľa.</w:t>
      </w:r>
    </w:p>
    <w:p>
      <w:pPr>
        <w:pStyle w:val="BodyText"/>
        <w:jc w:val="both"/>
      </w:pPr>
      <w:r>
        <w:tab/>
      </w:r>
    </w:p>
    <w:p>
      <w:pPr>
        <w:pStyle w:val="BodyText"/>
        <w:jc w:val="both"/>
      </w:pPr>
    </w:p>
    <w:p>
      <w:pPr>
        <w:pStyle w:val="BodyText"/>
        <w:ind w:firstLine="708"/>
        <w:jc w:val="both"/>
        <w:rPr>
          <w:u w:val="single"/>
        </w:rPr>
      </w:pPr>
      <w:r>
        <w:rPr>
          <w:u w:val="single"/>
        </w:rPr>
        <w:t xml:space="preserve">3. K I. čl. 19. bodu. </w:t>
      </w:r>
    </w:p>
    <w:p>
      <w:pPr>
        <w:pStyle w:val="BodyText"/>
        <w:ind w:firstLine="708"/>
        <w:jc w:val="both"/>
      </w:pPr>
      <w:r>
        <w:t>Z textu bodu sa vypúšťa slovo „zapísania“.</w:t>
      </w:r>
    </w:p>
    <w:p>
      <w:pPr>
        <w:pStyle w:val="BodyText"/>
        <w:ind w:firstLine="708"/>
        <w:jc w:val="both"/>
      </w:pPr>
      <w:r>
        <w:tab/>
        <w:tab/>
        <w:tab/>
        <w:tab/>
        <w:tab/>
        <w:t>Štylistická pripomienka.</w:t>
        <w:tab/>
        <w:tab/>
        <w:tab/>
      </w:r>
    </w:p>
    <w:p>
      <w:pPr>
        <w:pStyle w:val="BodyText"/>
        <w:ind w:firstLine="708"/>
        <w:jc w:val="both"/>
      </w:pPr>
    </w:p>
    <w:p>
      <w:pPr>
        <w:pStyle w:val="BodyText"/>
        <w:ind w:firstLine="708"/>
        <w:jc w:val="both"/>
      </w:pPr>
      <w:r>
        <w:tab/>
        <w:tab/>
      </w:r>
    </w:p>
    <w:p>
      <w:pPr>
        <w:pStyle w:val="BodyText"/>
        <w:ind w:firstLine="708"/>
        <w:jc w:val="both"/>
        <w:rPr>
          <w:u w:val="single"/>
        </w:rPr>
      </w:pPr>
      <w:r>
        <w:rPr>
          <w:u w:val="single"/>
        </w:rPr>
        <w:t>4. K IV.</w:t>
      </w:r>
    </w:p>
    <w:p>
      <w:pPr>
        <w:pStyle w:val="BodyText"/>
        <w:ind w:firstLine="708"/>
        <w:jc w:val="both"/>
      </w:pPr>
      <w:r>
        <w:t xml:space="preserve">Čl. IV. znie:  </w:t>
      </w:r>
    </w:p>
    <w:p>
      <w:pPr>
        <w:pStyle w:val="BodyText"/>
        <w:ind w:firstLine="708"/>
        <w:jc w:val="center"/>
      </w:pPr>
      <w:r>
        <w:t>„Čl. IV</w:t>
      </w:r>
    </w:p>
    <w:p>
      <w:pPr>
        <w:pStyle w:val="BodyText"/>
        <w:jc w:val="center"/>
      </w:pPr>
      <w:r>
        <w:t>Tento zákon nadobúda účinnosť 1. februára 2002.“.</w:t>
      </w:r>
    </w:p>
    <w:p>
      <w:pPr>
        <w:pStyle w:val="BodyText"/>
        <w:ind w:firstLine="708"/>
        <w:jc w:val="center"/>
        <w:rPr>
          <w:u w:val="single"/>
        </w:rPr>
      </w:pPr>
    </w:p>
    <w:p>
      <w:pPr>
        <w:pStyle w:val="BodyText"/>
        <w:jc w:val="both"/>
        <w:rPr>
          <w:u w:val="single"/>
        </w:rPr>
      </w:pPr>
    </w:p>
    <w:p>
      <w:pPr>
        <w:ind w:left="3540"/>
        <w:jc w:val="both"/>
        <w:rPr>
          <w:sz w:val="28"/>
        </w:rPr>
      </w:pPr>
      <w:r>
        <w:rPr>
          <w:sz w:val="28"/>
        </w:rPr>
        <w:t>Neskoršiu účinnosť zákona navrhujeme z toho dôvodu, že treba rátať s lehotou potrebnou na prerokovanie návrhu zákona, jeho podpísanie a pre jeho vyhlásenie pri zachovaní potrebnej legisvakančnej lehot</w:t>
      </w:r>
      <w:r>
        <w:rPr>
          <w:sz w:val="28"/>
        </w:rPr>
        <w:t>y.</w:t>
      </w:r>
    </w:p>
    <w:p/>
    <w:p>
      <w:pPr>
        <w:pStyle w:val="BodyText"/>
        <w:ind w:firstLine="708"/>
        <w:jc w:val="both"/>
      </w:pPr>
    </w:p>
    <w:p>
      <w:pPr>
        <w:pStyle w:val="BodyText"/>
        <w:ind w:firstLine="708"/>
        <w:jc w:val="center"/>
      </w:pPr>
      <w:r>
        <w:t>B.</w:t>
      </w:r>
    </w:p>
    <w:p>
      <w:pPr>
        <w:pStyle w:val="BodyText"/>
        <w:ind w:firstLine="708"/>
        <w:jc w:val="both"/>
        <w:rPr>
          <w:u w:val="single"/>
        </w:rPr>
      </w:pPr>
    </w:p>
    <w:p>
      <w:pPr>
        <w:pStyle w:val="BodyText"/>
        <w:ind w:firstLine="708"/>
        <w:jc w:val="both"/>
      </w:pPr>
      <w:r>
        <w:t xml:space="preserve">Predkladaný návrh novely zákona nepatrí medzi prioritné oblasti aproximácie právneho poriadku Slovenskej republiky s právom Európskej únie, ktoré sú uvedené v článku 70 Európskej dohody o pridružení. </w:t>
      </w:r>
    </w:p>
    <w:p>
      <w:pPr>
        <w:pStyle w:val="BodyText"/>
        <w:ind w:firstLine="708"/>
        <w:jc w:val="both"/>
      </w:pPr>
    </w:p>
    <w:p>
      <w:pPr>
        <w:pStyle w:val="BodyText"/>
        <w:ind w:firstLine="708"/>
        <w:jc w:val="both"/>
      </w:pPr>
      <w:r>
        <w:t xml:space="preserve">Pokiaľ ide o predmet úpravy, možno uviesť, že navrhovaná novela zákona patrí medzi priority odporúčané v Príprave asociovaných krajín strednej a východnej Európy na integráciu do vnútorného trhu Európskej únie (Biela kniha) v časti „Vzájomné uznávanie odbornej kvalifikácie“. Zosúlaďovanie právneho poriadku Slovenskej republiky so sekundárnym právom ES/EÚ si v uvedenej oblasti vyžaduje prevziať smernicu č. 85/384/EHS o vzájomnom uznávaní diplomov, vysvedčení a iných dokladov o formálnom vzdelaní v architektúre, vrátane opatrení na uľahčenie účinného uplatňovania práva na výkon činností a voľného poskytovania služieb. Uvedená smernica sa vzťahuje na odborné činnosti z oblasti architektúry, ktoré vykonávajú držitelia diplomu s titulom architekt  v slobodnom povolaní alebo ako fyzické osoby v pracovno-právnom vzťahu; ustanovuje požiadavky na vzdelanie, ako aj podmienky, za ktorých možno uznať  príslušné doklady o vzdelaní (diplomy, osvedčenia) ako relevantné. Okrem požiadaviek na vzdelanie pre výkon činnosti architekta smernica č. 85/384/EHS upravuje požiadavku bezúhonnosti (dobrej povesti), uzatvorenia poistnej zmluvy a požiadavku finančnej spoľahlivosti, ak to vyžaduje vnútroštátny právny poriadok členských štátov Európskej únie. Ďalej smernica upravuje povinnosť pre členské štáty informovať ostatné členské štáty a Komisiu o tom, ktoré orgány sú oprávnené vydávať na ich území diplomy a osvedčenia, vyhovujúce podmienkam uvedeným v príslušných článkoch smernice; v prípade pochybností, či diplom, osvedčenie, príp. iný doklad o nadobudnutom vzdelaní zodpovedá požiadavkám smernice, Európska komisia postúpi záležitosť na zaujatie stanoviska Poradnému výboru pre vzdelávanie a prax v oblasti architektúry . </w:t>
      </w:r>
    </w:p>
    <w:p>
      <w:pPr>
        <w:pStyle w:val="BodyText"/>
        <w:ind w:firstLine="708"/>
        <w:jc w:val="both"/>
      </w:pPr>
      <w:r>
        <w:t xml:space="preserve">Predložená novela zákona z hľadiska zosúlaďovania so smernicou č. 85/384/EHS znižuje stupeň kompatibility, keď  v navrhovanom § 16 zjednocuje odbornú prax pre architektov a inžinierov tým, že požiadavku odbornej praxe upravuje veľmi všeobecne, len ako „odbornú činnosť vo výstavbe pod dozorom architekta alebo inžiniera“. Navrhované znenie zneprehľadňuje a robí právne neistým postavenie architekta, a to pokiaľ ide o požiadavky na jeho dosiahnutú odbornú prax. Smernica č. 85/384/EHS v čl. 1 vyžaduje, aby išlo o činnosti z oblasti architektúry, ktoré sú vykonávané pracovníkmi so získaným architektonickým vzdelaním (titul architekt). Preto s ohľadom na znenie čl. 1 smernice č. 85/384/EHS sa domnievame, že § 16 ods. 2 a 3 nie je potrebné novelizovať, nakoľko zhoda s príslušným článkom tejto smernice sa dosiahla už v predchádzajúcom legislatívnom procese. </w:t>
      </w:r>
    </w:p>
    <w:p>
      <w:pPr>
        <w:pStyle w:val="BodyText"/>
        <w:ind w:firstLine="708"/>
        <w:jc w:val="both"/>
      </w:pPr>
    </w:p>
    <w:p>
      <w:pPr>
        <w:pStyle w:val="BodyText"/>
        <w:jc w:val="both"/>
      </w:pPr>
    </w:p>
    <w:p>
      <w:pPr>
        <w:pStyle w:val="BodyText"/>
        <w:jc w:val="both"/>
      </w:pPr>
      <w:r>
        <w:t>Bratislava 12.</w:t>
      </w:r>
      <w:r>
        <w:t xml:space="preserve"> novembra 2001</w:t>
      </w:r>
    </w:p>
    <w:p>
      <w:pPr>
        <w:pStyle w:val="BodyText"/>
        <w:jc w:val="both"/>
      </w:pPr>
      <w:r>
        <w:t>Vypracovala: A. JUDr. Eva Panenková</w:t>
      </w:r>
    </w:p>
    <w:p>
      <w:pPr>
        <w:pStyle w:val="BodyText"/>
        <w:numPr>
          <w:ilvl w:val="0"/>
          <w:numId w:val="1"/>
        </w:numPr>
        <w:jc w:val="both"/>
      </w:pPr>
      <w:r>
        <w:t>JUDr. Blažena Sedláková</w:t>
      </w:r>
    </w:p>
    <w:p>
      <w:pPr>
        <w:pStyle w:val="BodyText"/>
        <w:jc w:val="both"/>
      </w:pPr>
    </w:p>
    <w:p>
      <w:pPr>
        <w:pStyle w:val="BodyText"/>
        <w:jc w:val="both"/>
      </w:pPr>
    </w:p>
    <w:p>
      <w:pPr>
        <w:pStyle w:val="BodyText"/>
        <w:jc w:val="both"/>
      </w:pPr>
    </w:p>
    <w:p>
      <w:pPr>
        <w:pStyle w:val="BodyText"/>
        <w:ind w:left="4956" w:firstLine="708"/>
        <w:jc w:val="both"/>
      </w:pPr>
      <w:r>
        <w:t>JUDr. Peter Kukliš, CSc.</w:t>
      </w:r>
    </w:p>
    <w:p>
      <w:pPr>
        <w:pStyle w:val="BodyText"/>
        <w:ind w:left="4956" w:firstLine="708"/>
        <w:jc w:val="both"/>
      </w:pPr>
      <w:r>
        <w:t xml:space="preserve">              riaditeľ</w:t>
      </w:r>
    </w:p>
    <w:p>
      <w:pPr>
        <w:pStyle w:val="BodyText"/>
        <w:jc w:val="both"/>
      </w:pPr>
    </w:p>
    <w:p>
      <w:pPr>
        <w:pStyle w:val="BodyText"/>
        <w:ind w:firstLine="708"/>
        <w:jc w:val="both"/>
      </w:pPr>
    </w:p>
    <w:p>
      <w:pPr>
        <w:pStyle w:val="BodyText"/>
        <w:ind w:firstLine="708"/>
        <w:jc w:val="both"/>
        <w:rPr>
          <w:u w:val="single"/>
        </w:rPr>
      </w:pPr>
    </w:p>
    <w:p>
      <w:pPr>
        <w:pStyle w:val="BodyText"/>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rPr>
          <w:i/>
          <w:iCs/>
        </w:rPr>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ind w:firstLine="708"/>
        <w:jc w:val="both"/>
      </w:pPr>
    </w:p>
    <w:p>
      <w:pPr>
        <w:pStyle w:val="BodyText"/>
        <w:jc w:val="both"/>
      </w:pPr>
    </w:p>
    <w:p>
      <w:pPr>
        <w:pStyle w:val="BodyText"/>
        <w:ind w:firstLine="708"/>
        <w:jc w:val="both"/>
        <w:rPr>
          <w:b/>
          <w:bCs/>
        </w:rPr>
      </w:pPr>
    </w:p>
    <w:p>
      <w:pPr>
        <w:pStyle w:val="BodyText"/>
        <w:ind w:firstLine="708"/>
        <w:jc w:val="both"/>
        <w:rPr>
          <w:b/>
          <w:bCs/>
        </w:rPr>
      </w:pPr>
    </w:p>
    <w:p>
      <w:pPr>
        <w:pStyle w:val="BodyText"/>
      </w:pPr>
    </w:p>
    <w:p>
      <w:pPr>
        <w:pStyle w:val="BodyText"/>
      </w:pPr>
    </w:p>
    <w:sectPr>
      <w:footerReference w:type="even" r:id="rId4"/>
      <w:footerReference w:type="default" r:id="rI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3A87" w:usb1="00000000" w:usb2="00000000" w:usb3="00000000" w:csb0="000000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35D3"/>
    <w:multiLevelType w:val="hybridMultilevel"/>
    <w:tmpl w:val="276470B6"/>
    <w:lvl w:ilvl="0">
      <w:start w:val="2"/>
      <w:numFmt w:val="upperLetter"/>
      <w:lvlText w:val="%1."/>
      <w:lvlJc w:val="left"/>
      <w:pPr>
        <w:tabs>
          <w:tab w:val="num" w:pos="1950"/>
        </w:tabs>
        <w:ind w:left="1950" w:hanging="390"/>
      </w:pPr>
      <w:rPr>
        <w:rFonts w:hint="default"/>
      </w:rPr>
    </w:lvl>
    <w:lvl w:ilvl="1" w:tentative="1">
      <w:start w:val="1"/>
      <w:numFmt w:val="lowerLetter"/>
      <w:lvlText w:val="%2."/>
      <w:lvlJc w:val="left"/>
      <w:pPr>
        <w:tabs>
          <w:tab w:val="num" w:pos="2640"/>
        </w:tabs>
        <w:ind w:left="2640" w:hanging="360"/>
      </w:pPr>
    </w:lvl>
    <w:lvl w:ilvl="2" w:tentative="1">
      <w:start w:val="1"/>
      <w:numFmt w:val="lowerRoman"/>
      <w:lvlText w:val="%3."/>
      <w:lvlJc w:val="right"/>
      <w:pPr>
        <w:tabs>
          <w:tab w:val="num" w:pos="3360"/>
        </w:tabs>
        <w:ind w:left="3360" w:hanging="180"/>
      </w:pPr>
    </w:lvl>
    <w:lvl w:ilvl="3" w:tentative="1">
      <w:start w:val="1"/>
      <w:numFmt w:val="decimal"/>
      <w:lvlText w:val="%4."/>
      <w:lvlJc w:val="left"/>
      <w:pPr>
        <w:tabs>
          <w:tab w:val="num" w:pos="4080"/>
        </w:tabs>
        <w:ind w:left="4080" w:hanging="360"/>
      </w:pPr>
    </w:lvl>
    <w:lvl w:ilvl="4" w:tentative="1">
      <w:start w:val="1"/>
      <w:numFmt w:val="lowerLetter"/>
      <w:lvlText w:val="%5."/>
      <w:lvlJc w:val="left"/>
      <w:pPr>
        <w:tabs>
          <w:tab w:val="num" w:pos="4800"/>
        </w:tabs>
        <w:ind w:left="4800" w:hanging="360"/>
      </w:pPr>
    </w:lvl>
    <w:lvl w:ilvl="5" w:tentative="1">
      <w:start w:val="1"/>
      <w:numFmt w:val="lowerRoman"/>
      <w:lvlText w:val="%6."/>
      <w:lvlJc w:val="right"/>
      <w:pPr>
        <w:tabs>
          <w:tab w:val="num" w:pos="5520"/>
        </w:tabs>
        <w:ind w:left="5520" w:hanging="180"/>
      </w:pPr>
    </w:lvl>
    <w:lvl w:ilvl="6" w:tentative="1">
      <w:start w:val="1"/>
      <w:numFmt w:val="decimal"/>
      <w:lvlText w:val="%7."/>
      <w:lvlJc w:val="left"/>
      <w:pPr>
        <w:tabs>
          <w:tab w:val="num" w:pos="6240"/>
        </w:tabs>
        <w:ind w:left="6240" w:hanging="360"/>
      </w:pPr>
    </w:lvl>
    <w:lvl w:ilvl="7" w:tentative="1">
      <w:start w:val="1"/>
      <w:numFmt w:val="lowerLetter"/>
      <w:lvlText w:val="%8."/>
      <w:lvlJc w:val="left"/>
      <w:pPr>
        <w:tabs>
          <w:tab w:val="num" w:pos="6960"/>
        </w:tabs>
        <w:ind w:left="6960" w:hanging="360"/>
      </w:pPr>
    </w:lvl>
    <w:lvl w:ilvl="8" w:tentative="1">
      <w:start w:val="1"/>
      <w:numFmt w:val="lowerRoman"/>
      <w:lvlText w:val="%9."/>
      <w:lvlJc w:val="right"/>
      <w:pPr>
        <w:tabs>
          <w:tab w:val="num" w:pos="7680"/>
        </w:tabs>
        <w:ind w:left="76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sk-SK" w:eastAsia="sk-SK" w:bidi="ar-SA"/>
    </w:rPr>
  </w:style>
  <w:style w:type="character" w:default="1" w:styleId="DefaultParagraphFont">
    <w:name w:val="Default Paragraph Font"/>
  </w:style>
  <w:style w:type="paragraph" w:styleId="BodyText">
    <w:name w:val="Body Text"/>
    <w:basedOn w:val="Normal"/>
    <w:rPr>
      <w:sz w:val="28"/>
    </w:rPr>
  </w:style>
  <w:style w:type="paragraph" w:styleId="Title">
    <w:name w:val="Title"/>
    <w:basedOn w:val="Normal"/>
    <w:uiPriority w:val="10"/>
    <w:qFormat/>
    <w:pPr>
      <w:jc w:val="center"/>
    </w:pPr>
    <w:rPr>
      <w:b/>
      <w:szCs w:val="20"/>
    </w:rPr>
  </w:style>
  <w:style w:type="paragraph" w:styleId="Footer">
    <w:name w:val="footer"/>
    <w:basedOn w:val="Normal"/>
    <w:pPr>
      <w:tabs>
        <w:tab w:val="center" w:pos="4536"/>
        <w:tab w:val="right" w:pos="9072"/>
      </w:tabs>
    </w:pPr>
  </w:style>
  <w:style w:type="character" w:styleId="PageNumber">
    <w:name w:val="page number"/>
    <w:basedOn w:val="DefaultParagraphFont"/>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numbering" Target="numbering.xml" /><Relationship Id="rId7"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44</TotalTime>
  <Pages>1</Pages>
  <Words>1540</Words>
  <Characters>8779</Characters>
  <Application>Microsoft Office Word</Application>
  <DocSecurity>0</DocSecurity>
  <Lines>73</Lines>
  <Paragraphs>17</Paragraphs>
  <ScaleCrop>false</ScaleCrop>
  <HeadingPairs>
    <vt:vector size="2" baseType="variant">
      <vt:variant>
        <vt:lpstr>Názov</vt:lpstr>
      </vt:variant>
      <vt:variant>
        <vt:i4>1</vt:i4>
      </vt:variant>
    </vt:vector>
  </HeadingPairs>
  <TitlesOfParts>
    <vt:vector size="1" baseType="lpstr">
      <vt:lpstr>Stanovisko k poslaneckému návrhu zákona, ktorým sa mení a dopĺňa </vt:lpstr>
    </vt:vector>
  </TitlesOfParts>
  <Company>Kancelaria NR SR</Company>
  <LinksUpToDate>false</LinksUpToDate>
  <CharactersWithSpaces>10781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Stanovisko k poslaneckému návrhu zákona, ktorým sa mení a dopĺňa</dc:title>
  <dc:creator>paneneva</dc:creator>
  <cp:lastModifiedBy>IM 5403/6554</cp:lastModifiedBy>
  <cp:revision>8</cp:revision>
  <cp:lastPrinted>2001-11-16T08:10:00Z</cp:lastPrinted>
  <dcterms:created xsi:type="dcterms:W3CDTF">2001-11-12T15:04:00Z</dcterms:created>
  <dcterms:modified xsi:type="dcterms:W3CDTF">2001-11-16T08:17:00Z</dcterms:modified>
</cp:coreProperties>
</file>