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pPr>
        <w:rPr>
          <w:sz w:val="28"/>
        </w:rPr>
      </w:pPr>
      <w:r>
        <w:rPr>
          <w:sz w:val="28"/>
        </w:rPr>
        <w:t>Kancelária Národnej rady SR</w:t>
      </w:r>
    </w:p>
    <w:p>
      <w:pPr>
        <w:rPr>
          <w:sz w:val="28"/>
        </w:rPr>
      </w:pPr>
      <w:r>
        <w:rPr>
          <w:sz w:val="28"/>
        </w:rPr>
        <w:t>Odbor legislatívy a aproximácie práva</w:t>
      </w:r>
    </w:p>
    <w:p>
      <w:pPr>
        <w:rPr>
          <w:sz w:val="28"/>
        </w:rPr>
      </w:pPr>
    </w:p>
    <w:p>
      <w:pPr>
        <w:ind w:left="6372" w:firstLine="708"/>
        <w:rPr>
          <w:sz w:val="28"/>
        </w:rPr>
      </w:pPr>
    </w:p>
    <w:p>
      <w:pPr>
        <w:ind w:left="6372" w:firstLine="708"/>
        <w:rPr>
          <w:sz w:val="28"/>
        </w:rPr>
      </w:pPr>
      <w:r>
        <w:rPr>
          <w:sz w:val="28"/>
        </w:rPr>
        <w:t>Číslo: 1554/2001</w:t>
      </w:r>
    </w:p>
    <w:p>
      <w:pPr>
        <w:ind w:left="6372" w:firstLine="708"/>
        <w:rPr>
          <w:sz w:val="28"/>
        </w:rPr>
      </w:pPr>
    </w:p>
    <w:p>
      <w:pPr>
        <w:jc w:val="center"/>
        <w:rPr>
          <w:sz w:val="28"/>
        </w:rPr>
      </w:pPr>
      <w:r>
        <w:rPr>
          <w:sz w:val="28"/>
        </w:rPr>
        <w:t>S t a n o v i s k o</w:t>
      </w:r>
    </w:p>
    <w:p>
      <w:pPr>
        <w:jc w:val="center"/>
        <w:rPr>
          <w:sz w:val="28"/>
        </w:rPr>
      </w:pPr>
    </w:p>
    <w:p>
      <w:pPr>
        <w:jc w:val="center"/>
        <w:rPr>
          <w:sz w:val="28"/>
        </w:rPr>
      </w:pPr>
      <w:r>
        <w:rPr>
          <w:sz w:val="28"/>
        </w:rPr>
        <w:t>k vládnemu návrhu zákona, ktorým sa mení a dopĺňa zákon Národnej rady Slovenskej republiky č. 289/1995 Z.z. o dani z pridanej hodnoty v znení neskorších predpisov (tlač 1113)</w:t>
      </w:r>
    </w:p>
    <w:p>
      <w:pPr>
        <w:jc w:val="center"/>
        <w:rPr>
          <w:sz w:val="28"/>
        </w:rPr>
      </w:pPr>
      <w:r>
        <w:rPr>
          <w:sz w:val="28"/>
        </w:rPr>
        <w:t>________________________________________________________________</w:t>
      </w:r>
    </w:p>
    <w:p>
      <w:pPr>
        <w:jc w:val="center"/>
        <w:rPr>
          <w:sz w:val="28"/>
        </w:rPr>
      </w:pPr>
    </w:p>
    <w:p>
      <w:pPr>
        <w:jc w:val="center"/>
        <w:rPr>
          <w:sz w:val="28"/>
        </w:rPr>
      </w:pPr>
    </w:p>
    <w:p>
      <w:pPr>
        <w:jc w:val="center"/>
        <w:rPr>
          <w:sz w:val="28"/>
        </w:rPr>
      </w:pPr>
      <w:r>
        <w:rPr>
          <w:sz w:val="28"/>
        </w:rPr>
        <w:t>A.</w:t>
      </w:r>
    </w:p>
    <w:p>
      <w:pPr>
        <w:jc w:val="center"/>
        <w:rPr>
          <w:sz w:val="28"/>
        </w:rPr>
      </w:pPr>
    </w:p>
    <w:p>
      <w:pPr>
        <w:jc w:val="center"/>
        <w:rPr>
          <w:sz w:val="28"/>
        </w:rPr>
      </w:pPr>
      <w:r>
        <w:rPr>
          <w:sz w:val="28"/>
        </w:rPr>
        <w:t>I.</w:t>
      </w:r>
    </w:p>
    <w:p>
      <w:pPr>
        <w:jc w:val="center"/>
        <w:rPr>
          <w:sz w:val="28"/>
        </w:rPr>
      </w:pPr>
    </w:p>
    <w:p>
      <w:pPr>
        <w:ind w:firstLine="708"/>
        <w:jc w:val="both"/>
        <w:rPr>
          <w:sz w:val="28"/>
        </w:rPr>
      </w:pPr>
      <w:r>
        <w:rPr>
          <w:sz w:val="28"/>
        </w:rPr>
        <w:t>Predložený  vládny návrh zákona (tlač 1113) je ôsmou novelizáciou zákona NR SR č. 289/1995  Z.z. o dani z pridanej hodnoty.</w:t>
      </w:r>
    </w:p>
    <w:p>
      <w:pPr>
        <w:ind w:firstLine="708"/>
        <w:jc w:val="both"/>
        <w:rPr>
          <w:sz w:val="28"/>
        </w:rPr>
      </w:pPr>
    </w:p>
    <w:p>
      <w:pPr>
        <w:ind w:firstLine="708"/>
        <w:jc w:val="both"/>
        <w:rPr>
          <w:sz w:val="28"/>
        </w:rPr>
      </w:pPr>
      <w:r>
        <w:rPr>
          <w:sz w:val="28"/>
        </w:rPr>
        <w:t>Účelom predmetného návrhu záko</w:t>
      </w:r>
      <w:r>
        <w:rPr>
          <w:sz w:val="28"/>
        </w:rPr>
        <w:t>na je predovšetkým:</w:t>
      </w:r>
    </w:p>
    <w:p>
      <w:pPr>
        <w:ind w:firstLine="708"/>
        <w:jc w:val="both"/>
        <w:rPr>
          <w:sz w:val="28"/>
        </w:rPr>
      </w:pPr>
    </w:p>
    <w:p>
      <w:pPr>
        <w:numPr>
          <w:ilvl w:val="0"/>
          <w:numId w:val="2"/>
        </w:numPr>
        <w:jc w:val="both"/>
        <w:rPr>
          <w:sz w:val="28"/>
        </w:rPr>
      </w:pPr>
      <w:r>
        <w:rPr>
          <w:sz w:val="28"/>
        </w:rPr>
        <w:t>precizovanie pojmu zdaniteľného plnenia podľa sídla zákazníka, ktoré je poskytované zahraničným podnikateľom,</w:t>
      </w:r>
    </w:p>
    <w:p>
      <w:pPr>
        <w:numPr>
          <w:ilvl w:val="0"/>
          <w:numId w:val="2"/>
        </w:numPr>
        <w:jc w:val="both"/>
        <w:rPr>
          <w:sz w:val="28"/>
        </w:rPr>
      </w:pPr>
      <w:r>
        <w:rPr>
          <w:sz w:val="28"/>
        </w:rPr>
        <w:t>novodefinovanie inštitútu základu dane,</w:t>
      </w:r>
    </w:p>
    <w:p>
      <w:pPr>
        <w:numPr>
          <w:ilvl w:val="0"/>
          <w:numId w:val="2"/>
        </w:numPr>
        <w:jc w:val="both"/>
        <w:rPr>
          <w:sz w:val="28"/>
        </w:rPr>
      </w:pPr>
      <w:r>
        <w:rPr>
          <w:sz w:val="28"/>
        </w:rPr>
        <w:t>zavedenie tzv. vrátenia dane zahraničným fyzickým osobám pri vývoze tovaru neobchodného charakteru,</w:t>
      </w:r>
    </w:p>
    <w:p>
      <w:pPr>
        <w:numPr>
          <w:ilvl w:val="0"/>
          <w:numId w:val="2"/>
        </w:numPr>
        <w:jc w:val="both"/>
        <w:rPr>
          <w:sz w:val="28"/>
        </w:rPr>
      </w:pPr>
      <w:r>
        <w:rPr>
          <w:sz w:val="28"/>
        </w:rPr>
        <w:t>zavedenie inštitútu vrátenia dane zahraničným podnikateľom,</w:t>
      </w:r>
    </w:p>
    <w:p>
      <w:pPr>
        <w:numPr>
          <w:ilvl w:val="0"/>
          <w:numId w:val="2"/>
        </w:numPr>
        <w:jc w:val="both"/>
        <w:rPr>
          <w:sz w:val="28"/>
        </w:rPr>
      </w:pPr>
      <w:r>
        <w:rPr>
          <w:sz w:val="28"/>
        </w:rPr>
        <w:t>osobitná úprava dane pre cestovné kancelárie.</w:t>
      </w:r>
    </w:p>
    <w:p>
      <w:pPr>
        <w:jc w:val="both"/>
        <w:rPr>
          <w:sz w:val="28"/>
        </w:rPr>
      </w:pPr>
    </w:p>
    <w:p>
      <w:pPr>
        <w:jc w:val="center"/>
        <w:rPr>
          <w:sz w:val="28"/>
        </w:rPr>
      </w:pPr>
      <w:r>
        <w:rPr>
          <w:sz w:val="28"/>
        </w:rPr>
        <w:t>II.</w:t>
      </w:r>
    </w:p>
    <w:p>
      <w:pPr>
        <w:jc w:val="center"/>
        <w:rPr>
          <w:sz w:val="28"/>
        </w:rPr>
      </w:pPr>
    </w:p>
    <w:p>
      <w:pPr>
        <w:pStyle w:val="BodyText"/>
        <w:rPr>
          <w:sz w:val="28"/>
        </w:rPr>
      </w:pPr>
      <w:r>
        <w:rPr>
          <w:sz w:val="28"/>
        </w:rPr>
        <w:tab/>
        <w:t>V procese prerokúvania vládneho návrhu zákona, ktorým sa mení a dopĺňa zákon NR SR č. 283/1995 Z.z. o dani z pridanej hodnoty v znení neskorších predpisov odporúčame uplatniť tieto pozmeňujúce a doplňujúce pripomienky legislatívno-technického charakteru:</w:t>
      </w:r>
    </w:p>
    <w:p>
      <w:pPr>
        <w:ind w:firstLine="708"/>
        <w:jc w:val="both"/>
        <w:rPr>
          <w:sz w:val="28"/>
        </w:rPr>
      </w:pPr>
    </w:p>
    <w:p>
      <w:pPr>
        <w:numPr>
          <w:ilvl w:val="0"/>
          <w:numId w:val="3"/>
        </w:numPr>
        <w:jc w:val="both"/>
        <w:rPr>
          <w:sz w:val="28"/>
          <w:u w:val="single"/>
        </w:rPr>
      </w:pPr>
      <w:r>
        <w:rPr>
          <w:sz w:val="28"/>
          <w:u w:val="single"/>
        </w:rPr>
        <w:t>K Čl. I - 6. bodu</w:t>
      </w:r>
    </w:p>
    <w:p>
      <w:pPr>
        <w:ind w:left="1068"/>
        <w:jc w:val="both"/>
        <w:rPr>
          <w:sz w:val="28"/>
        </w:rPr>
      </w:pPr>
      <w:r>
        <w:rPr>
          <w:sz w:val="28"/>
        </w:rPr>
        <w:t>V Poznámke pod čiarou k odkazu 2a slová „v znení zákona č. 232/1995 Z.z.“ nahradiť slovami „v znení neskorších predpisov.“.</w:t>
      </w:r>
    </w:p>
    <w:p>
      <w:pPr>
        <w:ind w:left="2832" w:firstLine="6"/>
        <w:jc w:val="both"/>
        <w:rPr>
          <w:sz w:val="28"/>
        </w:rPr>
      </w:pPr>
      <w:r>
        <w:rPr>
          <w:sz w:val="28"/>
        </w:rPr>
        <w:t>Ide o legislatívno-technickú úpravu. Zákon SNR č. 323/1992 Zb. o notároch a notárskej činnosti (Notársky poriadok) bol novelizovaný aj zákonom č. 397/2000 Z.z. preto je potrebné použiť slovné spojenie v znení neskorších predpisov.</w:t>
      </w:r>
    </w:p>
    <w:p>
      <w:pPr>
        <w:ind w:left="2832" w:firstLine="6"/>
        <w:jc w:val="both"/>
        <w:rPr>
          <w:sz w:val="28"/>
        </w:rPr>
      </w:pPr>
    </w:p>
    <w:p>
      <w:pPr>
        <w:ind w:left="2832" w:firstLine="6"/>
        <w:jc w:val="both"/>
        <w:rPr>
          <w:sz w:val="28"/>
        </w:rPr>
      </w:pPr>
    </w:p>
    <w:p>
      <w:pPr>
        <w:numPr>
          <w:ilvl w:val="0"/>
          <w:numId w:val="3"/>
        </w:numPr>
        <w:jc w:val="both"/>
        <w:rPr>
          <w:sz w:val="28"/>
          <w:u w:val="single"/>
        </w:rPr>
      </w:pPr>
      <w:r>
        <w:rPr>
          <w:sz w:val="28"/>
          <w:u w:val="single"/>
        </w:rPr>
        <w:t>K Čl. I – 16. bodu</w:t>
      </w:r>
    </w:p>
    <w:p>
      <w:pPr>
        <w:ind w:left="1068"/>
        <w:jc w:val="both"/>
        <w:rPr>
          <w:sz w:val="28"/>
        </w:rPr>
      </w:pPr>
      <w:r>
        <w:rPr>
          <w:sz w:val="28"/>
        </w:rPr>
        <w:t>V Poznámke pod čiarou k odkazu 6 číslovku „376“ nahradiť číslovkou „377“.</w:t>
      </w:r>
    </w:p>
    <w:p>
      <w:pPr>
        <w:ind w:left="1068"/>
        <w:jc w:val="both"/>
        <w:rPr>
          <w:sz w:val="28"/>
        </w:rPr>
      </w:pPr>
    </w:p>
    <w:p>
      <w:pPr>
        <w:ind w:left="2832" w:firstLine="6"/>
        <w:jc w:val="both"/>
        <w:rPr>
          <w:sz w:val="28"/>
        </w:rPr>
      </w:pPr>
      <w:r>
        <w:rPr>
          <w:sz w:val="28"/>
        </w:rPr>
        <w:t>V poznámke pod čiarou k odkazu 6 odporúčame odkaz rozšíriť až na § 377 zákona č. 238/2001 Z.z. Colný zákon, ktorý upravuje colný režim vývozu.</w:t>
      </w:r>
    </w:p>
    <w:p>
      <w:pPr>
        <w:ind w:left="2832" w:firstLine="6"/>
        <w:jc w:val="both"/>
        <w:rPr>
          <w:sz w:val="28"/>
        </w:rPr>
      </w:pPr>
    </w:p>
    <w:p>
      <w:pPr>
        <w:ind w:left="2832" w:firstLine="6"/>
        <w:jc w:val="both"/>
        <w:rPr>
          <w:sz w:val="28"/>
        </w:rPr>
      </w:pPr>
    </w:p>
    <w:p>
      <w:pPr>
        <w:numPr>
          <w:ilvl w:val="0"/>
          <w:numId w:val="3"/>
        </w:numPr>
        <w:jc w:val="both"/>
        <w:rPr>
          <w:sz w:val="28"/>
          <w:u w:val="single"/>
        </w:rPr>
      </w:pPr>
      <w:r>
        <w:rPr>
          <w:sz w:val="28"/>
          <w:u w:val="single"/>
        </w:rPr>
        <w:t>K Čl. I - 24. bodu</w:t>
      </w:r>
    </w:p>
    <w:p>
      <w:pPr>
        <w:ind w:left="1068"/>
        <w:jc w:val="both"/>
        <w:rPr>
          <w:sz w:val="28"/>
        </w:rPr>
      </w:pPr>
      <w:r>
        <w:rPr>
          <w:sz w:val="28"/>
        </w:rPr>
        <w:t>V § 6 ods. 5 za slová „zdržania sa vykonávania služieb“ vložiť slová „alebo ich strpenia alebo ich stavu.“.</w:t>
      </w:r>
    </w:p>
    <w:p>
      <w:pPr>
        <w:ind w:left="1068"/>
        <w:jc w:val="both"/>
        <w:rPr>
          <w:sz w:val="28"/>
        </w:rPr>
      </w:pPr>
    </w:p>
    <w:p>
      <w:pPr>
        <w:ind w:left="2832" w:firstLine="6"/>
        <w:jc w:val="both"/>
        <w:rPr>
          <w:sz w:val="28"/>
        </w:rPr>
      </w:pPr>
      <w:r>
        <w:rPr>
          <w:sz w:val="28"/>
        </w:rPr>
        <w:t>Navrhovaná úprava vychádza z navrhovaného znenia § 2 ods. 5 písm. d) (bod 11) návrhu, ktorá ich dáva do terminologického súladu.</w:t>
      </w:r>
    </w:p>
    <w:p>
      <w:pPr>
        <w:ind w:left="2832" w:firstLine="6"/>
        <w:jc w:val="both"/>
        <w:rPr>
          <w:sz w:val="28"/>
        </w:rPr>
      </w:pPr>
    </w:p>
    <w:p>
      <w:pPr>
        <w:ind w:left="2832" w:firstLine="6"/>
        <w:jc w:val="both"/>
        <w:rPr>
          <w:sz w:val="28"/>
        </w:rPr>
      </w:pPr>
    </w:p>
    <w:p>
      <w:pPr>
        <w:numPr>
          <w:ilvl w:val="0"/>
          <w:numId w:val="3"/>
        </w:numPr>
        <w:jc w:val="both"/>
        <w:rPr>
          <w:sz w:val="28"/>
          <w:u w:val="single"/>
        </w:rPr>
      </w:pPr>
      <w:r>
        <w:rPr>
          <w:sz w:val="28"/>
          <w:u w:val="single"/>
        </w:rPr>
        <w:t>K Čl. I - 45. bodu</w:t>
      </w:r>
    </w:p>
    <w:p>
      <w:pPr>
        <w:ind w:left="1068"/>
        <w:jc w:val="both"/>
        <w:rPr>
          <w:sz w:val="28"/>
        </w:rPr>
      </w:pPr>
      <w:r>
        <w:rPr>
          <w:sz w:val="28"/>
        </w:rPr>
        <w:t>Za bod 44 vložiť nový bod 45, ktorý znie:</w:t>
      </w:r>
    </w:p>
    <w:p>
      <w:pPr>
        <w:ind w:left="1068"/>
        <w:jc w:val="both"/>
        <w:rPr>
          <w:sz w:val="28"/>
        </w:rPr>
      </w:pPr>
      <w:r>
        <w:rPr>
          <w:sz w:val="28"/>
        </w:rPr>
        <w:t>„45. V § 26 písm. c) znie:</w:t>
      </w:r>
    </w:p>
    <w:p>
      <w:pPr>
        <w:ind w:left="1068"/>
        <w:jc w:val="both"/>
        <w:rPr>
          <w:sz w:val="28"/>
        </w:rPr>
      </w:pPr>
      <w:r>
        <w:rPr>
          <w:sz w:val="28"/>
        </w:rPr>
        <w:t>„c) finančné služby,“.</w:t>
      </w:r>
    </w:p>
    <w:p>
      <w:pPr>
        <w:ind w:left="1068"/>
        <w:jc w:val="both"/>
        <w:rPr>
          <w:sz w:val="28"/>
        </w:rPr>
      </w:pPr>
    </w:p>
    <w:p>
      <w:pPr>
        <w:ind w:left="1068"/>
        <w:jc w:val="both"/>
        <w:rPr>
          <w:sz w:val="28"/>
        </w:rPr>
      </w:pPr>
      <w:r>
        <w:rPr>
          <w:sz w:val="28"/>
        </w:rPr>
        <w:t>Nasledujúce body prečíslovať.</w:t>
      </w:r>
    </w:p>
    <w:p>
      <w:pPr>
        <w:ind w:left="1068"/>
        <w:jc w:val="both"/>
        <w:rPr>
          <w:sz w:val="28"/>
        </w:rPr>
      </w:pPr>
    </w:p>
    <w:p>
      <w:pPr>
        <w:ind w:left="2832" w:firstLine="6"/>
        <w:jc w:val="both"/>
        <w:rPr>
          <w:sz w:val="28"/>
        </w:rPr>
      </w:pPr>
      <w:r>
        <w:rPr>
          <w:sz w:val="28"/>
        </w:rPr>
        <w:t>V ustanovení § 26 je taxatívny výpočet zdaniteľných plnení pod písmenom c) sú v platnom znení upravené „finančné činnosti (§ 29)“. Vzhľadom na navrhovanú úpravu § 29 (finančné služby) je potrebné normatívne upraviť aj § 26 písm. c).</w:t>
      </w:r>
    </w:p>
    <w:p>
      <w:pPr>
        <w:ind w:left="1068"/>
        <w:jc w:val="center"/>
        <w:rPr>
          <w:sz w:val="28"/>
        </w:rPr>
      </w:pPr>
    </w:p>
    <w:p>
      <w:pPr>
        <w:ind w:left="1068"/>
        <w:jc w:val="center"/>
        <w:rPr>
          <w:sz w:val="28"/>
        </w:rPr>
      </w:pPr>
    </w:p>
    <w:p>
      <w:pPr>
        <w:ind w:left="1068"/>
        <w:jc w:val="center"/>
        <w:rPr>
          <w:sz w:val="28"/>
        </w:rPr>
      </w:pPr>
      <w:r>
        <w:rPr>
          <w:sz w:val="28"/>
        </w:rPr>
        <w:t>B.</w:t>
      </w:r>
    </w:p>
    <w:p>
      <w:pPr>
        <w:ind w:left="1068"/>
        <w:jc w:val="center"/>
        <w:rPr>
          <w:sz w:val="28"/>
        </w:rPr>
      </w:pPr>
    </w:p>
    <w:p>
      <w:pPr>
        <w:pStyle w:val="BodyText"/>
        <w:rPr>
          <w:sz w:val="28"/>
        </w:rPr>
      </w:pPr>
      <w:r>
        <w:rPr>
          <w:sz w:val="28"/>
        </w:rPr>
        <w:tab/>
        <w:t xml:space="preserve">Problematika dane z pridanej hodnoty </w:t>
      </w:r>
      <w:r>
        <w:rPr>
          <w:i/>
          <w:iCs/>
          <w:sz w:val="28"/>
        </w:rPr>
        <w:t xml:space="preserve">je jednou z prioritných oblastí aproximácie práva podľa článku 70 Európskej dohody o pridružení </w:t>
      </w:r>
      <w:r>
        <w:rPr>
          <w:sz w:val="28"/>
        </w:rPr>
        <w:t xml:space="preserve">(nepriame zdaňovanie), </w:t>
      </w:r>
      <w:r>
        <w:rPr>
          <w:i/>
          <w:iCs/>
          <w:sz w:val="28"/>
        </w:rPr>
        <w:t>je prioritou odporúčanou v Príprave asociovaných krajín strednej a východnej Európy na integráciu do vnútorného trhu Európskej únie (Biela kniha)</w:t>
      </w:r>
      <w:r>
        <w:rPr>
          <w:sz w:val="28"/>
        </w:rPr>
        <w:t xml:space="preserve"> – sekcia 22:Nepriame zdaňovanie. Návrh zákona </w:t>
      </w:r>
      <w:r>
        <w:rPr>
          <w:i/>
          <w:iCs/>
          <w:sz w:val="28"/>
        </w:rPr>
        <w:t>je aj krátkodobou prioritou podľa Národného pre prijatie acquis communautaire 2001</w:t>
      </w:r>
      <w:r>
        <w:rPr>
          <w:sz w:val="28"/>
        </w:rPr>
        <w:t xml:space="preserve">. </w:t>
      </w:r>
    </w:p>
    <w:p>
      <w:pPr>
        <w:pStyle w:val="BodyText"/>
        <w:rPr>
          <w:sz w:val="28"/>
        </w:rPr>
      </w:pPr>
    </w:p>
    <w:p>
      <w:pPr>
        <w:pStyle w:val="BodyText"/>
        <w:ind w:firstLine="708"/>
        <w:rPr>
          <w:sz w:val="28"/>
        </w:rPr>
      </w:pPr>
      <w:r>
        <w:rPr>
          <w:sz w:val="28"/>
        </w:rPr>
        <w:t>Na navrhovanú problematiku p r i m á r n e j  právnej úprave ES/EÚ sa vzťahujú články 92 a 93 Zmluvy o založení Európskeho spoločenstva a v  s e k u n d á r n e j právnej úprave predovšetkým:</w:t>
      </w:r>
    </w:p>
    <w:p>
      <w:pPr>
        <w:pStyle w:val="BodyText"/>
        <w:numPr>
          <w:ilvl w:val="0"/>
          <w:numId w:val="4"/>
        </w:numPr>
        <w:rPr>
          <w:sz w:val="28"/>
        </w:rPr>
      </w:pPr>
      <w:r>
        <w:rPr>
          <w:i/>
          <w:iCs/>
          <w:sz w:val="28"/>
        </w:rPr>
        <w:t>Šiesta smernica Rady č.77/388/EHS</w:t>
      </w:r>
      <w:r>
        <w:rPr>
          <w:sz w:val="28"/>
        </w:rPr>
        <w:t xml:space="preserve"> o harmonizácii zákonov členských štátov o dani z obratu v znení zmien a doplnkov,</w:t>
      </w:r>
    </w:p>
    <w:p>
      <w:pPr>
        <w:pStyle w:val="BodyText"/>
        <w:numPr>
          <w:ilvl w:val="0"/>
          <w:numId w:val="4"/>
        </w:numPr>
        <w:rPr>
          <w:sz w:val="28"/>
        </w:rPr>
      </w:pPr>
      <w:r>
        <w:rPr>
          <w:i/>
          <w:iCs/>
          <w:sz w:val="28"/>
        </w:rPr>
        <w:t>Trinásta smernica Rady č.86/560/EHS</w:t>
      </w:r>
      <w:r>
        <w:rPr>
          <w:sz w:val="28"/>
        </w:rPr>
        <w:t xml:space="preserve">, ktorá upravuje mechanizmus refundácie DPH zdaniteľným osobám, ktoré na území Spoločenstva nemajú trvalé bydlisko alebo sídlo, </w:t>
      </w:r>
    </w:p>
    <w:p>
      <w:pPr>
        <w:pStyle w:val="BodyText"/>
        <w:numPr>
          <w:ilvl w:val="0"/>
          <w:numId w:val="4"/>
        </w:numPr>
        <w:rPr>
          <w:sz w:val="28"/>
        </w:rPr>
      </w:pPr>
      <w:r>
        <w:rPr>
          <w:i/>
          <w:iCs/>
          <w:sz w:val="28"/>
        </w:rPr>
        <w:t>Osma smernica Rady č.79/1072/EHS</w:t>
      </w:r>
      <w:r>
        <w:rPr>
          <w:sz w:val="28"/>
        </w:rPr>
        <w:t>, ktorá upravuje refundáciu dane z pridanej hodnoty zdaniteľným osobám neustanoveným na území EÚ.</w:t>
      </w:r>
    </w:p>
    <w:p>
      <w:pPr>
        <w:pStyle w:val="BodyText"/>
        <w:rPr>
          <w:sz w:val="28"/>
        </w:rPr>
      </w:pPr>
    </w:p>
    <w:p>
      <w:pPr>
        <w:pStyle w:val="BodyText"/>
        <w:ind w:firstLine="708"/>
        <w:rPr>
          <w:sz w:val="28"/>
        </w:rPr>
      </w:pPr>
      <w:r>
        <w:rPr>
          <w:sz w:val="28"/>
        </w:rPr>
        <w:t>Účelom prijatia šiestej smernice Rady bolo zjednotenie systému ukladania dane z pridanej hodnoty vo všetkých členských štátoch Spoločenstva. Zahŕňa definície všetkých základných pojmov a stanovuje zdaniteľné čiastky, ktoré musia byť a tie, ktoré nemôžu byť zahrnuté v základe dane. Súčasná stratégia Spoločenstva sa sústreďuje na zjednodušenie, modernizáciu a jednotnejšiu aplikáciu platných opatrení a rozvíjanie a prehlbovanie vzájomnej spolupráce kompetentných orgánov členských štátov. V roku 2000 a začiatkom roku 2001 Rada schválila dve posledné zmeny uvedenej základnej smernice – smernicu Rady č. 2000/65/ES zo 17.10.2000 týkajúcu sa určenia povinnej osoby na zaplatenie dane z pridanej hodnoty a smernice Rady č.2001/41/ES z 19.januára 2001 vzťahujúcu sa na lehotu, počas ktorej sa uplatní minimálna základná sadzba.</w:t>
      </w:r>
    </w:p>
    <w:p>
      <w:pPr>
        <w:pStyle w:val="BodyText"/>
        <w:rPr>
          <w:sz w:val="28"/>
        </w:rPr>
      </w:pPr>
    </w:p>
    <w:p>
      <w:pPr>
        <w:pStyle w:val="BodyText"/>
        <w:ind w:firstLine="708"/>
        <w:rPr>
          <w:sz w:val="28"/>
        </w:rPr>
      </w:pPr>
      <w:r>
        <w:rPr>
          <w:sz w:val="28"/>
        </w:rPr>
        <w:t>Predkladaným návrhom sa čiastočne riešia niektoré potrebné úpravy zákona o dani z pridanej hodnoty na dosiahnutie súladu s legislatívou EÚ. V poslednej Pravidelnej správe Európskej komisie (8.11.2000) sa poukazuje na potrebu harmonizácie pokiaľ ide o rozsah používania zníženej sadzby DPH, transakcie oslobodené od dane a ustanovenia pre právo odpočtu DPH na vstupe. Oslobodenie od dane podľa čl.13 ako aj článkov 15 a 16 (oslobodenie od dane s nárokom na odpočet dane) šiestej smernice Rady zostáva naďalej len čiastočne transponované, rovnako tak nárok na odpočet dane v zmysle čl.17 a ustanovenia čl.19.</w:t>
      </w:r>
    </w:p>
    <w:p>
      <w:pPr>
        <w:pStyle w:val="BodyText"/>
        <w:rPr>
          <w:sz w:val="28"/>
        </w:rPr>
      </w:pPr>
    </w:p>
    <w:p>
      <w:pPr>
        <w:pStyle w:val="BodyText"/>
        <w:ind w:firstLine="708"/>
        <w:rPr>
          <w:sz w:val="28"/>
        </w:rPr>
      </w:pPr>
      <w:r>
        <w:rPr>
          <w:sz w:val="28"/>
        </w:rPr>
        <w:t>Cieľom predkladaného návrhu zákona je priblíženie našej právnej úpravy dane z pridanej hodnoty ustanoveniam príslušných smerníc ES/EÚ, a to predovšetkým pokiaľ ide o zavedenie mechanizmu vrátenia dane zahraničným fyzickým osobám pri vývoze tovaru neobchodného charakteru, zavedenie mechanizmu vrátenia dane zahraničným podnikateľom a určiť miesta zdaniteľného plnenia podľa sídla zákazníka pri vybranom okruhu služieb, ktoré sú poskytované zahraničným podnikateľom.</w:t>
      </w:r>
    </w:p>
    <w:p>
      <w:pPr>
        <w:pStyle w:val="BodyText"/>
        <w:rPr>
          <w:sz w:val="28"/>
        </w:rPr>
      </w:pPr>
    </w:p>
    <w:p>
      <w:pPr>
        <w:pStyle w:val="BodyText"/>
        <w:numPr>
          <w:ilvl w:val="0"/>
          <w:numId w:val="5"/>
        </w:numPr>
        <w:rPr>
          <w:sz w:val="28"/>
        </w:rPr>
      </w:pPr>
      <w:r>
        <w:rPr>
          <w:sz w:val="28"/>
        </w:rPr>
        <w:t>Definícia služieb (§ 2 ods.5 písm.d) v predkladanom návrhu vychádza z čl. 6 šiestej smernice Rady, pričom tento článok sa pri definovaní „poskytovania služieb“ odvoláva na predchádzajúci článok 5 s tým, že službami sa rozumejú všetky plnenia, ktoré nie sú dodaním tovaru v zmysle článku 5. Odseky 4 a 6 tohto článku nie sú transponované aj napriek tomu, že sú uvedené ako povinné v priloženej tabuľke zhody. Vo vzťahu k definovaniu tohto pojmu ide aj o ustanovenie čl.6 ods.2.</w:t>
      </w:r>
    </w:p>
    <w:p>
      <w:pPr>
        <w:pStyle w:val="BodyText"/>
        <w:numPr>
          <w:ilvl w:val="0"/>
          <w:numId w:val="5"/>
        </w:numPr>
        <w:rPr>
          <w:sz w:val="28"/>
        </w:rPr>
      </w:pPr>
      <w:r>
        <w:rPr>
          <w:sz w:val="28"/>
        </w:rPr>
        <w:t>Pri transpozícii ustanovení čl.11 šiestej smernice Rady poukazujeme najmä na znenie ustanovenia odseku 2, ktoré upravuje, čo zahŕňa základ dane, pričom pod písmenom a) sa uvádzajú okrem príležitostných výdavkov aj „dane, clá, dávky a poplatky, bez samotnej dane z pridanej hodnoty“. V odseku 3 sa taxatívne vymedzujú položky, ktoré sa nezahŕňajú do základu dane.</w:t>
      </w:r>
    </w:p>
    <w:p>
      <w:pPr>
        <w:pStyle w:val="BodyText"/>
        <w:numPr>
          <w:ilvl w:val="0"/>
          <w:numId w:val="5"/>
        </w:numPr>
        <w:rPr>
          <w:sz w:val="28"/>
        </w:rPr>
      </w:pPr>
      <w:r>
        <w:rPr>
          <w:sz w:val="28"/>
        </w:rPr>
        <w:t>Predkladaný návrh rieši tzv. refundačný systém pre osoby, ktoré nemajú sídlo v Slovenskej republike a čiastočne transponuje relevantné ustanovenia príslušných smerníc Rady. V rámci novonavrhovaného systému DPH v rámci Spoločenstva sa navrhujú nové opatrenia, ktorými by sa nahradil súčasný postup pri refundáciách novým zjednodušeným mechanizmom, ktorým sa umožňuje v rámci Spoločenstva podnikateľským subjektom vrátenie dane v členskom štáte, kde nemajú sídlo.</w:t>
      </w:r>
    </w:p>
    <w:p>
      <w:pPr>
        <w:pStyle w:val="BodyText"/>
        <w:numPr>
          <w:ilvl w:val="0"/>
          <w:numId w:val="5"/>
        </w:numPr>
        <w:rPr>
          <w:sz w:val="28"/>
        </w:rPr>
      </w:pPr>
      <w:r>
        <w:rPr>
          <w:sz w:val="28"/>
        </w:rPr>
        <w:t>Niektoré ustanovenia, napr. ustanovenia vzťahujúce sa na územie, na ktorom sa má daň uplatniť, definovanie zdaniteľných osôb, miesto zdaniteľného plnenia zatiaľ nie sú upravené v súlade s príslušnými ustanoveniami smerníc.</w:t>
      </w:r>
    </w:p>
    <w:p>
      <w:pPr>
        <w:pStyle w:val="BodyText"/>
        <w:rPr>
          <w:sz w:val="28"/>
        </w:rPr>
      </w:pPr>
    </w:p>
    <w:p>
      <w:pPr>
        <w:pStyle w:val="BodyText"/>
        <w:ind w:firstLine="708"/>
        <w:rPr>
          <w:sz w:val="28"/>
        </w:rPr>
      </w:pPr>
      <w:r>
        <w:rPr>
          <w:sz w:val="28"/>
        </w:rPr>
        <w:t>Súhlasíme s konštatovaním uvedeným v doložke zlučiteľnosti predkladaného návrhu, kde sa uvádza čiastočný stupeň zlučiteľnosti. Dosiahnutie úplnej zlučiteľnosti našej právnej úpravy s príslušnými smernicami je potrebné zabezpečiť ku dňu vstupu Slovenskej republiky do EÚ.</w:t>
      </w:r>
    </w:p>
    <w:p>
      <w:pPr>
        <w:ind w:left="1068"/>
        <w:jc w:val="both"/>
        <w:rPr>
          <w:sz w:val="28"/>
        </w:rPr>
      </w:pPr>
    </w:p>
    <w:p>
      <w:pPr>
        <w:ind w:left="1068"/>
        <w:jc w:val="both"/>
        <w:rPr>
          <w:sz w:val="28"/>
        </w:rPr>
      </w:pPr>
    </w:p>
    <w:p>
      <w:pPr>
        <w:ind w:left="1068"/>
        <w:jc w:val="both"/>
        <w:rPr>
          <w:sz w:val="28"/>
        </w:rPr>
      </w:pPr>
    </w:p>
    <w:p>
      <w:pPr>
        <w:jc w:val="both"/>
        <w:rPr>
          <w:sz w:val="28"/>
        </w:rPr>
      </w:pPr>
      <w:r>
        <w:rPr>
          <w:sz w:val="28"/>
        </w:rPr>
        <w:t>Bratislava 4. októbra</w:t>
      </w:r>
      <w:r>
        <w:rPr>
          <w:sz w:val="28"/>
        </w:rPr>
        <w:t xml:space="preserve"> 2001</w:t>
      </w:r>
    </w:p>
    <w:p>
      <w:pPr>
        <w:jc w:val="both"/>
        <w:rPr>
          <w:sz w:val="28"/>
        </w:rPr>
      </w:pPr>
      <w:r>
        <w:rPr>
          <w:sz w:val="28"/>
        </w:rPr>
        <w:t>Vypracovali:  A. JUDr. Katarína Bučinová</w:t>
      </w:r>
    </w:p>
    <w:p>
      <w:pPr>
        <w:numPr>
          <w:ilvl w:val="0"/>
          <w:numId w:val="6"/>
        </w:numPr>
        <w:jc w:val="both"/>
        <w:rPr>
          <w:sz w:val="28"/>
        </w:rPr>
      </w:pPr>
      <w:r>
        <w:rPr>
          <w:sz w:val="28"/>
        </w:rPr>
        <w:t>JUDr. Beáta Brádňanská</w:t>
      </w:r>
    </w:p>
    <w:p>
      <w:pPr>
        <w:jc w:val="both"/>
        <w:rPr>
          <w:sz w:val="28"/>
        </w:rPr>
      </w:pPr>
    </w:p>
    <w:p>
      <w:pPr>
        <w:jc w:val="both"/>
        <w:rPr>
          <w:sz w:val="28"/>
        </w:rPr>
      </w:pPr>
    </w:p>
    <w:p>
      <w:pPr>
        <w:jc w:val="both"/>
        <w:rPr>
          <w:sz w:val="28"/>
        </w:rPr>
      </w:pPr>
    </w:p>
    <w:p>
      <w:pPr>
        <w:jc w:val="both"/>
        <w:rPr>
          <w:sz w:val="28"/>
        </w:rPr>
      </w:pPr>
    </w:p>
    <w:p>
      <w:pPr>
        <w:ind w:left="6024"/>
        <w:jc w:val="both"/>
        <w:rPr>
          <w:sz w:val="28"/>
        </w:rPr>
      </w:pPr>
      <w:r>
        <w:rPr>
          <w:sz w:val="28"/>
        </w:rPr>
        <w:t>JUDr. Peter Kukliš, CSc.</w:t>
      </w:r>
    </w:p>
    <w:p>
      <w:pPr>
        <w:ind w:left="6024" w:firstLine="348"/>
        <w:jc w:val="both"/>
        <w:rPr>
          <w:sz w:val="28"/>
        </w:rPr>
      </w:pPr>
      <w:r>
        <w:rPr>
          <w:sz w:val="28"/>
        </w:rPr>
        <w:t xml:space="preserve">          riaditeľ</w:t>
      </w:r>
    </w:p>
    <w:p>
      <w:pPr>
        <w:ind w:left="1068"/>
        <w:jc w:val="both"/>
        <w:rPr>
          <w:sz w:val="28"/>
        </w:rPr>
      </w:pPr>
    </w:p>
    <w:p>
      <w:pPr>
        <w:ind w:left="1068"/>
        <w:jc w:val="both"/>
        <w:rPr>
          <w:sz w:val="28"/>
        </w:rPr>
      </w:pPr>
    </w:p>
    <w:sectPr>
      <w:footerReference w:type="even" r:id="rId4"/>
      <w:footerReference w:type="default" r:id="rI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3A87" w:usb1="00000000" w:usb2="00000000" w:usb3="00000000" w:csb0="000000FF" w:csb1="00000000"/>
  </w:font>
  <w:font w:name="Courier New">
    <w:panose1 w:val="02070309020205020404"/>
    <w:charset w:val="00"/>
    <w:family w:val="modern"/>
    <w:pitch w:val="fixed"/>
    <w:sig w:usb0="00003A87" w:usb1="00000000" w:usb2="00000000" w:usb3="00000000" w:csb0="000000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B22C0"/>
    <w:multiLevelType w:val="hybridMultilevel"/>
    <w:tmpl w:val="F33E4084"/>
    <w:lvl w:ilvl="0">
      <w:start w:va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0669135D"/>
    <w:multiLevelType w:val="hybridMultilevel"/>
    <w:tmpl w:val="3AE49E2C"/>
    <w:lvl w:ilvl="0">
      <w:start w:val="1"/>
      <w:numFmt w:val="bullet"/>
      <w:lvlText w:val="-"/>
      <w:lvlJc w:val="left"/>
      <w:pPr>
        <w:tabs>
          <w:tab w:val="num" w:pos="1623"/>
        </w:tabs>
        <w:ind w:left="1623" w:hanging="915"/>
      </w:pPr>
      <w:rPr>
        <w:rFonts w:ascii="Times New Roman" w:eastAsia="Times New Roman" w:hAnsi="Times New Roman" w:cs="Times New Roman" w:hint="default"/>
      </w:rPr>
    </w:lvl>
    <w:lvl w:ilvl="1" w:tentative="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2">
    <w:nsid w:val="57CE3488"/>
    <w:multiLevelType w:val="hybridMultilevel"/>
    <w:tmpl w:val="9A564AB8"/>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720A498D"/>
    <w:multiLevelType w:val="hybridMultilevel"/>
    <w:tmpl w:val="F9003C56"/>
    <w:lvl w:ilvl="0">
      <w:start w:val="2"/>
      <w:numFmt w:val="upperLetter"/>
      <w:lvlText w:val="%1."/>
      <w:lvlJc w:val="left"/>
      <w:pPr>
        <w:tabs>
          <w:tab w:val="num" w:pos="1968"/>
        </w:tabs>
        <w:ind w:left="1968" w:hanging="390"/>
      </w:pPr>
      <w:rPr>
        <w:rFonts w:hint="default"/>
      </w:rPr>
    </w:lvl>
    <w:lvl w:ilvl="1" w:tentative="1">
      <w:start w:val="1"/>
      <w:numFmt w:val="lowerLetter"/>
      <w:lvlText w:val="%2."/>
      <w:lvlJc w:val="left"/>
      <w:pPr>
        <w:tabs>
          <w:tab w:val="num" w:pos="2658"/>
        </w:tabs>
        <w:ind w:left="2658" w:hanging="360"/>
      </w:pPr>
    </w:lvl>
    <w:lvl w:ilvl="2" w:tentative="1">
      <w:start w:val="1"/>
      <w:numFmt w:val="lowerRoman"/>
      <w:lvlText w:val="%3."/>
      <w:lvlJc w:val="right"/>
      <w:pPr>
        <w:tabs>
          <w:tab w:val="num" w:pos="3378"/>
        </w:tabs>
        <w:ind w:left="3378" w:hanging="180"/>
      </w:pPr>
    </w:lvl>
    <w:lvl w:ilvl="3" w:tentative="1">
      <w:start w:val="1"/>
      <w:numFmt w:val="decimal"/>
      <w:lvlText w:val="%4."/>
      <w:lvlJc w:val="left"/>
      <w:pPr>
        <w:tabs>
          <w:tab w:val="num" w:pos="4098"/>
        </w:tabs>
        <w:ind w:left="4098" w:hanging="360"/>
      </w:pPr>
    </w:lvl>
    <w:lvl w:ilvl="4" w:tentative="1">
      <w:start w:val="1"/>
      <w:numFmt w:val="lowerLetter"/>
      <w:lvlText w:val="%5."/>
      <w:lvlJc w:val="left"/>
      <w:pPr>
        <w:tabs>
          <w:tab w:val="num" w:pos="4818"/>
        </w:tabs>
        <w:ind w:left="4818" w:hanging="360"/>
      </w:pPr>
    </w:lvl>
    <w:lvl w:ilvl="5" w:tentative="1">
      <w:start w:val="1"/>
      <w:numFmt w:val="lowerRoman"/>
      <w:lvlText w:val="%6."/>
      <w:lvlJc w:val="right"/>
      <w:pPr>
        <w:tabs>
          <w:tab w:val="num" w:pos="5538"/>
        </w:tabs>
        <w:ind w:left="5538" w:hanging="180"/>
      </w:pPr>
    </w:lvl>
    <w:lvl w:ilvl="6" w:tentative="1">
      <w:start w:val="1"/>
      <w:numFmt w:val="decimal"/>
      <w:lvlText w:val="%7."/>
      <w:lvlJc w:val="left"/>
      <w:pPr>
        <w:tabs>
          <w:tab w:val="num" w:pos="6258"/>
        </w:tabs>
        <w:ind w:left="6258" w:hanging="360"/>
      </w:pPr>
    </w:lvl>
    <w:lvl w:ilvl="7" w:tentative="1">
      <w:start w:val="1"/>
      <w:numFmt w:val="lowerLetter"/>
      <w:lvlText w:val="%8."/>
      <w:lvlJc w:val="left"/>
      <w:pPr>
        <w:tabs>
          <w:tab w:val="num" w:pos="6978"/>
        </w:tabs>
        <w:ind w:left="6978" w:hanging="360"/>
      </w:pPr>
    </w:lvl>
    <w:lvl w:ilvl="8" w:tentative="1">
      <w:start w:val="1"/>
      <w:numFmt w:val="lowerRoman"/>
      <w:lvlText w:val="%9."/>
      <w:lvlJc w:val="right"/>
      <w:pPr>
        <w:tabs>
          <w:tab w:val="num" w:pos="7698"/>
        </w:tabs>
        <w:ind w:left="7698" w:hanging="180"/>
      </w:pPr>
    </w:lvl>
  </w:abstractNum>
  <w:abstractNum w:abstractNumId="4">
    <w:nsid w:val="727D7B46"/>
    <w:multiLevelType w:val="hybridMultilevel"/>
    <w:tmpl w:val="B06CB360"/>
    <w:lvl w:ilvl="0">
      <w:start w:val="1"/>
      <w:numFmt w:val="decimal"/>
      <w:lvlText w:val="%1."/>
      <w:lvlJc w:val="left"/>
      <w:pPr>
        <w:tabs>
          <w:tab w:val="num" w:pos="1068"/>
        </w:tabs>
        <w:ind w:left="1068" w:hanging="360"/>
      </w:pPr>
      <w:rPr>
        <w:rFonts w:hint="default"/>
      </w:rPr>
    </w:lvl>
    <w:lvl w:ilvl="1" w:tentative="1">
      <w:start w:val="1"/>
      <w:numFmt w:val="lowerLetter"/>
      <w:lvlText w:val="%2."/>
      <w:lvlJc w:val="left"/>
      <w:pPr>
        <w:tabs>
          <w:tab w:val="num" w:pos="1788"/>
        </w:tabs>
        <w:ind w:left="1788" w:hanging="360"/>
      </w:p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5">
    <w:nsid w:val="78EB14FD"/>
    <w:multiLevelType w:val="hybridMultilevel"/>
    <w:tmpl w:val="A57C38FE"/>
    <w:lvl w:ilvl="0">
      <w:start w:val="0"/>
      <w:numFmt w:val="bullet"/>
      <w:lvlText w:val=""/>
      <w:lvlJc w:val="left"/>
      <w:pPr>
        <w:tabs>
          <w:tab w:val="num" w:pos="360"/>
        </w:tabs>
        <w:ind w:left="0" w:firstLine="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sk-SK" w:eastAsia="sk-SK" w:bidi="ar-SA"/>
    </w:rPr>
  </w:style>
  <w:style w:type="paragraph" w:styleId="Heading1">
    <w:name w:val="heading 1"/>
    <w:basedOn w:val="Normal"/>
    <w:next w:val="Normal"/>
    <w:uiPriority w:val="9"/>
    <w:qFormat/>
    <w:pPr>
      <w:keepNext/>
      <w:outlineLvl w:val="0"/>
    </w:pPr>
    <w:rPr>
      <w:b/>
      <w:bCs/>
      <w:szCs w:val="20"/>
    </w:rPr>
  </w:style>
  <w:style w:type="character" w:default="1" w:styleId="DefaultParagraphFont">
    <w:name w:val="Default Paragraph Font"/>
  </w:style>
  <w:style w:type="paragraph" w:styleId="BodyText">
    <w:name w:val="Body Text"/>
    <w:basedOn w:val="Normal"/>
    <w:pPr>
      <w:jc w:val="both"/>
    </w:pPr>
  </w:style>
  <w:style w:type="paragraph" w:styleId="Footer">
    <w:name w:val="footer"/>
    <w:basedOn w:val="Normal"/>
    <w:pPr>
      <w:tabs>
        <w:tab w:val="center" w:pos="4536"/>
        <w:tab w:val="right" w:pos="9072"/>
      </w:tabs>
    </w:pPr>
  </w:style>
  <w:style w:type="character" w:styleId="PageNumber">
    <w:name w:val="page number"/>
    <w:basedOn w:val="DefaultParagraphFont"/>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numbering" Target="numbering.xml" /><Relationship Id="rId7"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106</TotalTime>
  <Pages>1</Pages>
  <Words>1054</Words>
  <Characters>6009</Characters>
  <Application>Microsoft Office Word</Application>
  <DocSecurity>0</DocSecurity>
  <Lines>50</Lines>
  <Paragraphs>12</Paragraphs>
  <ScaleCrop>false</ScaleCrop>
  <HeadingPairs>
    <vt:vector size="2" baseType="variant">
      <vt:variant>
        <vt:lpstr>Názov</vt:lpstr>
      </vt:variant>
      <vt:variant>
        <vt:i4>1</vt:i4>
      </vt:variant>
    </vt:vector>
  </HeadingPairs>
  <TitlesOfParts>
    <vt:vector size="1" baseType="lpstr">
      <vt:lpstr>xxxxxxxxxxxxxx</vt:lpstr>
    </vt:vector>
  </TitlesOfParts>
  <Company>K-NR SR</Company>
  <LinksUpToDate>false</LinksUpToDate>
  <CharactersWithSpaces>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xxxxxxxxxxxxxx</dc:title>
  <dc:creator>IM 5403/6554</dc:creator>
  <cp:lastModifiedBy>IM 5403/6554</cp:lastModifiedBy>
  <cp:revision>7</cp:revision>
  <dcterms:created xsi:type="dcterms:W3CDTF">2001-10-01T13:09:00Z</dcterms:created>
  <dcterms:modified xsi:type="dcterms:W3CDTF">2001-10-08T06:19:00Z</dcterms:modified>
</cp:coreProperties>
</file>