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5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B42C9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>
              <w:rPr>
                <w:rFonts w:ascii="Times New Roman" w:hAnsi="Times New Roman"/>
              </w:rPr>
              <w:t xml:space="preserve">RADA </w:t>
            </w:r>
          </w:p>
          <w:p w:rsidR="0007104E" w:rsidRPr="003A4C0D">
            <w:pPr>
              <w:pStyle w:val="EntInstit"/>
              <w:bidi w:val="0"/>
              <w:rPr>
                <w:rFonts w:ascii="Times New Roman" w:hAnsi="Times New Roman"/>
              </w:rPr>
            </w:pPr>
            <w:r w:rsidR="003B42C9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="003B42C9">
              <w:rPr>
                <w:rFonts w:ascii="Times New Roman" w:hAnsi="Times New Roman"/>
              </w:rPr>
              <w:t>V Bruseli</w:t>
            </w:r>
            <w:r w:rsidRPr="003A4C0D">
              <w:rPr>
                <w:rFonts w:ascii="Times New Roman" w:hAnsi="Times New Roman"/>
              </w:rPr>
              <w:t xml:space="preserve"> </w:t>
            </w:r>
            <w:bookmarkStart w:id="2" w:name="Date"/>
            <w:bookmarkStart w:id="3" w:name="DateEntree"/>
            <w:bookmarkEnd w:id="2"/>
            <w:bookmarkEnd w:id="3"/>
            <w:r w:rsidR="003C6393">
              <w:rPr>
                <w:rFonts w:ascii="Times New Roman" w:hAnsi="Times New Roman"/>
              </w:rPr>
              <w:t>1</w:t>
            </w:r>
            <w:r w:rsidR="00477812">
              <w:rPr>
                <w:rFonts w:ascii="Times New Roman" w:hAnsi="Times New Roman"/>
              </w:rPr>
              <w:t>6</w:t>
            </w:r>
            <w:r w:rsidR="003C6393">
              <w:rPr>
                <w:rFonts w:ascii="Times New Roman" w:hAnsi="Times New Roman"/>
              </w:rPr>
              <w:t>. mája 2012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4" w:name="LangueOrig"/>
            <w:bookmarkEnd w:id="4"/>
            <w:r w:rsidR="003B42C9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B42C9" w:rsidP="003B42C9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5" w:name="DossierInterInst"/>
            <w:bookmarkEnd w:id="5"/>
            <w:r>
              <w:rPr>
                <w:rFonts w:ascii="Times New Roman" w:hAnsi="Times New Roman"/>
              </w:rPr>
              <w:t>Medziinštitucionálny spis:</w:t>
            </w:r>
          </w:p>
          <w:p w:rsidR="0007104E" w:rsidRPr="003A4C0D" w:rsidP="003B42C9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="003B42C9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"/>
            <w:bookmarkEnd w:id="6"/>
            <w:r w:rsidR="003B42C9">
              <w:rPr>
                <w:rFonts w:ascii="Times New Roman" w:hAnsi="Times New Roman"/>
              </w:rPr>
              <w:t>14764/11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Rev"/>
            <w:bookmarkEnd w:id="7"/>
            <w:r w:rsidR="003B42C9">
              <w:rPr>
                <w:rFonts w:ascii="Times New Roman" w:hAnsi="Times New Roman"/>
              </w:rPr>
              <w:t>ADD 1 REV 1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8" w:name="CoteSec"/>
            <w:bookmarkEnd w:id="8"/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9" w:name="SousEmbargo"/>
            <w:bookmarkEnd w:id="9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8302FB" w:rsidRPr="00293520" w:rsidP="008302FB">
            <w:pPr>
              <w:pStyle w:val="EntRefer"/>
              <w:bidi w:val="0"/>
              <w:rPr>
                <w:rFonts w:ascii="Times New Roman" w:hAnsi="Times New Roman"/>
              </w:rPr>
            </w:pPr>
            <w:r w:rsidRPr="00293520">
              <w:rPr>
                <w:rFonts w:ascii="Times New Roman" w:hAnsi="Times New Roman"/>
                <w:noProof/>
              </w:rPr>
              <w:t>WTO 329</w:t>
            </w:r>
          </w:p>
          <w:p w:rsidR="008302FB" w:rsidRPr="00293520" w:rsidP="008302FB">
            <w:pPr>
              <w:pStyle w:val="EntRefer"/>
              <w:bidi w:val="0"/>
              <w:rPr>
                <w:rFonts w:ascii="Times New Roman" w:hAnsi="Times New Roman"/>
              </w:rPr>
            </w:pPr>
            <w:r w:rsidRPr="00293520">
              <w:rPr>
                <w:rFonts w:ascii="Times New Roman" w:hAnsi="Times New Roman"/>
                <w:noProof/>
              </w:rPr>
              <w:t>AMLAT 84</w:t>
            </w:r>
          </w:p>
          <w:p w:rsidR="008302FB" w:rsidRPr="00293520" w:rsidP="008302FB">
            <w:pPr>
              <w:pStyle w:val="EntRefer"/>
              <w:bidi w:val="0"/>
              <w:rPr>
                <w:rFonts w:ascii="Times New Roman" w:hAnsi="Times New Roman"/>
              </w:rPr>
            </w:pPr>
            <w:r w:rsidRPr="00293520">
              <w:rPr>
                <w:rFonts w:ascii="Times New Roman" w:hAnsi="Times New Roman"/>
                <w:noProof/>
              </w:rPr>
              <w:t>SERVICES 96</w:t>
            </w:r>
          </w:p>
          <w:p w:rsidR="0007104E" w:rsidRPr="003A4C0D" w:rsidP="008302FB">
            <w:pPr>
              <w:pStyle w:val="EntRefer"/>
              <w:bidi w:val="0"/>
              <w:rPr>
                <w:rFonts w:ascii="Times New Roman" w:hAnsi="Times New Roman"/>
              </w:rPr>
            </w:pPr>
            <w:r w:rsidRPr="00293520" w:rsidR="008302FB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B42C9">
      <w:pPr>
        <w:pStyle w:val="EntRefer"/>
        <w:bidi w:val="0"/>
        <w:rPr>
          <w:rFonts w:ascii="Times New Roman" w:hAnsi="Times New Roman"/>
        </w:rPr>
      </w:pPr>
      <w:bookmarkStart w:id="10" w:name="AC"/>
    </w:p>
    <w:p w:rsidR="003B42C9">
      <w:pPr>
        <w:pStyle w:val="EntRefer"/>
        <w:bidi w:val="0"/>
        <w:rPr>
          <w:rFonts w:ascii="Times New Roman" w:hAnsi="Times New Roman"/>
        </w:rPr>
      </w:pPr>
    </w:p>
    <w:p w:rsidR="003B42C9">
      <w:pPr>
        <w:pStyle w:val="EntRefer"/>
        <w:bidi w:val="0"/>
        <w:rPr>
          <w:rFonts w:ascii="Times New Roman" w:hAnsi="Times New Roman"/>
        </w:rPr>
      </w:pPr>
    </w:p>
    <w:p w:rsidR="003B42C9">
      <w:pPr>
        <w:pStyle w:val="EntRefer"/>
        <w:bidi w:val="0"/>
        <w:rPr>
          <w:rFonts w:ascii="Times New Roman" w:hAnsi="Times New Roman"/>
        </w:rPr>
      </w:pPr>
    </w:p>
    <w:p w:rsidR="003B42C9">
      <w:pPr>
        <w:pStyle w:val="EntRefer"/>
        <w:bidi w:val="0"/>
        <w:rPr>
          <w:rFonts w:ascii="Times New Roman" w:hAnsi="Times New Roman"/>
        </w:rPr>
      </w:pPr>
    </w:p>
    <w:p w:rsidR="0007104E" w:rsidRPr="003A4C0D">
      <w:pPr>
        <w:pStyle w:val="EntRefer"/>
        <w:bidi w:val="0"/>
        <w:rPr>
          <w:rFonts w:ascii="Times New Roman" w:hAnsi="Times New Roman"/>
        </w:rPr>
      </w:pPr>
    </w:p>
    <w:p w:rsidR="0007104E" w:rsidRPr="003A4C0D" w:rsidP="008302FB">
      <w:pPr>
        <w:pStyle w:val="EntRefer"/>
        <w:bidi w:val="0"/>
        <w:outlineLvl w:val="0"/>
        <w:rPr>
          <w:rFonts w:ascii="Times New Roman" w:hAnsi="Times New Roman"/>
        </w:rPr>
      </w:pPr>
      <w:bookmarkStart w:id="11" w:name="Title"/>
      <w:bookmarkEnd w:id="11"/>
      <w:r w:rsidR="003B42C9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494021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49672E" w:rsidR="0049672E">
              <w:rPr>
                <w:rFonts w:ascii="Times New Roman" w:hAnsi="Times New Roman"/>
              </w:rPr>
              <w:t>Predmet</w:t>
            </w:r>
            <w:r w:rsidRPr="003A4C0D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2" w:name="Subject"/>
            <w:bookmarkEnd w:id="12"/>
            <w:r w:rsidRPr="00293520" w:rsidR="008302FB">
              <w:rPr>
                <w:rFonts w:ascii="Times New Roman" w:hAnsi="Times New Roman"/>
              </w:rPr>
              <w:t>Dohoda o obchode medzi Európskou úniou a jej členskými štátmi na jednej strane Kolumbiou a Peru na strane druhej</w:t>
            </w:r>
          </w:p>
        </w:tc>
      </w:tr>
    </w:tbl>
    <w:p w:rsidR="0007104E" w:rsidRPr="003A4C0D">
      <w:pPr>
        <w:bidi w:val="0"/>
        <w:spacing w:line="240" w:lineRule="auto"/>
        <w:rPr>
          <w:rFonts w:ascii="Times New Roman" w:hAnsi="Times New Roman"/>
        </w:rPr>
      </w:pPr>
    </w:p>
    <w:p w:rsidR="0007104E" w:rsidRPr="003A4C0D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3A4C0D">
      <w:pPr>
        <w:bidi w:val="0"/>
        <w:rPr>
          <w:rFonts w:ascii="Times New Roman" w:hAnsi="Times New Roman"/>
        </w:rPr>
      </w:pPr>
      <w:bookmarkEnd w:id="10"/>
    </w:p>
    <w:p w:rsidR="0007104E" w:rsidRPr="003A4C0D" w:rsidP="003B42C9">
      <w:pPr>
        <w:bidi w:val="0"/>
        <w:rPr>
          <w:rFonts w:ascii="Times New Roman" w:hAnsi="Times New Roman"/>
        </w:rPr>
      </w:pPr>
    </w:p>
    <w:p w:rsidR="003B42C9">
      <w:pPr>
        <w:bidi w:val="0"/>
        <w:spacing w:line="240" w:lineRule="auto"/>
        <w:rPr>
          <w:rFonts w:ascii="Times New Roman" w:hAnsi="Times New Roman"/>
        </w:rPr>
        <w:sectPr w:rsidSect="002B77F9">
          <w:footerReference w:type="default" r:id="rId6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</w:sectPr>
      </w:pPr>
    </w:p>
    <w:p w:rsidR="008302FB" w:rsidRPr="00293520" w:rsidP="008302FB">
      <w:pPr>
        <w:autoSpaceDE w:val="0"/>
        <w:autoSpaceDN w:val="0"/>
        <w:bidi w:val="0"/>
        <w:adjustRightInd w:val="0"/>
        <w:jc w:val="right"/>
        <w:rPr>
          <w:rFonts w:ascii="Times New Roman" w:hAnsi="Times New Roman"/>
          <w:b/>
          <w:caps/>
          <w:noProof/>
          <w:u w:val="single"/>
        </w:rPr>
      </w:pPr>
      <w:r w:rsidRPr="00293520">
        <w:rPr>
          <w:rFonts w:ascii="Times New Roman" w:hAnsi="Times New Roman"/>
          <w:b/>
          <w:caps/>
          <w:noProof/>
          <w:u w:val="single"/>
        </w:rPr>
        <w:t>PRÍLOHA I</w:t>
      </w:r>
    </w:p>
    <w:p w:rsidR="008302FB" w:rsidRPr="00293520" w:rsidP="008302FB">
      <w:pPr>
        <w:autoSpaceDE w:val="0"/>
        <w:autoSpaceDN w:val="0"/>
        <w:bidi w:val="0"/>
        <w:adjustRightInd w:val="0"/>
        <w:jc w:val="right"/>
        <w:rPr>
          <w:rFonts w:ascii="Times New Roman" w:hAnsi="Times New Roman"/>
          <w:b/>
          <w:caps/>
          <w:noProof/>
          <w:u w:val="single"/>
        </w:rPr>
      </w:pPr>
    </w:p>
    <w:p w:rsidR="008302FB" w:rsidRPr="00293520" w:rsidP="008302FB">
      <w:pPr>
        <w:autoSpaceDE w:val="0"/>
        <w:autoSpaceDN w:val="0"/>
        <w:bidi w:val="0"/>
        <w:adjustRightInd w:val="0"/>
        <w:jc w:val="right"/>
        <w:rPr>
          <w:rFonts w:ascii="Times New Roman" w:hAnsi="Times New Roman"/>
          <w:b/>
          <w:caps/>
          <w:noProof/>
          <w:u w:val="single"/>
        </w:rPr>
      </w:pPr>
    </w:p>
    <w:p w:rsidR="008302FB" w:rsidRPr="00293520" w:rsidP="008302FB">
      <w:pPr>
        <w:autoSpaceDE w:val="0"/>
        <w:autoSpaceDN w:val="0"/>
        <w:bidi w:val="0"/>
        <w:adjustRightInd w:val="0"/>
        <w:jc w:val="center"/>
        <w:rPr>
          <w:rFonts w:ascii="Times New Roman" w:hAnsi="Times New Roman"/>
          <w:caps/>
          <w:noProof/>
        </w:rPr>
      </w:pPr>
      <w:r w:rsidRPr="00293520">
        <w:rPr>
          <w:rFonts w:ascii="Times New Roman" w:hAnsi="Times New Roman"/>
          <w:caps/>
          <w:noProof/>
        </w:rPr>
        <w:t>Zoznam odstránenia ciel</w:t>
      </w:r>
    </w:p>
    <w:p w:rsidR="008302FB" w:rsidRPr="00293520" w:rsidP="008302FB">
      <w:pPr>
        <w:autoSpaceDE w:val="0"/>
        <w:autoSpaceDN w:val="0"/>
        <w:bidi w:val="0"/>
        <w:adjustRightInd w:val="0"/>
        <w:jc w:val="center"/>
        <w:rPr>
          <w:rFonts w:ascii="Times New Roman" w:hAnsi="Times New Roman"/>
          <w:caps/>
          <w:noProof/>
        </w:rPr>
      </w:pPr>
    </w:p>
    <w:p w:rsidR="008302FB" w:rsidRPr="00293520" w:rsidP="008302FB">
      <w:pPr>
        <w:autoSpaceDE w:val="0"/>
        <w:autoSpaceDN w:val="0"/>
        <w:bidi w:val="0"/>
        <w:adjustRightInd w:val="0"/>
        <w:jc w:val="center"/>
        <w:rPr>
          <w:rFonts w:ascii="Times New Roman" w:hAnsi="Times New Roman"/>
          <w:caps/>
          <w:noProof/>
        </w:rPr>
      </w:pPr>
    </w:p>
    <w:p w:rsidR="008302FB" w:rsidRPr="00293520" w:rsidP="008302FB">
      <w:pPr>
        <w:autoSpaceDE w:val="0"/>
        <w:autoSpaceDN w:val="0"/>
        <w:bidi w:val="0"/>
        <w:adjustRightInd w:val="0"/>
        <w:jc w:val="center"/>
        <w:rPr>
          <w:rFonts w:ascii="Times New Roman" w:hAnsi="Times New Roman"/>
          <w:caps/>
          <w:noProof/>
        </w:rPr>
      </w:pPr>
      <w:r w:rsidRPr="00293520">
        <w:rPr>
          <w:rFonts w:ascii="Times New Roman" w:hAnsi="Times New Roman"/>
          <w:caps/>
          <w:noProof/>
        </w:rPr>
        <w:t>DODATOK 1</w:t>
      </w:r>
    </w:p>
    <w:p w:rsidR="008302FB" w:rsidRPr="00293520" w:rsidP="008302FB">
      <w:pPr>
        <w:autoSpaceDE w:val="0"/>
        <w:autoSpaceDN w:val="0"/>
        <w:bidi w:val="0"/>
        <w:adjustRightInd w:val="0"/>
        <w:jc w:val="center"/>
        <w:rPr>
          <w:rFonts w:ascii="Times New Roman" w:hAnsi="Times New Roman"/>
          <w:caps/>
          <w:noProof/>
        </w:rPr>
      </w:pPr>
    </w:p>
    <w:p w:rsidR="008302FB" w:rsidRPr="00293520" w:rsidP="008302FB">
      <w:pPr>
        <w:autoSpaceDE w:val="0"/>
        <w:autoSpaceDN w:val="0"/>
        <w:bidi w:val="0"/>
        <w:adjustRightInd w:val="0"/>
        <w:jc w:val="center"/>
        <w:rPr>
          <w:rFonts w:ascii="Times New Roman" w:hAnsi="Times New Roman"/>
          <w:caps/>
          <w:noProof/>
        </w:rPr>
      </w:pPr>
      <w:r w:rsidRPr="00293520">
        <w:rPr>
          <w:rFonts w:ascii="Times New Roman" w:hAnsi="Times New Roman"/>
          <w:caps/>
          <w:noProof/>
        </w:rPr>
        <w:t>Odstránenie ciel</w:t>
      </w:r>
    </w:p>
    <w:p w:rsidR="008302FB" w:rsidRPr="00293520" w:rsidP="008302FB">
      <w:pPr>
        <w:autoSpaceDE w:val="0"/>
        <w:autoSpaceDN w:val="0"/>
        <w:bidi w:val="0"/>
        <w:adjustRightInd w:val="0"/>
        <w:jc w:val="center"/>
        <w:rPr>
          <w:rFonts w:ascii="Times New Roman" w:hAnsi="Times New Roman"/>
          <w:caps/>
          <w:noProof/>
        </w:rPr>
      </w:pPr>
    </w:p>
    <w:p w:rsidR="008302FB" w:rsidRPr="00293520" w:rsidP="008302FB">
      <w:pPr>
        <w:autoSpaceDE w:val="0"/>
        <w:autoSpaceDN w:val="0"/>
        <w:bidi w:val="0"/>
        <w:adjustRightInd w:val="0"/>
        <w:jc w:val="center"/>
        <w:rPr>
          <w:rFonts w:ascii="Times New Roman" w:hAnsi="Times New Roman"/>
          <w:caps/>
          <w:noProof/>
        </w:rPr>
      </w:pPr>
    </w:p>
    <w:p w:rsidR="008302FB" w:rsidRPr="00293520" w:rsidP="008302FB">
      <w:pPr>
        <w:autoSpaceDE w:val="0"/>
        <w:autoSpaceDN w:val="0"/>
        <w:bidi w:val="0"/>
        <w:adjustRightInd w:val="0"/>
        <w:jc w:val="center"/>
        <w:rPr>
          <w:rFonts w:ascii="Times New Roman" w:hAnsi="Times New Roman"/>
          <w:caps/>
          <w:noProof/>
        </w:rPr>
      </w:pPr>
      <w:r w:rsidRPr="00293520">
        <w:rPr>
          <w:rFonts w:ascii="Times New Roman" w:hAnsi="Times New Roman"/>
          <w:caps/>
          <w:noProof/>
        </w:rPr>
        <w:t>Oddiel A</w:t>
      </w:r>
    </w:p>
    <w:p w:rsidR="008302FB" w:rsidRPr="00293520" w:rsidP="008302FB">
      <w:pPr>
        <w:autoSpaceDE w:val="0"/>
        <w:autoSpaceDN w:val="0"/>
        <w:bidi w:val="0"/>
        <w:adjustRightInd w:val="0"/>
        <w:jc w:val="center"/>
        <w:rPr>
          <w:rFonts w:ascii="Times New Roman" w:hAnsi="Times New Roman"/>
          <w:caps/>
          <w:noProof/>
        </w:rPr>
      </w:pPr>
    </w:p>
    <w:p w:rsidR="008302FB" w:rsidRPr="00293520" w:rsidP="008302FB">
      <w:pPr>
        <w:autoSpaceDE w:val="0"/>
        <w:autoSpaceDN w:val="0"/>
        <w:bidi w:val="0"/>
        <w:adjustRightInd w:val="0"/>
        <w:jc w:val="center"/>
        <w:rPr>
          <w:rFonts w:ascii="Times New Roman" w:hAnsi="Times New Roman"/>
          <w:caps/>
          <w:noProof/>
        </w:rPr>
      </w:pPr>
      <w:r w:rsidRPr="00293520">
        <w:rPr>
          <w:rFonts w:ascii="Times New Roman" w:hAnsi="Times New Roman"/>
          <w:caps/>
          <w:noProof/>
        </w:rPr>
        <w:t>ZOZNAM ODSTRÁNENIA CIEL KOLUMBIE</w:t>
        <w:br/>
        <w:t>NA TOVAR S PÔVODOM V Európskej únii</w:t>
      </w:r>
    </w:p>
    <w:p w:rsidR="008302FB" w:rsidRPr="00293520" w:rsidP="008302FB">
      <w:pPr>
        <w:autoSpaceDE w:val="0"/>
        <w:autoSpaceDN w:val="0"/>
        <w:bidi w:val="0"/>
        <w:adjustRightInd w:val="0"/>
        <w:jc w:val="center"/>
        <w:rPr>
          <w:rFonts w:ascii="Times New Roman" w:hAnsi="Times New Roman"/>
          <w:caps/>
          <w:noProof/>
        </w:rPr>
      </w:pPr>
    </w:p>
    <w:p w:rsidR="008302FB" w:rsidRPr="00293520" w:rsidP="008302FB">
      <w:pPr>
        <w:bidi w:val="0"/>
        <w:outlineLvl w:val="0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Kategórie postupného znižovania ciel</w:t>
      </w:r>
    </w:p>
    <w:p w:rsidR="008302FB" w:rsidRPr="00293520" w:rsidP="008302FB">
      <w:pPr>
        <w:bidi w:val="0"/>
        <w:outlineLvl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Pokiaľ nie je v zozname odstránenia ciel Kolumbie stanovené inak, ďalej uvedené kategórie postupného znižovania ciel sa uplatňujú v súlade s článkom 22 (Odstránenie ciel) hlavy III (Obchod s tovarom) tejto dohody.</w:t>
      </w: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1.</w:t>
        <w:tab/>
        <w:t xml:space="preserve">Clo na tovar s pôvodom v Európskej únii (ďalej len „tovar s pôvodom“) zodpovedajúce položkám kategórie postupného znižovania </w:t>
      </w:r>
      <w:r w:rsidRPr="00131155">
        <w:rPr>
          <w:rFonts w:ascii="Times New Roman" w:hAnsi="Times New Roman"/>
          <w:noProof/>
        </w:rPr>
        <w:t>A</w:t>
      </w:r>
      <w:r w:rsidRPr="00293520">
        <w:rPr>
          <w:rFonts w:ascii="Times New Roman" w:hAnsi="Times New Roman"/>
          <w:noProof/>
        </w:rPr>
        <w:t xml:space="preserve"> sa úplne odstráni a tento tovar od dátumu nadobudnutia platnosti tejto dohody nepodlieha clu.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2.</w:t>
        <w:tab/>
        <w:t>Clo na tovar s pôvodom uvedený v položkách kategórie postupného znižovania B sa odstráni počas štyroch rovnakých ročných etáp, ktoré sa začnú od dátumu nadobudnutia platnosti tejto dohody, zostávajúce etapy sa uskutočnia 1. januára každého nasledujúceho roka a tento tovar následne nepodlieha clu.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3.</w:t>
        <w:tab/>
        <w:t>Clo na tovar s pôvodom uvedený v položkách kategórie postupného znižovania C sa odstráni počas šiestich rovnakých ročných etáp, ktoré sa začnú od dátumu nadobudnutia platnosti tejto dohody, zostávajúce etapy sa uskutočnia 1. januára každého nasledujúceho roka a tento tovar následne nepodlieha clu.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4.</w:t>
        <w:tab/>
        <w:t>Clo na tovar s pôvodom uvedený v položkách kategórie postupného znižovania D sa odstráni počas ôsmich rovnakých ročných etáp, ktoré sa začnú od dátumu nadobudnutia platnosti tejto dohody, zostávajúce etapy sa uskutočnia 1. januára každého nasledujúceho roka a tento tovar následne nepodlieha clu.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5.</w:t>
        <w:tab/>
        <w:t>Na tovar uvedený v položkách kategórie postupného znižovania E sa nevzťahujú žiadne záväzky týkajúce sa cla.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6.</w:t>
        <w:tab/>
        <w:t>Clo na tovar s pôvodom uvedený v položkách kategórie postupného znižovania F sa odstráni počas jedenástich rovnakých ročných etáp, ktoré sa začnú od dátumu nadobudnutia platnosti tejto dohody, zostávajúce etapy sa uskutočnia 1. januára každého nasledujúceho roka a tento tovar následne nepodlieha clu.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7.</w:t>
        <w:tab/>
        <w:t>Fixná zložka mechanizmu cenovej stabilizácie (ďalej len „MCS“) (15 %) tovaru s pôvodom uvedeného v položkách kategórie postupného znižovania FA sa odstráni počas jedenástich rovnakých ročných etáp, ktoré sa začnú od dátumu nadobudnutia platnosti tejto dohody, zostávajúce etapy sa uskutočnia 1. januára každého nasledujúceho roka.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8.</w:t>
        <w:tab/>
        <w:t>Clo na tovar s pôvodom uvedený v položkách kategórie postupného znižovania G zostáva od dátumu nadobudnutia platnosti tejto dohody do konca druhého roka nezmenené. Od 1. januára tretieho roka sa clo odstráni počas troch rovnakých ročných etáp a tento tovar následne nepodlieha clu.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9.</w:t>
        <w:tab/>
        <w:t>Clo na tovar s pôvodom uvedený v položkách kategórie postupného znižovania H zostáva od dátumu nadobudnutia platnosti tejto dohody do konca druhého roka nezmenené. Od 1. januára tretieho roka sa fixná zložka MCS (20 %) odstráni počas piatich rovnakých ročných etáp.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10.</w:t>
        <w:tab/>
        <w:t>Clo na tovar s pôvodom uvedený v položkách kategórie postupného znižovania IA zostáva od dátumu nadobudnutia platnosti tejto dohody do konca druhého roka nezmenené. Od 1. januára tretieho roka sa fixná zložka MCS (20 %) odstráni počas ôsmich rovnakých ročných etáp.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11.</w:t>
        <w:tab/>
        <w:t>Clo na tovar s pôvodom uvedený v položkách kategórie postupného znižovania IB zostáva od dátumu nadobudnutia platnosti tejto dohody do konca druhého roka nezmenené. Od 1. januára tretieho roka sa fixná zložka MCS (15 %) odstráni počas ôsmich rovnakých ročných etáp.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12.</w:t>
        <w:tab/>
        <w:t>Clo na tovar s pôvodom uvedený v položkách kategórie postupného znižovania IC zostáva od dátumu nadobudnutia platnosti tejto dohody do konca druhého roka nezmenené. Od 1. januára tretieho roka sa clo odstráni počas ôsmich rovnakých ročných etáp a tento tovar následne nepodlieha clu.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13.</w:t>
        <w:tab/>
        <w:t>Clo na tovar s pôvodom uvedený v položkách kategórie postupného znižovania J zostáva od dátumu nadobudnutia platnosti tejto dohody do konca druhého roka nezmenené. Od 1. januára tretieho roka sa clo odstráni počas desiatich rovnakých ročných etáp a tento tovar následne nepodlieha clu.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14.</w:t>
        <w:tab/>
        <w:t>Clo na tovar s pôvodom uvedený v položkách kategórie postupného znižovania K zostáva od dátumu nadobudnutia platnosti tejto dohody do konca piateho roka nezmenené. Od 1. januára šiesteho roka sa fixná zložka MCS (15 %) odstráni počas piatich rovnakých ročných etáp.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15.</w:t>
        <w:tab/>
        <w:t>Clo na tovar s pôvodom uvedený v položkách kategórie postupného znižovania L sa od dátumu nadobudnutia platnosti tejto dohody znižuje o 10 %.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16.</w:t>
        <w:tab/>
        <w:t>Clo na tovar s pôvodom uvedený v položkách kategórie postupného znižovania M sa od dátumu nadobudnutia platnosti tejto dohody znižuje o 20 %.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17.</w:t>
        <w:tab/>
        <w:t>Clo na tovar s pôvodom uvedený v položkách kategórie postupného znižovania N zostáva od dátumu nadobudnutia platnosti tejto dohody do konca druhého roka nezmenené. Od 1. januára tretieho roka sa clo znižuje o 20 %.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18.</w:t>
        <w:tab/>
        <w:t>Clo na tovar s pôvodom uvedený v položkách kategórie postupného znižovania O zostáva od dátumu nadobudnutia platnosti tejto dohody do konca tretieho roka nezmenené. Od 1. januára štvrtého roka sa clo znižuje o 20 %.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19.</w:t>
        <w:tab/>
        <w:t>Clo na tovar s pôvodom uvedený v položkách kategórie postupného znižovania P sa od dátumu nadobudnutia platnosti tejto dohody znižuje o 40 %.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20.</w:t>
        <w:tab/>
        <w:t>Tovar s pôvodom uvedený v položkách kategórie postupného znižovania MA v rámci súhrnnej kvóty 140 ton nepodlieha od dátumu nadobudnutia platnosti tejto dohody clu, pričom od prvého roka sa táto kvóta každoročne zvyšuje o 7 ton. Na tovar dovezený v množstvách presahujúcich kumulovaný objem pre každý rok sa vzťahuje doložka najvyšších výhod (ďalej len „DNV“).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21.</w:t>
        <w:tab/>
        <w:t>Tovar s pôvodom uvedený v položkách kategórie postupného znižovania HO v rámci súhrnnej kvóty 33 ton nepodlieha od dátumu nadobudnutia platnosti tejto dohody clu, pričom od prvého roka sa táto kvóta každoročne zvyšuje o 1,7 tony. Tovar dovezený v množstvách presahujúcich kumulovaný objem pre každý rok podlieha DNV.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22.</w:t>
        <w:tab/>
        <w:t>Tovar s pôvodom uvedený v položkách kategórie postupného znižovania HE v rámci súhrnnej kvóty 300 ton nepodlieha od dátumu nadobudnutia platnosti tejto dohody clu, pričom od prvého roka sa táto kvóta každoročne zvyšuje o 15 ton. Tovar dovezený v množstvách presahujúcich kumulovaný objem pre každý rok podlieha DNV.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23.</w:t>
        <w:tab/>
        <w:t>Tovar s pôvodom uvedený v položkách kategórie postupného znižovania YG v rámci súhrnnej kvóty 100 ton nepodlieha od dátumu nadobudnutia platnosti tejto dohody clu, pričom od prvého roka sa táto kvóta každoročne zvyšuje o 5 ton. Tovar dovezený v množstvách presahujúcich kumulovaný objem pre každý rok podlieha DNV.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24.</w:t>
        <w:tab/>
        <w:t>Na tovar s pôvodom uvedený v položkách kategórie postupného znižovania PA v rámci súhrnnej kvóty 6 667 ton sa od dátumu nadobudnutia platnosti tejto dohody uplatňujú ďalej uvedené sadzby cla, pričom od prvého roka sa táto kvóta každoročne zvyšuje o 200 ton. Na tovar dovezený v množstvách presahujúcich kumulovaný objem pre každý rok sa vzťahuje DNV.</w:t>
      </w:r>
    </w:p>
    <w:tbl>
      <w:tblPr>
        <w:tblStyle w:val="TableNormal"/>
        <w:tblW w:w="4394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6"/>
        <w:gridCol w:w="2268"/>
      </w:tblGrid>
      <w:tr>
        <w:tblPrEx>
          <w:tblW w:w="4394" w:type="dxa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Clo v rámci kvóty</w:t>
            </w:r>
          </w:p>
        </w:tc>
      </w:tr>
      <w:tr>
        <w:tblPrEx>
          <w:tblW w:w="4394" w:type="dxa"/>
          <w:tblInd w:w="1809" w:type="dxa"/>
          <w:tblLayout w:type="fixed"/>
          <w:tblLook w:val="00A0"/>
        </w:tblPrEx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17049090B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19019020B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20060000B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20079110B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20079120B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20079991B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20079992B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20091100B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20091900B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20092900B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20093910B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20093990B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20094900B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20096900B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20097900B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20098019B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20099000B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21069030B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21069040B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21069050B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21069060B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21069071B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21069072B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21069073B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21069074B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21069079B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21069080B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21069090B</w:t>
            </w:r>
          </w:p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33021090B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0 %</w:t>
            </w:r>
          </w:p>
        </w:tc>
      </w:tr>
    </w:tbl>
    <w:p w:rsidR="008302FB" w:rsidRPr="00293520" w:rsidP="008302FB">
      <w:pPr>
        <w:pageBreakBefore/>
        <w:bidi w:val="0"/>
        <w:rPr>
          <w:rFonts w:ascii="Times New Roman" w:hAnsi="Times New Roman"/>
          <w:noProof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992"/>
        <w:gridCol w:w="2487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 xml:space="preserve">Clo v rámci kvóty 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18061000B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18062090B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21011200B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Nadobudnutie platnosti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17,5 %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15,0 %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spacing w:line="240" w:lineRule="auto"/>
        <w:rPr>
          <w:rFonts w:ascii="Times New Roman" w:hAnsi="Times New Roman"/>
          <w:noProof/>
          <w:sz w:val="20"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992"/>
        <w:gridCol w:w="2487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 xml:space="preserve">Clo v rámci kvóty 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21069010B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 xml:space="preserve">Nadobudnutie platnosti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13,1 %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11,3 %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9,4 %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5,6 %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1,9 %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spacing w:line="240" w:lineRule="auto"/>
        <w:rPr>
          <w:rFonts w:ascii="Times New Roman" w:hAnsi="Times New Roman"/>
          <w:noProof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992"/>
        <w:gridCol w:w="2487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 xml:space="preserve">Clo v rámci kvóty 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21012000B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 xml:space="preserve">Nadobudnutie platnosti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20,0 %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17,5 %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15,0 %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2,5 %</w:t>
            </w:r>
          </w:p>
        </w:tc>
      </w:tr>
      <w:tr>
        <w:tblPrEx>
          <w:tblW w:w="0" w:type="auto"/>
          <w:tblInd w:w="18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pageBreakBefore/>
        <w:bidi w:val="0"/>
        <w:spacing w:line="240" w:lineRule="auto"/>
        <w:rPr>
          <w:rFonts w:ascii="Times New Roman" w:hAnsi="Times New Roman"/>
          <w:noProof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992"/>
        <w:gridCol w:w="2487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 xml:space="preserve">Clo v rámci kvóty 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19019090B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Nadobudnutie platnosti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16,7 %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6,7 %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spacing w:line="240" w:lineRule="auto"/>
        <w:rPr>
          <w:rFonts w:ascii="Times New Roman" w:hAnsi="Times New Roman"/>
          <w:noProof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992"/>
        <w:gridCol w:w="2487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 xml:space="preserve">Clo v rámci kvóty 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21069029B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 xml:space="preserve">Nadobudnutie platnosti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spacing w:line="240" w:lineRule="auto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25.</w:t>
        <w:tab/>
        <w:t>Na tovar s pôvodom uvedený v položkách kategórie postupného znižovania AZ v rámci súhrnnej kvóty 20 667 ton (vyjadrené v ekvivalentoch surového cukru) sa od dátumu nadobudnutia platnosti tejto dohody uplatňujú ďalej uvedené sadzby cla, pričom od prvého roka sa táto kvóta každoročne zvyšuje o 620 ton. Na tovar dovezený v množstvách presahujúcich kumulovaný objem pre každý rok sa vzťahuje DNV.</w:t>
      </w: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1136"/>
        <w:gridCol w:w="2487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pageBreakBefore/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 xml:space="preserve">Clo v rámci kvóty 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17011110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 xml:space="preserve">Nadobudnutie platnosti 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18,8 %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17,5 %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16,3 %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15,0 %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11,3 %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spacing w:line="240" w:lineRule="auto"/>
        <w:rPr>
          <w:rFonts w:ascii="Times New Roman" w:hAnsi="Times New Roman"/>
          <w:noProof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1136"/>
        <w:gridCol w:w="2487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 xml:space="preserve">Clo v rámci kvóty 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17011190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17019100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17019910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17019990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Nadobudnutie platnosti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47,0 %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47,0 %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47,0 %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43,4 %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39,8 %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36,2 %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32,5 %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28,9 %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25,3 %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21,7 %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18,1 %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14,5 %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7,2 %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3,6 %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spacing w:line="240" w:lineRule="auto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26.</w:t>
        <w:tab/>
        <w:t>Na tovar s pôvodom uvedený v položkách kategórie postupného znižovania DB v rámci súhrnnej kvóty 1 867 ton sa od dátumu nadobudnutia platnosti tejto dohody uplatňujú ďalej uvedené sadzby cla, pričom od prvého roka sa táto kvóta každoročne zvyšuje o 93,3 tony. Na tovar dovezený v množstvách presahujúcich kumulovaný objem pre každý rok sa vzťahuje DNV.</w:t>
      </w:r>
    </w:p>
    <w:p w:rsidR="008302FB" w:rsidRPr="00293520" w:rsidP="008302FB">
      <w:pPr>
        <w:bidi w:val="0"/>
        <w:rPr>
          <w:rFonts w:ascii="Times New Roman" w:hAnsi="Times New Roman"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992"/>
        <w:gridCol w:w="2487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Clo v rámci kvóty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02062100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02062200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Nadobudnutie platnosti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72,7 %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65,5 %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58,2 %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50,9 %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43,6 %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36,4 %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29,1 %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14,5 %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0C66E8" w:rsidP="008302FB">
      <w:pPr>
        <w:bidi w:val="0"/>
        <w:spacing w:line="240" w:lineRule="auto"/>
        <w:rPr>
          <w:rFonts w:ascii="Times New Roman" w:hAnsi="Times New Roman"/>
          <w:noProof/>
          <w:szCs w:val="24"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992"/>
        <w:gridCol w:w="2487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Clo v rámci kvóty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05040010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05040020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05040030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Nadobudnutie platnosti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63,6 %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57,3 %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50,9 %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44,5 %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38,2 %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31,8 %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25,5 %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19,1 %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12,7 %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6,4 %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27.</w:t>
        <w:tab/>
        <w:t>Na tovar s pôvodom uvedený v položkách kategórie postupného znižovania LC v rámci súhrnnej kvóty 100 ton sa od dátumu nadobudnutia platnosti tejto dohody uplatňujú ďalej uvedené sadzby cla, pričom od prvého roka sa táto kvóta každoročne zvyšuje o 5 ton. Na tovar dovezený v množstvách presahujúcich kumulovaný objem pre každý rok sa vzťahuje DNV.</w:t>
      </w: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992"/>
        <w:gridCol w:w="2487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Clo v rámci kvóty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04029910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Nadobudnutie platnosti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50,0 %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50,0 %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50,0 %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33,3 %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16,7 %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28.</w:t>
        <w:tab/>
        <w:t>Tovar s pôvodom uvedený v položkách kategórie postupného znižovania TX v rámci súhrnnej kvóty 3 000 ton nepodlieha od dátumu nadobudnutia platnosti tejto dohody clu, pričom od prvého roka sa táto kvóta každoročne zvyšuje o 300 ton. Na tovar dovezený v množstvách presahujúcich uvedený kumulovaný objem pre každý rok sa uplatňujú ďalej uvedené sadzby cla nad rámec kvóty. Od 1. januára desiateho roku tento tovar nepodlieha clu.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911"/>
        <w:gridCol w:w="2057"/>
        <w:gridCol w:w="1993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Tony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Clo nad rámec kvóty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21069090D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Nadobudnutie platnosti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3 000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18,2 %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3 300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16,4 %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3 600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14,5 %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3 900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12,7 %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4 200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10,9 %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4 500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9,1 %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4 800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5 100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5 400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3,6 %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5 700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1,8 %</w:t>
            </w:r>
          </w:p>
        </w:tc>
      </w:tr>
      <w:tr>
        <w:tblPrEx>
          <w:tblW w:w="0" w:type="auto"/>
          <w:tblInd w:w="18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0A0"/>
        </w:tblPrEx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057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neobmedzené</w:t>
            </w:r>
          </w:p>
        </w:tc>
        <w:tc>
          <w:tcPr>
            <w:tcW w:w="1993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29.</w:t>
        <w:tab/>
        <w:t xml:space="preserve">Tovar s pôvodom uvedený v položkách kategórie postupného znižovania LS v rámci súhrnnej kvóty 2 500 ton nepodlieha od dátumu nadobudnutia platnosti tejto dohody clu, pričom od prvého roka sa táto kvóta každoročne zvyšuje o 250 ton. Na tovar dovezený v množstvách presahujúcich uvedený kumulovaný objem pre každý rok sa uplatňujú ďalej uvedené sadzby cla nad rámec kvóty. Bez toho, aby bolo dotknuté ochranné opatrenie uvedené v oddiele A prílohy IV (Poľnohospodárske ochranné opatrenia), od 1. januára tretieho roka tento tovar nepodlieha clu. 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2"/>
        <w:gridCol w:w="904"/>
        <w:gridCol w:w="2372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Clo nad rámec kvóty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04041010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rPr>
          <w:trHeight w:val="237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Nadobudnutie platnosti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0C66E8" w:rsidP="008302FB">
      <w:pPr>
        <w:bidi w:val="0"/>
        <w:spacing w:line="240" w:lineRule="auto"/>
        <w:rPr>
          <w:rFonts w:ascii="Times New Roman" w:hAnsi="Times New Roman"/>
          <w:noProof/>
          <w:szCs w:val="24"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2"/>
        <w:gridCol w:w="904"/>
        <w:gridCol w:w="2372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Clo nad rámec kvóty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04041090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04049000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rPr>
          <w:trHeight w:val="237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Nadobudnutie platnosti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70,5 %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47,0 %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23,5 %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30.</w:t>
        <w:tab/>
        <w:t xml:space="preserve">Tovar s pôvodom uvedený v položkách kategórie postupného znižovania LP1 v rámci súhrnnej kvóty 4 000 ton nepodlieha od dátumu nadobudnutia platnosti tejto dohody clu, pričom od prvého roka sa táto kvóta každoročne zvyšuje o 400 ton. Na tovar dovezený v množstvách presahujúcich uvedený kumulovaný objem pre každý rok sa uplatňujú ďalej uvedené sadzby cla nad rámec kvóty. Bez toho, aby bolo dotknuté ochranné opatrenie uvedené v oddiele A prílohy IV (Poľnohospodárske ochranné opatrenia), od 1. januára pätnásteho roka tento tovar nepodlieha clu. 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2"/>
        <w:gridCol w:w="904"/>
        <w:gridCol w:w="1447"/>
        <w:gridCol w:w="1843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Tony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Clo nad rámec kvóty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04021010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04021090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04022111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04022119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04022191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04022199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rPr>
          <w:trHeight w:val="237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Nadobudnutie platnosti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91,9 %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4 400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85,8 %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79,6 %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5 200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73,5 %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5 600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67,4 %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61,3 %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6 400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55,1 %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49,0 %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7 200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42,9 %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7 600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36,8 %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30,6 %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8 400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24,5 %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8 800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18,4 %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9 200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9 600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6,1 %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neobmedzené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31.</w:t>
        <w:tab/>
        <w:t xml:space="preserve">Tovar s pôvodom uvedený v položkách kategórie postupného znižovania LP2 v rámci súhrnnej kvóty 500 ton nepodlieha od dátumu nadobudnutia platnosti tejto dohody clu, pričom od prvého roka sa táto kvóta každoročne zvyšuje o 50 ton. Na tovar dovezený v množstvách presahujúcich uvedený kumulovaný objem pre každý rok sa uplatňujú ďalej uvedené sadzby cla nad rámec kvóty. Bez toho, aby bolo dotknuté ochranné opatrenie uvedené v oddiele A prílohy IV (Poľnohospodárske ochranné opatrenia), od 1. januára piateho roka tento tovar nepodlieha clu. 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2"/>
        <w:gridCol w:w="904"/>
        <w:gridCol w:w="1447"/>
        <w:gridCol w:w="2372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Tony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Clo nad rámec kvóty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04022911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04022919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04022991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04022999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04029110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04029190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04029990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rPr>
          <w:trHeight w:val="237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Nadobudnutie platnosti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500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81,7 %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550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65,3 %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600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49,0 %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650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32,7 %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700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16,3 %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neobmedzené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32.</w:t>
        <w:tab/>
        <w:t>Tovar s pôvodom uvedený v položkách kategórie postupného znižovania Q v rámci súhrnnej kvóty 2 310 ton nepodlieha od dátumu nadobudnutia platnosti tejto dohody clu, pričom od prvého roka sa táto kvóta každoročne zvyšuje o 231 ton. Na tovar dovezený v množstvách presahujúcich kumulovaný objem pre každý rok sa uplatňujú ďalej uvedené sadzby cla nad rámec kvóty. Bez toho, aby bolo dotknuté ochranné opatrenie uvedené v oddiele A prílohy IV (Poľnohospodárske ochranné opatrenia), od 1. januára pätnásteho roka tento tovar nepodlieha clu.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2"/>
        <w:gridCol w:w="904"/>
        <w:gridCol w:w="2372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Clo nad rámec kvóty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04062000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04064000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rPr>
          <w:trHeight w:val="237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Nadobudnutie platnosti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18,8 %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17,5 %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16,3 %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15,0 %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11,3 %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spacing w:line="240" w:lineRule="auto"/>
        <w:rPr>
          <w:rFonts w:ascii="Times New Roman" w:hAnsi="Times New Roman"/>
          <w:noProof/>
          <w:szCs w:val="24"/>
        </w:rPr>
      </w:pP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2"/>
        <w:gridCol w:w="904"/>
        <w:gridCol w:w="2372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trHeight w:val="699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pageBreakBefore/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Clo nad rámec kvóty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04063000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04069040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04069050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04069060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04069090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rPr>
          <w:trHeight w:val="237"/>
        </w:trPr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Nadobudnutie platnosti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48,8 %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45,5 %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42,3 %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39,0 %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35,8 %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32,5 %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29,3 %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26,0 %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22,8 %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19,5 %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16,3 %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33.</w:t>
        <w:tab/>
        <w:t>Tovar s pôvodom uvedený v položkách kategórie postupného znižovania LM v rámci súhrnnej kvóty 1 100 ton nepodlieha od dátumu nadobudnutia platnosti tejto dohody clu, pričom od prvého roka sa táto kvóta každoročne zvyšuje o 110 ton. Na tovar dovezený v množstvách presahujúcich uvedený kumulovaný objem pre každý rok sa uplatňujú ďalej uvedené sadzby cla nad rámec kvóty. Bez toho, aby bolo dotknuté ochranné opatrenie uvedené v oddiele A prílohy IV (Poľnohospodárske ochranné opatrenia), od 1. januára pätnásteho roka tento tovar nepodlieha clu.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</w:r>
    </w:p>
    <w:tbl>
      <w:tblPr>
        <w:tblStyle w:val="TableNormal"/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5"/>
        <w:gridCol w:w="1136"/>
        <w:gridCol w:w="1934"/>
        <w:gridCol w:w="2370"/>
      </w:tblGrid>
      <w:tr>
        <w:tblPrEx>
          <w:tblW w:w="0" w:type="auto"/>
          <w:tblInd w:w="18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Colné položky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Tony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Clo nad rámec kvóty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19011010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19011091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19011099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rPr>
          <w:trHeight w:val="237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Nadobudnutie platnosti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1 100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18,8 %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1 210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17,5 %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1 320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16,3 %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1 430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15,0 %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1 540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1 650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1 760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11,3 %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1 870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1 980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2 090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2 200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2 310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5,0 %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2 420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3,8 %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2 530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2,5 %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2 640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1,3 %</w:t>
            </w:r>
          </w:p>
        </w:tc>
      </w:tr>
      <w:tr>
        <w:tblPrEx>
          <w:tblW w:w="0" w:type="auto"/>
          <w:tblInd w:w="1809" w:type="dxa"/>
          <w:tblLayout w:type="fixed"/>
          <w:tblLook w:val="00A0"/>
        </w:tblPrEx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15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neobmedzené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0 %</w:t>
            </w:r>
          </w:p>
        </w:tc>
      </w:tr>
    </w:tbl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34.</w:t>
        <w:tab/>
        <w:t>Všetky predtým uvedené kvóty sa spravujú v poradí, v akom bolo o ne požiadané.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35.</w:t>
        <w:tab/>
        <w:t>Ak táto dohoda nadobudne platnosť po 1. januári a pred 31. decembrom toho istého kalendárneho roka, množstvo v rámci kvóty sa pomerne rozdelí na zvyšok tohto kalendárneho roka.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36.</w:t>
        <w:tab/>
        <w:t xml:space="preserve">Na účely odstránenia ciel sa colné sadzby v každej etape zaokrúhlia nadol na najbližšiu desatinu percentuálneho bodu alebo ak je colná sadzba vyjadrená v menovej jednotke, najmenej na najbližšiu desatinu oficiálnej menovej jednotky Kolumbie. 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37.</w:t>
        <w:tab/>
        <w:t>Na účely tohto oddielu znamená „prvý rok“ kalendárny rok začínajúci 1. januárom, ktorý nasleduje po roku, v ktorom táto dohoda nadobudla platnosť, ako je stanovené v článku 330 (Nadobudnutie platnosti) tejto dohody. Odkazy na „druhý rok“, „tretí rok“ atď., znamenajú kalendárne roky nasledujúce po prvom roku uvedenom v tomto odseku.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38.</w:t>
        <w:tab/>
        <w:t>Ustanovenia tohto oddielu sú vyjadrené podľa nomenklatúry členských štátov Andského spoločenstva (NANDINA) na základe verzie harmonizovaného systému opisu a číselného označovania tovaru (HS) z roku 2007.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39.</w:t>
        <w:tab/>
        <w:t>Výklad ustanovení tohto oddielu vrátane aktualizácie položiek sa riadi všeobecnými poznámkami, poznámkami k triedam a poznámkami ku kapitolám NANDINA. Ak sa ustanovenia tohto oddielu zhodujú s príslušnými ustanoveniami NANDINA, ustanovenia tohto oddielu majú rovnaký význam ako príslušné ustanovenia NANDINA.</w:t>
      </w:r>
    </w:p>
    <w:p w:rsidR="008302FB" w:rsidRPr="00293520" w:rsidP="008302FB">
      <w:pPr>
        <w:bidi w:val="0"/>
        <w:jc w:val="center"/>
        <w:rPr>
          <w:rFonts w:ascii="Times New Roman" w:hAnsi="Times New Roman"/>
          <w:caps/>
          <w:noProof/>
        </w:rPr>
      </w:pPr>
      <w:r w:rsidRPr="00293520">
        <w:rPr>
          <w:rFonts w:ascii="Times New Roman" w:hAnsi="Times New Roman"/>
          <w:b/>
          <w:caps/>
          <w:noProof/>
        </w:rPr>
        <w:br w:type="page"/>
      </w:r>
      <w:r w:rsidRPr="00293520">
        <w:rPr>
          <w:rFonts w:ascii="Times New Roman" w:hAnsi="Times New Roman"/>
          <w:caps/>
          <w:noProof/>
        </w:rPr>
        <w:t>ODDIEL B</w:t>
      </w:r>
    </w:p>
    <w:p w:rsidR="008302FB" w:rsidRPr="00293520" w:rsidP="008302FB">
      <w:pPr>
        <w:bidi w:val="0"/>
        <w:jc w:val="center"/>
        <w:rPr>
          <w:rFonts w:ascii="Times New Roman" w:hAnsi="Times New Roman"/>
          <w:caps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ZOZNAM ODSTRÁNENIA CIEL STRANY EÚ</w:t>
      </w: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smallCaps/>
          <w:noProof/>
        </w:rPr>
      </w:pPr>
      <w:r w:rsidRPr="00293520">
        <w:rPr>
          <w:rFonts w:ascii="Times New Roman" w:hAnsi="Times New Roman"/>
          <w:smallCaps/>
          <w:noProof/>
        </w:rPr>
        <w:t>PODODDIEL 1</w:t>
      </w:r>
    </w:p>
    <w:p w:rsidR="008302FB" w:rsidRPr="00293520" w:rsidP="008302FB">
      <w:pPr>
        <w:bidi w:val="0"/>
        <w:jc w:val="center"/>
        <w:rPr>
          <w:rFonts w:ascii="Times New Roman" w:hAnsi="Times New Roman"/>
          <w:smallCaps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smallCaps/>
          <w:noProof/>
        </w:rPr>
      </w:pPr>
      <w:r w:rsidRPr="00293520">
        <w:rPr>
          <w:rFonts w:ascii="Times New Roman" w:hAnsi="Times New Roman"/>
          <w:noProof/>
        </w:rPr>
        <w:t>ZOZNAM ODSTRÁNENIA CIEL STRANY EÚ</w:t>
      </w:r>
      <w:r>
        <w:rPr>
          <w:rFonts w:ascii="Times New Roman" w:hAnsi="Times New Roman"/>
          <w:noProof/>
        </w:rPr>
        <w:br/>
      </w:r>
      <w:r w:rsidRPr="00293520">
        <w:rPr>
          <w:rFonts w:ascii="Times New Roman" w:hAnsi="Times New Roman"/>
          <w:smallCaps/>
          <w:noProof/>
        </w:rPr>
        <w:t>NA TOVAR S PÔVODOM V KOLUMBII</w:t>
      </w:r>
    </w:p>
    <w:p w:rsidR="008302FB" w:rsidRPr="00293520" w:rsidP="008302FB">
      <w:pPr>
        <w:bidi w:val="0"/>
        <w:jc w:val="center"/>
        <w:rPr>
          <w:rFonts w:ascii="Times New Roman" w:hAnsi="Times New Roman"/>
          <w:smallCaps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smallCaps/>
          <w:noProof/>
        </w:rPr>
      </w:pPr>
    </w:p>
    <w:p w:rsidR="008302FB" w:rsidRPr="00293520" w:rsidP="008302FB">
      <w:pPr>
        <w:bidi w:val="0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A</w:t>
        <w:tab/>
        <w:t>Odstránenie ciel</w:t>
      </w: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  <w:shd w:val="clear" w:color="auto" w:fill="E6ECF9"/>
        </w:rPr>
      </w:pPr>
      <w:r w:rsidRPr="00293520">
        <w:rPr>
          <w:rFonts w:ascii="Times New Roman" w:hAnsi="Times New Roman"/>
          <w:noProof/>
        </w:rPr>
        <w:t>1.</w:t>
        <w:tab/>
        <w:t>Pokiaľ nie je v zozname odstránenia ciel strany EÚ uvedenom v tomto pododdiele (ďalej len „zoznam“) stanovené inak, ďalej uvedené kategórie sa na odstránenie ciel strany EÚ uplatňujú podľa článku 22 (Odstránenie ciel) hlavy III (Obchod s tovarom) tejto dohody: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  <w:shd w:val="clear" w:color="auto" w:fill="E6ECF9"/>
        </w:rPr>
      </w:pPr>
      <w:r w:rsidRPr="00293520">
        <w:rPr>
          <w:rFonts w:ascii="Times New Roman" w:hAnsi="Times New Roman"/>
          <w:noProof/>
        </w:rPr>
        <w:t>a)</w:t>
        <w:tab/>
        <w:t>clo na tovar s pôvodom v Kolumbii (ďalej len „tovar s pôvodom“) uvedený v položkách kategórie postupného znižovania „0“ zoznamu sa úplne odstráni a tento tovar od dátumu nadobudnutia platnosti tejto dohody nepodlieha clu;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b)</w:t>
        <w:tab/>
        <w:t>clo na tovar s pôvodom uvedený v položkách kategórie postupného znižovania „3“ zoznamu sa odstráni počas štyroch rovnakých ročných etáp, ktoré sa začnú od dátumu nadobudnutia platnosti tejto dohody a od tohto dňa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c)</w:t>
        <w:tab/>
        <w:t>clo na tovar s pôvodom uvedený v položkách kategórie postupného znižovania „5“ zoznamu sa odstráni počas šiestich rovnakých ročných etáp, ktoré sa začnú od dátumu nadobudnutia platnosti tejto dohody a od tohto dňa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d)</w:t>
        <w:tab/>
        <w:t>clo na tovar s pôvodom uvedený v položkách kategórie postupného znižovania „7“ zoznamu sa odstráni počas ôsmich rovnakých ročných etáp, ktoré sa začnú od dátumu nadobudnutia platnosti tejto dohody a od tohto dňa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e)</w:t>
        <w:tab/>
        <w:t>clo na tovar s pôvodom uvedený v položkách kategórie postupného znižovania „10“ zoznamu sa odstráni počas jedenástich rovnakých ročných etáp, ktoré sa začnú od dátumu nadobudnutia platnosti tejto dohody a od tohto dňa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f)</w:t>
        <w:tab/>
        <w:t>clo na tovar s pôvodom uvedený v zozname v položkách s označením „20 %“ sa od dátumu nadobudnutia platnosti tejto dohody zníži o 20 %;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g)</w:t>
      </w:r>
      <w:r w:rsidRPr="00293520">
        <w:rPr>
          <w:rFonts w:ascii="Times New Roman" w:hAnsi="Times New Roman"/>
          <w:b/>
          <w:noProof/>
        </w:rPr>
        <w:tab/>
      </w:r>
      <w:r w:rsidRPr="00293520">
        <w:rPr>
          <w:rFonts w:ascii="Times New Roman" w:hAnsi="Times New Roman"/>
          <w:noProof/>
        </w:rPr>
        <w:t>v prípade položiek v zozname kategórie postupného znižovania „–“ sa v súvislosti s odstránením ciel neuplatňuje žiadna povinnosť;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h)</w:t>
        <w:tab/>
        <w:t xml:space="preserve">v prípade položiek kategórie postupného znižovania „AV0“ zoznamu sa prvok cla </w:t>
      </w:r>
      <w:r w:rsidRPr="00293520">
        <w:rPr>
          <w:rFonts w:ascii="Times New Roman" w:hAnsi="Times New Roman"/>
          <w:i/>
          <w:noProof/>
        </w:rPr>
        <w:t>ad valorem</w:t>
      </w:r>
      <w:r w:rsidRPr="00293520">
        <w:rPr>
          <w:rFonts w:ascii="Times New Roman" w:hAnsi="Times New Roman"/>
          <w:noProof/>
        </w:rPr>
        <w:t xml:space="preserve"> odstráni od dátumu nadobudnutia platnosti tejto dohody;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i)</w:t>
        <w:tab/>
        <w:t xml:space="preserve">v prípade položiek kategórie postupného znižovania „AV0-3“ zoznamu sa prvok cla </w:t>
      </w:r>
      <w:r w:rsidRPr="00293520">
        <w:rPr>
          <w:rFonts w:ascii="Times New Roman" w:hAnsi="Times New Roman"/>
          <w:i/>
          <w:noProof/>
        </w:rPr>
        <w:t>ad valorem</w:t>
      </w:r>
      <w:r w:rsidRPr="00293520">
        <w:rPr>
          <w:rFonts w:ascii="Times New Roman" w:hAnsi="Times New Roman"/>
          <w:noProof/>
        </w:rPr>
        <w:t xml:space="preserve"> odstráni od dátumu nadobudnutia platnosti tejto dohody; osobitný prvok cla sa odstráni počas štyroch rovnakých ročných etáp, ktoré sa začnú od dátumu nadobudnutia platnosti tejto dohody a od tohto dňa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j)</w:t>
        <w:tab/>
        <w:t xml:space="preserve">v prípade položiek kategórie postupného znižovania „AV0-5“ zoznamu sa prvok cla </w:t>
      </w:r>
      <w:r w:rsidRPr="00293520">
        <w:rPr>
          <w:rFonts w:ascii="Times New Roman" w:hAnsi="Times New Roman"/>
          <w:i/>
          <w:noProof/>
        </w:rPr>
        <w:t>ad valorem</w:t>
      </w:r>
      <w:r w:rsidRPr="00293520">
        <w:rPr>
          <w:rFonts w:ascii="Times New Roman" w:hAnsi="Times New Roman"/>
          <w:noProof/>
        </w:rPr>
        <w:t xml:space="preserve"> odstráni od dátumu nadobudnutia platnosti tejto dohody; osobitný prvok cla sa odstráni počas šiestich rovnakých ročných etáp, ktoré sa začnú od dátumu nadobudnutia platnosti tejto dohody a od tohto dňa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k)</w:t>
        <w:tab/>
        <w:t xml:space="preserve">v prípade položiek kategórie postupného znižovania „AV0-7“ zoznamu sa prvok cla </w:t>
      </w:r>
      <w:r w:rsidRPr="00293520">
        <w:rPr>
          <w:rFonts w:ascii="Times New Roman" w:hAnsi="Times New Roman"/>
          <w:i/>
          <w:noProof/>
        </w:rPr>
        <w:t>ad valorem</w:t>
      </w:r>
      <w:r w:rsidRPr="00293520">
        <w:rPr>
          <w:rFonts w:ascii="Times New Roman" w:hAnsi="Times New Roman"/>
          <w:noProof/>
        </w:rPr>
        <w:t xml:space="preserve"> odstráni od dátumu nadobudnutia platnosti tejto dohody; osobitný prvok cla sa odstráni počas ôsmich rovnakých ročných etáp, ktoré sa začnú od dátumu nadobudnutia platnosti tejto dohody a od tohto dňa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l)</w:t>
        <w:tab/>
        <w:t xml:space="preserve">clo na tovar s pôvodom uvedený v položkách kategórie postupného znižovania „0 + EP“ zoznamu sa odstráni od dátumu nadobudnutia účinnosti tejto dohody, liberalizácia sa týka iba cla </w:t>
      </w:r>
      <w:r w:rsidRPr="00293520">
        <w:rPr>
          <w:rFonts w:ascii="Times New Roman" w:hAnsi="Times New Roman"/>
          <w:i/>
          <w:noProof/>
        </w:rPr>
        <w:t>ad valorem</w:t>
      </w:r>
      <w:r w:rsidRPr="00293520">
        <w:rPr>
          <w:rFonts w:ascii="Times New Roman" w:hAnsi="Times New Roman"/>
          <w:noProof/>
        </w:rPr>
        <w:t>; osobitné clo súvisiace so systémom vstupných cien uplatniteľné na tento tovar s pôvodom, ako je uvedené v oddiele A dodatku 2 k tejto prílohe, sa zachováva;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m)</w:t>
        <w:tab/>
        <w:t xml:space="preserve">prvok cla </w:t>
      </w:r>
      <w:r w:rsidRPr="00293520">
        <w:rPr>
          <w:rFonts w:ascii="Times New Roman" w:hAnsi="Times New Roman"/>
          <w:i/>
          <w:noProof/>
        </w:rPr>
        <w:t>ad valorem</w:t>
      </w:r>
      <w:r w:rsidRPr="00293520">
        <w:rPr>
          <w:rFonts w:ascii="Times New Roman" w:hAnsi="Times New Roman"/>
          <w:noProof/>
        </w:rPr>
        <w:t xml:space="preserve"> na tovar s pôvodom uvedený v položkách kategórie postupného znižovania „AV0 + EP“ zoznamu sa odstráni od dátumu nadobudnutia účinnosti tejto dohody, liberalizácia sa týka iba cla </w:t>
      </w:r>
      <w:r w:rsidRPr="00293520">
        <w:rPr>
          <w:rFonts w:ascii="Times New Roman" w:hAnsi="Times New Roman"/>
          <w:i/>
          <w:noProof/>
        </w:rPr>
        <w:t>ad valorem</w:t>
      </w:r>
      <w:r w:rsidRPr="00293520">
        <w:rPr>
          <w:rFonts w:ascii="Times New Roman" w:hAnsi="Times New Roman"/>
          <w:noProof/>
        </w:rPr>
        <w:t>; osobitné clo súvisiace so systémom vstupných cien uplatniteľné na tento tovar s pôvodom, ako je uvedené v oddiele A dodatku 2 k tejto prílohe, sa zachováva;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n)</w:t>
        <w:tab/>
        <w:t>na tovar s pôvodom uvedený v položkách kategórie postupného znižovania „BA“ zoznamu sa uplatňuje ďalej uvedené clo: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tbl>
      <w:tblPr>
        <w:tblStyle w:val="TableNormal"/>
        <w:tblW w:w="8520" w:type="dxa"/>
        <w:tblInd w:w="1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0"/>
        <w:gridCol w:w="2340"/>
        <w:gridCol w:w="2820"/>
      </w:tblGrid>
      <w:tr>
        <w:tblPrEx>
          <w:tblW w:w="8520" w:type="dxa"/>
          <w:tblInd w:w="119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val="60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Rok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Preferenčné colné sadzby</w:t>
            </w:r>
          </w:p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(EUR/tona)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Spúšťací objem dovozu (tony)</w:t>
            </w:r>
          </w:p>
        </w:tc>
      </w:tr>
      <w:tr>
        <w:tblPrEx>
          <w:tblW w:w="8520" w:type="dxa"/>
          <w:tblInd w:w="1191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Od 1. januára do 31. decembra 2010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145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1 350 000</w:t>
            </w:r>
          </w:p>
        </w:tc>
      </w:tr>
      <w:tr>
        <w:tblPrEx>
          <w:tblW w:w="8520" w:type="dxa"/>
          <w:tblInd w:w="1191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Od 1. januára do 31. decembra 2011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138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i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1 417 500</w:t>
            </w:r>
          </w:p>
        </w:tc>
      </w:tr>
      <w:tr>
        <w:tblPrEx>
          <w:tblW w:w="8520" w:type="dxa"/>
          <w:tblInd w:w="1191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Od 1. januára do 31. decembra 2012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1 485 000</w:t>
            </w:r>
          </w:p>
        </w:tc>
      </w:tr>
      <w:tr>
        <w:tblPrEx>
          <w:tblW w:w="8520" w:type="dxa"/>
          <w:tblInd w:w="1191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Od 1. januára do 31. decembra 2013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124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1 552 500</w:t>
            </w:r>
          </w:p>
        </w:tc>
      </w:tr>
      <w:tr>
        <w:tblPrEx>
          <w:tblW w:w="8520" w:type="dxa"/>
          <w:tblInd w:w="1191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Od 1. januára do 31. decembra 2014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117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1 620 000</w:t>
            </w:r>
          </w:p>
        </w:tc>
      </w:tr>
      <w:tr>
        <w:tblPrEx>
          <w:tblW w:w="8520" w:type="dxa"/>
          <w:tblInd w:w="1191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Od 1. januára do 31. decembra 2015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110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1 687 500</w:t>
            </w:r>
          </w:p>
        </w:tc>
      </w:tr>
      <w:tr>
        <w:tblPrEx>
          <w:tblW w:w="8520" w:type="dxa"/>
          <w:tblInd w:w="1191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Od 1. januára do 31. decembra 2016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103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1 755 000</w:t>
            </w:r>
          </w:p>
        </w:tc>
      </w:tr>
      <w:tr>
        <w:tblPrEx>
          <w:tblW w:w="8520" w:type="dxa"/>
          <w:tblInd w:w="1191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Od 1. januára do 31. decembra 2017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96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1 822 500</w:t>
            </w:r>
          </w:p>
        </w:tc>
      </w:tr>
      <w:tr>
        <w:tblPrEx>
          <w:tblW w:w="8520" w:type="dxa"/>
          <w:tblInd w:w="1191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Od 1. januára do 31. decembra 2018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89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1 890 000</w:t>
            </w:r>
          </w:p>
        </w:tc>
      </w:tr>
      <w:tr>
        <w:tblPrEx>
          <w:tblW w:w="8520" w:type="dxa"/>
          <w:tblInd w:w="1191" w:type="dxa"/>
          <w:tblLayout w:type="fixed"/>
          <w:tblLook w:val="01E0"/>
        </w:tblPrEx>
        <w:trPr>
          <w:trHeight w:val="309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Od 1. januára do 31. decembra 2019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82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1 957 500</w:t>
            </w:r>
          </w:p>
        </w:tc>
      </w:tr>
      <w:tr>
        <w:tblPrEx>
          <w:tblW w:w="8520" w:type="dxa"/>
          <w:tblInd w:w="1191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Od 1. januára 2020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75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top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neuplatňuje sa</w:t>
            </w:r>
          </w:p>
        </w:tc>
      </w:tr>
    </w:tbl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Preferenčné colné sadzby uvedené v tabuľke sa uplatňujú od dátumu nadobudnutia účinnosti tejto dohody; clo sa neznižuje so spätnou platnosťou;</w:t>
      </w:r>
    </w:p>
    <w:p w:rsidR="008302FB" w:rsidRPr="00293520" w:rsidP="008302FB">
      <w:pPr>
        <w:bidi w:val="0"/>
        <w:ind w:left="1134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Strana EÚ a Kolumbia v roku 2019 preskúmajú zlepšenie liberalizácie ciel na tovar uvedený v kategórii postupného znižovania „BA“;</w:t>
      </w:r>
    </w:p>
    <w:p w:rsidR="008302FB" w:rsidRPr="00293520" w:rsidP="008302FB">
      <w:pPr>
        <w:bidi w:val="0"/>
        <w:ind w:left="1134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Stabilizačná doložka je založená na týchto prvkoch:</w:t>
      </w: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701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i)</w:t>
        <w:tab/>
        <w:t xml:space="preserve">spúšťací objem dovozu je stanovený na dovoz tovaru s pôvodom uvedeného v položkách kategórie postupného znižovania „BA“ na každý rok počas prechodného obdobia, ako je uvedené v treťom stĺpci predtým uvedenej tabuľky; </w:t>
      </w:r>
    </w:p>
    <w:p w:rsidR="008302FB" w:rsidRPr="00293520" w:rsidP="008302FB">
      <w:pPr>
        <w:bidi w:val="0"/>
        <w:ind w:left="1701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701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ii)</w:t>
        <w:tab/>
        <w:t xml:space="preserve">ak sa spúšťací objem dovozu dosiahne počas príslušného kalendárneho roka, strana EÚ môže dočasne pozastaviť preferenčné colné sadzby uplatniteľné počas toho istého roka na obdobie nepresahujúce tri mesiace a maximálne do konca príslušného kalendárneho roka; </w:t>
      </w:r>
    </w:p>
    <w:p w:rsidR="008302FB" w:rsidRPr="00293520" w:rsidP="008302FB">
      <w:pPr>
        <w:bidi w:val="0"/>
        <w:ind w:left="1701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701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iii)</w:t>
        <w:tab/>
        <w:t>ak strana EÚ pozastaví uvedené preferenčné colné sadzby, uplatňuje najnižšiu základnú sadzbu cla alebo doložku najvyšších výhod (ďalej len „DNV“), ktorá sa bude uplatňovať v čase prijatia tohto opatrenia;</w:t>
      </w:r>
    </w:p>
    <w:p w:rsidR="008302FB" w:rsidRPr="00293520" w:rsidP="008302FB">
      <w:pPr>
        <w:bidi w:val="0"/>
        <w:ind w:left="1701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701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iv)</w:t>
        <w:tab/>
        <w:t>ak strana EÚ uplatňuje opatrenia uvedené v pododsekoch ii) a iii), bezodkladne začína konzultovať s Kolumbiou s cieľom analyzovať a posúdiť situáciu na základe dostupných reálnych údajov;</w:t>
      </w:r>
    </w:p>
    <w:p w:rsidR="008302FB" w:rsidRPr="00293520" w:rsidP="008302FB">
      <w:pPr>
        <w:bidi w:val="0"/>
        <w:ind w:left="1701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701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v)</w:t>
        <w:tab/>
        <w:t>opatrenia uvedené v pododsekoch ii) a iii) možno uplatňovať iba počas prechodného obdobia, ktoré sa končí 31. decembra 2019;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ak strana EÚ na tovar uvedený v položkách kategórie postupného znižovania „BA“ dovážaný z Brazílie, Kostariky, Guatemaly, Hondurasu, Nikaraguy, Panamy, Salvádoru, Venezuely alebo z krajín, ktoré sú členmi Andského spoločenstva, strana EÚ uplatňuje nižšie clo ako v prípade Kolumbie, na tovar uvedený v položkách kategórie postupného znižovania „BA“ uplatňuje nižšie z týchto ciel;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o)</w:t>
        <w:tab/>
        <w:t>položky uvedené v kategóriách postupného znižovania „AV0-MM“, „AV0-SC“, „AV0-SP“, „BF“, „CM“, „SR“ a „YT“ sa liberalizujú podľa podmienok uvedených v bode B tohto pododdielu.</w:t>
      </w: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2.</w:t>
        <w:tab/>
        <w:t xml:space="preserve">Základná sadzba a kategória postupného znižovania na stanovenie sadzby cla uplatniteľnej v každej etape znižovania v prípade každej položky sú uvedené v príslušnej položke zoznamu. 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3.</w:t>
        <w:tab/>
        <w:t xml:space="preserve">Na účely odstránenia ciel sa colné sadzby uplatňované v každej etape zaokrúhlia nadol na najbližšiu desatinu percentuálneho bodu alebo ak je colná sadzba vyjadrená v menovej jednotke, najmenej na najbližšiu desatinu eura. 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4.</w:t>
        <w:tab/>
        <w:t>Na účely tohto pododdielu sa prvé zníženie uskutoční od dátumu nadobudnutia platnosti tejto dohody a každé ďalšie zníženie sa uskutoční 1. januára príslušného roka.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5.</w:t>
        <w:tab/>
        <w:t>Ak táto dohoda nadobudne účinnosť po 1. januári a pred 31. decembrom toho istého kalendárneho roka, množstvo v rámci kvóty sa pomerne rozdelí na zvyšok tohto kalendárneho roka.</w:t>
      </w: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B</w:t>
        <w:tab/>
        <w:t>Colné kvóty na osobitný tovar</w:t>
      </w: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Odo dňa nadobudnutia platnosti tejto dohody sa na dovoz tovaru s pôvodom do strany EÚ každý rok uplatňuje ďalej uvedené zníženie colných sadzieb:</w:t>
      </w: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Strana EÚ umožňuje bezcolný dovoz týchto množstiev a tovaru:</w:t>
      </w: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a)</w:t>
        <w:tab/>
        <w:t xml:space="preserve">v prípade tovaru uvedeného v kategórii postupného znižovania „AV0-MM“ súhrnné množstvo 100 ton, pričom toto množstvo sa každoročne zvyšuje o 5 ton; v prípade množstva presahujúceho súhrnné množstvo pre každý rok sa prvok cla </w:t>
      </w:r>
      <w:r w:rsidRPr="00293520">
        <w:rPr>
          <w:rFonts w:ascii="Times New Roman" w:hAnsi="Times New Roman"/>
          <w:i/>
          <w:noProof/>
        </w:rPr>
        <w:t>ad valorem</w:t>
      </w:r>
      <w:r w:rsidRPr="00293520">
        <w:rPr>
          <w:rFonts w:ascii="Times New Roman" w:hAnsi="Times New Roman"/>
          <w:noProof/>
        </w:rPr>
        <w:t xml:space="preserve"> odstráni od dátumu nadobudnutia platnosti tejto dohody;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b)</w:t>
        <w:tab/>
        <w:t xml:space="preserve">v prípade tovaru uvedeného v kategórii postupného znižovania „AV0-SC“ súhrnné množstvo 200 ton, pričom toto množstvo sa každoročne zvyšuje o 10 ton; v prípade množstva presahujúceho súhrnné množstvo pre každý rok sa prvok cla </w:t>
      </w:r>
      <w:r w:rsidRPr="00293520">
        <w:rPr>
          <w:rFonts w:ascii="Times New Roman" w:hAnsi="Times New Roman"/>
          <w:i/>
          <w:noProof/>
        </w:rPr>
        <w:t>ad valorem</w:t>
      </w:r>
      <w:r w:rsidRPr="00293520">
        <w:rPr>
          <w:rFonts w:ascii="Times New Roman" w:hAnsi="Times New Roman"/>
          <w:noProof/>
        </w:rPr>
        <w:t xml:space="preserve"> odstráni od dátumu nadobudnutia platnosti tejto dohody;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c)</w:t>
        <w:tab/>
        <w:t xml:space="preserve">v prípade tovaru uvedeného v kategórii postupného znižovania „AV0-SP“ súhrnné množstvo 20 000 ton, pričom toto množstvo sa každoročne zvyšuje o 600 ton; v prípade množstva presahujúceho súhrnné množstvo pre každý rok sa prvok cla </w:t>
      </w:r>
      <w:r w:rsidRPr="00293520">
        <w:rPr>
          <w:rFonts w:ascii="Times New Roman" w:hAnsi="Times New Roman"/>
          <w:i/>
          <w:noProof/>
        </w:rPr>
        <w:t>ad valorem</w:t>
      </w:r>
      <w:r w:rsidRPr="00293520">
        <w:rPr>
          <w:rFonts w:ascii="Times New Roman" w:hAnsi="Times New Roman"/>
          <w:noProof/>
        </w:rPr>
        <w:t xml:space="preserve"> odstráni od dátumu nadobudnutia platnosti tejto dohody;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d)</w:t>
        <w:tab/>
        <w:t>v prípade tovaru uvedeného v kategórii postupného znižovania „BF“ súhrnné množstvo 5 600 ton, pričom toto množstvo sa každoročne zvyšuje o 560 ton (vyjadrené v hmotnosti produktu);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e)</w:t>
        <w:tab/>
        <w:t>v prípade tovaru uvedeného v kategórii postupného znižovania „CM“ súhrnné množstvo 100 ton, pričom toto množstvo sa každoročne zvyšuje o 5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f)</w:t>
        <w:tab/>
        <w:t>v prípade tovaru uvedeného v kategórii postupného znižovania „RM“ súhrnné množstvo 1 500 hektolitrov, pričom toto množstvo sa každoročne zvyšuje o 100 hektolitrov (vyjadrené v ekvivalentoch čistého alkoholu);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g)</w:t>
        <w:tab/>
        <w:t>v prípade tovaru uvedeného v kategórii postupného znižovania „SR“ súhrnné množstvo 62 000 ton, pričom toto množstvo sa každoročne zvyšuje o 1 860 ton (vyjadrené v ekvivalentoch surového cukru);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h)</w:t>
        <w:tab/>
        <w:t>v prípade tovaru uvedeného v kategórii postupného znižovania „YT“ súhrnné množstvo 100 ton, pričom toto množstvo sa každoročne zvyšuje o 5 ton.</w:t>
      </w:r>
    </w:p>
    <w:p w:rsidR="008302FB" w:rsidRPr="00293520" w:rsidP="008302FB">
      <w:pPr>
        <w:bidi w:val="0"/>
        <w:rPr>
          <w:rFonts w:ascii="Times New Roman" w:hAnsi="Times New Roman"/>
          <w:smallCaps/>
          <w:noProof/>
        </w:rPr>
      </w:pPr>
    </w:p>
    <w:p w:rsidR="008302FB" w:rsidRPr="00293520" w:rsidP="008302FB">
      <w:pPr>
        <w:bidi w:val="0"/>
        <w:rPr>
          <w:rFonts w:ascii="Times New Roman" w:hAnsi="Times New Roman"/>
          <w:smallCaps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b/>
          <w:noProof/>
        </w:rPr>
        <w:br w:type="page"/>
      </w:r>
      <w:r w:rsidRPr="00293520">
        <w:rPr>
          <w:rFonts w:ascii="Times New Roman" w:hAnsi="Times New Roman"/>
          <w:noProof/>
        </w:rPr>
        <w:t>ZOZNAM ODSTRÁNENIA CIEL STRANY EÚ</w:t>
      </w: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VŠEOBECNÉ POZNÁMKY</w:t>
      </w: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</w:p>
    <w:p w:rsidR="008302FB" w:rsidP="008302FB">
      <w:pPr>
        <w:bidi w:val="0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Vzťah ku kombinovanej nomenklatúre (ďalej len „KN“) Európskej únie: Ustanovenia tohto zoznamu sú vo všeobecnosti vyjadrené podľa KN 2007 a výklad ustanovení tohto zoznamu vrátane pokrytia produktov v podpoložkách tohto zoznamu sa riadi všeobecnými poznámkami, poznámkami k triedam a poznámkami ku kapitolám KN. Ak sa ustanovenia tohto zoznamu zhodujú s príslušnými ustanoveniami KN, ustanovenia tohto zoznamu majú rovnaký význam ako príslušné ustanovenia KN.</w:t>
      </w:r>
    </w:p>
    <w:p w:rsidR="008302FB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PODODDIEL 2</w:t>
      </w: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caps/>
          <w:noProof/>
        </w:rPr>
      </w:pPr>
      <w:r w:rsidRPr="00293520">
        <w:rPr>
          <w:rFonts w:ascii="Times New Roman" w:hAnsi="Times New Roman"/>
          <w:caps/>
          <w:noProof/>
        </w:rPr>
        <w:t>Zoznam odstránenia ciel STRANY EÚ</w:t>
      </w: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NA TOVAR S PÔVODOM V PERU</w:t>
      </w:r>
    </w:p>
    <w:p w:rsidR="008302FB" w:rsidRPr="00293520" w:rsidP="008302FB">
      <w:pPr>
        <w:bidi w:val="0"/>
        <w:jc w:val="center"/>
        <w:rPr>
          <w:rFonts w:ascii="Times New Roman" w:hAnsi="Times New Roman"/>
          <w:b/>
          <w:caps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1.</w:t>
        <w:tab/>
        <w:t xml:space="preserve">Základná sadzba cla a kategória postupného znižovania na stanovenie dočasnej sadzby cla uplatniteľnej v každej etape znižovania v prípade každej položky sú uvedené v zozname odstránenia ciel strany EÚ, ktorý je súčasťou tohto pododdielu (ďalej len „zoznam“). 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2.</w:t>
        <w:tab/>
        <w:t xml:space="preserve">Na účely odstránenia ciel sa dočasné colné sadzby uplatňované v každej etape zaokrúhlia nadol na najbližšiu desatinu percentuálneho bodu alebo ak je colná sadzba vyjadrená v menovej jednotke, najmenej na najbližšiu desatinu eura. 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3.</w:t>
        <w:tab/>
        <w:t>Na účely tohto pododdielu znamená „prvý rok“ rok, v ktorom táto dohoda nadobudla platnosť, ako je stanovené v článku 330 (nadobudnutie platnosti) tejto dohody.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4.</w:t>
        <w:tab/>
        <w:t>Na účely tohto pododdielu sa od druhého roka každé ročné zníženie uskutočňuje s účinnosťou od 1. januára príslušného roka.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5.</w:t>
        <w:tab/>
        <w:t>Ak táto dohoda nadobudne účinnosť po 1. januári a pred 31. decembrom toho istého kalendárneho roka, množstvo v rámci kvóty sa pomerne rozdelí na zvyšok tohto kalendárneho roka.</w:t>
      </w:r>
    </w:p>
    <w:p w:rsidR="008302FB" w:rsidRPr="00293520" w:rsidP="008302FB">
      <w:pPr>
        <w:bidi w:val="0"/>
        <w:outlineLvl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outlineLvl w:val="0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b/>
          <w:noProof/>
        </w:rPr>
        <w:br w:type="page"/>
      </w:r>
      <w:r w:rsidRPr="00293520">
        <w:rPr>
          <w:rFonts w:ascii="Times New Roman" w:hAnsi="Times New Roman"/>
          <w:noProof/>
        </w:rPr>
        <w:t>A</w:t>
        <w:tab/>
        <w:t>Odstránenie ciel</w:t>
      </w:r>
    </w:p>
    <w:p w:rsidR="008302FB" w:rsidRPr="00293520" w:rsidP="008302FB">
      <w:pPr>
        <w:bidi w:val="0"/>
        <w:outlineLvl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  <w:shd w:val="clear" w:color="auto" w:fill="E6ECF9"/>
        </w:rPr>
      </w:pPr>
      <w:r w:rsidRPr="00293520">
        <w:rPr>
          <w:rFonts w:ascii="Times New Roman" w:hAnsi="Times New Roman"/>
          <w:noProof/>
        </w:rPr>
        <w:t xml:space="preserve">Pokiaľ nie je v zozname stanovené inak, ďalej uvedené kategórie sa na odstránenie ciel strany EÚ uplatňujú podľa článku 22 (Odstránenie ciel) hlavy III (Obchod s tovarom) tejto dohody: 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  <w:shd w:val="clear" w:color="auto" w:fill="E6ECF9"/>
        </w:rPr>
      </w:pPr>
      <w:r w:rsidRPr="00293520">
        <w:rPr>
          <w:rFonts w:ascii="Times New Roman" w:hAnsi="Times New Roman"/>
          <w:noProof/>
        </w:rPr>
        <w:t>a)</w:t>
        <w:tab/>
        <w:t>clo na tovar s pôvodom v Peru (ďalej len „tovar s pôvodom“) uvedený v položkách kategórie postupného znižovania (ďalej len „kategória“) „0“ zoznamu sa úplne odstráni a tento tovar od dátumu nadobudnutia platnosti tejto dohody nepodlieha clu;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b)</w:t>
        <w:tab/>
        <w:t>clo na tovar s pôvodom uvedený v položkách kategórie „3“ zoznamu sa odstráni počas štyroch rovnakých ročných etáp, ktoré sa začnú od dátumu nadobudnutia platnosti tejto dohody a od 1. januára štvrtého roka sa na takýto tovar neuplatňuje žiadne clo;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c)</w:t>
        <w:tab/>
        <w:t>clo na tovar s pôvodom uvedený v položkách kategórie „5“ zoznamu sa odstráni počas šiestich rovnakých ročných etáp, ktoré sa začnú od dátumu nadobudnutia platnosti tejto dohody a od 1. januára šiesteho roka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d)</w:t>
        <w:tab/>
        <w:t>clo na tovar s pôvodom uvedený v položkách kategórie „7“ zoznamu sa odstráni počas ôsmich rovnakých ročných etáp, ktoré sa začnú od dátumu nadobudnutia platnosti tejto dohody a od 1. januára ôsmeho roka sa na takýto tovar neuplatňuje žiadne clo;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e)</w:t>
        <w:tab/>
        <w:t>clo na tovar s pôvodom uvedený v položkách kategórie „10“ zoznamu sa odstráni počas jedenástich rovnakých ročných etáp, ktoré sa začnú od dátumu nadobudnutia platnosti tejto dohody a od 1. januára jedenásteho roka sa na takýto tovar neuplatňuje žiadne clo;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f)</w:t>
        <w:tab/>
        <w:t>clo na tovar s pôvodom uvedený v položkách kategórie „–“ zoznamu zostáva na úrovni základnej sadzby; na tento tovar sa nevzťahuje žiadne odstránenie ani zníženie;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g)</w:t>
        <w:tab/>
        <w:t xml:space="preserve">v prípade tovaru s pôvodom kategórie „AV0“ zoznamu sa prvok cla </w:t>
      </w:r>
      <w:r w:rsidRPr="00293520">
        <w:rPr>
          <w:rFonts w:ascii="Times New Roman" w:hAnsi="Times New Roman"/>
          <w:i/>
          <w:noProof/>
        </w:rPr>
        <w:t>ad valorem</w:t>
      </w:r>
      <w:r w:rsidRPr="00293520">
        <w:rPr>
          <w:rFonts w:ascii="Times New Roman" w:hAnsi="Times New Roman"/>
          <w:noProof/>
        </w:rPr>
        <w:t xml:space="preserve"> odstraňuje od dátumu nadobudnutia platnosti tejto dohody;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h)</w:t>
        <w:tab/>
        <w:t>v prípade tovaru s pôvodom kategórie „EP“ zoznamu sa zachováva systém vstupných cien uvedený v oddiele B dodatku 2 k tejto prílohe;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i)</w:t>
        <w:tab/>
        <w:t xml:space="preserve">na tovar s pôvodom uvedený v položkách kategórie postupného znižovania „BA“ zoznamu sa uplatňuje ďalej uvedené clo: 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tbl>
      <w:tblPr>
        <w:tblStyle w:val="TableNormal"/>
        <w:tblW w:w="8520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0"/>
        <w:gridCol w:w="2220"/>
        <w:gridCol w:w="2940"/>
      </w:tblGrid>
      <w:tr>
        <w:tblPrEx>
          <w:tblW w:w="8520" w:type="dxa"/>
          <w:tblInd w:w="70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val="60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Rok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Preferenčné colné sadzby</w:t>
            </w:r>
          </w:p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(EUR/tona)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Spúšťací objem dovozu</w:t>
            </w:r>
          </w:p>
          <w:p w:rsidR="008302FB" w:rsidRPr="0029352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(tony)</w:t>
            </w:r>
          </w:p>
        </w:tc>
      </w:tr>
      <w:tr>
        <w:tblPrEx>
          <w:tblW w:w="8520" w:type="dxa"/>
          <w:tblInd w:w="709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Od 1. januára do 31. decembra 2010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145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67 500</w:t>
            </w:r>
          </w:p>
        </w:tc>
      </w:tr>
      <w:tr>
        <w:tblPrEx>
          <w:tblW w:w="8520" w:type="dxa"/>
          <w:tblInd w:w="709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Od 1. januára do 31. decembra 2011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138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293520">
              <w:rPr>
                <w:rFonts w:ascii="Times New Roman" w:hAnsi="Times New Roman"/>
                <w:noProof/>
                <w:sz w:val="20"/>
              </w:rPr>
              <w:t>71 250</w:t>
            </w:r>
          </w:p>
        </w:tc>
      </w:tr>
      <w:tr>
        <w:tblPrEx>
          <w:tblW w:w="8520" w:type="dxa"/>
          <w:tblInd w:w="709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Od 1. januára do 31. decembra 2012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131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75 000</w:t>
            </w:r>
          </w:p>
        </w:tc>
      </w:tr>
      <w:tr>
        <w:tblPrEx>
          <w:tblW w:w="8520" w:type="dxa"/>
          <w:tblInd w:w="709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Od 1. januára do 31. decembra 2013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124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78 750</w:t>
            </w:r>
          </w:p>
        </w:tc>
      </w:tr>
      <w:tr>
        <w:tblPrEx>
          <w:tblW w:w="8520" w:type="dxa"/>
          <w:tblInd w:w="709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Od 1. januára do 31. decembra 2014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117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82 500</w:t>
            </w:r>
          </w:p>
        </w:tc>
      </w:tr>
      <w:tr>
        <w:tblPrEx>
          <w:tblW w:w="8520" w:type="dxa"/>
          <w:tblInd w:w="709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Od 1. januára do 31. decembra 2015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110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86 250</w:t>
            </w:r>
          </w:p>
        </w:tc>
      </w:tr>
      <w:tr>
        <w:tblPrEx>
          <w:tblW w:w="8520" w:type="dxa"/>
          <w:tblInd w:w="709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Od 1. januára do 31. decembra 2016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103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90 000</w:t>
            </w:r>
          </w:p>
        </w:tc>
      </w:tr>
      <w:tr>
        <w:tblPrEx>
          <w:tblW w:w="8520" w:type="dxa"/>
          <w:tblInd w:w="709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Od 1. januára do 31. decembra 2017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96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93 750</w:t>
            </w:r>
          </w:p>
        </w:tc>
      </w:tr>
      <w:tr>
        <w:tblPrEx>
          <w:tblW w:w="8520" w:type="dxa"/>
          <w:tblInd w:w="709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Od 1. januára do 31. decembra 2018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89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97 500</w:t>
            </w:r>
          </w:p>
        </w:tc>
      </w:tr>
      <w:tr>
        <w:tblPrEx>
          <w:tblW w:w="8520" w:type="dxa"/>
          <w:tblInd w:w="709" w:type="dxa"/>
          <w:tblLayout w:type="fixed"/>
          <w:tblLook w:val="01E0"/>
        </w:tblPrEx>
        <w:trPr>
          <w:trHeight w:val="309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Od 1. januára do 31. decembra 2019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82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101 250</w:t>
            </w:r>
          </w:p>
        </w:tc>
      </w:tr>
      <w:tr>
        <w:tblPrEx>
          <w:tblW w:w="8520" w:type="dxa"/>
          <w:tblInd w:w="709" w:type="dxa"/>
          <w:tblLayout w:type="fixed"/>
          <w:tblLook w:val="01E0"/>
        </w:tblPrEx>
        <w:trPr>
          <w:trHeight w:val="293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Od 1. januára 2020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sz w:val="20"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75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302FB" w:rsidRPr="00293520" w:rsidP="00982568">
            <w:pPr>
              <w:pStyle w:val="Text1"/>
              <w:bidi w:val="0"/>
              <w:spacing w:before="0" w:after="0"/>
              <w:ind w:left="0"/>
              <w:jc w:val="center"/>
              <w:rPr>
                <w:rFonts w:ascii="Times New Roman" w:hAnsi="Times New Roman"/>
                <w:noProof/>
                <w:lang w:val="sk-SK"/>
              </w:rPr>
            </w:pPr>
            <w:r w:rsidRPr="00293520">
              <w:rPr>
                <w:rFonts w:ascii="Times New Roman" w:hAnsi="Times New Roman"/>
                <w:noProof/>
                <w:sz w:val="20"/>
                <w:lang w:val="sk-SK"/>
              </w:rPr>
              <w:t>neuplatňuje sa</w:t>
            </w:r>
          </w:p>
        </w:tc>
      </w:tr>
    </w:tbl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Preferenčné colné sadzby uvedené v tabuľke sa uplatňujú od dátumu nadobudnutia účinnosti tejto dohody; clo sa neznižuje so spätnou platnosťou;</w:t>
      </w:r>
    </w:p>
    <w:p w:rsidR="008302FB" w:rsidRPr="00293520" w:rsidP="008302FB">
      <w:pPr>
        <w:bidi w:val="0"/>
        <w:ind w:left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Strana EÚ a Peru v roku 2019 preskúmajú zlepšenie liberalizácie ciel na tovar uvedený v kategórii „BA“;</w:t>
      </w:r>
    </w:p>
    <w:p w:rsidR="008302FB" w:rsidRPr="00293520" w:rsidP="008302FB">
      <w:pPr>
        <w:bidi w:val="0"/>
        <w:ind w:left="1134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Stabilizačná doložka je založená na týchto prvkoch:</w:t>
      </w:r>
    </w:p>
    <w:p w:rsidR="008302FB" w:rsidRPr="00293520" w:rsidP="008302FB">
      <w:pPr>
        <w:bidi w:val="0"/>
        <w:ind w:left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i)</w:t>
        <w:tab/>
        <w:t xml:space="preserve">spúšťací objem dovozu (ďalej len „spúšťací objem“) je stanovený na dovoz tovaru s pôvodom uvedeného v položkách kategórie „BA“ na každý rok počas prechodného obdobia, ako je uvedené v treťom stĺpci predtým uvedenej tabuľky; 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ii)</w:t>
        <w:tab/>
        <w:t xml:space="preserve">ak sa spúšťací objem dovozu dosiahne počas príslušného kalendárneho roka, strana EÚ môže dočasne pozastaviť preferenčné colné sadzby uplatniteľné počas toho istého roka na obdobie nepresahujúce tri mesiace a maximálne do konca príslušného kalendárneho roka; 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iii)</w:t>
        <w:tab/>
        <w:t>ak strana EÚ pozastaví uvedené preferenčné colné sadzby, uplatňuje najnižšiu základnú sadzbu cla alebo doložku najvyšších výhod (ďalej len „DNV“), ktorá sa bude uplatňovať v čase prijatia tohto opatrenia;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iv)</w:t>
        <w:tab/>
        <w:t>ak strana EÚ uplatňuje opatrenia uvedené v odsekoch ii) a iii), bezodkladne začína konzultovať s Peru s cieľom analyzovať a posúdiť situáciu na základe dostupných reálnych údajov;</w:t>
      </w:r>
    </w:p>
    <w:p w:rsidR="008302FB" w:rsidRPr="00293520" w:rsidP="008302FB">
      <w:pPr>
        <w:bidi w:val="0"/>
        <w:ind w:left="1701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v)</w:t>
        <w:tab/>
        <w:t>opatrenia uvedené v odsekoch ii) a iii) možno uplatňovať iba počas prechodného obdobia, ktoré sa končí 31. decembra 2019;</w:t>
      </w:r>
    </w:p>
    <w:p w:rsidR="008302FB" w:rsidRPr="00293520" w:rsidP="008302FB">
      <w:pPr>
        <w:bidi w:val="0"/>
        <w:ind w:left="1701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j)</w:t>
        <w:tab/>
        <w:t>tovar s pôvodom v Peru uvedený v položkách kategórie „BF“, „BK“, „BR“, „CE“, „GC“, „IE“, „ME“, „MM“, „MP1“, „MP2“, „PK“, „PY“, „RE“, „RM“, „SC“, „SP“, „SR“ a „YT“ sa liberalizuje v rámci colnej kvóty podľa podmienok stanovených v bode B tohto pododdielu.</w:t>
      </w:r>
    </w:p>
    <w:p w:rsidR="008302FB" w:rsidRPr="00293520" w:rsidP="008302FB">
      <w:pPr>
        <w:bidi w:val="0"/>
        <w:ind w:left="1701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outlineLvl w:val="0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B</w:t>
        <w:tab/>
        <w:t>Colné kvóty na osobitný tovar</w:t>
      </w:r>
    </w:p>
    <w:p w:rsidR="008302FB" w:rsidRPr="00293520" w:rsidP="008302FB">
      <w:pPr>
        <w:bidi w:val="0"/>
        <w:outlineLvl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Odo dňa nadobudnutia platnosti tejto dohody sa na dovoz tovaru s pôvodom do strany EÚ každý rok uplatňuje ďalej uvedené zníženie colných sadzieb:</w:t>
      </w: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Strana EÚ umožňuje bezcolný dovoz týchto množstiev a tovaru:</w:t>
      </w: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a)</w:t>
        <w:tab/>
        <w:t>v prípade tovaru uvedeného v kategórii „BF“ súhrnné množstvo</w:t>
      </w:r>
      <w:r>
        <w:rPr>
          <w:rStyle w:val="FootnoteReference"/>
          <w:rFonts w:ascii="Times New Roman" w:hAnsi="Times New Roman"/>
          <w:noProof/>
          <w:rtl w:val="0"/>
        </w:rPr>
        <w:footnoteReference w:id="2"/>
      </w:r>
      <w:r w:rsidRPr="00293520">
        <w:rPr>
          <w:rFonts w:ascii="Times New Roman" w:hAnsi="Times New Roman"/>
          <w:noProof/>
        </w:rPr>
        <w:t xml:space="preserve"> 2 150 ton, pričom toto množstvo sa každoročne zvyšuje o 215 ton;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b)</w:t>
        <w:tab/>
        <w:t>v prípade tovaru uvedeného v kategórii „BK“ súhrnné množstvo 1 900 ton, pričom toto množstvo sa každoročne zvyšuje o 190 ton;</w:t>
      </w: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c)</w:t>
        <w:tab/>
        <w:t>v prípade tovaru uvedeného v kategórii „BR“ súhrnné množstvo 500 ton, pričom toto množstvo sa každoročne zvyšuje o 50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d)</w:t>
        <w:tab/>
        <w:t>v prípade tovaru uvedeného v kategórii „CE“ súhrnné množstvo 2 500 ton, pričom toto množstvo sa každoročne zvyšuje o 250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e)</w:t>
        <w:tab/>
        <w:t>v prípade tovaru uvedeného v kategórii „GC“ súhrnné množstvo 750 ton, pričom toto množstvo sa každoročne zvyšuje o 75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f)</w:t>
        <w:tab/>
        <w:t>v prípade tovaru uvedeného v kategórii „IE“ súhrnné množstvo 150 ton, pričom toto množstvo sa každoročne zvyšuje o 15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g)</w:t>
        <w:tab/>
        <w:t>v prípade tovaru uvedeného v kategórii „ME“ súhrnné množstvo 10 000 ton, pričom toto množstvo sa každoročne zvyšuje o 1 000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h)</w:t>
        <w:tab/>
        <w:t>v prípade tovaru uvedeného v kategórii „MM“ súhrnné množstvo 100 ton, pričom toto množstvo sa každoročne zvyšuje o 10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i)</w:t>
        <w:tab/>
        <w:t>v prípade tovaru uvedeného v kategórii „MP1“ súhrnné množstvo 3 000 ton, pričom toto množstvo sa každoročne zvyšuje o 300 ton;</w:t>
      </w: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j)</w:t>
        <w:tab/>
        <w:t>v prípade tovaru uvedeného v kategórii „MP2“ súhrnné množstvo 6 000 ton, pričom toto množstvo sa každoročne zvyšuje o 600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k)</w:t>
        <w:tab/>
        <w:t>v prípade tovaru uvedeného v kategórii „PK“ súhrnné množstvo 4 000 ton, pričom toto množstvo sa každoročne zvyšuje o 400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l)</w:t>
        <w:tab/>
        <w:t>v prípade tovaru uvedeného v kategórii „PY“ súhrnné množstvo 7 500 ton, pričom toto množstvo sa každoročne zvyšuje o 750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m)</w:t>
        <w:tab/>
        <w:t>v prípade tovaru uvedeného v kategórii „RE“ súhrnné množstvo 34 000 ton, pričom toto množstvo sa každoročne zvyšuje o 3 400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n)</w:t>
        <w:tab/>
        <w:t>v prípade tovaru uvedeného v kategórii „RM“ súhrnné množstvo 1 000 hektolitrov, pričom toto množstvo sa každoročne zvyšuje o 100 hektolitrov (vyjadrené v ekvivalentoch čistého alkoholu);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o)</w:t>
        <w:tab/>
        <w:t>v prípade tovaru uvedeného v kategórii „SC“ súhrnné množstvo 700 ton, pričom toto množstvo sa každoročne zvyšuje o 70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p)</w:t>
        <w:tab/>
        <w:t>v prípade tovaru uvedeného v kategórii „SP“ súhrnné množstvo 10 000 ton, pričom toto množstvo sa každoročne zvyšuje o 300 ton;</w:t>
      </w:r>
    </w:p>
    <w:p w:rsidR="008302FB" w:rsidRPr="00293520" w:rsidP="008302FB">
      <w:pPr>
        <w:bidi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q)</w:t>
        <w:tab/>
        <w:t>v prípade tovaru uvedeného v kategórii „SR“ súhrnné množstvo 22 000 ton, pričom toto množstvo sa každoročne zvyšuje o 660 ton (vyjadrené v ekvivalentoch surového cukru);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r)</w:t>
        <w:tab/>
        <w:t>v prípade tovaru uvedeného v kategórii „YT“ súhrnné množstvo 30 ton, pričom toto množstvo sa každoročne zvyšuje o 3 tony.</w:t>
      </w:r>
    </w:p>
    <w:p w:rsidR="008302FB" w:rsidRPr="00293520" w:rsidP="008302FB">
      <w:pPr>
        <w:bidi w:val="0"/>
        <w:outlineLvl w:val="0"/>
        <w:rPr>
          <w:rFonts w:ascii="Times New Roman" w:hAnsi="Times New Roman"/>
          <w:smallCaps/>
          <w:noProof/>
        </w:rPr>
      </w:pPr>
    </w:p>
    <w:p w:rsidR="008302FB" w:rsidRPr="00293520" w:rsidP="008302FB">
      <w:pPr>
        <w:bidi w:val="0"/>
        <w:outlineLvl w:val="0"/>
        <w:rPr>
          <w:rFonts w:ascii="Times New Roman" w:hAnsi="Times New Roman"/>
          <w:smallCaps/>
          <w:noProof/>
        </w:rPr>
      </w:pPr>
    </w:p>
    <w:p w:rsidR="008302FB" w:rsidRPr="00293520" w:rsidP="008302FB">
      <w:pPr>
        <w:bidi w:val="0"/>
        <w:jc w:val="center"/>
        <w:outlineLvl w:val="0"/>
        <w:rPr>
          <w:rFonts w:ascii="Times New Roman" w:hAnsi="Times New Roman"/>
          <w:smallCaps/>
          <w:noProof/>
        </w:rPr>
      </w:pPr>
      <w:r w:rsidRPr="00293520">
        <w:rPr>
          <w:rFonts w:ascii="Times New Roman" w:hAnsi="Times New Roman"/>
          <w:smallCaps/>
          <w:noProof/>
        </w:rPr>
        <w:t>ZOZNAM ODSTRÁNENIA CIEL STRANY EÚ</w:t>
      </w:r>
    </w:p>
    <w:p w:rsidR="008302FB" w:rsidRPr="00293520" w:rsidP="008302FB">
      <w:pPr>
        <w:bidi w:val="0"/>
        <w:jc w:val="center"/>
        <w:outlineLvl w:val="0"/>
        <w:rPr>
          <w:rFonts w:ascii="Times New Roman" w:hAnsi="Times New Roman"/>
          <w:smallCaps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smallCaps/>
          <w:noProof/>
        </w:rPr>
      </w:pPr>
      <w:r w:rsidRPr="00293520">
        <w:rPr>
          <w:rFonts w:ascii="Times New Roman" w:hAnsi="Times New Roman"/>
          <w:smallCaps/>
          <w:noProof/>
        </w:rPr>
        <w:t>VŠEOBECNÉ POZNÁMKY</w:t>
      </w:r>
    </w:p>
    <w:p w:rsidR="008302FB" w:rsidRPr="00293520" w:rsidP="008302FB">
      <w:pPr>
        <w:bidi w:val="0"/>
        <w:jc w:val="center"/>
        <w:rPr>
          <w:rFonts w:ascii="Times New Roman" w:hAnsi="Times New Roman"/>
          <w:smallCaps/>
          <w:noProof/>
        </w:rPr>
      </w:pPr>
    </w:p>
    <w:p w:rsidR="008302FB" w:rsidRPr="00293520" w:rsidP="008302FB">
      <w:pPr>
        <w:bidi w:val="0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Vzťah ku kombinovanej nomenklatúre (ďalej len „KN“) Európskej únie: Ustanovenia tohto zoznamu sú vo všeobecnosti vyjadrené ako KN a výklad ustanovení tohto zoznamu vrátane pokrytia výrobku v podpoložkách tohto zoznamu sa riadi všeobecnými poznámkami, poznámkami k triedam a poznámkami ku kapitolám KN. Ak sa ustanovenia tohto zoznamu zhodujú s príslušnými ustanoveniami KN, ustanovenia tohto zoznamu majú rovnaký význam ako príslušné ustanovenia KN.</w:t>
      </w: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b/>
          <w:smallCaps/>
          <w:noProof/>
        </w:rPr>
        <w:br w:type="page"/>
      </w:r>
      <w:r w:rsidRPr="00293520">
        <w:rPr>
          <w:rFonts w:ascii="Times New Roman" w:hAnsi="Times New Roman"/>
          <w:noProof/>
        </w:rPr>
        <w:t>ODDIEL C</w:t>
      </w: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ZOZNAM ODSTRÁNENIA CIEL PERU</w:t>
        <w:br/>
        <w:t>NA TOVAR S PÔVODOM V EURÓPSKEJ ÚNII</w:t>
      </w: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1.</w:t>
        <w:tab/>
        <w:t>Pokiaľ nie je v zozname odstránenia ciel Peru uvedenom v tomto oddiele (ďalej len „zoznam“) stanovené inak, ďalej uvedené kategórie postupného znižovania ciel sa na odstránenie ciel Peru uplatňujú podľa odseku 1 článku 22 (Odstránenie ciel) hlavy III (Obchod s tovarom) tejto dohody: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a)</w:t>
        <w:tab/>
        <w:t>clo na tovar s pôvodom v Európskej únii (ďalej len „tovar s pôvodom“) uvedený v položkách kategórie postupného znižovania (ďalej len „kategória“) „0“ zoznamu sa úplne odstráni a tento tovar od dátumu nadobudnutia platnosti tejto dohody nepodlieha clu;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b)</w:t>
        <w:tab/>
        <w:t>clo na tovar s pôvodom uvedený v položkách kategórie „3“ zoznamu sa odstráni počas štyroch rovnakých ročných etáp, ktoré sa začnú od dátumu nadobudnutia platnosti tejto dohody a od 1. januára štvrtého roka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c)</w:t>
        <w:tab/>
        <w:t>clo na tovar s pôvodom uvedený v položkách kategórie „5“ zoznamu sa odstráni počas šiestich rovnakých ročných etáp, ktoré sa začnú od dátumu nadobudnutia platnosti tejto dohody a od 1. januára šiesteho roka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 xml:space="preserve">d) </w:t>
        <w:tab/>
        <w:t>clo na tovar s pôvodom uvedený v položkách kategórie „6“ zoznamu sa odstráni počas siedmich rovnakých ročných etáp, ktoré sa začnú od dátumu nadobudnutia platnosti tejto dohody a od 1. januára siedmeho roka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e)</w:t>
        <w:tab/>
        <w:t>clo na tovar s pôvodom uvedený v položkách kategórie „7“ zoznamu sa odstráni počas ôsmich rovnakých ročných etáp, ktoré sa začnú od dátumu nadobudnutia platnosti tejto dohody a od 1. januára ôsmeho roka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f)</w:t>
        <w:tab/>
        <w:t>clo na tovar s pôvodom uvedený v položkách kategórie „10“ zoznamu sa odstráni počas jedenástich rovnakých ročných etáp, ktoré sa začnú od dátumu nadobudnutia platnosti tejto dohody a od 1. januára jedenásteho roka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g)</w:t>
        <w:tab/>
        <w:t>clo na tovar s pôvodom uvedený v položkách kategórie „12“ zoznamu sa odstráni počas trinástich rovnakých ročných etáp, ktoré sa začnú od dátumu nadobudnutia platnosti tejto dohody a od 1. januára trinásteho roka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h)</w:t>
        <w:tab/>
        <w:t>clo na tovar s pôvodom uvedený v položkách kategórie „15“ zoznamu sa odstráni počas šestnástich rovnakých ročných etáp, ktoré sa začnú od dátumu nadobudnutia platnosti tejto dohody a od 1. januára šestnásteho roka sa na takýto tovar neuplatňuje žiadne clo;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i)</w:t>
        <w:tab/>
        <w:t>clo na tovar s pôvodom uvedený v položkách kategórie „E“ zoznamu zostáva na úrovni základnej sadzby;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j)</w:t>
        <w:tab/>
        <w:t>na clo na tovar s pôvodom uvedený v položkách kategórie „BF“ zoznamu sa nevzťahuje odstránenie cla; bez ohľadu na uvedené, Peru umožňuje bezcolný dovoz v rámci súhrnnej kvóty</w:t>
      </w:r>
      <w:r>
        <w:rPr>
          <w:rStyle w:val="FootnoteReference"/>
          <w:rFonts w:ascii="Times New Roman" w:hAnsi="Times New Roman"/>
          <w:noProof/>
          <w:rtl w:val="0"/>
        </w:rPr>
        <w:footnoteReference w:id="3"/>
      </w:r>
      <w:r w:rsidRPr="00293520">
        <w:rPr>
          <w:rFonts w:ascii="Times New Roman" w:hAnsi="Times New Roman"/>
          <w:noProof/>
        </w:rPr>
        <w:t xml:space="preserve"> 1 075 ton od dátumu nadobudnutia platnosti tejto dohody, pričom táto kvóta sa každoročne zvyšuje o 107 ton;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k)</w:t>
        <w:tab/>
        <w:t>na clo na tovar s pôvodom uvedený v položkách kategórie „BR“ zoznamu sa nevzťahuje odstránenie cla; bez ohľadu na uvedené, Peru umožňuje bezcolný dovoz v rámci súhrnnej kvóty 250 ton od dátumu nadobudnutia platnosti tejto dohody, pričom táto kvóta sa každoročne zvyšuje o 25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l)</w:t>
        <w:tab/>
        <w:t>clo na tovar s pôvodom uvedený v položkách kategórie „CE“ zoznamu zostáva na úrovni základnej sadzby od dátumu nadobudnutia platnosti tejto dohody do konca desiateho roka; od 1. januára jedenásteho roka sa clo zníži počas siedmich rovnakých ročných etáp a od 1. januára osemnásteho roka sa na takýto tovar neuplatňuje žiadne clo; bez ohľadu na uvedené, Peru umožňuje bezcolný dovoz v rámci súhrnnej kvóty 2 500 ton od dátumu nadobudnutia platnosti tejto dohody, pričom táto kvóta sa každoročne zvyšuje o 250 ton;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m)</w:t>
        <w:tab/>
        <w:t>na clo na tovar s pôvodom uvedený v položkách kategórie „GC“ zoznamu sa nevzťahuje odstránenie cla; bez ohľadu na uvedené, Peru umožňuje bezcolný dovoz v rámci súhrnnej kvóty 375 ton od dátumu nadobudnutia platnosti tejto dohody, pričom táto kvóta sa každoročne zvyšuje o 37 ton;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n)</w:t>
        <w:tab/>
        <w:t>clo na tovar s pôvodom uvedený v položkách kategórie „IE“ zoznamu sa zníži počas šestnástich rovnakých ročných etáp, ktoré sa začnú od dátumu nadobudnutia platnosti tejto dohody a od 1. januára šestnásteho roka sa na takýto tovar neuplatňuje žiadne clo; bez ohľadu na uvedené, Peru umožňuje bezcolný dovoz v rámci súhrnnej kvóty 70 ton od dátumu nadobudnutia platnosti tejto dohody, pričom táto kvóta sa každoročne zvyšuje o 7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o)</w:t>
        <w:tab/>
        <w:t>na clo na tovar s pôvodom uvedený v položkách kategórie „ME“ zoznamu sa nevzťahuje odstránenie cla; bez ohľadu na uvedené, Peru umožňuje bezcolný dovoz v rámci súhrnnej kvóty 10 000 ton od dátumu nadobudnutia platnosti tejto dohody, pričom táto kvóta sa každoročne zvyšuje o 1 000 ton;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p)</w:t>
        <w:tab/>
        <w:t>na clo na tovar s pôvodom uvedený v položkách kategórie „MM“ zoznamu sa nevzťahuje odstránenie cla; bez ohľadu na uvedené, Peru umožňuje bezcolný dovoz v rámci súhrnnej kvóty 50 ton od dátumu nadobudnutia platnosti tejto dohody, pričom táto kvóta sa každoročne zvyšuje o 5 ton;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q)</w:t>
        <w:tab/>
        <w:t>clo na tovar s pôvodom uvedený v položkách kategórie „MP“ zoznamu zostáva na úrovni základnej sadzby od dátumu nadobudnutia platnosti tejto dohody do konca desiateho roka; od 1. januára jedenásteho roka sa clo zníži počas siedmich rovnakých ročných etáp a od 1. januára osemnásteho roka sa na takýto tovar neuplatňuje žiadne clo; bez ohľadu na uvedené, Peru umožňuje bezcolný dovoz v rámci súhrnnej kvóty 3 000 ton od dátumu nadobudnutia platnosti tejto dohody, pričom táto kvóta sa každoročne zvyšuje o 300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r)</w:t>
        <w:tab/>
        <w:t>clo na tovar s pôvodom uvedený v položkách kategórie „FP“ zoznamu zostáva na úrovni základnej sadzby od dátumu nadobudnutia platnosti tejto dohody do konca ôsmeho roka; od 1. januára deviateho roka sa clo zníži počas siedmich rovnakých ročných etáp a od 1. januára šestnásteho roka sa na takýto tovar neuplatňuje žiadne clo; bez ohľadu na uvedené, Peru umožňuje bezcolný dovoz v rámci súhrnnej kvóty 500 ton od dátumu nadobudnutia platnosti tejto dohody, pričom táto kvóta sa každoročne zvyšuje o 50 ton;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s)</w:t>
        <w:tab/>
        <w:t>clo na tovar s pôvodom uvedený v položkách kategórie „PK“ zoznamu sa zníži počas jedenástich rovnakých ročných etáp, ktoré sa začnú od dátumu nadobudnutia platnosti tejto dohody a od 1. januára desiateho roka sa na takýto tovar neuplatňuje žiadne clo; bez ohľadu na uvedené, Peru umožňuje bezcolný dovoz v rámci súhrnnej kvóty 4 000 ton od dátumu nadobudnutia platnosti tejto dohody, pričom táto kvóta sa každoročne zvyšuje o 400 ton;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t)</w:t>
        <w:tab/>
        <w:t>na clo na tovar s pôvodom uvedený v položkách kategórie „PY“ zoznamu sa nevzťahuje odstránenie cla; bez ohľadu na uvedené, Peru umožňuje bezcolný dovoz v rámci súhrnnej kvóty 3 750 ton od dátumu nadobudnutia platnosti tejto dohody, pričom táto kvóta sa každoročne zvyšuje o 375 ton;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u)</w:t>
        <w:tab/>
        <w:t>na clo na tovar s pôvodom uvedený v položkách kategórie „RE“ zoznamu sa nevzťahuje odstránenie cla; bez ohľadu na uvedené, Peru umožňuje bezcolný dovoz v rámci súhrnnej kvóty 17 000 ton od dátumu nadobudnutia platnosti tejto dohody, pričom táto kvóta sa každoročne zvyšuje o 1 700 ton;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v)</w:t>
        <w:tab/>
        <w:t>na clo na tovar s pôvodom uvedený v položkách kategórie „RM“ zoznamu sa nevzťahuje odstránenie cla; bez ohľadu na uvedené, Peru umožňuje bezcolný dovoz v rámci súhrnnej kvóty 500 hektolitrov (v ekvivalentoch čistého alkoholu) voľne naloženého rumu od dátumu nadobudnutia platnosti tejto dohody, pričom táto kvóta sa každoročne zvyšuje o 50 ton (v ekvivalentoch čistého alkoholu);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w)</w:t>
        <w:tab/>
        <w:t>na clo na tovar s pôvodom uvedený v položkách kategórie „SC“ zoznamu sa nevzťahuje odstránenie cla; bez ohľadu na uvedené, Peru umožňuje bezcolný dovoz v rámci súhrnnej kvóty 350 ton od dátumu nadobudnutia platnosti tejto dohody, pričom táto kvóta sa každoročne zvyšuje o 35 ton;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x)</w:t>
        <w:tab/>
        <w:t>na clo na tovar s pôvodom uvedený v položkách kategórie „SP“ zoznamu sa nevzťahuje odstránenie cla; bez ohľadu na uvedené, Peru umožňuje bezcolný dovoz v rámci súhrnnej kvóty 5 000 ton od dátumu nadobudnutia platnosti tejto dohody, pričom táto kvóta sa každoročne zvyšuje o 150 ton;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y)</w:t>
        <w:tab/>
        <w:t>na clo na tovar s pôvodom uvedený v položkách kategórie „SR“ zoznamu sa nevzťahuje odstránenie cla; bez ohľadu na uvedené, Peru umožňuje bezcolný dovoz v rámci súhrnnej kvóty 11 000 ton od dátumu nadobudnutia platnosti tejto dohody, pričom táto kvóta sa každoročne zvyšuje o 330 ton;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z)</w:t>
        <w:tab/>
        <w:t>clo na tovar s pôvodom uvedený v položkách kategórie „SP1“ zoznamu sa zníži o desatinu počas piatich ročných etáp, ktoré sa začnú od prvého roka; od 1. januára šiesteho roka sa na takýto tovar uplatňuje clo na úrovni z piateho roka;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aa)</w:t>
        <w:tab/>
        <w:t>na clo na tovar s pôvodom uvedený v položkách označených „*“ v stĺpci SPFP zoznamu, ktoré vyplýva z uplatňovania peruánskeho systému cenových pásiem, sa nevzťahuje odstránenie cla;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ab)</w:t>
        <w:tab/>
        <w:t>clo na tovar s pôvodom uvedený v položkách označených „**“ v stĺpci SPFP zoznamu, ktoré vyplýva z uplatňovania peruánskeho systému cenových pásiem, sa zníži tak, ako je v prípade každej položky stanovené v zozname.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2.</w:t>
        <w:tab/>
        <w:t xml:space="preserve">Dočasné colné sadzby uplatňované v každej etape sa zaokrúhlia nadol najmenej na najbližšiu desatinu percentuálneho bodu alebo ak je colná sadzba vyjadrená v menovej jednotke, najmenej na najbližšiu tisícinu oficiálnej menovej jednotky Peru. 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3.</w:t>
        <w:tab/>
        <w:t>Na účely tohto oddielu znamená „prvý rok“ rok, ktorý nasleduje po roku, v ktorom táto dohoda nadobudla platnosť, ako je stanovené v článku 330 tejto dohody.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4.</w:t>
        <w:tab/>
        <w:t>Na účely tohto oddielu sa od druhého roka každá ročná etapa zníženia cla uskutočňuje s účinnosťou od 1. januára príslušného roka.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5.</w:t>
        <w:tab/>
        <w:t>Ak táto dohoda nadobudne účinnosť po 1. januári a pred 31. decembrom toho istého roka, množstvo v rámci kvóty sa pomerne rozdelí na zvyšok tohto kalendárneho roka.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6.</w:t>
        <w:tab/>
        <w:t>Produkty s vysokým obsahom cukru patria v kategórii „SP“ do položiek:</w:t>
      </w:r>
    </w:p>
    <w:p w:rsidR="008302FB" w:rsidRPr="00293520" w:rsidP="008302FB">
      <w:pPr>
        <w:bidi w:val="0"/>
        <w:ind w:left="567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a)</w:t>
        <w:tab/>
        <w:t>podpoložky 2009, ak majú celkový obsah pridaného cukru viac ako 30 percent; a</w:t>
      </w:r>
    </w:p>
    <w:p w:rsidR="008302FB" w:rsidRPr="00293520" w:rsidP="008302FB">
      <w:pPr>
        <w:bidi w:val="0"/>
        <w:ind w:left="1134" w:hanging="567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ind w:left="1134" w:hanging="567"/>
        <w:rPr>
          <w:rFonts w:ascii="Times New Roman" w:hAnsi="Times New Roman"/>
          <w:b/>
          <w:noProof/>
        </w:rPr>
      </w:pPr>
      <w:r w:rsidRPr="00293520">
        <w:rPr>
          <w:rFonts w:ascii="Times New Roman" w:hAnsi="Times New Roman"/>
          <w:noProof/>
        </w:rPr>
        <w:t>b)</w:t>
        <w:tab/>
        <w:t>podpoložiek 170490, 180620, 190190, 200600, 200791, 200799, 210112, 210120, 210690, 330210, ak majú celkový obsah pridaného cukru viac ako 70 percent.</w:t>
      </w: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br w:type="page"/>
        <w:t>DODATOK 2</w:t>
      </w: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 xml:space="preserve">VSTUPNÉ CENY STRANY EÚ </w:t>
      </w: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ODDIEL A</w:t>
      </w:r>
    </w:p>
    <w:p w:rsidR="008302FB" w:rsidRPr="00293520" w:rsidP="008302FB">
      <w:pPr>
        <w:bidi w:val="0"/>
        <w:jc w:val="center"/>
        <w:rPr>
          <w:rFonts w:ascii="Times New Roman" w:hAnsi="Times New Roman"/>
          <w:i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KOLUMBIA</w:t>
      </w: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</w:p>
    <w:tbl>
      <w:tblPr>
        <w:tblStyle w:val="TableNormal"/>
        <w:tblW w:w="9610" w:type="dxa"/>
        <w:tblInd w:w="103" w:type="dxa"/>
        <w:tblLayout w:type="fixed"/>
      </w:tblPr>
      <w:tblGrid>
        <w:gridCol w:w="1216"/>
        <w:gridCol w:w="4309"/>
        <w:gridCol w:w="11"/>
        <w:gridCol w:w="4074"/>
      </w:tblGrid>
      <w:tr>
        <w:tblPrEx>
          <w:tblW w:w="9610" w:type="dxa"/>
          <w:tblInd w:w="103" w:type="dxa"/>
          <w:tblLayout w:type="fixed"/>
        </w:tblPrEx>
        <w:trPr>
          <w:trHeight w:val="450"/>
          <w:tblHeader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Kód KN</w:t>
              <w:br/>
              <w:t>2010</w:t>
            </w:r>
          </w:p>
        </w:tc>
        <w:tc>
          <w:tcPr>
            <w:tcW w:w="43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407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Zmluvné colné sadzby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0702 00 00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Paradajky, čerstvé alebo chladené: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Od 1. januára do 31. marca: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84,6 €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82,9 €, ale nižšou ako 84,6 €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+ 1,7 €/100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81,2 €, ale nižšou ako 82,9 €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+ 3,4 €/100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79,5 €, ale nižšou ako 81,2 €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+ 5,1 €/100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77,8 €, ale nižšou ako 79,5 €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+ 6,8 €/100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nižšou ako 77,8 €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+ 29,8 €/100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Od 1. do 30. apríla: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112,6 €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110,3 €, ale nižšou ako 112,6 €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+ 2,3 €/100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108,1 €, ale nižšou ako 110,3 €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+ 4,5 €/100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105,8 €, ale nižšou ako 108,1 €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+ 6,8 €/100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103,6 €, ale nižšou ako 105,8 €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nižšou ako 103,6 €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+ 29,8 €/100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Od 1. do 14. mája: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72,6 €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71,1 €, ale nižšou ako 72,6 €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+ 1,5 €/100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69,7 €, ale nižšou ako 71,1 €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+ 2,9 €/100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68,2 €, ale nižšou ako 69,7 €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+ 4,4 €/100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66,8 €, ale nižšou ako 68,2 €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+ 5,8 €/100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nižšou ako 66,8 €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+ 29,8 €/100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Od 15. do 31. mája: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72,6 €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71,1 €, ale nižšou ako 72,6 €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+ 1,5 €/100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69,7 €, ale nižšou ako 71,1 €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+ 2,9 €/100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68,2 €, ale nižšou ako 69,7 €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+ 4,4 €/100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66,8 €, ale nižšou ako 68,2 €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+ 5,8 €/100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nižšou ako 66,8 €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+ 29,8 €/100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Od 1. júna do 30. septembra: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52,6 €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51,5 €, ale nižšou ako 52,6 €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50,5 €, ale nižšou ako 51,5 €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+ 2,1 €/100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49,4 €, ale nižšou ako 50,5 €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+ 3,2 €/100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48,4 €, ale nižšou ako 49,4 €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+ 4,2 €/100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nižšou ako 48,4 €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+ 29,8 €/100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Od 1. do 31. októbra: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61,3 €, ale nižšou ako 62,6 €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+ 1,3 €/100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60,1 €, ale nižšou ako 61,3 €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+ 2,5 €/100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58,8 €, ale nižšou ako 60,1 €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57,6 €, ale nižšou ako 58,8 €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+ 5,0 €/100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nižšou ako 57,6 €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+ 29,8 €/100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Od 1. novembra do 20.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61,3 €, ale nižšou ako 62,6 €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+ 1,3 €/100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60,1 €, ale nižšou ako 61,3 €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+ 2,5 €/100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58,8 €, ale nižšou ako 60,1 €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57,6 €, ale nižšou ako 58,8 €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nižšou ako 57,6 €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+ 29,8 €/100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Od 21. do 31.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67,6 €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66,2 €, ale nižšou ako 67,6 €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+ 1,4 €/100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64,9 €, ale nižšou ako 66,2 €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+ 2,7 €/100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63,5 €, ale nižšou ako 64,9 €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+ 4,1 €/100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nie nižšou ako 62,2 €, ale nižšou ako 63,5 €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+ 5,4 €/100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nižšou ako 62,2 €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8,8 + 29,8 €/100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0707 00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Uhorky šalátové alebo uhorky nakladačky, čerstvé alebo chladené: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0707 00 05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Šalátové uhorky: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1. januára do konca februára: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67,5 €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66,2 €, ale nižšou ako 67,5 €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64,8 €, ale nižšou ako 66,2 €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+ 2,7 €/100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63,5 €, ale nižšou ako 64,8 €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+ 4,0 €/100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62,1 €, ale nižšou ako 63,5 €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+ 5,4 €/100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nižšou ako 62,1 €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1. marca do 30. apríla: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110,5 €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108,3 €, ale nižšou ako 110,5 €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+ 2,2 €/100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106,1 €, ale nižšou ako 108,3 €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+ 4,4 €/100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103,9 €, ale nižšou ako 106,1 €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+ 6,6 €/100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101,7 €, ale nižšou ako 103,9 €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+ 8,8 €/100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nižšou ako 101,7 €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1. do 15. mája: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Na spracovanie: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48,1 €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47,1 €, ale nižšou ako 48,1 €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46,2 €, ale nižšou ako 47,1 €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45,2 €, ale nižšou ako 46,2 €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+ 2,9 €/100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44,3 €, ale nižšou ako 45,2 €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35 €, ale nižšou ako 44,3 €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34,3 €, ale nižšou ako 35 €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33,6 €, ale nižšou ako 34,3 €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32,9 €, ale nižšou ako 33,6 €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32,2 €, ale nižšou ako 32,9 €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32,2 €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Ostatné: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48,1 €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47,1 €, ale nižšou ako 48,1 €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46,2 €, ale nižšou ako 47,1 €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45,2 €, ale nižšou ako 46,2 €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+ 2,9 €/100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44,3 €, ale nižšou ako 45,2 €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44,3 €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16. mája do 30. septembra: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Na spracovanie: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48,1 €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47,1 €, ale nižšou ako 48,1 €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46,2 €, ale nižšou ako 47,1 €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45,2 €, ale nižšou ako 46,2 €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44,3 €, ale nižšou ako 45,2 €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35 €, ale nižšou ako 44,3 €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34,3 €, ale nižšou ako 35 €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33,6 €, ale nižšou ako 34,3 €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32,9 €, ale nižšou ako 33,6 €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32,2 €, ale nižšou ako 32,9 €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32,2 €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Ostatné: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48,1 €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47,1 €, ale nižšou ako 48,1 €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46,2 €, ale nižšou ako 47,1 €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45,2 €, ale nižšou ako 46,2 €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44,3 €, ale nižšou ako 45,2 €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44,3 €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1. do 31. októbra: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Na spracovanie: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68,3 €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66,9 €, ale nižšou ako 68,3 €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65,6 €, ale nižšou ako 66,9 €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64,2 €, ale nižšou ako 65,6 €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+ 4,1 €/100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62,8 €, ale nižšou ako 64,2 €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+ 5,5 €/100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35 €, ale nižšou ako 62,8 €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34,3 €, ale nižšou ako 35 €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33,6 €, ale nižšou ako 34,3 €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32,9 €, ale nižšou ako 33,6 €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32,2 €, ale nižšou ako 32,9 €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32,2 €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Ostatné: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68,3 €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66,9 €, ale nižšou ako 68,3 €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65,6 €, ale nižšou ako 66,9 €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64,2 €, ale nižšou ako 65,6 €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+ 4,1 €/100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62,8 €, ale nižšou ako 64,2 €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+ 5,5 €/100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62,8 €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1. do 10. novembra: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68,3 €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66,9 €, ale nižšou ako 68,3 €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65,6 €, ale nižšou ako 66,9 €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+ 2,7 €/100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64,2 €, ale nižšou ako 65,6 €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+ 4,1 €/100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62,8 €, ale nižšou ako 64,2 €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+ 5,5 €/100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nižšou ako 62,8 €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11. novembra do 31.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60,5 €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59,3 €, ale nižšou ako 60,5 €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58,1 €, ale nižšou ako 59,3 €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+ 2,4 €/100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56,9 €, ale nižšou ako 58,1 €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55,7 €, ale nižšou ako 56,9 €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+ 4,8 €/100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nižšou ako 55,7 €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0709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Ostatná zelenina, čerstvá alebo chladená: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0709 90 70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Cukety: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do 31. januára: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48,8 €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47,8 €, ale nižšou ako 48,8 €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46,8 €, ale nižšou ako 47,8 €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+ 2,0 €/100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45,9 €, ale nižšou ako 46,8 €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+ 2,9 €/100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44,9 €, ale nižšou ako 45,9 €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44,9 €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+ 15,2 €/100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februára do 31. marca: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41,3 €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40,5 €, ale nižšou ako 41,3 €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+ 0,8 €/100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39,6 €, ale nižšou ako 40,5 €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38,8 €, ale nižšou ako 39,6 €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+ 2,5 €/100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38 €, ale nižšou ako 38,8 €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38 €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+ 15,2 €/100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apríla do 31. mája: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69,2 €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67,8 €, ale nižšou ako 69,2 €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66,4 €, ale nižšou ako 67,8 €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+ 2,8 €/100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65 €, ale nižšou ako 66,4 €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+ 4,2 €/100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63,7 €, ale nižšou ako 65 €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+ 5,5 €/100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63,7 €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+ 15,2 €/100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júna do 31. júla: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41,3 €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40,5 €, ale nižšou ako 41,3 €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+ 0,8 €/100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39,6 €, ale nižšou ako 40,5 €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38,8 €, ale nižšou ako 39,6 €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+ 2,5 €/100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38 €, ale nižšou ako 38,8 €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38 €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+ 15,2 €/100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augusta do 31.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48,8 €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47,8 €, ale nižšou ako 48,8 €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46,8 €, ale nižšou ako 47,8 €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+ 2,0 €/100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45,9 €, ale nižšou ako 46,8 €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+ 2,9 €/100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44,9 €, ale nižšou ako 45,9 €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+ 3,9 €/100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44,9 €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12,8 + 15,2 €/100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0709 90 80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Artičoky pravé: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1. januára do 31. mája: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82,6 €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80,9 €, ale nižšou ako 82,6 €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+ 1,7 €/100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79,3 €, ale nižšou ako 80,9 €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+ 3,3 €/100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77,6 €, ale nižšou ako 79,3 €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+ 5,0 €/100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76 €, ale nižšou ako 77,6 €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+ 6,6 €/100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nižšou ako 76 €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+ 22,9 €/100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1. do 30. júna: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64,1 €, ale nižšou ako 65,4 €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+ 1,3 €/100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62,8 €, ale nižšou ako 64,1 €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+ 2,6 €/100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61,5 €, ale nižšou ako 62,8 €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+ 3,9 €/100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60,2 €, ale nižšou ako 61,5 €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+ 5,2 €/100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nižšou ako 60,2 €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+ 22,9 €/100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1. júla do 31. októbra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1. novembra do 31.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94,3 €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92,4 €, ale nižšou ako 94,3 €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+ 1,9 €/100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90,5 €, ale nižšou ako 92,4 €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88,6 €, ale nižšou ako 90,5 €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+ 5,7 €/100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86,8 €, ale nižšou ako 88,6 €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+ 7,5 €/100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nižšou ako 86,8 €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+ 22,9 €/100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0805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Citrusové ovocie, čerstvé alebo sušené: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0805 10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Pomaranče: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0805 10 20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Sladké pomaranče, čerstvé: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januára do 31. marca: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34,7 €, ale nižšou ako 35,4 €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+ 0,7 €/100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34 €, ale nižšou ako 34,7 €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33,3 €, ale nižšou ako 34 €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32,6 €, ale nižšou ako 33,3 €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32,6 €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+ 7,1 €/100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do 30. apríla: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34,7 €, ale nižšou ako 35,4 €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+ 0,7 €/100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34 €, ale nižšou ako 34,7 €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+ 1,4 €/100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33,3 €, ale nižšou ako 34 €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+ 2,1 €/100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32,6 €, ale nižšou ako 33,3 €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+ 2,8 €/100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32,6 €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+ 7,1 €/100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do 15 mája: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34,7 €, ale nižšou ako 35,4 €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+ 0,7 €/100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34 €, ale nižšou ako 34,7 €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+ 1,4 €/100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33,3 €, ale nižšou ako 34 €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+ 2,1 €/100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32,6 €, ale nižšou ako 33,3 €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+ 2,8 €/100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32,6 €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+ 7,1 €/100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16. do 31. mája: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3,2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34,7 €, ale nižšou ako 35,4 €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3,2 + 0,7 €/100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34 €, ale nižšou ako 34,7 €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3,2 + 1,4 €/100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33,3 €, ale nižšou ako 34 €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3,2 + 2,1 €/100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32,6 €, ale nižšou ako 33,3 €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3,2 + 2,8 €/100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32,6 €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3,2 + 7,1 €/100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júna do 15. októbra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3,2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16. októbra do 30. novembra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do 31.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34,7 €, ale nižšou ako 35,4 €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+ 0,7 €/100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34 €, ale nižšou ako 34,7 €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33,3 €, ale nižšou ako 34 €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32,6 €, ale nižšou ako 33,3 €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32,6 €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+ 7,1 €/100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Ostatné: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450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0805 20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Mandarínky (vrátane tangerín a satsumov); klementínky, wilkingy a podobné citrusové hybridy: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0805 20 10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Klementínky: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 januára do konca februára: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64,9 €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63,6 €, ale nižšou ako 64,9 €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62,3 €, ale nižšou ako 63,6 €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61 €, ale nižšou ako 62,3 €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59,7 €, ale nižšou ako 61 €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+ 5,2 €/100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59,7 €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marca do 31. októbra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novembra do 31.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64,9 €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63,6 €, ale nižšou ako 64,9 €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62,3 €, ale nižšou ako 63,6 €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61 €, ale nižšou ako 62,3 €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+ 3,9 €/100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59,7 €, ale nižšou ako 61 €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+ 5,2 €/100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59,7 €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0805 20 30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Monreály a satsumy: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 januára do konca februára: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marca do 31. októbra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novembra do 31.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0805 20 50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Mandarínky a wilkingy: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 januára do konca februára: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marca do 31. októbra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novembra do 31.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0805 20 70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Tangeríny: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 januára do konca februára: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marca do 31. októbra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novembra do 31.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0805 20 90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Ostatné: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 januára do konca februára: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marca do 31. októbra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novembra do 31.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0805 50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Citróny (Citrus limon, Citrus limonum) a limety (Citrus aurantifolia, Citrus latifolia):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0805 50 10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Citróny (Citrus limon, Citrus limonum):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januára do 30. apríla: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 xml:space="preserve">- - - - so vstupnou cenou za 100 kg netto hmotnosti: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46,2 €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45,3 €, ale nižšou ako 46,2 €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+ 0,9 €/100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44,4 €, ale nižšou ako 45,3 €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+ 1,8 €/100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43,4 €, ale nižšou ako 44,4 €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42,5 €, ale nižšou ako 43,4 €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+ 3,7 €/100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42,5 €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+ 25,6 €/100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do 31. mája: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46,2 €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45,3 €, ale nižšou ako 46,2 €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+ 0,9 €/100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44,4 €, ale nižšou ako 45,3 €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+ 1,8 €/100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43,4 €, ale nižšou ako 44,4 €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42,5 €, ale nižšou ako 43,4 €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+ 3,7 €/100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41,6 €, ale nižšou ako 42,5 €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+ 4,6 €/100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40,7 €, ale nižšou ako 41,6 €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+ 5,5 €/100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39,7 €, ale nižšou ako 40,7 €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+ 6,5 €/100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38,8 €, ale nižšou ako 39,7 €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38,8 €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+ 25,6 €/100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júna do 31. júla: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55,8 €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54,7 €, ale nižšou ako 55,8 €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53,6 €, ale nižšou ako 54,7 €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52,5 €, ale nižšou ako 53,6 €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+ 3,3 €/100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51,3 €, ale nižšou ako 52,5 €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+ 4,5 €/100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50,2 €, ale nižšou ako 51,3 €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+ 5,6 €/100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49,1 €, ale nižšou ako 50,2 €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+ 6,7 €/100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48 €, ale nižšou ako 49,1 €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46,9 €, ale nižšou ako 48 €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+ 8,9 €/100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46,9 €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+ 25,6 €/100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augusta do 15. augusta: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55,8 €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54,7 €, ale nižšou ako 55,8 €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53,6 €, ale nižšou ako 54,7 €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52,5 €, ale nižšou ako 53,6 €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+ 3,3 €/100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51,3 €, ale nižšou ako 52,5 €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+ 4,5 €/100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50,2 €, ale nižšou ako 51,3 €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+ 5,6 €/100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49,1 €, ale nižšou ako 50,2 €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+ 6,7 €/100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48 €, ale nižšou ako 49,1 €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+ 7,8 €/100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48 €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+ 25,6 €/100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16. augusta do 31. októbra: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55,8 €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54,7 €, ale nižšou ako 55,8 €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53,6 €, ale nižšou ako 54,7 €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52,5 €, ale nižšou ako 53,6 €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+ 3,3 €/100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51,3 €, ale nižšou ako 52,5 €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+ 4,5 €/100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51,3 €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+ 25,6 €/100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novembra do 31.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46,2 €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45,3 €, ale nižšou ako 46,2 €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+ 0,9 €/100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44,4 €, ale nižšou ako 45,3 €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+ 1,8 €/100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43,4 €, ale nižšou ako 44,4 €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42,5 €, ale nižšou ako 43,4 €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+ 3,7 €/100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42,5 €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+ 25,6 €/100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0806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Hrozno, čerstvé alebo sušené: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0806 10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Čerstvé: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0806 10 10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Stolové hrozno: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januára do 14. júla: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odrody Emperor (Vitis vinifera cv.) od 1. do 31. januára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15. do 20. júla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14,1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21. júla do 31. októbra: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54,6 €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14,1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53,5 €, ale nižšou ako 54,6 €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52,4 €, ale nižšou ako 53,5 €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+ 2,2 €/100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51,3 €, ale nižšou ako 52,4 €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+ 3,3 €/100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50,2 €, ale nižšou ako 51,3 €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+ 4,4 €/100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50,2 €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+ 9,6 €/100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do 20. novembra: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47,6 €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46,6 €, ale nižšou ako 47,6 €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+ 1,0 €/100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45,7 €, ale nižšou ako 46,6 €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+ 1,9 €/100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44,7 €, ale nižšou ako 45,7 €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+ 2,9 €/100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43,8 €, ale nižšou ako 44,7 €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43,8 €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14,4 + 9,6 €/100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21. novembra do 31.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odrody Emperor (Vitis vinifera cv.) od 1. do 31. decembra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0808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Jablká, hrušky a duly, čerstvé: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0808 10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Jablká: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0808 10 80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Ostatné: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januára do 14. februára: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56,8 €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55,7 €, ale nižšou ako 56,8 €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54,5 €, ale nižšou ako 55,7 €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53,4 €, ale nižšou ako 54,5 €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+ 3,4 €/100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52,3 €, ale nižšou ako 53,4 €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+ 4,5 €/100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52,3 €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15. februára do 31. marca: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56,8 €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55,7 €, ale nižšou ako 56,8 €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54,5 €, ale nižšou ako 55,7 €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53,4 €, ale nižšou ako 54,5 €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+ 3,4 €/100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52,3 €, ale nižšou ako 53,4 €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+ 4,5 €/100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51,1 €, ale nižšou ako 52,3 €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+ 5,7 €/100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50 €, ale nižšou ako 51,1 €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+ 6,8 €/100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50 €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apríla do 30. júna: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56,8 €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55,7 €, ale nižšou ako 56,8 €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+ 1,1 €/100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54,5 €, ale nižšou ako 55,7 €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+ 2,3 €/100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53,4 €, ale nižšou ako 54,5 €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+ 3,4 €/100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52,3 €, ale nižšou ako 53,4 €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+ 4,5 €/100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51,1 €, ale nižšou ako 52,3 €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+ 5,7 €/100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50 €, ale nižšou ako 51,1 €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+ 6,8 €/100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48,8 €, ale nižšou ako 50 €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+ 8,0 €/100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48,8 €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+ 23,8 €/100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júla do 15. júla: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45,7 €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44,8 €, ale nižšou ako 45,7 €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+ 0,9 €/100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43,9 €, ale nižšou ako 44,8 €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+ 1,8 €/100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43 €, ale nižšou ako 43,9 €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+ 2,7 €/100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42 €, ale nižšou ako 43 €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+ 3,7 €/100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41,1 €, ale nižšou ako 42 €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+ 4,6 €/100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40,2 €, ale nižšou ako 41,1 €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+ 5,5 €/100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39,3 €, ale nižšou ako 40,2 €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+ 6,4 €/100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39,3 €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+ 23,8 €/100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16. júla do 31. júla: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45,7 €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44,8 €, ale nižšou ako 45,7 €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+ 0,9 €/100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43,9 €, ale nižšou ako 44,8 €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+ 1,8 €/100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43 €, ale nižšou ako 43,9 €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+ 2,7 €/100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42 €, ale nižšou ako 43 €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+ 3,7 €/100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42 €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4,8 + 23,8 €/100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augusta do 31.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45,7 €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9,0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44,8 €, ale nižšou ako 45,7 €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11,2 + 0,9 €/100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43,9 €, ale nižšou ako 44,8 €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11,2 + 1,8 €/100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43 €, ale nižšou ako 43,9 €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11,2 + 2,7 €/100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42 €, ale nižšou ako 43 €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11,2 + 3,7 €/100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42 €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11,2 + 23,8 €/100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0808 20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Hrušky a duly: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Hrušky: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0808 20 50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Ostatné: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januára do 31. januára: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50 €, ale nižšou ako 51 €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+ 1,0 €/100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49 €, ale nižšou ako 50 €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+ 2,0 €/100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47,9 €, ale nižšou ako 49 €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+ 3,1 €/100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46,9 €, ale nižšou ako 47,9 €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+ 4,1 €/100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46,9 €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+ 23,8 €/100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februára do 31. marca: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5,0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50 €, ale nižšou ako 51 €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+ 1,0 €/100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49 €, ale nižšou ako 50 €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+ 2,0 €/100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47,9 €, ale nižšou ako 49 €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+ 3,1 €/100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46,9 €, ale nižšou ako 47,9 €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+ 4,1 €/100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46,9 €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+ 23,8 €/100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do 30. apríla: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50 €, ale nižšou ako 51 €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+ 1,0 €/100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49 €, ale nižšou ako 50 €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+ 2,0 €/100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47,9 €, ale nižšou ako 49 €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+ 3,1 €/100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46,9 €, ale nižšou ako 47,9 €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+ 4,1 €/100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45,9 €, ale nižšou ako 46,9 €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+ 5,1 €/100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44,9 €, ale nižšou ako 45,9 €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+ 6,1 €/100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43,9 €, ale nižšou ako 44,9 €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+ 7,1 €/100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43,9 €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+ 23,8 €/100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mája do 30. júna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2,5 MIN 1,0 €/100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do 15. júla: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46,5 €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45,6 €, ale nižšou ako 46,5 €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+ 0,9 €/100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44,6 €, ale nižšou ako 45,6 €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+ 1,9 €/100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43,7 €, ale nižšou ako 44,6 €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+ 2,8 €/100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42,8 €, ale nižšou ako 43,7 €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+ 3,7 €/100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41,9 €, ale nižšou ako 42,8 €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+ 4,6 €/100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40,9 €, ale nižšou ako 41,9 €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+ 5,6 €/100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40 €, ale nižšou ako 40,9 €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+ 6,5 €/100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40 €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4,0 + 23,8 €/100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16. do 31. júla: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46,5 €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5,0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45,6 €, ale nižšou ako 46,5 €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+ 0,9 €/100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44,6 €, ale nižšou ako 45,6 €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+ 1,9 €/100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43,7 €, ale nižšou ako 44,6 €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+ 2,8 €/100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42,8 €, ale nižšou ako 43,7 €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+ 3,7 €/100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42,8 €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8 + 23,8 €/100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augusta do 31. októbra: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38,8 €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38 €, ale nižšou ako 38,8 €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+ 0,8 €/100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37,2 €, ale nižšou ako 38 €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+ 1,6 €/100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36,5 €, ale nižšou ako 37,2 €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+ 2,3 €/100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35,7 €, ale nižšou ako 36,5 €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+ 3,1 €/100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35,7 €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+ 23,8 €/100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Od 1. novembra do 31. decembra: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50 €, ale nižšou ako 51 €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+ 1,0 €/100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49 €, ale nižšou ako 50 €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+ 2,0 €/100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47,9 €, ale nižšou ako 49 €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+ 3,1 €/100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46,9 €, ale nižšou ako 47,9 €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+ 4,1 €/100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46,9 €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10,4 + 23,8 €/100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0809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Marhule, čerešne, višne, broskyne (vrátane nektáriniek), slivky a trnky, čerstvé: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0809 10 00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Marhule: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1. januára do 31. mája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1. do 20. júna: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107,1 €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105 €, ale nižšou ako 107,1 €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+ 2,1 €/100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102,8 €, ale nižšou ako 105 €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+ 4,3 €/100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100,7 €, ale nižšou ako 102,8 €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+ 6,4 €/100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98,5 €, ale nižšou ako 100,7 €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+ 8,6 €/100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nižšou ako 98,5 €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+ 22,7 €/100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21. do 30. júna: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87,3 €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85,6 €, ale nižšou ako 87,3 €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+ 1,7 €/100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83,8 €, ale nižšou ako 85,6 €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+ 3,5 €/100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82,1 €, ale nižšou ako 83,8 €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+ 5,2 €/100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80,3 €, ale nižšou ako 82,1 €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nižšou ako 80,3 €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+ 22,7 €/100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1. do 31. júla: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77,1 €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75,6 €, ale nižšou ako 77,1 €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+ 1,5 €/100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74 €, ale nižšou ako 75,6 €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+ 3,1 €/100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72,5 €, ale nižšou ako 74 €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+ 4,6 €/100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nie nižšou ako 70,9 €, ale nižšou ako 72,5 €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+ 6,2 €/100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nižšou ako 70,9 €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 + 22,7 €/100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Od 1. augusta do 31. decembra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20,0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0809 20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Čerešne: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0809 20 05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Višne (Prunus cerasus):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januára do 30. apríla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do 20. mája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 MIN 2,4 €/100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21. do 31. mája: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149,4 €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146,4 €, ale nižšou ako 149,4 €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+ 3,0 €/100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143,4 €, ale nižšou ako 146,4 €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+ 6,0 €/100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140,4 €, ale nižšou ako 143,4 €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+ 9,0 €/100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137,4 €, ale nižšou ako 140,4 €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+ 12,0 €/100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50,7 €, ale nižšou ako 137,4 €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49,7 €, ale nižšou ako 50,7 €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48,7 €, ale nižšou ako 49,7 €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47,7 €, ale nižšou ako 48,7 €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46,6 €, ale nižšou ako 47,7 €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46,6 €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júna do 15. júla: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122,9 €, ale nižšou ako 125,4 €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120,4 €, ale nižšou ako 122,9 €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+ 5,0 €/100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117,9 €, ale nižšou ako 120,4 €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+ 7,5 €/100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115,4 €, ale nižšou ako 117,9 €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+ 10,0 €/100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50,7 €, ale nižšou ako 115,4 €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49,7 €, ale nižšou ako 50,7 €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48,7 €, ale nižšou ako 49,7 €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47,7 €, ale nižšou ako 48,7 €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46,6 €, ale nižšou ako 47,7 €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46,6 €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16. do 31. júla: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122,9 €, ale nižšou ako 125,4 €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120,4 €, ale nižšou ako 122,9 €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+ 5,0 €/100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117,9 €, ale nižšou ako 120,4 €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+ 7,5 €/100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115,4 €, ale nižšou ako 117,9 €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+ 10,0 €/100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45,9 €, ale nižšou ako 115,4 €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45 €, ale nižšou ako 45,9 €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44,1 €, ale nižšou ako 45 €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43,1 €, ale nižšou ako 44,1 €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42,2 €, ale nižšou ako 43,1 €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42,2 €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12,5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do 10. augusta: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91,6 €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89,8 €, ale nižšou ako 91,6 €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+ 1,8 €/100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87,9 €, ale nižšou ako 89,8 €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+ 3,7 €/100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86,1 €, ale nižšou ako 87,9 €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+ 5,5 €/100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84,1 €, ale nižšou ako 86,1 €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+ 7,3 €/100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45,9 €, ale nižšou ako 84,1 €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45 €, ale nižšou ako 45,9 €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44,1 €, ale nižšou ako 45 €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43,1 €, ale nižšou ako 44,1 €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42,2 €, ale nižšou ako 43,1 €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42,2 €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11. augusta do 31. decembra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0809 20 95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Ostatné: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januára do 30. apríla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do 20. mája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 MIN 2,4 €/100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21. do 31. mája: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149,4 €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146,4 €, ale nižšou ako 149,4 €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+ 3,0 €/100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143,4 €, ale nižšou ako 146,4 €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+ 6,0 €/100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140,4 €, ale nižšou ako 143,4 €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+ 9,0 €/100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137,4 €, ale nižšou ako 140,4 €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+ 12,0 €/100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137,4 €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júna do 15. júna: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122,9 €, ale nižšou ako 125,4 €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120,4 €, ale nižšou ako 122,9 €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+ 5,0 €/100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117,9 €, ale nižšou ako 120,4 €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+ 7,5 €/100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115,4 €, ale nižšou ako 117,9 €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+ 10,0 €/100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115,4 €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16. júna do 15. júla: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122,9 €, ale nižšou ako 125,4 €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120,4 €, ale nižšou ako 122,9 €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+ 5,0 €/100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117,9 €, ale nižšou ako 120,4 €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+ 7,5 €/100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115,4 €, ale nižšou ako 117,9 €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+ 10,0 €/100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115,4 €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16. do 31. júla: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122,9 €, ale nižšou ako 125,4 €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120,4 €, ale nižšou ako 122,9 €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+ 5,0 €/100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117,9 €, ale nižšou ako 120,4 €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+ 7,5 €/100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115,4 €, ale nižšou ako 117,9 €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+ 10,0 €/100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115,4 €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do 10. augusta: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91,6 €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89,8 €, ale nižšou ako 91,6 €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+ 1,8 €/100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87,9 €, ale nižšou ako 89,8 €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+ 3,7 €/100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86,1 €, ale nižšou ako 87,9 €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+ 5,5 €/100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84,1 €, ale nižšou ako 86,1 €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+ 7,3 €/100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84,1 €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11. augusta do 31. decembra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0809 30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Broskyne, vrátane nektáriniek: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0809 30 10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Nektárinky: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januára do 10. júna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11. do 20. júna: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88,3 €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86,5 €, ale nižšou ako 88,3 €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+ 1,8 €/100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84,8 €, ale nižšou ako 86,5 €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+ 3,5 €/100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83 €, ale nižšou ako 84,8 €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+ 5,3 €/100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81,2 €, ale nižšou ako 83 €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+ 7,1 €/100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81,2 €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+ 13,0 €/100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21. júna do 31. júla: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77,6 €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76 €, ale nižšou ako 77,6 €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+ 1,6 €/100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74,5 €, ale nižšou ako 76 €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+ 3,1 €/100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72,9 €, ale nižšou ako 74,5 €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+ 4,7 €/100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71,4 €, ale nižšou ako 72,9 €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+ 6,2 €/100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71,4 €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+ 13,0 €/100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augusta do 30. septembra: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60 €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58,8 €, ale nižšou ako 60 €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+ 1,2 €/100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57,6 €, ale nižšou ako 58,8 €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+ 2,4 €/100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56,4 €, ale nižšou ako 57,6 €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+ 3,6 €/100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55,2 €, ale nižšou ako 56,4 €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+ 4,8 €/100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55,2 €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+ 13,0 €/100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 októbra do 31. decembra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0809 30 90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Ostatné: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januára do 10. júna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11. do 20. júna: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88,3 €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86,5 €, ale nižšou ako 88,3 €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+ 1,8 €/100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84,8 €, ale nižšou ako 86,5 €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+ 3,5 €/100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83 €, ale nižšou ako 84,8 €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+ 5,3 €/100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81,2 €, ale nižšou ako 83 €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+ 7,1 €/100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81,2 €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+ 13,0 €/100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21. júna do 31. júla: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77,6 €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76 €, ale nižšou ako 77,6 €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+ 1,6 €/100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74,5 €, ale nižšou ako 76 €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+ 3,1 €/100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72,9 €, ale nižšou ako 74,5 €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+ 4,7 €/100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71,4 €, ale nižšou ako 72,9 €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+ 6,2 €/100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71,4 €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+ 13,0 €/100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augusta do 30. septembra: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60 €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58,8 €, ale nižšou ako 60 €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+ 1,2 €/100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57,6 €, ale nižšou ako 58,8 €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+ 2,4 €/100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56,4 €, ale nižšou ako 57,6 €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+ 3,6 €/100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55,2 €, ale nižšou ako 56,4 €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+ 4,8 €/100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55,2 €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 + 13,0 €/100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 októbra do 31. decembra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0809 40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Slivky a trnky: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0809 40 05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Slivky: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januára do 10. júna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11. do 30. júna: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69,6 €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68,2 €, ale nižšou ako 69,6 €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+ 1,4 €/100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66,8 €, ale nižšou ako 68,2 €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+ 2,8 €/100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65,4 €, ale nižšou ako 66,8 €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+ 4,2 €/100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64 €, ale nižšou ako 65,4 €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+ 5,6 €/100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64 €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 + 10,3 €/100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 júla do 30. septembra: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69,6 €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68,2 €, ale nižšou ako 69,6 €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+ 1,4 €/100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66,8 €, ale nižšou ako 68,2 €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+ 2,8 €/100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65,4 €, ale nižšou ako 66,8 €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+ 4,2 €/100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64 €, ale nižšou ako 65,4 €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+ 5,6 €/100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64 €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12,0 + 10,3 €/100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Od 1. októbra do 31. decembra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2009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Šťavy ovocné (vrátane hroznového muštu) a šťavy zeleninové, nekvasené a neobsahujúce pridaný alkohol, tiež obsahujúce pridaný cukor alebo ostatné sladidlá: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Hroznová šťava (vrátane hroznového muštu):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2009 61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s Brixovou hodnotou nepresahujúcou 30: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2009 61 10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v hodnote presahujúcej 18 € na 100 kg čistej hmotnosti: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hektoliter: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42,5 €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41,7 €, ale nižšou ako 42,5 €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+ 0,8 €/hl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40,8 €, ale nižšou ako 41,7 €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+ 1,7 €/hl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40 €, ale nižšou ako 40,8 €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+ 2,5 €/hl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nie nižšou ako 39,1 €, ale nižšou ako 40 €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+ 3,4 €/hl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nižšou ako 39,1 €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+ 27,0 €/hl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2009 69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Ostatné: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s Brixovou hodnotou presahujúcou 67: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2009 69 19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Ostatné: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hektoliter: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212,4 €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208,2 €, ale nižšou ako 212,4 €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 + 4,2 €/hl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203,9 €, ale nižšou ako 208,2 €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 + 8,5 €/hl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199,7 €, ale nižšou ako 203,9 €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 + 12,7 €/hl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195,4 €, ale nižšou ako 199,7 €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 + 17,0 €/hl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195,4 €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 + 121,0 €/hl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s Brixovou hodnotou presahujúcou 30, ale nepresahujúcou 67: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v hodnote presahujúcej 18 € na 100 kg čistej hmotnosti: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2009 69 51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Koncentrovaná: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so vstupnou cenou za hektoliter: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- nie nižšou ako 209,4 €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- nie nižšou ako 205,2 €, ale nižšou ako 209,4 €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+ 4,2 €/hl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- nie nižšou ako 201 €, ale nižšou ako 205,2 €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+ 8,4 €/hl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- nie nižšou ako 196,8 €, ale nižšou ako 201 €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+ 12,6 €/hl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- nie nižšou ako 192,6 €, ale nižšou ako 196,8 €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+ 16,8 €/hl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- nižšou ako 192,6 €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+ 131,0 €/hl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2009 69 59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Ostatné: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so vstupnou cenou za hektoliter: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- nie nižšou ako 42,5 €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- nie nižšou ako 41,7 €, ale nižšou ako 42,5 €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+ 0,8 €/hl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- nie nižšou ako 40,8 €, ale nižšou ako 41,7 €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+ 1,7 €/hl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- nie nižšou ako 40 €, ale nižšou ako 40,8 €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+ 2,5 €/hl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- nie nižšou ako 39,1 €, ale nižšou ako 40 €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+ 3,4 €/hl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- nižšou ako 39,1 €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+ 27,0 €/hl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2204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Víno z čerstvého hrozna, vrátane vína obohateného alkoholom; hrozno musí byť iné ako hrozno z položky 2009: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2204 30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Ostatný hroznový mušt: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Ostatné: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s hustotou pri 20 °C 1,33 g/cm3 a so skutočným objemovým alkoholometrickým titrom nepresahujúcim 1 % vol: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2204 30 92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Koncentrovaná: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hektoliter: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209,4 €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+ 20,6 €/100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205,2 €, ale nižšou ako 209,4 €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 + 4,2 €/hl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201 €, ale nižšou ako 205,2 €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 + 8,4 €/hl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196,8 €, ale nižšou ako 201 €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 + 12,6 €/hl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192,6 €, ale nižšou ako 196,8 €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 + 16,8 €/hl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192,6 €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 + 131,0 €/hl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2204 30 94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Ostatné: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so vstupnou cenou za hektoliter: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42,5 €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 + 20,6 €/100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41,7 €, ale nižšou ako 42,5 €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 + 0,8 €/hl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40,8 €, ale nižšou ako 41,7 €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 + 1,7 €/hl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40 €, ale nižšou ako 40,8 €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 + 2,5 €/hl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39,1 €, ale nižšou ako 40 €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 + 3,4 €/hl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39,1 €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22,4 + 27,0 €/hl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Ostatné: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2204 30 96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Koncentrovaná: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hektoliter: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212,4 €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 + 20,6 €/100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208,2 €, ale nižšou ako 212,4 €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 + 4,2 €/hl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203,9 €, ale nižšou ako 208,2 €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 + 8,5 €/hl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199,7 €, ale nižšou ako 203,9 €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 + 12,7 €/hl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195,4 €, ale nižšou ako 199,7 €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 + 17,0 €/hl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195,4 €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 + 121,0 €/hl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2204 30 98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Ostatné: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so vstupnou cenou za hektoliter: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42,5 €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 + 20,6 €/100 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41,7 €, ale nižšou ako 42,5 €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 + 0,8 €/hl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40,8 €, ale nižšou ako 41,7 €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 + 1,7 €/hl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40 €, ale nižšou ako 40,8 €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 + 2,5 €/hl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nie nižšou ako 39,1 €, ale nižšou ako 40 €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 + 3,4 €/hl + 20,6 €/100 kg/netto</w:t>
            </w:r>
          </w:p>
        </w:tc>
      </w:tr>
      <w:tr>
        <w:tblPrEx>
          <w:tblW w:w="9610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D1654A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D1654A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- - - - - - nižšou ako 39,1 €</w:t>
            </w:r>
          </w:p>
        </w:tc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351CF0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351CF0">
              <w:rPr>
                <w:rFonts w:ascii="Times New Roman" w:hAnsi="Times New Roman"/>
                <w:noProof/>
                <w:sz w:val="20"/>
              </w:rPr>
              <w:t>40,0 + 27,0 €/hl + 20,6 €/100 kg/netto</w:t>
            </w:r>
          </w:p>
        </w:tc>
      </w:tr>
    </w:tbl>
    <w:p w:rsidR="008302FB" w:rsidRPr="00293520" w:rsidP="008302FB">
      <w:pPr>
        <w:bidi w:val="0"/>
        <w:jc w:val="center"/>
        <w:outlineLvl w:val="0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b/>
          <w:noProof/>
        </w:rPr>
        <w:br w:type="page"/>
      </w:r>
      <w:r w:rsidRPr="00293520">
        <w:rPr>
          <w:rFonts w:ascii="Times New Roman" w:hAnsi="Times New Roman"/>
          <w:noProof/>
        </w:rPr>
        <w:t xml:space="preserve">ODDIEL B </w:t>
      </w: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  <w:r w:rsidRPr="00293520">
        <w:rPr>
          <w:rFonts w:ascii="Times New Roman" w:hAnsi="Times New Roman"/>
          <w:noProof/>
        </w:rPr>
        <w:t>PERU</w:t>
      </w:r>
    </w:p>
    <w:p w:rsidR="008302FB" w:rsidRPr="00293520" w:rsidP="008302FB">
      <w:pPr>
        <w:bidi w:val="0"/>
        <w:jc w:val="center"/>
        <w:rPr>
          <w:rFonts w:ascii="Times New Roman" w:hAnsi="Times New Roman"/>
          <w:noProof/>
        </w:rPr>
      </w:pPr>
    </w:p>
    <w:tbl>
      <w:tblPr>
        <w:tblStyle w:val="TableNormal"/>
        <w:tblW w:w="9676" w:type="dxa"/>
        <w:tblInd w:w="103" w:type="dxa"/>
        <w:tblLayout w:type="fixed"/>
      </w:tblPr>
      <w:tblGrid>
        <w:gridCol w:w="1216"/>
        <w:gridCol w:w="4320"/>
        <w:gridCol w:w="4140"/>
      </w:tblGrid>
      <w:tr>
        <w:tblPrEx>
          <w:tblW w:w="9676" w:type="dxa"/>
          <w:tblInd w:w="103" w:type="dxa"/>
          <w:tblLayout w:type="fixed"/>
        </w:tblPrEx>
        <w:trPr>
          <w:trHeight w:val="450"/>
          <w:tblHeader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Kód KN</w:t>
              <w:br/>
              <w:t>2010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Zmluvné colné sadzby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0702 00 00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Paradajky, čerstvé alebo chladené: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Od 1. januára do 31. marca: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84,6 €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82,9 €, ale nižšou ako 84,6 €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+ 1,7 €/100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81,2 €, ale nižšou ako 82,9 €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+ 3,4 €/100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79,5 €, ale nižšou ako 81,2 €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+ 5,1 €/100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77,8 €, ale nižšou ako 79,5 €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+ 6,8 €/100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nižšou ako 77,8 €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+ 29,8 €/100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Od 1. do 30. apríla: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112,6 €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110,3 €, ale nižšou ako 112,6 €: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+ 2,3 €/100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108,1 €, ale nižšou ako 110,3 €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+ 4,5 €/100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105,8 €, ale nižšou ako 108,1 €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+ 6,8 €/100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103,6 €, ale nižšou ako 105,8 €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nižšou ako 103,6 €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+ 29,8 €/100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Od 1. do 14. mája: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72,6 €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71,1 €, ale nižšou ako 72,6 €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+ 1,5 €/100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69,7 €, ale nižšou ako 71,1 €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+ 2,9 €/100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68,2 €, ale nižšou ako 69,7 €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+ 4,4 €/100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66,8 €, ale nižšou ako 68,2 €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+ 5,8 €/100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nižšou ako 66,8 €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+ 29,8 €/100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Od 15. do 31. mája: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72,6 €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71,1 €, ale nižšou ako 72,6 €: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+ 1,5 €/100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69,7 €, ale nižšou ako 71,1 €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+ 2,9 €/100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68,2 €, ale nižšou ako 69,7 €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+ 4,4 €/100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66,8 €, ale nižšou ako 68,2 €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+ 5,8 €/100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nižšou ako 66,8 €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+ 29,8 €/100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Od 1. júna do 30. septembra: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52,6 €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51,5 €, ale nižšou ako 52,6 €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50,5 €, ale nižšou ako 51,5 €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+ 2,1 €/100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49,4 €, ale nižšou ako 50,5 €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+ 3,2 €/100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48,4 €, ale nižšou ako 49,4 €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+ 4,2 €/100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nižšou ako 48,4 €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+ 29,8 €/100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Od 1. do 31. októbra: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61,3 €, ale nižšou ako 62,6 €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+ 1,3 €/100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60,1 €, ale nižšou ako 61,3 €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+ 2,5 €/100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58,8 €, ale nižšou ako 60,1 €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57,6 €, ale nižšou ako 58,8 €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+ 5,0 €/100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nižšou ako 57,6 €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+ 29,8 €/100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Od 1. novembra do 20.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61,3 €, ale nižšou ako 62,6 €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+ 1,3 €/100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60,1 €, ale nižšou ako 61,3 €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+ 2,5 €/100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58,8 €, ale nižšou ako 60,1 €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57,6 €, ale nižšou ako 58,8 €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nižšou ako 57,6 €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+ 29,8 €/100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Od 21. do 31.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67,6 €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66,2 €, ale nižšou ako 67,6 €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+ 1,4 €/100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64,9 €, ale nižšou ako 66,2 €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+ 2,7 €/100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63,5 €, ale nižšou ako 64,9 €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+ 4,1 €/100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nie nižšou ako 62,2 €, ale nižšou ako 63,5 €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+ 5,4 €/100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nižšou ako 62,2 €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8,8 + 29,8 €/100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0707 00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Uhorky šalátové alebo uhorky nakladačky, čerstvé alebo chladené: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0707 00 05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Šalátové uhorky: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1. januára do konca februára: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67,5 €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66,2 €, ale nižšou ako 67,5 €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64,8 €, ale nižšou ako 66,2 €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+ 2,7 €/100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63,5 €, ale nižšou ako 64,8 €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+ 4,0 €/100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62,1 €, ale nižšou ako 63,5 €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+ 5,4 €/100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nižšou ako 62,1 €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1. marca do 30. apríla: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110,5 €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108,3 €, ale nižšou ako 110,5 €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+ 2,2 €/100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106,1 €, ale nižšou ako 108,3 €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+ 4,4 €/100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103,9 €, ale nižšou ako 106,1 €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+ 6,6 €/100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101,7 €, ale nižšou ako 103,9 €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+ 8,8 €/100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nižšou ako 101,7 €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1. do 15. mája: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Na spracovanie: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48,1 €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47,1 €, ale nižšou ako 48,1 €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46,2 €, ale nižšou ako 47,1 €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45,2 €, ale nižšou ako 46,2 €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+ 2,9 €/100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44,3 €, ale nižšou ako 45,2 €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35 €, ale nižšou ako 44,3 €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34,3 €, ale nižšou ako 35 €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33,6 €, ale nižšou ako 34,3 €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32,9 €, ale nižšou ako 33,6 €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32,2 €, ale nižšou ako 32,9 €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32,2 €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Ostatné: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48,1 €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47,1 €, ale nižšou ako 48,1 €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46,2 €, ale nižšou ako 47,1 €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45,2 €, ale nižšou ako 46,2 €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+ 2,9 €/100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44,3 €, ale nižšou ako 45,2 €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44,3 €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16. mája do 30. septembra: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Na spracovanie: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48,1 €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47,1 €, ale nižšou ako 48,1 €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46,2 €, ale nižšou ako 47,1 €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45,2 €, ale nižšou ako 46,2 €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44,3 €, ale nižšou ako 45,2 €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35 €, ale nižšou ako 44,3 €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34,3 €, ale nižšou ako 35 €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33,6 €, ale nižšou ako 34,3 €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32,9 €, ale nižšou ako 33,6 €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32,2 €, ale nižšou ako 32,9 €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32,2 €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Ostatné: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48,1 €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47,1 €, ale nižšou ako 48,1 €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46,2 €, ale nižšou ako 47,1 €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45,2 €, ale nižšou ako 46,2 €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44,3 €, ale nižšou ako 45,2 €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44,3 €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1. do 31. októbra: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Na spracovanie: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68,3 €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66,9 €, ale nižšou ako 68,3 €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65,6 €, ale nižšou ako 66,9 €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64,2 €, ale nižšou ako 65,6 €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+ 4,1 €/100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62,8 €, ale nižšou ako 64,2 €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+ 5,5 €/100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35 €, ale nižšou ako 62,8 €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34,3 €, ale nižšou ako 35 €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33,6 €, ale nižšou ako 34,3 €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32,9 €, ale nižšou ako 33,6 €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32,2 €, ale nižšou ako 32,9 €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32,2 €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Ostatné: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68,3 €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66,9 €, ale nižšou ako 68,3 €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65,6 €, ale nižšou ako 66,9 €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64,2 €, ale nižšou ako 65,6 €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+ 4,1 €/100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62,8 €, ale nižšou ako 64,2 €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+ 5,5 €/100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62,8 €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1. do 10. novembra: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68,3 €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66,9 €, ale nižšou ako 68,3 €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65,6 €, ale nižšou ako 66,9 €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+ 2,7 €/100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64,2 €, ale nižšou ako 65,6 €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+ 4,1 €/100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62,8 €, ale nižšou ako 64,2 €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+ 5,5 €/100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nižšou ako 62,8 €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11. novembra do 31.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60,5 €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59,3 €, ale nižšou ako 60,5 €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58,1 €, ale nižšou ako 59,3 €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+ 2,4 €/100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56,9 €, ale nižšou ako 58,1 €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55,7 €, ale nižšou ako 56,9 €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+ 4,8 €/100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nižšou ako 55,7 €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0709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Ostatná zelenina, čerstvá alebo chladená: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0709 90 70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Cukety: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do 31. januára: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48,8 €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47,8 €, ale nižšou ako 48,8 €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46,8 €, ale nižšou ako 47,8 €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+ 2,0 €/100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45,9 €, ale nižšou ako 46,8 €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+ 2,9 €/100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44,9 €, ale nižšou ako 45,9 €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44,9 €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+ 15,2 €/100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februára do 31. marca: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41,3 €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40,5 €, ale nižšou ako 41,3 €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+ 0,8 €/100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39,6 €, ale nižšou ako 40,5 €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38,8 €, ale nižšou ako 39,6 €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+ 2,5 €/100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38 €, ale nižšou ako 38,8 €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38 €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+ 15,2 €/100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apríla do 31. mája: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69,2 €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67,8 €, ale nižšou ako 69,2 €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66,4 €, ale nižšou ako 67,8 €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+ 2,8 €/100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65 €, ale nižšou ako 66,4 €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+ 4,2 €/100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63,7 €, ale nižšou ako 65 €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+ 5,5 €/100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63,7 €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+ 15,2 €/100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júna do 31. júla: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41,3 €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40,5 €, ale nižšou ako 41,3 €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+ 0,8 €/100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39,6 €, ale nižšou ako 40,5 €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38,8 €, ale nižšou ako 39,6 €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+ 2,5 €/100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38 €, ale nižšou ako 38,8 €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38 €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+ 15,2 €/100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augusta do 31.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48,8 €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47,8 €, ale nižšou ako 48,8 €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46,8 €, ale nižšou ako 47,8 €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+ 2,0 €/100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45,9 €, ale nižšou ako 46,8 €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+ 2,9 €/100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44,9 €, ale nižšou ako 45,9 €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+ 3,9 €/100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44,9 €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12,8 + 15,2 €/100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0709 90 80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Artičoky pravé: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1. januára do 31. mája: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82,6 €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80,9 €, ale nižšou ako 82,6 €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+ 1,7 €/100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79,3 €, ale nižšou ako 80,9 €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+ 3,3 €/100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77,6 €, ale nižšou ako 79,3 €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+ 5,0 €/100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76 €, ale nižšou ako 77,6 €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+ 6,6 €/100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nižšou ako 76 €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+ 22,9 €/100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1. do 30. júna: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64,1 €, ale nižšou ako 65,4 €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+ 1,3 €/100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62,8 €, ale nižšou ako 64,1 €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+ 2,6 €/100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61,5 €, ale nižšou ako 62,8 €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+ 3,9 €/100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60,2 €, ale nižšou ako 61,5 €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+ 5,2 €/100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nižšou ako 60,2 €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+ 22,9 €/100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1. júla do 31. októbra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1. novembra do 31.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94,3 €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92,4 €, ale nižšou ako 94,3 €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+ 1,9 €/100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90,5 €, ale nižšou ako 92,4 €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88,6 €, ale nižšou ako 90,5 €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+ 5,7 €/100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86,8 €, ale nižšou ako 88,6 €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+ 7,5 €/100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nižšou ako 86,8 €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+ 22,9 €/100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Citrusové ovocie, čerstvé alebo sušené: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0805 10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Pomaranče: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0805 10 20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Sladké pomaranče, čerstvé: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januára do 31. marca: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34,7 €, ale nižšou ako 35,4 €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+ 0,7 €/100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34 €, ale nižšou ako 34,7 €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33,3 €, ale nižšou ako 34 €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32,6 €, ale nižšou ako 33,3 €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32,6 €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+ 7,1 €/100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do 30. apríla: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34,7 €, ale nižšou ako 35,4 €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+ 0,7 €/100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34 €, ale nižšou ako 34,7 €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+ 1,4 €/100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33,3 €, ale nižšou ako 34 €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+ 2,1 €/100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32,6 €, ale nižšou ako 33,3 €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+ 2,8 €/100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32,6 €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+ 7,1 €/100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do 31. mája: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34,7 €, ale nižšou ako 35,4 €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+ 0,7 €/100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34 €, ale nižšou ako 34,7 €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+ 1,4 €/100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33,3 €, ale nižšou ako 34 €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+ 2,1 €/100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32,6 €, ale nižšou ako 33,3 €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+ 2,8 €/100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32,6 €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+ 7,1 €/100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16. do 31. mája: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34,7 €, ale nižšou ako 35,4 €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3,2 + 0,7 €/100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34 €, ale nižšou ako 34,7 €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3,2 + 1,4 €/100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33,3 €, ale nižšou ako 34 €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3,2 + 2,1 €/100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32,6 €, ale nižšou ako 33,3 €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3,2 + 2,8 €/100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32,6 €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3,2 + 7,1 €/100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júna do 15. októbra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3,2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16. októbra do 30. novembra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do 31.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34,7 €, ale nižšou ako 35,4 €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+ 0,7 €/100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34 €, ale nižšou ako 34,7 €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33,3 €, ale nižšou ako 34 €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32,6 €, ale nižšou ako 33,3 €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32,6 €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+ 7,1 €/100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Ostatné: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450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0805 20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Mandarínky (vrátane tangerín a satsumov); klementínky, wilkingy a podobné citrusové hybridy: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0805 20 10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Klementínky: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 januára do konca februára: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64,9 €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63,6 €, ale nižšou ako 64,9 €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62,3 €, ale nižšou ako 63,6 €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61 €, ale nižšou ako 62,3 €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59,7 €, ale nižšou ako 61 €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+ 5,2 €/100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59,7 €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marca do 31. októbra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novembra do 31.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64,9 €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63,6 €, ale nižšou ako 64,9 €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62,3 €, ale nižšou ako 63,6 €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61 €, ale nižšou ako 62,3 €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+ 3,9 €/100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59,7 €, ale nižšou ako 61 €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+ 5,2 €/100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59,7 €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0805 20 30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Monreály a satsumy: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 januára do konca februára: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marca do 31. októbra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novembra do 31.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0805 20 50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Mandarínky a wilkingy: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 januára do konca februára: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marca do 31. októbra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novembra do 31.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0805 20 70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Tangeríny: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 januára do konca februára: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marca do 31. októbra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novembra do 31.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0805 20 90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Ostatné: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 januára do konca februára: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marca do 31. októbra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novembra do 31.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28 €, ale nižšou ako 28,6 €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27,5 €, ale nižšou ako 28 €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26,9 €, ale nižšou ako 27,5 €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26,3 €, ale nižšou ako 26,9 €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+ 2,3 €/100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26,3 €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16,0 + 10,6 €/100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0805 50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Citróny (Citrus limon, Citrus limonum) a limety (Citrus aurantifolia, Citrus latifolia):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0805 50 10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Citróny (Citrus limon, Citrus limonum):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januára do 30. apríla: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46,2 €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45,3 €, ale nižšou ako 46,2 €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+ 0,9 €/100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44,4 €, ale nižšou ako 45,3 €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+ 1,8 €/100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43,4 €, ale nižšou ako 44,4 €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42,5 €, ale nižšou ako 43,4 €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+ 3,7 €/100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42,5 €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+ 25,6 €/100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do 31. mája: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46,2 €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45,3 €, ale nižšou ako 46,2 €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+ 0,9 €/100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44,4 €, ale nižšou ako 45,3 €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+ 1,8 €/100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43,4 €, ale nižšou ako 44,4 €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42,5 €, ale nižšou ako 43,4 €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+ 3,7 €/100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41,6 €, ale nižšou ako 42,5 €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+ 4,6 €/100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40,7 €, ale nižšou ako 41,6 €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+ 5,5 €/100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39,7 €, ale nižšou ako 40,7 €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+ 6,5 €/100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38,8 €, ale nižšou ako 39,7 €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38,8 €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+ 25,6 €/100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júna do 31. júla: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55,8 €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54,7 €, ale nižšou ako 55,8 €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53,6 €, ale nižšou ako 54,7 €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52,5 €, ale nižšou ako 53,6 €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+ 3,3 €/100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51,3 €, ale nižšou ako 52,5 €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+ 4,5 €/100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50,2 €, ale nižšou ako 51,3 €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+ 5,6 €/100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49,1 €, ale nižšou ako 50,2 €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+ 6,7 €/100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48 €, ale nižšou ako 49,1 €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46,9 €, ale nižšou ako 48 €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+ 8,9 €/100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46,9 €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+ 25,6 €/100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augusta do 15. augusta: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55,8 €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54,7 €, ale nižšou ako 55,8 €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53,6 €, ale nižšou ako 54,7 €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52,5 €, ale nižšou ako 53,6 €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+ 3,3 €/100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51,3 €, ale nižšou ako 52,5 €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+ 4,5 €/100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50,2 €, ale nižšou ako 51,3 €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+ 5,6 €/100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49,1 €, ale nižšou ako 50,2 €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+ 6,7 €/100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48 €, ale nižšou ako 49,1 €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+ 7,8 €/100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48 €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+ 25,6 €/100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16. augusta do 31. októbra: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55,8 €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54,7 €, ale nižšou ako 55,8 €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53,6 €, ale nižšou ako 54,7 €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52,5 €, ale nižšou ako 53,6 €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+ 3,3 €/100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51,3 €, ale nižšou ako 52,5 €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+ 4,5 €/100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51,3 €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+ 25,6 €/100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novembra do 31.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46,2 €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45,3 €, ale nižšou ako 46,2 €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+ 0,9 €/100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44,4 €, ale nižšou ako 45,3 €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+ 1,8 €/100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43,4 €, ale nižšou ako 44,4 €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42,5 €, ale nižšou ako 43,4 €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+ 3,7 €/100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42,5 €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+ 25,6 €/100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Hrozno, čerstvé alebo sušené: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0806 10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Čerstvé: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0806 10 10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Stolové hrozno: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januára do 14. júla: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odrody Emperor (Vitis vinifera cv.) od 1. do 31. januára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15. do 20. júla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14,1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21. júla do 31. októbra: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54,6 €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14,1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53,5 €, ale nižšou ako 54,6 €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52,4 €, ale nižšou ako 53,5 €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+ 2,2 €/100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51,3 €, ale nižšou ako 52,4 €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+ 3,3 €/100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50,2 €, ale nižšou ako 51,3 €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+ 4,4 €/100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50,2 €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+ 9,6 €/100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do 20. novembra: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47,6 €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46,6 €, ale nižšou ako 47,6 €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+ 1,0 €/100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45,7 €, ale nižšou ako 46,6 €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+ 1,9 €/100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44,7 €, ale nižšou ako 45,7 €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+ 2,9 €/100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43,8 €, ale nižšou ako 44,7 €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43,8 €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14,4 + 9,6 €/100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21. novembra do 31.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odrody Emperor (Vitis vinifera cv.) od 1. do 31. decembra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11,5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Jablká, hrušky a duly, čerstvé: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0808 10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Jablká: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0808 10 80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Ostatné: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januára do 14. februára: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56,8 €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55,7 €, ale nižšou ako 56,8 €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54,5 €, ale nižšou ako 55,7 €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53,4 €, ale nižšou ako 54,5 €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+ 3,4 €/100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52,3 €, ale nižšou ako 53,4 €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+ 4,5 €/100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52,3 €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15. februára do 31. marca: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56,8 €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55,7 €, ale nižšou ako 56,8 €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54,5 €, ale nižšou ako 55,7 €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53,4 €, ale nižšou ako 54,5 €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+ 3,4 €/100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52,3 €, ale nižšou ako 53,4 €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+ 4,5 €/100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51,1 €, ale nižšou ako 52,3 €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+ 5,7 €/100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50 €, ale nižšou ako 51,1 €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+ 6,8 €/100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50 €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apríla do 30. júna: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56,8 €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55,7 €, ale nižšou ako 56,8 €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+ 1,1 €/100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54,5 €, ale nižšou ako 55,7 €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+ 2,3 €/100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53,4 €, ale nižšou ako 54,5 €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+ 3,4 €/100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52,3 €, ale nižšou ako 53,4 €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+ 4,5 €/100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51,1 €, ale nižšou ako 52,3 €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+ 5,7 €/100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50 €, ale nižšou ako 51,1 €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+ 6,8 €/100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48,8 €, ale nižšou ako 50 €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+ 8,0 €/100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48,8 €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+ 23,8 €/100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júla do 15. júla: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45,7 €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44,8 €, ale nižšou ako 45,7 €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+ 0,9 €/100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43,9 €, ale nižšou ako 44,8 €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+ 1,8 €/100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43 €, ale nižšou ako 43,9 €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+ 2,7 €/100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42 €, ale nižšou ako 43 €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+ 3,7 €/100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41,1 €, ale nižšou ako 42 €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+ 4,6 €/100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40,2 €, ale nižšou ako 41,1 €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+ 5,5 €/100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39,3 €, ale nižšou ako 40,2 €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+ 6,4 €/100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39,3 €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+ 23,8 €/100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16. júla do 31. júla: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45,7 €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44,8 €, ale nižšou ako 45,7 €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+ 0,9 €/100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43,9 €, ale nižšou ako 44,8 €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+ 1,8 €/100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43 €, ale nižšou ako 43,9 €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+ 2,7 €/100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42 €, ale nižšou ako 43 €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+ 3,7 €/100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42 €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4,8 + 23,8 €/100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augusta do 31.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45,7 €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9,0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44,8 €, ale nižšou ako 45,7 €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11,2 + 0,9 €/100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43,9 €, ale nižšou ako 44,8 €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11,2 + 1,8 €/100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43 €, ale nižšou ako 43,9 €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11,2 + 2,7 €/100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42 €, ale nižšou ako 43 €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11,2 + 3,7 €/100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42 €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11,2 + 23,8 €/100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0808 20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Hrušky a duly: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Hrušky: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0808 20 50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Ostatné: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januára do 31. januára: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50 €, ale nižšou ako 51 €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+ 1,0 €/100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49 €, ale nižšou ako 50 €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+ 2,0 €/100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47,9 €, ale nižšou ako 49 €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+ 3,1 €/100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46,9 €, ale nižšou ako 47,9 €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+ 4,1 €/100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46,9 €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+ 23,8 €/100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februára do 31. marca: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5,0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50 €, ale nižšou ako 51 €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+ 1,0 €/100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49 €, ale nižšou ako 50 €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+ 2,0 €/100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47,9 €, ale nižšou ako 49 €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+ 3,1 €/100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46,9 €, ale nižšou ako 47,9 €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+ 4,1 €/100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46,9 €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+ 23,8 €/100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do 30. apríla: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50 €, ale nižšou ako 51 €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+ 1,0 €/100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49 €, ale nižšou ako 50 €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+ 2,0 €/100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47,9 €, ale nižšou ako 49 €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+ 3,1 €/100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46,9 €, ale nižšou ako 47,9 €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+ 4,1 €/100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45,9 €, ale nižšou ako 46,9 €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+ 5,1 €/100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44,9 €, ale nižšou ako 45,9 €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+ 6,1 €/100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43,9 €, ale nižšou ako 44,9 €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+ 7,1 €/100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43,9 €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+ 23,8 €/100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mája do 30. júna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2,5 MIN 1,0 €/100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do 15. júla: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46,5 €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45,6 €, ale nižšou ako 46,5 €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+ 0,9 €/100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44,6 €, ale nižšou ako 45,6 €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+ 1,9 €/100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43,7 €, ale nižšou ako 44,6 €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+ 2,8 €/100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42,8 €, ale nižšou ako 43,7 €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+ 3,7 €/100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41,9 €, ale nižšou ako 42,8 €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+ 4,6 €/100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40,9 €, ale nižšou ako 41,9 €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+ 5,6 €/100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40 €, ale nižšou ako 40,9 €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+ 6,5 €/100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40 €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4,0 + 23,8 €/100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16. do 31. júla: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46,5 €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5,0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45,6 €, ale nižšou ako 46,5 €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+ 0,9 €/100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44,6 €, ale nižšou ako 45,6 €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+ 1,9 €/100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43,7 €, ale nižšou ako 44,6 €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+ 2,8 €/100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42,8 €, ale nižšou ako 43,7 €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+ 3,7 €/100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42,8 €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8 + 23,8 €/100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augusta do 31. októbra: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38,8 €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38 €, ale nižšou ako 38,8 €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+ 0,8 €/100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37,2 €, ale nižšou ako 38 €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+ 1,6 €/100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36,5 €, ale nižšou ako 37,2 €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+ 2,3 €/100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35,7 €, ale nižšou ako 36,5 €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+ 3,1 €/100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35,7 €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+ 23,8 €/100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Od 1. novembra do 31. decembra: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50 €, ale nižšou ako 51 €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+ 1,0 €/100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49 €, ale nižšou ako 50 €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+ 2,0 €/100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47,9 €, ale nižšou ako 49 €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+ 3,1 €/100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nie nižšou ako 46,9 €, ale nižšou ako 47,9 €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+ 4,1 €/100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- nižšou ako 46,9 €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10,4 + 23,8 €/100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Marhule, čerešne, višne, broskyne (vrátane nektáriniek), slivky a trnky, čerstvé: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0809 10 00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Marhule: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1. januára do 31. mája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1. do 20. júna: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107,1 €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105 €, ale nižšou ako 107,1 €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+ 2,1 €/100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102,8 €, ale nižšou ako 105 €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+ 4,3 €/100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100,7 €, ale nižšou ako 102,8 €: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+ 6,4 €/100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98,5 €, ale nižšou ako 100,7 €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+ 8,6 €/100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nižšou ako 98,5 €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+ 22,7 €/100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21. do 30. júna: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87,3 €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85,6 €, ale nižšou ako 87,3 €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+ 1,7 €/100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83,8 €, ale nižšou ako 85,6 €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+ 3,5 €/100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82,1 €, ale nižšou ako 83,8 €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+ 5,2 €/100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80,3 €, ale nižšou ako 82,1 €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nižšou ako 80,3 €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+ 22,7 €/100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1. do 31. júla: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77,1 €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75,6 €, ale nižšou ako 77,1 €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+ 1,5 €/100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74 €, ale nižšou ako 75,6 €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+ 3,1 €/100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72,5 €, ale nižšou ako 74 €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+ 4,6 €/100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nie nižšou ako 70,9 €, ale nižšou ako 72,5 €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+ 6,2 €/100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nižšou ako 70,9 €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 + 22,7 €/100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Od 1. augusta do 31. decembra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20,0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0809 20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Čerešne: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0809 20 05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Višne (Prunus cerasus):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januára do 30. apríla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do 20. mája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 MIN 2,4 €/100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21. do 31. mája: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149,4 €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146,4 €, ale nižšou ako 149,4 €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+ 3,0 €/100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143,4 €, ale nižšou ako 146,4 €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+ 6,0 €/100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140,4 €, ale nižšou ako 143,4 €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+ 9,0 €/100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137,4 €, ale nižšou ako 140,4 €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+ 12,0 €/100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50,7 €, ale nižšou ako 137,4 €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49,7 €, ale nižšou ako 50,7 €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48,7 €, ale nižšou ako 49,7 €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47,7 €, ale nižšou ako 48,7 €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46,6 €, ale nižšou ako 47,7 €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46,6 €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júna do 15. júla: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122,9 €, ale nižšou ako 125,4 €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120,4 €, ale nižšou ako 122,9 €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+ 5,0 €/100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117,9 €, ale nižšou ako 120,4 €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+ 7,5 €/100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115,4 €, ale nižšou ako 117,9 €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+ 10,0 €/100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50,7 €, ale nižšou ako 115,4 €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49,7 €, ale nižšou ako 50,7 €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48,7 €, ale nižšou ako 49,7 €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47,7 €, ale nižšou ako 48,7 €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46,6 €, ale nižšou ako 47,7 €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46,6 €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16. do 31. júla: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122,9 €, ale nižšou ako 125,4 €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120,4 €, ale nižšou ako 122,9 €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+ 5,0 €/100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117,9 €, ale nižšou ako 120,4 €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+ 7,5 €/100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115,4 €, ale nižšou ako 117,9 €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+ 10,0 €/100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45,9 €, ale nižšou ako 115,4 €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45 €, ale nižšou ako 45,9 €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44,1 €, ale nižšou ako 45 €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43,1 €, ale nižšou ako 44,1 €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42,2 €, ale nižšou ako 43,1 €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42,2 €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12,5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do 10. augusta: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91,6 €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89,8 €, ale nižšou ako 91,6 €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+ 1,8 €/100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87,9 €, ale nižšou ako 89,8 €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+ 3,7 €/100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86,1 €, ale nižšou ako 87,9 €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+ 5,5 €/100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84,1 €, ale nižšou ako 86,1 €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+ 7,3 €/100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45,9 €, ale nižšou ako 84,1 €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45 €, ale nižšou ako 45,9 €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44,1 €, ale nižšou ako 45 €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43,1 €, ale nižšou ako 44,1 €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42,2 €, ale nižšou ako 43,1 €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42,2 €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11. augusta do 31. decembra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0809 20 95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Ostatné: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januára do 30. apríla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do 20. mája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 MIN 2,4 €/100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21. do 31. mája: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149,4 €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146,4 €, ale nižšou ako 149,4 €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+ 3,0 €/100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143,4 €, ale nižšou ako 146,4 €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+ 6,0 €/100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140,4 €, ale nižšou ako 143,4 €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+ 9,0 €/100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137,4 €, ale nižšou ako 140,4 €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+ 12,0 €/100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137,4 €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júna do 15. júna: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122,9 €, ale nižšou ako 125,4 €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120,4 €, ale nižšou ako 122,9 €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+ 5,0 €/100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117,9 €, ale nižšou ako 120,4 €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+ 7,5 €/100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115,4 €, ale nižšou ako 117,9 €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+ 10,0 €/100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115,4 €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16. júna do 15. júla: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122,9 €, ale nižšou ako 125,4 €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120,4 €, ale nižšou ako 122,9 €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+ 5,0 €/100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117,9 €, ale nižšou ako 120,4 €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+ 7,5 €/100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115,4 €, ale nižšou ako 117,9 €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+ 10,0 €/100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115,4 €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16. do 31. júla: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122,9 €, ale nižšou ako 125,4 €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120,4 €, ale nižšou ako 122,9 €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+ 5,0 €/100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117,9 €, ale nižšou ako 120,4 €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+ 7,5 €/100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115,4 €, ale nižšou ako 117,9 €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+ 10,0 €/100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115,4 €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do 10. augusta: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91,6 €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89,8 €, ale nižšou ako 91,6 €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+ 1,8 €/100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87,9 €, ale nižšou ako 89,8 €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+ 3,7 €/100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86,1 €, ale nižšou ako 87,9 €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+ 5,5 €/100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84,1 €, ale nižšou ako 86,1 €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+ 7,3 €/100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84,1 €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+ 27,4 €/100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11. augusta do 31. decembra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0809 30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Broskyne, vrátane nektáriniek: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0809 30 10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Nektárinky: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januára do 10. júna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11. do 20. júna: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88,3 €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86,5 €, ale nižšou ako 88,3 €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+ 1,8 €/100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84,8 €, ale nižšou ako 86,5 €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+ 3,5 €/100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83 €, ale nižšou ako 84,8 €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+ 5,3 €/100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81,2 €, ale nižšou ako 83 €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+ 7,1 €/100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81,2 €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+ 13,0 €/100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21. júna do 31. júla: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77,6 €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76 €, ale nižšou ako 77,6 €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+ 1,6 €/100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74,5 €, ale nižšou ako 76 €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+ 3,1 €/100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72,9 €, ale nižšou ako 74,5 €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+ 4,7 €/100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71,4 €, ale nižšou ako 72,9 €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+ 6,2 €/100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71,4 €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+ 13,0 €/100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augusta do 30. septembra: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60 €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58,8 €, ale nižšou ako 60 €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+ 1,2 €/100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57,6 €, ale nižšou ako 58,8 €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+ 2,4 €/100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56,4 €, ale nižšou ako 57,6 €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+ 3,6 €/100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55,2 €, ale nižšou ako 56,4 €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+ 4,8 €/100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55,2 €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+ 13,0 €/100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 októbra do 31. decembra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0809 30 90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Ostatné: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januára do 10. júna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11. do 20. júna: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88,3 €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86,5 €, ale nižšou ako 88,3 €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+ 1,8 €/100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84,8 €, ale nižšou ako 86,5 €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+ 3,5 €/100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83 €, ale nižšou ako 84,8 €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+ 5,3 €/100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81,2 €, ale nižšou ako 83 €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+ 7,1 €/100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81,2 €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+ 13,0 €/100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21. júna do 31. júla: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77,6 €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76 €, ale nižšou ako 77,6 €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+ 1,6 €/100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74,5 €, ale nižšou ako 76 €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+ 3,1 €/100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72,9 €, ale nižšou ako 74,5 €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+ 4,7 €/100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71,4 €, ale nižšou ako 72,9 €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+ 6,2 €/100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71,4 €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+ 13,0 €/100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augusta do 30. septembra: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60 €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58,8 €, ale nižšou ako 60 €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+ 1,2 €/100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57,6 €, ale nižšou ako 58,8 €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+ 2,4 €/100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56,4 €, ale nižšou ako 57,6 €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+ 3,6 €/100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55,2 €, ale nižšou ako 56,4 €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+ 4,8 €/100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55,2 €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 + 13,0 €/100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 októbra do 31. decembra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17,6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pageBreakBefore/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0809 40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Slivky a trnky: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0809 40 05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Slivky: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januára do 10. júna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11. do 30. júna: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69,6 €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68,2 €, ale nižšou ako 69,6 €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+ 1,4 €/100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66,8 €, ale nižšou ako 68,2 €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+ 2,8 €/100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65,4 €, ale nižšou ako 66,8 €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+ 4,2 €/100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64 €, ale nižšou ako 65,4 €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+ 5,6 €/100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64 €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 + 10,3 €/100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 júla do 30. septembra: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so vstupnou cenou za 100 kg netto hmotnosti: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69,6 €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68,2 €, ale nižšou ako 69,6 €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+ 1,4 €/100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66,8 €, ale nižšou ako 68,2 €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+ 2,8 €/100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65,4 €, ale nižšou ako 66,8 €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+ 4,2 €/100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nie nižšou ako 64 €, ale nižšou ako 65,4 €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+ 5,6 €/100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- - nižšou ako 64 €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12,0 + 10,3 €/100 kg/netto</w:t>
            </w:r>
          </w:p>
        </w:tc>
      </w:tr>
      <w:tr>
        <w:tblPrEx>
          <w:tblW w:w="9676" w:type="dxa"/>
          <w:tblInd w:w="103" w:type="dxa"/>
          <w:tblLayout w:type="fixed"/>
        </w:tblPrEx>
        <w:trPr>
          <w:trHeight w:val="22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F3737F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F3737F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- - - Od 1. októbra do 31. decembra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302FB" w:rsidRPr="000F5C85" w:rsidP="00982568">
            <w:pPr>
              <w:bidi w:val="0"/>
              <w:spacing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0F5C85">
              <w:rPr>
                <w:rFonts w:ascii="Times New Roman" w:hAnsi="Times New Roman"/>
                <w:noProof/>
                <w:sz w:val="20"/>
              </w:rPr>
              <w:t>6,4</w:t>
            </w:r>
          </w:p>
        </w:tc>
      </w:tr>
    </w:tbl>
    <w:p w:rsidR="008302FB" w:rsidRPr="00293520" w:rsidP="008302FB">
      <w:pPr>
        <w:bidi w:val="0"/>
        <w:spacing w:line="240" w:lineRule="auto"/>
        <w:rPr>
          <w:rFonts w:ascii="Times New Roman" w:hAnsi="Times New Roman"/>
          <w:noProof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</w:rPr>
      </w:pPr>
    </w:p>
    <w:p w:rsidR="008302FB" w:rsidRPr="00293520" w:rsidP="008302FB">
      <w:pPr>
        <w:bidi w:val="0"/>
        <w:jc w:val="center"/>
        <w:rPr>
          <w:rFonts w:ascii="Times New Roman" w:hAnsi="Times New Roman"/>
        </w:rPr>
      </w:pPr>
    </w:p>
    <w:p w:rsidR="0007104E" w:rsidRPr="003A4C0D" w:rsidP="003B42C9">
      <w:pPr>
        <w:bidi w:val="0"/>
        <w:spacing w:line="240" w:lineRule="auto"/>
        <w:jc w:val="center"/>
        <w:rPr>
          <w:rFonts w:ascii="Times New Roman" w:hAnsi="Times New Roman"/>
        </w:rPr>
      </w:pPr>
    </w:p>
    <w:sectPr w:rsidSect="00982568">
      <w:footerReference w:type="default" r:id="rId7"/>
      <w:footnotePr>
        <w:numRestart w:val="eachPage"/>
      </w:footnotePr>
      <w:pgSz w:w="11907" w:h="16839" w:code="9"/>
      <w:pgMar w:top="1134" w:right="1134" w:bottom="1134" w:left="1134" w:header="1134" w:footer="1134" w:gutter="0"/>
      <w:lnNumType w:distance="0"/>
      <w:pgNumType w:start="1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2C9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3B42C9">
    <w:pPr>
      <w:pStyle w:val="Footer"/>
      <w:bidi w:val="0"/>
      <w:rPr>
        <w:rFonts w:ascii="Times New Roman" w:hAnsi="Times New Roman"/>
      </w:rPr>
    </w:pPr>
    <w:bookmarkStart w:id="13" w:name="CoteFooter"/>
    <w:bookmarkEnd w:id="13"/>
    <w:r>
      <w:rPr>
        <w:rFonts w:ascii="Times New Roman" w:hAnsi="Times New Roman"/>
      </w:rPr>
      <w:t>14764/11 ADD 1 REV 1</w:t>
      <w:tab/>
    </w:r>
    <w:bookmarkStart w:id="14" w:name="SuplCote"/>
    <w:bookmarkEnd w:id="14"/>
    <w:r>
      <w:rPr>
        <w:rFonts w:ascii="Times New Roman" w:hAnsi="Times New Roman"/>
      </w:rPr>
      <w:tab/>
    </w:r>
    <w:bookmarkStart w:id="15" w:name="Init"/>
    <w:bookmarkEnd w:id="15"/>
    <w:r w:rsidR="00812966">
      <w:rPr>
        <w:rFonts w:ascii="Times New Roman" w:hAnsi="Times New Roman"/>
      </w:rPr>
      <w:t>AK/mse</w:t>
    </w:r>
    <w:r>
      <w:rPr>
        <w:rFonts w:ascii="Times New Roman" w:hAnsi="Times New Roman"/>
      </w:rPr>
      <w:tab/>
    </w:r>
  </w:p>
  <w:p w:rsidR="003B42C9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6" w:name="DG"/>
    <w:bookmarkEnd w:id="16"/>
    <w:r>
      <w:rPr>
        <w:rFonts w:ascii="Times New Roman" w:hAnsi="Times New Roman"/>
      </w:rPr>
      <w:t>DG C</w:t>
      <w:tab/>
    </w:r>
    <w:bookmarkStart w:id="17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7"/>
    <w:r>
      <w:rPr>
        <w:rFonts w:ascii="Times New Roman" w:hAnsi="Times New Roman"/>
        <w:b/>
        <w:position w:val="-4"/>
        <w:sz w:val="36"/>
      </w:rPr>
      <w:t> </w:t>
    </w:r>
    <w:bookmarkStart w:id="18" w:name="Langue"/>
    <w:r>
      <w:rPr>
        <w:rFonts w:ascii="Times New Roman" w:hAnsi="Times New Roman"/>
        <w:b/>
        <w:position w:val="-4"/>
        <w:sz w:val="36"/>
      </w:rPr>
      <w:t>SK</w:t>
    </w:r>
    <w:bookmarkEnd w:id="18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568" w:rsidP="00982568">
    <w:pPr>
      <w:pStyle w:val="Footer"/>
      <w:bidi w:val="0"/>
      <w:rPr>
        <w:rFonts w:ascii="Times New Roman" w:hAnsi="Times New Roman"/>
      </w:rPr>
    </w:pPr>
  </w:p>
  <w:p w:rsidR="00982568" w:rsidRPr="006029D0" w:rsidP="00982568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CA449E"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E4E">
      <w:pPr>
        <w:pStyle w:val="FootnoteText"/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footnote>
  <w:footnote w:type="continuationSeparator" w:id="1">
    <w:p w:rsidR="00265E4E">
      <w:pPr>
        <w:pStyle w:val="FootnoteText"/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separator/>
      </w:r>
    </w:p>
  </w:footnote>
  <w:footnote w:id="2">
    <w:p>
      <w:pPr>
        <w:pStyle w:val="FootnoteText"/>
        <w:bidi w:val="0"/>
        <w:rPr>
          <w:rFonts w:ascii="Times New Roman" w:hAnsi="Times New Roman"/>
        </w:rPr>
      </w:pPr>
      <w:r w:rsidR="00812966">
        <w:rPr>
          <w:rStyle w:val="FootnoteReference"/>
          <w:rFonts w:ascii="Times New Roman" w:hAnsi="Times New Roman"/>
        </w:rPr>
        <w:footnoteRef/>
      </w:r>
      <w:r w:rsidR="00812966">
        <w:rPr>
          <w:rFonts w:ascii="Times New Roman" w:hAnsi="Times New Roman"/>
        </w:rPr>
        <w:tab/>
      </w:r>
      <w:r w:rsidR="00812966">
        <w:rPr>
          <w:rFonts w:ascii="Times New Roman" w:hAnsi="Times New Roman"/>
          <w:noProof/>
          <w:szCs w:val="24"/>
        </w:rPr>
        <w:t>Súhrnné množstvo je vyjadrené v jednotkách jatočnej hmotnosti takto:</w:t>
      </w:r>
      <w:r w:rsidR="00812966">
        <w:rPr>
          <w:rFonts w:ascii="Times New Roman" w:hAnsi="Times New Roman"/>
          <w:szCs w:val="24"/>
        </w:rPr>
        <w:t xml:space="preserve"> </w:t>
      </w:r>
      <w:r w:rsidR="00812966">
        <w:rPr>
          <w:rFonts w:ascii="Times New Roman" w:hAnsi="Times New Roman"/>
          <w:noProof/>
          <w:szCs w:val="24"/>
        </w:rPr>
        <w:t>100 kilogramov nevykosteného mäsa zodpovedá 70 kilogramom vykosteného mäsa.</w:t>
      </w:r>
    </w:p>
  </w:footnote>
  <w:footnote w:id="3">
    <w:p w:rsidP="008302FB">
      <w:pPr>
        <w:pStyle w:val="FootnoteText"/>
        <w:bidi w:val="0"/>
        <w:rPr>
          <w:rFonts w:ascii="Times New Roman" w:hAnsi="Times New Roman"/>
        </w:rPr>
      </w:pPr>
      <w:r w:rsidR="008302FB">
        <w:rPr>
          <w:rStyle w:val="FootnoteReference"/>
          <w:rFonts w:ascii="Times New Roman" w:hAnsi="Times New Roman"/>
          <w:szCs w:val="24"/>
        </w:rPr>
        <w:footnoteRef/>
      </w:r>
      <w:r w:rsidR="008302FB">
        <w:rPr>
          <w:rFonts w:ascii="Times New Roman" w:hAnsi="Times New Roman"/>
          <w:szCs w:val="24"/>
        </w:rPr>
        <w:tab/>
      </w:r>
      <w:r w:rsidR="008302FB">
        <w:rPr>
          <w:rFonts w:ascii="Times New Roman" w:hAnsi="Times New Roman"/>
          <w:noProof/>
          <w:szCs w:val="24"/>
        </w:rPr>
        <w:t>Kvóta je vyjadrená v jednotkách jatočnej hmotnosti takto:</w:t>
      </w:r>
      <w:r w:rsidR="008302FB">
        <w:rPr>
          <w:rFonts w:ascii="Times New Roman" w:hAnsi="Times New Roman"/>
          <w:szCs w:val="24"/>
        </w:rPr>
        <w:t xml:space="preserve"> </w:t>
      </w:r>
      <w:r w:rsidR="008302FB">
        <w:rPr>
          <w:rFonts w:ascii="Times New Roman" w:hAnsi="Times New Roman"/>
          <w:noProof/>
          <w:szCs w:val="24"/>
        </w:rPr>
        <w:t>100 kilogramov nevykosteného mäsa zodpovedá 70 kilogramom vykosteného mäsa.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1B8E5E8E"/>
    <w:multiLevelType w:val="singleLevel"/>
    <w:tmpl w:val="0308A5B6"/>
    <w:name w:val="Bullet 4__1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2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3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4">
    <w:nsid w:val="29943D03"/>
    <w:multiLevelType w:val="singleLevel"/>
    <w:tmpl w:val="3A60D03C"/>
    <w:name w:val="Considérant__1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5">
    <w:nsid w:val="2AF76E7A"/>
    <w:multiLevelType w:val="singleLevel"/>
    <w:tmpl w:val="AA74C2F6"/>
    <w:name w:val="Bullet 1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6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8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9">
    <w:nsid w:val="3A5459E8"/>
    <w:multiLevelType w:val="singleLevel"/>
    <w:tmpl w:val="10086084"/>
    <w:name w:val="Tiret 1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">
    <w:nsid w:val="3C90278F"/>
    <w:multiLevelType w:val="singleLevel"/>
    <w:tmpl w:val="9CC0F2DA"/>
    <w:name w:val="Tiret 3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1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3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4">
    <w:nsid w:val="48842C30"/>
    <w:multiLevelType w:val="singleLevel"/>
    <w:tmpl w:val="9162CC5A"/>
    <w:name w:val="Bullet 4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5">
    <w:nsid w:val="4AC64C14"/>
    <w:multiLevelType w:val="singleLevel"/>
    <w:tmpl w:val="65A04148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6">
    <w:nsid w:val="568864DC"/>
    <w:multiLevelType w:val="singleLevel"/>
    <w:tmpl w:val="E2880FB0"/>
    <w:name w:val="Bullet 0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7">
    <w:nsid w:val="57911480"/>
    <w:multiLevelType w:val="hybridMultilevel"/>
    <w:tmpl w:val="F0268494"/>
    <w:name w:val="Tiret 4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Times New Roman" w:hint="default"/>
        <w:b/>
        <w:color w:val="auto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18">
    <w:nsid w:val="5F342530"/>
    <w:multiLevelType w:val="singleLevel"/>
    <w:tmpl w:val="E37C9B26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9">
    <w:nsid w:val="5F9C40AA"/>
    <w:multiLevelType w:val="singleLevel"/>
    <w:tmpl w:val="72243E6E"/>
    <w:name w:val="Bullet 3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20">
    <w:nsid w:val="62970F71"/>
    <w:multiLevelType w:val="singleLevel"/>
    <w:tmpl w:val="861E9C50"/>
    <w:name w:val="Bullet 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>
    <w:nsid w:val="6765535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rtl w:val="0"/>
        <w:cs w:val="0"/>
      </w:rPr>
    </w:lvl>
  </w:abstractNum>
  <w:abstractNum w:abstractNumId="22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3">
    <w:nsid w:val="711167E2"/>
    <w:multiLevelType w:val="multilevel"/>
    <w:tmpl w:val="45621792"/>
    <w:name w:val="Considérant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4">
    <w:nsid w:val="79FA34D6"/>
    <w:multiLevelType w:val="singleLevel"/>
    <w:tmpl w:val="41326E50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>
    <w:nsid w:val="7BE95D7F"/>
    <w:multiLevelType w:val="multilevel"/>
    <w:tmpl w:val="8A8E0116"/>
    <w:name w:val="NumPar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21"/>
  </w:num>
  <w:num w:numId="2">
    <w:abstractNumId w:val="7"/>
  </w:num>
  <w:num w:numId="3">
    <w:abstractNumId w:val="11"/>
  </w:num>
  <w:num w:numId="4">
    <w:abstractNumId w:val="24"/>
  </w:num>
  <w:num w:numId="5">
    <w:abstractNumId w:val="2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6"/>
  </w:num>
  <w:num w:numId="11">
    <w:abstractNumId w:val="0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9"/>
  </w:num>
  <w:num w:numId="17">
    <w:abstractNumId w:val="20"/>
  </w:num>
  <w:num w:numId="18">
    <w:abstractNumId w:val="10"/>
  </w:num>
  <w:num w:numId="19">
    <w:abstractNumId w:val="16"/>
  </w:num>
  <w:num w:numId="20">
    <w:abstractNumId w:val="23"/>
  </w:num>
  <w:num w:numId="21">
    <w:abstractNumId w:val="25"/>
  </w:num>
  <w:num w:numId="22">
    <w:abstractNumId w:val="5"/>
  </w:num>
  <w:num w:numId="23">
    <w:abstractNumId w:val="19"/>
  </w:num>
  <w:num w:numId="24">
    <w:abstractNumId w:val="18"/>
  </w:num>
  <w:num w:numId="25">
    <w:abstractNumId w:val="14"/>
  </w:num>
  <w:num w:numId="26">
    <w:abstractNumId w:val="15"/>
  </w:num>
  <w:num w:numId="27">
    <w:abstractNumId w:val="1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  <w:footnote w:id="0"/>
    <w:footnote w:id="1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7104E"/>
    <w:rsid w:val="000C66E8"/>
    <w:rsid w:val="000F5C85"/>
    <w:rsid w:val="000F7A4B"/>
    <w:rsid w:val="00131155"/>
    <w:rsid w:val="00142A29"/>
    <w:rsid w:val="0015674F"/>
    <w:rsid w:val="0021429E"/>
    <w:rsid w:val="002213E5"/>
    <w:rsid w:val="00223AB0"/>
    <w:rsid w:val="00251526"/>
    <w:rsid w:val="002634E2"/>
    <w:rsid w:val="00265E4E"/>
    <w:rsid w:val="00293520"/>
    <w:rsid w:val="00293F61"/>
    <w:rsid w:val="002B51E8"/>
    <w:rsid w:val="002B77F9"/>
    <w:rsid w:val="002E5515"/>
    <w:rsid w:val="00304C43"/>
    <w:rsid w:val="003327A2"/>
    <w:rsid w:val="00351CF0"/>
    <w:rsid w:val="003568FB"/>
    <w:rsid w:val="0038597C"/>
    <w:rsid w:val="003A2248"/>
    <w:rsid w:val="003A4C0D"/>
    <w:rsid w:val="003A6F3C"/>
    <w:rsid w:val="003B42C9"/>
    <w:rsid w:val="003C6393"/>
    <w:rsid w:val="003F7E6C"/>
    <w:rsid w:val="00457E3B"/>
    <w:rsid w:val="00477812"/>
    <w:rsid w:val="00494021"/>
    <w:rsid w:val="0049672E"/>
    <w:rsid w:val="004C65E9"/>
    <w:rsid w:val="00551EA9"/>
    <w:rsid w:val="00555E9C"/>
    <w:rsid w:val="005661F3"/>
    <w:rsid w:val="00577B68"/>
    <w:rsid w:val="005D240F"/>
    <w:rsid w:val="006029D0"/>
    <w:rsid w:val="00641F6D"/>
    <w:rsid w:val="006754D0"/>
    <w:rsid w:val="00686361"/>
    <w:rsid w:val="00725842"/>
    <w:rsid w:val="0072590D"/>
    <w:rsid w:val="007534E2"/>
    <w:rsid w:val="007C4874"/>
    <w:rsid w:val="00812966"/>
    <w:rsid w:val="008302FB"/>
    <w:rsid w:val="008506EB"/>
    <w:rsid w:val="008543C7"/>
    <w:rsid w:val="00864638"/>
    <w:rsid w:val="008D01EE"/>
    <w:rsid w:val="00982568"/>
    <w:rsid w:val="00997758"/>
    <w:rsid w:val="009D428B"/>
    <w:rsid w:val="00AA44C0"/>
    <w:rsid w:val="00B160D4"/>
    <w:rsid w:val="00B204CF"/>
    <w:rsid w:val="00C171FA"/>
    <w:rsid w:val="00C474DB"/>
    <w:rsid w:val="00CA4323"/>
    <w:rsid w:val="00CA449E"/>
    <w:rsid w:val="00CC2FC1"/>
    <w:rsid w:val="00D13D17"/>
    <w:rsid w:val="00D1654A"/>
    <w:rsid w:val="00D54D33"/>
    <w:rsid w:val="00D87255"/>
    <w:rsid w:val="00DD2615"/>
    <w:rsid w:val="00DE6B95"/>
    <w:rsid w:val="00E52062"/>
    <w:rsid w:val="00E52B95"/>
    <w:rsid w:val="00E5759A"/>
    <w:rsid w:val="00F3737F"/>
    <w:rsid w:val="00F51D91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2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13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14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15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8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4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6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7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9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1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5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2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3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8302FB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8302FB"/>
    <w:pPr>
      <w:widowControl/>
      <w:spacing w:before="120" w:after="120" w:line="240" w:lineRule="auto"/>
      <w:ind w:left="850"/>
      <w:jc w:val="both"/>
    </w:pPr>
    <w:rPr>
      <w:szCs w:val="24"/>
      <w:lang w:val="en-GB" w:eastAsia="en-US"/>
    </w:rPr>
  </w:style>
  <w:style w:type="paragraph" w:customStyle="1" w:styleId="HeaderLandscape">
    <w:name w:val="HeaderLandscape"/>
    <w:basedOn w:val="Normal"/>
    <w:uiPriority w:val="99"/>
    <w:rsid w:val="008302FB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val="en-GB" w:eastAsia="en-US"/>
    </w:rPr>
  </w:style>
  <w:style w:type="paragraph" w:customStyle="1" w:styleId="Text2">
    <w:name w:val="Text 2"/>
    <w:basedOn w:val="Normal"/>
    <w:uiPriority w:val="99"/>
    <w:rsid w:val="008302FB"/>
    <w:pPr>
      <w:widowControl/>
      <w:spacing w:before="120" w:after="120" w:line="240" w:lineRule="auto"/>
      <w:ind w:left="1417"/>
      <w:jc w:val="both"/>
    </w:pPr>
    <w:rPr>
      <w:szCs w:val="24"/>
      <w:lang w:val="en-GB" w:eastAsia="en-US"/>
    </w:rPr>
  </w:style>
  <w:style w:type="paragraph" w:customStyle="1" w:styleId="Text3">
    <w:name w:val="Text 3"/>
    <w:basedOn w:val="Normal"/>
    <w:uiPriority w:val="99"/>
    <w:rsid w:val="008302FB"/>
    <w:pPr>
      <w:widowControl/>
      <w:spacing w:before="120" w:after="120" w:line="240" w:lineRule="auto"/>
      <w:ind w:left="1984"/>
      <w:jc w:val="both"/>
    </w:pPr>
    <w:rPr>
      <w:szCs w:val="24"/>
      <w:lang w:val="en-GB" w:eastAsia="en-US"/>
    </w:rPr>
  </w:style>
  <w:style w:type="paragraph" w:customStyle="1" w:styleId="Text4">
    <w:name w:val="Text 4"/>
    <w:basedOn w:val="Normal"/>
    <w:uiPriority w:val="99"/>
    <w:rsid w:val="008302FB"/>
    <w:pPr>
      <w:widowControl/>
      <w:spacing w:before="120" w:after="120" w:line="240" w:lineRule="auto"/>
      <w:ind w:left="2551"/>
      <w:jc w:val="both"/>
    </w:pPr>
    <w:rPr>
      <w:szCs w:val="24"/>
      <w:lang w:val="en-GB" w:eastAsia="en-US"/>
    </w:rPr>
  </w:style>
  <w:style w:type="paragraph" w:customStyle="1" w:styleId="NormalCentered">
    <w:name w:val="Normal Centered"/>
    <w:basedOn w:val="Normal"/>
    <w:uiPriority w:val="99"/>
    <w:rsid w:val="008302FB"/>
    <w:pPr>
      <w:widowControl/>
      <w:spacing w:before="120" w:after="120" w:line="240" w:lineRule="auto"/>
      <w:jc w:val="center"/>
    </w:pPr>
    <w:rPr>
      <w:szCs w:val="24"/>
      <w:lang w:val="en-GB" w:eastAsia="en-US"/>
    </w:rPr>
  </w:style>
  <w:style w:type="paragraph" w:customStyle="1" w:styleId="NormalLeft">
    <w:name w:val="Normal Left"/>
    <w:basedOn w:val="Normal"/>
    <w:uiPriority w:val="99"/>
    <w:rsid w:val="008302FB"/>
    <w:pPr>
      <w:widowControl/>
      <w:spacing w:before="120" w:after="120" w:line="240" w:lineRule="auto"/>
      <w:jc w:val="left"/>
    </w:pPr>
    <w:rPr>
      <w:szCs w:val="24"/>
      <w:lang w:val="en-GB" w:eastAsia="en-US"/>
    </w:rPr>
  </w:style>
  <w:style w:type="paragraph" w:customStyle="1" w:styleId="NormalRight">
    <w:name w:val="Normal Right"/>
    <w:basedOn w:val="Normal"/>
    <w:uiPriority w:val="99"/>
    <w:rsid w:val="008302FB"/>
    <w:pPr>
      <w:widowControl/>
      <w:spacing w:before="120" w:after="120" w:line="240" w:lineRule="auto"/>
      <w:jc w:val="right"/>
    </w:pPr>
    <w:rPr>
      <w:szCs w:val="24"/>
      <w:lang w:val="en-GB" w:eastAsia="en-US"/>
    </w:rPr>
  </w:style>
  <w:style w:type="paragraph" w:customStyle="1" w:styleId="QuotedText">
    <w:name w:val="Quoted Text"/>
    <w:basedOn w:val="Normal"/>
    <w:uiPriority w:val="99"/>
    <w:rsid w:val="008302FB"/>
    <w:pPr>
      <w:widowControl/>
      <w:spacing w:before="120" w:after="120" w:line="240" w:lineRule="auto"/>
      <w:ind w:left="1417"/>
      <w:jc w:val="both"/>
    </w:pPr>
    <w:rPr>
      <w:szCs w:val="24"/>
      <w:lang w:val="en-GB" w:eastAsia="en-US"/>
    </w:rPr>
  </w:style>
  <w:style w:type="paragraph" w:customStyle="1" w:styleId="Point0">
    <w:name w:val="Point 0"/>
    <w:basedOn w:val="Normal"/>
    <w:uiPriority w:val="99"/>
    <w:rsid w:val="008302FB"/>
    <w:pPr>
      <w:widowControl/>
      <w:spacing w:before="120" w:after="120" w:line="240" w:lineRule="auto"/>
      <w:ind w:left="850" w:hanging="850"/>
      <w:jc w:val="both"/>
    </w:pPr>
    <w:rPr>
      <w:szCs w:val="24"/>
      <w:lang w:val="en-GB" w:eastAsia="en-US"/>
    </w:rPr>
  </w:style>
  <w:style w:type="paragraph" w:customStyle="1" w:styleId="Point1">
    <w:name w:val="Point 1"/>
    <w:basedOn w:val="Normal"/>
    <w:uiPriority w:val="99"/>
    <w:rsid w:val="008302FB"/>
    <w:pPr>
      <w:widowControl/>
      <w:spacing w:before="120" w:after="120" w:line="240" w:lineRule="auto"/>
      <w:ind w:left="1417" w:hanging="567"/>
      <w:jc w:val="both"/>
    </w:pPr>
    <w:rPr>
      <w:szCs w:val="24"/>
      <w:lang w:val="en-GB" w:eastAsia="en-US"/>
    </w:rPr>
  </w:style>
  <w:style w:type="paragraph" w:customStyle="1" w:styleId="Point2">
    <w:name w:val="Point 2"/>
    <w:basedOn w:val="Normal"/>
    <w:uiPriority w:val="99"/>
    <w:rsid w:val="008302FB"/>
    <w:pPr>
      <w:widowControl/>
      <w:spacing w:before="120" w:after="120" w:line="240" w:lineRule="auto"/>
      <w:ind w:left="1984" w:hanging="567"/>
      <w:jc w:val="both"/>
    </w:pPr>
    <w:rPr>
      <w:szCs w:val="24"/>
      <w:lang w:val="en-GB" w:eastAsia="en-US"/>
    </w:rPr>
  </w:style>
  <w:style w:type="paragraph" w:customStyle="1" w:styleId="Point3">
    <w:name w:val="Point 3"/>
    <w:basedOn w:val="Normal"/>
    <w:uiPriority w:val="99"/>
    <w:rsid w:val="008302FB"/>
    <w:pPr>
      <w:widowControl/>
      <w:spacing w:before="120" w:after="120" w:line="240" w:lineRule="auto"/>
      <w:ind w:left="2551" w:hanging="567"/>
      <w:jc w:val="both"/>
    </w:pPr>
    <w:rPr>
      <w:szCs w:val="24"/>
      <w:lang w:val="en-GB" w:eastAsia="en-US"/>
    </w:rPr>
  </w:style>
  <w:style w:type="paragraph" w:customStyle="1" w:styleId="Point4">
    <w:name w:val="Point 4"/>
    <w:basedOn w:val="Normal"/>
    <w:uiPriority w:val="99"/>
    <w:rsid w:val="008302FB"/>
    <w:pPr>
      <w:widowControl/>
      <w:spacing w:before="120" w:after="120" w:line="240" w:lineRule="auto"/>
      <w:ind w:left="3118" w:hanging="567"/>
      <w:jc w:val="both"/>
    </w:pPr>
    <w:rPr>
      <w:szCs w:val="24"/>
      <w:lang w:val="en-GB" w:eastAsia="en-US"/>
    </w:rPr>
  </w:style>
  <w:style w:type="paragraph" w:customStyle="1" w:styleId="Tiret0">
    <w:name w:val="Tiret 0"/>
    <w:basedOn w:val="Point0"/>
    <w:uiPriority w:val="99"/>
    <w:rsid w:val="008302FB"/>
    <w:pPr>
      <w:numPr>
        <w:numId w:val="16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8302FB"/>
    <w:pPr>
      <w:numPr>
        <w:numId w:val="17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8302FB"/>
    <w:pPr>
      <w:numPr>
        <w:numId w:val="18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8302FB"/>
    <w:pPr>
      <w:numPr>
        <w:numId w:val="19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8302FB"/>
    <w:pPr>
      <w:numPr>
        <w:numId w:val="26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8302FB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val="en-GB" w:eastAsia="en-US"/>
    </w:rPr>
  </w:style>
  <w:style w:type="paragraph" w:customStyle="1" w:styleId="PointDouble1">
    <w:name w:val="PointDouble 1"/>
    <w:basedOn w:val="Normal"/>
    <w:uiPriority w:val="99"/>
    <w:rsid w:val="008302FB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val="en-GB" w:eastAsia="en-US"/>
    </w:rPr>
  </w:style>
  <w:style w:type="paragraph" w:customStyle="1" w:styleId="PointDouble2">
    <w:name w:val="PointDouble 2"/>
    <w:basedOn w:val="Normal"/>
    <w:uiPriority w:val="99"/>
    <w:rsid w:val="008302FB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val="en-GB" w:eastAsia="en-US"/>
    </w:rPr>
  </w:style>
  <w:style w:type="paragraph" w:customStyle="1" w:styleId="PointDouble3">
    <w:name w:val="PointDouble 3"/>
    <w:basedOn w:val="Normal"/>
    <w:uiPriority w:val="99"/>
    <w:rsid w:val="008302FB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val="en-GB" w:eastAsia="en-US"/>
    </w:rPr>
  </w:style>
  <w:style w:type="paragraph" w:customStyle="1" w:styleId="PointDouble4">
    <w:name w:val="PointDouble 4"/>
    <w:basedOn w:val="Normal"/>
    <w:uiPriority w:val="99"/>
    <w:rsid w:val="008302FB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val="en-GB" w:eastAsia="en-US"/>
    </w:rPr>
  </w:style>
  <w:style w:type="paragraph" w:customStyle="1" w:styleId="PointTriple0">
    <w:name w:val="PointTriple 0"/>
    <w:basedOn w:val="Normal"/>
    <w:uiPriority w:val="99"/>
    <w:rsid w:val="008302FB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val="en-GB" w:eastAsia="en-US"/>
    </w:rPr>
  </w:style>
  <w:style w:type="paragraph" w:customStyle="1" w:styleId="PointTriple1">
    <w:name w:val="PointTriple 1"/>
    <w:basedOn w:val="Normal"/>
    <w:uiPriority w:val="99"/>
    <w:rsid w:val="008302FB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val="en-GB" w:eastAsia="en-US"/>
    </w:rPr>
  </w:style>
  <w:style w:type="paragraph" w:customStyle="1" w:styleId="PointTriple2">
    <w:name w:val="PointTriple 2"/>
    <w:basedOn w:val="Normal"/>
    <w:uiPriority w:val="99"/>
    <w:rsid w:val="008302FB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val="en-GB" w:eastAsia="en-US"/>
    </w:rPr>
  </w:style>
  <w:style w:type="paragraph" w:customStyle="1" w:styleId="PointTriple3">
    <w:name w:val="PointTriple 3"/>
    <w:basedOn w:val="Normal"/>
    <w:uiPriority w:val="99"/>
    <w:rsid w:val="008302FB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val="en-GB" w:eastAsia="en-US"/>
    </w:rPr>
  </w:style>
  <w:style w:type="paragraph" w:customStyle="1" w:styleId="PointTriple4">
    <w:name w:val="PointTriple 4"/>
    <w:basedOn w:val="Normal"/>
    <w:uiPriority w:val="99"/>
    <w:rsid w:val="008302FB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val="en-GB" w:eastAsia="en-US"/>
    </w:rPr>
  </w:style>
  <w:style w:type="paragraph" w:customStyle="1" w:styleId="NumPar1">
    <w:name w:val="NumPar 1"/>
    <w:basedOn w:val="Normal"/>
    <w:next w:val="Text1"/>
    <w:uiPriority w:val="99"/>
    <w:rsid w:val="008302FB"/>
    <w:pPr>
      <w:widowControl/>
      <w:numPr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val="en-GB" w:eastAsia="en-US"/>
    </w:rPr>
  </w:style>
  <w:style w:type="paragraph" w:customStyle="1" w:styleId="NumPar2">
    <w:name w:val="NumPar 2"/>
    <w:basedOn w:val="Normal"/>
    <w:next w:val="Text1"/>
    <w:uiPriority w:val="99"/>
    <w:rsid w:val="008302FB"/>
    <w:pPr>
      <w:widowControl/>
      <w:numPr>
        <w:ilvl w:val="1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val="en-GB" w:eastAsia="en-US"/>
    </w:rPr>
  </w:style>
  <w:style w:type="paragraph" w:customStyle="1" w:styleId="NumPar3">
    <w:name w:val="NumPar 3"/>
    <w:basedOn w:val="Normal"/>
    <w:next w:val="Text1"/>
    <w:uiPriority w:val="99"/>
    <w:rsid w:val="008302FB"/>
    <w:pPr>
      <w:widowControl/>
      <w:numPr>
        <w:ilvl w:val="2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val="en-GB" w:eastAsia="en-US"/>
    </w:rPr>
  </w:style>
  <w:style w:type="paragraph" w:customStyle="1" w:styleId="NumPar4">
    <w:name w:val="NumPar 4"/>
    <w:basedOn w:val="Normal"/>
    <w:next w:val="Text1"/>
    <w:uiPriority w:val="99"/>
    <w:rsid w:val="008302FB"/>
    <w:pPr>
      <w:widowControl/>
      <w:numPr>
        <w:ilvl w:val="3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val="en-GB" w:eastAsia="en-US"/>
    </w:rPr>
  </w:style>
  <w:style w:type="paragraph" w:customStyle="1" w:styleId="ManualNumPar1">
    <w:name w:val="Manual NumPar 1"/>
    <w:basedOn w:val="Normal"/>
    <w:next w:val="Text1"/>
    <w:uiPriority w:val="99"/>
    <w:rsid w:val="008302FB"/>
    <w:pPr>
      <w:widowControl/>
      <w:spacing w:before="120" w:after="120" w:line="240" w:lineRule="auto"/>
      <w:ind w:left="850" w:hanging="850"/>
      <w:jc w:val="both"/>
    </w:pPr>
    <w:rPr>
      <w:szCs w:val="24"/>
      <w:lang w:val="en-GB" w:eastAsia="en-US"/>
    </w:rPr>
  </w:style>
  <w:style w:type="paragraph" w:customStyle="1" w:styleId="ManualNumPar2">
    <w:name w:val="Manual NumPar 2"/>
    <w:basedOn w:val="Normal"/>
    <w:next w:val="Text1"/>
    <w:uiPriority w:val="99"/>
    <w:rsid w:val="008302FB"/>
    <w:pPr>
      <w:widowControl/>
      <w:spacing w:before="120" w:after="120" w:line="240" w:lineRule="auto"/>
      <w:ind w:left="850" w:hanging="850"/>
      <w:jc w:val="both"/>
    </w:pPr>
    <w:rPr>
      <w:szCs w:val="24"/>
      <w:lang w:val="en-GB" w:eastAsia="en-US"/>
    </w:rPr>
  </w:style>
  <w:style w:type="paragraph" w:customStyle="1" w:styleId="ManualNumPar3">
    <w:name w:val="Manual NumPar 3"/>
    <w:basedOn w:val="Normal"/>
    <w:next w:val="Text1"/>
    <w:uiPriority w:val="99"/>
    <w:rsid w:val="008302FB"/>
    <w:pPr>
      <w:widowControl/>
      <w:spacing w:before="120" w:after="120" w:line="240" w:lineRule="auto"/>
      <w:ind w:left="850" w:hanging="850"/>
      <w:jc w:val="both"/>
    </w:pPr>
    <w:rPr>
      <w:szCs w:val="24"/>
      <w:lang w:val="en-GB" w:eastAsia="en-US"/>
    </w:rPr>
  </w:style>
  <w:style w:type="paragraph" w:customStyle="1" w:styleId="ManualNumPar4">
    <w:name w:val="Manual NumPar 4"/>
    <w:basedOn w:val="Normal"/>
    <w:next w:val="Text1"/>
    <w:uiPriority w:val="99"/>
    <w:rsid w:val="008302FB"/>
    <w:pPr>
      <w:widowControl/>
      <w:spacing w:before="120" w:after="120" w:line="240" w:lineRule="auto"/>
      <w:ind w:left="850" w:hanging="850"/>
      <w:jc w:val="both"/>
    </w:pPr>
    <w:rPr>
      <w:szCs w:val="24"/>
      <w:lang w:val="en-GB" w:eastAsia="en-US"/>
    </w:rPr>
  </w:style>
  <w:style w:type="paragraph" w:customStyle="1" w:styleId="QuotedNumPar">
    <w:name w:val="Quoted NumPar"/>
    <w:basedOn w:val="Normal"/>
    <w:uiPriority w:val="99"/>
    <w:rsid w:val="008302FB"/>
    <w:pPr>
      <w:widowControl/>
      <w:spacing w:before="120" w:after="120" w:line="240" w:lineRule="auto"/>
      <w:ind w:left="1417" w:hanging="567"/>
      <w:jc w:val="both"/>
    </w:pPr>
    <w:rPr>
      <w:szCs w:val="24"/>
      <w:lang w:val="en-GB" w:eastAsia="en-US"/>
    </w:rPr>
  </w:style>
  <w:style w:type="paragraph" w:customStyle="1" w:styleId="ManualHeading1">
    <w:name w:val="Manual Heading 1"/>
    <w:basedOn w:val="Normal"/>
    <w:next w:val="Text1"/>
    <w:uiPriority w:val="99"/>
    <w:rsid w:val="008302FB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val="en-GB" w:eastAsia="en-US"/>
    </w:rPr>
  </w:style>
  <w:style w:type="paragraph" w:customStyle="1" w:styleId="ManualHeading2">
    <w:name w:val="Manual Heading 2"/>
    <w:basedOn w:val="Normal"/>
    <w:next w:val="Text1"/>
    <w:uiPriority w:val="99"/>
    <w:rsid w:val="008302FB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val="en-GB" w:eastAsia="en-US"/>
    </w:rPr>
  </w:style>
  <w:style w:type="paragraph" w:customStyle="1" w:styleId="ManualHeading3">
    <w:name w:val="Manual Heading 3"/>
    <w:basedOn w:val="Normal"/>
    <w:next w:val="Text1"/>
    <w:uiPriority w:val="99"/>
    <w:rsid w:val="008302FB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val="en-GB" w:eastAsia="en-US"/>
    </w:rPr>
  </w:style>
  <w:style w:type="paragraph" w:customStyle="1" w:styleId="ManualHeading4">
    <w:name w:val="Manual Heading 4"/>
    <w:basedOn w:val="Normal"/>
    <w:next w:val="Text1"/>
    <w:uiPriority w:val="99"/>
    <w:rsid w:val="008302FB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val="en-GB" w:eastAsia="en-US"/>
    </w:rPr>
  </w:style>
  <w:style w:type="paragraph" w:customStyle="1" w:styleId="ChapterTitle">
    <w:name w:val="ChapterTitle"/>
    <w:basedOn w:val="Normal"/>
    <w:next w:val="Normal"/>
    <w:uiPriority w:val="99"/>
    <w:rsid w:val="008302FB"/>
    <w:pPr>
      <w:keepNext/>
      <w:widowControl/>
      <w:spacing w:before="120" w:after="360" w:line="240" w:lineRule="auto"/>
      <w:jc w:val="center"/>
    </w:pPr>
    <w:rPr>
      <w:b/>
      <w:sz w:val="32"/>
      <w:szCs w:val="24"/>
      <w:lang w:val="en-GB" w:eastAsia="en-US"/>
    </w:rPr>
  </w:style>
  <w:style w:type="paragraph" w:customStyle="1" w:styleId="PartTitle">
    <w:name w:val="PartTitle"/>
    <w:basedOn w:val="Normal"/>
    <w:next w:val="ChapterTitle"/>
    <w:uiPriority w:val="99"/>
    <w:rsid w:val="008302FB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val="en-GB" w:eastAsia="en-US"/>
    </w:rPr>
  </w:style>
  <w:style w:type="paragraph" w:customStyle="1" w:styleId="SectionTitle">
    <w:name w:val="SectionTitle"/>
    <w:basedOn w:val="Normal"/>
    <w:next w:val="Heading1"/>
    <w:uiPriority w:val="99"/>
    <w:rsid w:val="008302FB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val="en-GB" w:eastAsia="en-US"/>
    </w:rPr>
  </w:style>
  <w:style w:type="paragraph" w:customStyle="1" w:styleId="TableTitle">
    <w:name w:val="Table Title"/>
    <w:basedOn w:val="Normal"/>
    <w:next w:val="Normal"/>
    <w:uiPriority w:val="99"/>
    <w:rsid w:val="008302FB"/>
    <w:pPr>
      <w:widowControl/>
      <w:spacing w:before="120" w:after="120" w:line="240" w:lineRule="auto"/>
      <w:jc w:val="center"/>
    </w:pPr>
    <w:rPr>
      <w:b/>
      <w:szCs w:val="24"/>
      <w:lang w:val="en-GB" w:eastAsia="en-US"/>
    </w:rPr>
  </w:style>
  <w:style w:type="character" w:customStyle="1" w:styleId="Marker">
    <w:name w:val="Marker"/>
    <w:basedOn w:val="DefaultParagraphFont"/>
    <w:uiPriority w:val="99"/>
    <w:rsid w:val="008302FB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8302FB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8302FB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8302FB"/>
    <w:pPr>
      <w:widowControl/>
      <w:spacing w:before="120" w:after="240" w:line="240" w:lineRule="auto"/>
      <w:jc w:val="center"/>
    </w:pPr>
    <w:rPr>
      <w:b/>
      <w:sz w:val="28"/>
      <w:szCs w:val="24"/>
      <w:lang w:val="en-GB" w:eastAsia="en-US"/>
    </w:rPr>
  </w:style>
  <w:style w:type="paragraph" w:customStyle="1" w:styleId="Point0number">
    <w:name w:val="Point 0 (number)"/>
    <w:basedOn w:val="Normal"/>
    <w:uiPriority w:val="99"/>
    <w:rsid w:val="008302FB"/>
    <w:pPr>
      <w:widowControl/>
      <w:numPr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val="en-GB" w:eastAsia="en-US"/>
    </w:rPr>
  </w:style>
  <w:style w:type="paragraph" w:customStyle="1" w:styleId="Point1number">
    <w:name w:val="Point 1 (number)"/>
    <w:basedOn w:val="Normal"/>
    <w:uiPriority w:val="99"/>
    <w:rsid w:val="008302FB"/>
    <w:pPr>
      <w:widowControl/>
      <w:numPr>
        <w:ilvl w:val="2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val="en-GB" w:eastAsia="en-US"/>
    </w:rPr>
  </w:style>
  <w:style w:type="paragraph" w:customStyle="1" w:styleId="Point2number">
    <w:name w:val="Point 2 (number)"/>
    <w:basedOn w:val="Normal"/>
    <w:uiPriority w:val="99"/>
    <w:rsid w:val="008302FB"/>
    <w:pPr>
      <w:widowControl/>
      <w:numPr>
        <w:ilvl w:val="4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val="en-GB" w:eastAsia="en-US"/>
    </w:rPr>
  </w:style>
  <w:style w:type="paragraph" w:customStyle="1" w:styleId="Point3number">
    <w:name w:val="Point 3 (number)"/>
    <w:basedOn w:val="Normal"/>
    <w:uiPriority w:val="99"/>
    <w:rsid w:val="008302FB"/>
    <w:pPr>
      <w:widowControl/>
      <w:numPr>
        <w:ilvl w:val="6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val="en-GB" w:eastAsia="en-US"/>
    </w:rPr>
  </w:style>
  <w:style w:type="paragraph" w:customStyle="1" w:styleId="Point0letter">
    <w:name w:val="Point 0 (letter)"/>
    <w:basedOn w:val="Normal"/>
    <w:uiPriority w:val="99"/>
    <w:rsid w:val="008302FB"/>
    <w:pPr>
      <w:widowControl/>
      <w:numPr>
        <w:ilvl w:val="1"/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val="en-GB" w:eastAsia="en-US"/>
    </w:rPr>
  </w:style>
  <w:style w:type="paragraph" w:customStyle="1" w:styleId="Point1letter">
    <w:name w:val="Point 1 (letter)"/>
    <w:basedOn w:val="Normal"/>
    <w:uiPriority w:val="99"/>
    <w:rsid w:val="008302FB"/>
    <w:pPr>
      <w:widowControl/>
      <w:numPr>
        <w:ilvl w:val="3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val="en-GB" w:eastAsia="en-US"/>
    </w:rPr>
  </w:style>
  <w:style w:type="paragraph" w:customStyle="1" w:styleId="Point2letter">
    <w:name w:val="Point 2 (letter)"/>
    <w:basedOn w:val="Normal"/>
    <w:uiPriority w:val="99"/>
    <w:rsid w:val="008302FB"/>
    <w:pPr>
      <w:widowControl/>
      <w:numPr>
        <w:ilvl w:val="5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val="en-GB" w:eastAsia="en-US"/>
    </w:rPr>
  </w:style>
  <w:style w:type="paragraph" w:customStyle="1" w:styleId="Point3letter">
    <w:name w:val="Point 3 (letter)"/>
    <w:basedOn w:val="Normal"/>
    <w:uiPriority w:val="99"/>
    <w:rsid w:val="008302FB"/>
    <w:pPr>
      <w:widowControl/>
      <w:numPr>
        <w:ilvl w:val="7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val="en-GB" w:eastAsia="en-US"/>
    </w:rPr>
  </w:style>
  <w:style w:type="paragraph" w:customStyle="1" w:styleId="Point4letter">
    <w:name w:val="Point 4 (letter)"/>
    <w:basedOn w:val="Normal"/>
    <w:uiPriority w:val="99"/>
    <w:rsid w:val="008302FB"/>
    <w:pPr>
      <w:widowControl/>
      <w:numPr>
        <w:ilvl w:val="8"/>
        <w:numId w:val="21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val="en-GB" w:eastAsia="en-US"/>
    </w:rPr>
  </w:style>
  <w:style w:type="paragraph" w:customStyle="1" w:styleId="Bullet0">
    <w:name w:val="Bullet 0"/>
    <w:basedOn w:val="Normal"/>
    <w:uiPriority w:val="99"/>
    <w:rsid w:val="008302FB"/>
    <w:pPr>
      <w:widowControl/>
      <w:numPr>
        <w:numId w:val="22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val="en-GB" w:eastAsia="en-US"/>
    </w:rPr>
  </w:style>
  <w:style w:type="paragraph" w:customStyle="1" w:styleId="Bullet1">
    <w:name w:val="Bullet 1"/>
    <w:basedOn w:val="Normal"/>
    <w:uiPriority w:val="99"/>
    <w:rsid w:val="008302FB"/>
    <w:pPr>
      <w:widowControl/>
      <w:numPr>
        <w:numId w:val="23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val="en-GB" w:eastAsia="en-US"/>
    </w:rPr>
  </w:style>
  <w:style w:type="paragraph" w:customStyle="1" w:styleId="Bullet2">
    <w:name w:val="Bullet 2"/>
    <w:basedOn w:val="Normal"/>
    <w:uiPriority w:val="99"/>
    <w:rsid w:val="008302FB"/>
    <w:pPr>
      <w:widowControl/>
      <w:numPr>
        <w:numId w:val="2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val="en-GB" w:eastAsia="en-US"/>
    </w:rPr>
  </w:style>
  <w:style w:type="paragraph" w:customStyle="1" w:styleId="Bullet3">
    <w:name w:val="Bullet 3"/>
    <w:basedOn w:val="Normal"/>
    <w:uiPriority w:val="99"/>
    <w:rsid w:val="008302FB"/>
    <w:pPr>
      <w:widowControl/>
      <w:numPr>
        <w:numId w:val="25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val="en-GB" w:eastAsia="en-US"/>
    </w:rPr>
  </w:style>
  <w:style w:type="paragraph" w:customStyle="1" w:styleId="Bullet4">
    <w:name w:val="Bullet 4"/>
    <w:basedOn w:val="Normal"/>
    <w:uiPriority w:val="99"/>
    <w:rsid w:val="008302FB"/>
    <w:pPr>
      <w:widowControl/>
      <w:numPr>
        <w:numId w:val="27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val="en-GB" w:eastAsia="en-US"/>
    </w:rPr>
  </w:style>
  <w:style w:type="paragraph" w:customStyle="1" w:styleId="Annexetitreexpos">
    <w:name w:val="Annexe titre (exposé)"/>
    <w:basedOn w:val="Normal"/>
    <w:next w:val="Normal"/>
    <w:uiPriority w:val="99"/>
    <w:rsid w:val="008302FB"/>
    <w:pPr>
      <w:widowControl/>
      <w:spacing w:before="120" w:after="120" w:line="240" w:lineRule="auto"/>
      <w:jc w:val="center"/>
    </w:pPr>
    <w:rPr>
      <w:b/>
      <w:szCs w:val="24"/>
      <w:u w:val="single"/>
      <w:lang w:val="en-GB" w:eastAsia="en-US"/>
    </w:rPr>
  </w:style>
  <w:style w:type="paragraph" w:customStyle="1" w:styleId="Annexetitre">
    <w:name w:val="Annexe titre"/>
    <w:basedOn w:val="Normal"/>
    <w:next w:val="Normal"/>
    <w:uiPriority w:val="99"/>
    <w:rsid w:val="008302FB"/>
    <w:pPr>
      <w:widowControl/>
      <w:spacing w:before="120" w:after="120" w:line="240" w:lineRule="auto"/>
      <w:jc w:val="center"/>
    </w:pPr>
    <w:rPr>
      <w:b/>
      <w:szCs w:val="24"/>
      <w:u w:val="single"/>
      <w:lang w:val="en-GB" w:eastAsia="en-US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8302FB"/>
    <w:pPr>
      <w:widowControl/>
      <w:spacing w:before="120" w:after="120" w:line="240" w:lineRule="auto"/>
      <w:jc w:val="center"/>
    </w:pPr>
    <w:rPr>
      <w:b/>
      <w:szCs w:val="24"/>
      <w:u w:val="single"/>
      <w:lang w:val="en-GB" w:eastAsia="en-US"/>
    </w:rPr>
  </w:style>
  <w:style w:type="paragraph" w:customStyle="1" w:styleId="Applicationdirecte">
    <w:name w:val="Application directe"/>
    <w:basedOn w:val="Normal"/>
    <w:next w:val="Fait"/>
    <w:uiPriority w:val="99"/>
    <w:rsid w:val="008302FB"/>
    <w:pPr>
      <w:widowControl/>
      <w:spacing w:before="480" w:after="120" w:line="240" w:lineRule="auto"/>
      <w:jc w:val="both"/>
    </w:pPr>
    <w:rPr>
      <w:szCs w:val="24"/>
      <w:lang w:val="en-GB" w:eastAsia="en-US"/>
    </w:rPr>
  </w:style>
  <w:style w:type="paragraph" w:customStyle="1" w:styleId="Fait">
    <w:name w:val="Fait à"/>
    <w:basedOn w:val="Normal"/>
    <w:next w:val="Institutionquisigne"/>
    <w:uiPriority w:val="99"/>
    <w:rsid w:val="008302FB"/>
    <w:pPr>
      <w:keepNext/>
      <w:widowControl/>
      <w:spacing w:before="120" w:line="240" w:lineRule="auto"/>
      <w:jc w:val="both"/>
    </w:pPr>
    <w:rPr>
      <w:szCs w:val="24"/>
      <w:lang w:val="en-GB" w:eastAsia="en-US"/>
    </w:rPr>
  </w:style>
  <w:style w:type="paragraph" w:customStyle="1" w:styleId="Institutionquisigne">
    <w:name w:val="Institution qui signe"/>
    <w:basedOn w:val="Normal"/>
    <w:next w:val="Personnequisigne"/>
    <w:uiPriority w:val="99"/>
    <w:rsid w:val="008302FB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val="en-GB" w:eastAsia="en-US"/>
    </w:rPr>
  </w:style>
  <w:style w:type="paragraph" w:customStyle="1" w:styleId="Personnequisigne">
    <w:name w:val="Personne qui signe"/>
    <w:basedOn w:val="Normal"/>
    <w:next w:val="Institutionquisigne"/>
    <w:uiPriority w:val="99"/>
    <w:rsid w:val="008302FB"/>
    <w:pPr>
      <w:widowControl/>
      <w:tabs>
        <w:tab w:val="left" w:pos="4252"/>
      </w:tabs>
      <w:spacing w:line="240" w:lineRule="auto"/>
      <w:jc w:val="left"/>
    </w:pPr>
    <w:rPr>
      <w:i/>
      <w:szCs w:val="24"/>
      <w:lang w:val="en-GB" w:eastAsia="en-US"/>
    </w:rPr>
  </w:style>
  <w:style w:type="paragraph" w:customStyle="1" w:styleId="Avertissementtitre">
    <w:name w:val="Avertissement titre"/>
    <w:basedOn w:val="Normal"/>
    <w:next w:val="Normal"/>
    <w:uiPriority w:val="99"/>
    <w:rsid w:val="008302FB"/>
    <w:pPr>
      <w:keepNext/>
      <w:widowControl/>
      <w:spacing w:before="480" w:after="120" w:line="240" w:lineRule="auto"/>
      <w:jc w:val="both"/>
    </w:pPr>
    <w:rPr>
      <w:szCs w:val="24"/>
      <w:u w:val="single"/>
      <w:lang w:val="en-GB" w:eastAsia="en-US"/>
    </w:rPr>
  </w:style>
  <w:style w:type="paragraph" w:customStyle="1" w:styleId="Confidence">
    <w:name w:val="Confidence"/>
    <w:basedOn w:val="Normal"/>
    <w:next w:val="Normal"/>
    <w:uiPriority w:val="99"/>
    <w:rsid w:val="008302FB"/>
    <w:pPr>
      <w:widowControl/>
      <w:spacing w:before="360" w:after="120" w:line="240" w:lineRule="auto"/>
      <w:jc w:val="center"/>
    </w:pPr>
    <w:rPr>
      <w:szCs w:val="24"/>
      <w:lang w:val="en-GB" w:eastAsia="en-US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8302FB"/>
    <w:pPr>
      <w:widowControl/>
      <w:spacing w:before="240" w:after="240" w:line="240" w:lineRule="auto"/>
      <w:ind w:left="5103"/>
      <w:jc w:val="both"/>
    </w:pPr>
    <w:rPr>
      <w:szCs w:val="24"/>
      <w:u w:val="single"/>
      <w:lang w:val="en-GB" w:eastAsia="en-US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8302FB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8302FB"/>
    <w:pPr>
      <w:widowControl/>
      <w:spacing w:before="360" w:line="240" w:lineRule="auto"/>
      <w:jc w:val="center"/>
    </w:pPr>
    <w:rPr>
      <w:b/>
      <w:szCs w:val="24"/>
      <w:lang w:val="en-GB" w:eastAsia="en-US"/>
    </w:rPr>
  </w:style>
  <w:style w:type="paragraph" w:customStyle="1" w:styleId="Titreobjet">
    <w:name w:val="Titre objet"/>
    <w:basedOn w:val="Normal"/>
    <w:next w:val="Sous-titreobjet"/>
    <w:uiPriority w:val="99"/>
    <w:rsid w:val="008302FB"/>
    <w:pPr>
      <w:widowControl/>
      <w:spacing w:before="360" w:after="360" w:line="240" w:lineRule="auto"/>
      <w:jc w:val="center"/>
    </w:pPr>
    <w:rPr>
      <w:b/>
      <w:szCs w:val="24"/>
      <w:lang w:val="en-GB" w:eastAsia="en-US"/>
    </w:rPr>
  </w:style>
  <w:style w:type="paragraph" w:customStyle="1" w:styleId="Sous-titreobjet">
    <w:name w:val="Sous-titre objet"/>
    <w:basedOn w:val="Normal"/>
    <w:uiPriority w:val="99"/>
    <w:rsid w:val="008302FB"/>
    <w:pPr>
      <w:widowControl/>
      <w:spacing w:line="240" w:lineRule="auto"/>
      <w:jc w:val="center"/>
    </w:pPr>
    <w:rPr>
      <w:b/>
      <w:szCs w:val="24"/>
      <w:lang w:val="en-GB" w:eastAsia="en-US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8302FB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8302FB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8302FB"/>
    <w:pPr>
      <w:widowControl/>
      <w:numPr>
        <w:numId w:val="28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val="en-GB" w:eastAsia="en-US"/>
    </w:rPr>
  </w:style>
  <w:style w:type="paragraph" w:customStyle="1" w:styleId="Corrigendum">
    <w:name w:val="Corrigendum"/>
    <w:basedOn w:val="Normal"/>
    <w:next w:val="Normal"/>
    <w:uiPriority w:val="99"/>
    <w:rsid w:val="008302FB"/>
    <w:pPr>
      <w:widowControl/>
      <w:spacing w:after="240" w:line="240" w:lineRule="auto"/>
      <w:jc w:val="left"/>
    </w:pPr>
    <w:rPr>
      <w:szCs w:val="24"/>
      <w:lang w:val="en-GB" w:eastAsia="en-US"/>
    </w:rPr>
  </w:style>
  <w:style w:type="paragraph" w:customStyle="1" w:styleId="Datedadoption">
    <w:name w:val="Date d'adoption"/>
    <w:basedOn w:val="Normal"/>
    <w:next w:val="Titreobjet"/>
    <w:uiPriority w:val="99"/>
    <w:rsid w:val="008302FB"/>
    <w:pPr>
      <w:widowControl/>
      <w:spacing w:before="360" w:line="240" w:lineRule="auto"/>
      <w:jc w:val="center"/>
    </w:pPr>
    <w:rPr>
      <w:b/>
      <w:szCs w:val="24"/>
      <w:lang w:val="en-GB" w:eastAsia="en-US"/>
    </w:rPr>
  </w:style>
  <w:style w:type="paragraph" w:customStyle="1" w:styleId="Emission">
    <w:name w:val="Emission"/>
    <w:basedOn w:val="Normal"/>
    <w:next w:val="Rfrenceinstitutionnelle"/>
    <w:uiPriority w:val="99"/>
    <w:rsid w:val="008302FB"/>
    <w:pPr>
      <w:widowControl/>
      <w:spacing w:line="240" w:lineRule="auto"/>
      <w:ind w:left="5103"/>
      <w:jc w:val="left"/>
    </w:pPr>
    <w:rPr>
      <w:szCs w:val="24"/>
      <w:lang w:val="en-GB" w:eastAsia="en-US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8302FB"/>
    <w:pPr>
      <w:widowControl/>
      <w:spacing w:after="240" w:line="240" w:lineRule="auto"/>
      <w:ind w:left="5103"/>
      <w:jc w:val="left"/>
    </w:pPr>
    <w:rPr>
      <w:szCs w:val="24"/>
      <w:lang w:val="en-GB" w:eastAsia="en-US"/>
    </w:rPr>
  </w:style>
  <w:style w:type="paragraph" w:customStyle="1" w:styleId="Exposdesmotifstitre">
    <w:name w:val="Exposé des motifs titre"/>
    <w:basedOn w:val="Normal"/>
    <w:next w:val="Normal"/>
    <w:uiPriority w:val="99"/>
    <w:rsid w:val="008302FB"/>
    <w:pPr>
      <w:widowControl/>
      <w:spacing w:before="120" w:after="120" w:line="240" w:lineRule="auto"/>
      <w:jc w:val="center"/>
    </w:pPr>
    <w:rPr>
      <w:b/>
      <w:szCs w:val="24"/>
      <w:u w:val="single"/>
      <w:lang w:val="en-GB" w:eastAsia="en-US"/>
    </w:rPr>
  </w:style>
  <w:style w:type="paragraph" w:customStyle="1" w:styleId="Formuledadoption">
    <w:name w:val="Formule d'adoption"/>
    <w:basedOn w:val="Normal"/>
    <w:next w:val="Titrearticle"/>
    <w:uiPriority w:val="99"/>
    <w:rsid w:val="008302FB"/>
    <w:pPr>
      <w:keepNext/>
      <w:widowControl/>
      <w:spacing w:before="120" w:after="120" w:line="240" w:lineRule="auto"/>
      <w:jc w:val="both"/>
    </w:pPr>
    <w:rPr>
      <w:szCs w:val="24"/>
      <w:lang w:val="en-GB" w:eastAsia="en-US"/>
    </w:rPr>
  </w:style>
  <w:style w:type="paragraph" w:customStyle="1" w:styleId="Titrearticle">
    <w:name w:val="Titre article"/>
    <w:basedOn w:val="Normal"/>
    <w:next w:val="Normal"/>
    <w:uiPriority w:val="99"/>
    <w:rsid w:val="008302FB"/>
    <w:pPr>
      <w:keepNext/>
      <w:widowControl/>
      <w:spacing w:before="360" w:after="120" w:line="240" w:lineRule="auto"/>
      <w:jc w:val="center"/>
    </w:pPr>
    <w:rPr>
      <w:i/>
      <w:szCs w:val="24"/>
      <w:lang w:val="en-GB" w:eastAsia="en-US"/>
    </w:rPr>
  </w:style>
  <w:style w:type="paragraph" w:customStyle="1" w:styleId="Institutionquiagit">
    <w:name w:val="Institution qui agit"/>
    <w:basedOn w:val="Normal"/>
    <w:next w:val="Normal"/>
    <w:uiPriority w:val="99"/>
    <w:rsid w:val="008302FB"/>
    <w:pPr>
      <w:keepNext/>
      <w:widowControl/>
      <w:spacing w:before="600" w:after="120" w:line="240" w:lineRule="auto"/>
      <w:jc w:val="both"/>
    </w:pPr>
    <w:rPr>
      <w:szCs w:val="24"/>
      <w:lang w:val="en-GB" w:eastAsia="en-US"/>
    </w:rPr>
  </w:style>
  <w:style w:type="paragraph" w:customStyle="1" w:styleId="Langue">
    <w:name w:val="Langue"/>
    <w:basedOn w:val="Normal"/>
    <w:next w:val="Rfrenceinterne"/>
    <w:uiPriority w:val="99"/>
    <w:rsid w:val="008302FB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val="en-GB" w:eastAsia="en-US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8302FB"/>
    <w:pPr>
      <w:widowControl/>
      <w:spacing w:line="240" w:lineRule="auto"/>
      <w:ind w:left="5103"/>
      <w:jc w:val="left"/>
    </w:pPr>
    <w:rPr>
      <w:szCs w:val="24"/>
      <w:lang w:val="en-GB" w:eastAsia="en-US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8302FB"/>
    <w:pPr>
      <w:widowControl/>
      <w:spacing w:line="240" w:lineRule="auto"/>
      <w:ind w:left="5103"/>
      <w:jc w:val="left"/>
    </w:pPr>
    <w:rPr>
      <w:szCs w:val="24"/>
      <w:lang w:val="en-GB" w:eastAsia="en-US"/>
    </w:rPr>
  </w:style>
  <w:style w:type="paragraph" w:customStyle="1" w:styleId="Statut">
    <w:name w:val="Statut"/>
    <w:basedOn w:val="Normal"/>
    <w:next w:val="Typedudocument"/>
    <w:uiPriority w:val="99"/>
    <w:rsid w:val="008302FB"/>
    <w:pPr>
      <w:widowControl/>
      <w:spacing w:before="360" w:line="240" w:lineRule="auto"/>
      <w:jc w:val="center"/>
    </w:pPr>
    <w:rPr>
      <w:szCs w:val="24"/>
      <w:lang w:val="en-GB" w:eastAsia="en-US"/>
    </w:rPr>
  </w:style>
  <w:style w:type="paragraph" w:customStyle="1" w:styleId="ManualConsidrant">
    <w:name w:val="Manual Considérant"/>
    <w:basedOn w:val="Normal"/>
    <w:uiPriority w:val="99"/>
    <w:rsid w:val="008302FB"/>
    <w:pPr>
      <w:widowControl/>
      <w:spacing w:before="120" w:after="120" w:line="240" w:lineRule="auto"/>
      <w:ind w:left="709" w:hanging="709"/>
      <w:jc w:val="both"/>
    </w:pPr>
    <w:rPr>
      <w:szCs w:val="24"/>
      <w:lang w:val="en-GB" w:eastAsia="en-US"/>
    </w:rPr>
  </w:style>
  <w:style w:type="paragraph" w:customStyle="1" w:styleId="Nomdelinstitution">
    <w:name w:val="Nom de l'institution"/>
    <w:basedOn w:val="Normal"/>
    <w:next w:val="Emission"/>
    <w:uiPriority w:val="99"/>
    <w:rsid w:val="008302FB"/>
    <w:pPr>
      <w:widowControl/>
      <w:spacing w:line="240" w:lineRule="auto"/>
      <w:jc w:val="left"/>
    </w:pPr>
    <w:rPr>
      <w:rFonts w:ascii="Arial" w:hAnsi="Arial" w:cs="Arial"/>
      <w:szCs w:val="24"/>
      <w:lang w:val="en-GB" w:eastAsia="en-US"/>
    </w:rPr>
  </w:style>
  <w:style w:type="character" w:customStyle="1" w:styleId="Added">
    <w:name w:val="Added"/>
    <w:basedOn w:val="DefaultParagraphFont"/>
    <w:uiPriority w:val="99"/>
    <w:rsid w:val="008302FB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8302FB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8302FB"/>
    <w:pPr>
      <w:keepLines/>
      <w:widowControl/>
      <w:spacing w:before="120" w:after="120"/>
      <w:ind w:left="3402"/>
      <w:jc w:val="left"/>
    </w:pPr>
    <w:rPr>
      <w:szCs w:val="24"/>
      <w:lang w:val="en-GB" w:eastAsia="en-US"/>
    </w:rPr>
  </w:style>
  <w:style w:type="paragraph" w:customStyle="1" w:styleId="Objetexterne">
    <w:name w:val="Objet externe"/>
    <w:basedOn w:val="Normal"/>
    <w:next w:val="Normal"/>
    <w:uiPriority w:val="99"/>
    <w:rsid w:val="008302FB"/>
    <w:pPr>
      <w:widowControl/>
      <w:spacing w:before="120" w:after="120" w:line="240" w:lineRule="auto"/>
      <w:jc w:val="both"/>
    </w:pPr>
    <w:rPr>
      <w:i/>
      <w:caps/>
      <w:szCs w:val="24"/>
      <w:lang w:val="en-GB" w:eastAsia="en-US"/>
    </w:rPr>
  </w:style>
  <w:style w:type="paragraph" w:customStyle="1" w:styleId="Pagedecouverture">
    <w:name w:val="Page de couverture"/>
    <w:basedOn w:val="Normal"/>
    <w:next w:val="Normal"/>
    <w:uiPriority w:val="99"/>
    <w:rsid w:val="008302FB"/>
    <w:pPr>
      <w:widowControl/>
      <w:spacing w:before="120" w:after="120" w:line="240" w:lineRule="auto"/>
      <w:jc w:val="both"/>
    </w:pPr>
    <w:rPr>
      <w:szCs w:val="24"/>
      <w:lang w:val="en-GB" w:eastAsia="en-US"/>
    </w:rPr>
  </w:style>
  <w:style w:type="paragraph" w:customStyle="1" w:styleId="Supertitre">
    <w:name w:val="Supertitre"/>
    <w:basedOn w:val="Normal"/>
    <w:next w:val="Normal"/>
    <w:uiPriority w:val="99"/>
    <w:rsid w:val="008302FB"/>
    <w:pPr>
      <w:widowControl/>
      <w:spacing w:after="600" w:line="240" w:lineRule="auto"/>
      <w:jc w:val="center"/>
    </w:pPr>
    <w:rPr>
      <w:b/>
      <w:szCs w:val="24"/>
      <w:lang w:val="en-GB" w:eastAsia="en-US"/>
    </w:rPr>
  </w:style>
  <w:style w:type="paragraph" w:customStyle="1" w:styleId="Languesfaisantfoi">
    <w:name w:val="Langues faisant foi"/>
    <w:basedOn w:val="Normal"/>
    <w:next w:val="Normal"/>
    <w:uiPriority w:val="99"/>
    <w:rsid w:val="008302FB"/>
    <w:pPr>
      <w:widowControl/>
      <w:spacing w:before="360" w:line="240" w:lineRule="auto"/>
      <w:jc w:val="center"/>
    </w:pPr>
    <w:rPr>
      <w:szCs w:val="24"/>
      <w:lang w:val="en-GB" w:eastAsia="en-US"/>
    </w:rPr>
  </w:style>
  <w:style w:type="paragraph" w:customStyle="1" w:styleId="Rfrencecroise">
    <w:name w:val="Référence croisée"/>
    <w:basedOn w:val="Normal"/>
    <w:uiPriority w:val="99"/>
    <w:rsid w:val="008302FB"/>
    <w:pPr>
      <w:widowControl/>
      <w:spacing w:line="240" w:lineRule="auto"/>
      <w:jc w:val="center"/>
    </w:pPr>
    <w:rPr>
      <w:szCs w:val="24"/>
      <w:lang w:val="en-GB" w:eastAsia="en-US"/>
    </w:rPr>
  </w:style>
  <w:style w:type="paragraph" w:customStyle="1" w:styleId="Fichefinanciretitre">
    <w:name w:val="Fiche financière titre"/>
    <w:basedOn w:val="Normal"/>
    <w:next w:val="Normal"/>
    <w:uiPriority w:val="99"/>
    <w:rsid w:val="008302FB"/>
    <w:pPr>
      <w:widowControl/>
      <w:spacing w:before="120" w:after="120" w:line="240" w:lineRule="auto"/>
      <w:jc w:val="center"/>
    </w:pPr>
    <w:rPr>
      <w:b/>
      <w:szCs w:val="24"/>
      <w:u w:val="single"/>
      <w:lang w:val="en-GB" w:eastAsia="en-US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8302FB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8302FB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8302FB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8302FB"/>
    <w:pPr>
      <w:widowControl/>
      <w:spacing w:after="240" w:line="240" w:lineRule="auto"/>
      <w:ind w:left="5103"/>
      <w:jc w:val="left"/>
    </w:pPr>
    <w:rPr>
      <w:szCs w:val="24"/>
      <w:lang w:val="en-GB" w:eastAsia="en-US"/>
    </w:rPr>
  </w:style>
  <w:style w:type="paragraph" w:customStyle="1" w:styleId="IntrtEEE">
    <w:name w:val="Intérêt EEE"/>
    <w:basedOn w:val="Languesfaisantfoi"/>
    <w:next w:val="Normal"/>
    <w:uiPriority w:val="99"/>
    <w:rsid w:val="008302FB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8302FB"/>
    <w:pPr>
      <w:widowControl/>
      <w:spacing w:after="240" w:line="240" w:lineRule="auto"/>
      <w:jc w:val="center"/>
    </w:pPr>
    <w:rPr>
      <w:b/>
      <w:i/>
      <w:szCs w:val="24"/>
      <w:lang w:val="en-GB" w:eastAsia="en-US"/>
    </w:rPr>
  </w:style>
  <w:style w:type="paragraph" w:customStyle="1" w:styleId="Typeacteprincipal">
    <w:name w:val="Type acte principal"/>
    <w:basedOn w:val="Normal"/>
    <w:next w:val="Objetacteprincipal"/>
    <w:uiPriority w:val="99"/>
    <w:rsid w:val="008302FB"/>
    <w:pPr>
      <w:widowControl/>
      <w:spacing w:after="240" w:line="240" w:lineRule="auto"/>
      <w:jc w:val="center"/>
    </w:pPr>
    <w:rPr>
      <w:b/>
      <w:szCs w:val="24"/>
      <w:lang w:val="en-GB" w:eastAsia="en-US"/>
    </w:rPr>
  </w:style>
  <w:style w:type="paragraph" w:customStyle="1" w:styleId="Objetacteprincipal">
    <w:name w:val="Objet acte principal"/>
    <w:basedOn w:val="Normal"/>
    <w:next w:val="Titrearticle"/>
    <w:uiPriority w:val="99"/>
    <w:rsid w:val="008302FB"/>
    <w:pPr>
      <w:widowControl/>
      <w:spacing w:after="360" w:line="240" w:lineRule="auto"/>
      <w:jc w:val="center"/>
    </w:pPr>
    <w:rPr>
      <w:b/>
      <w:szCs w:val="24"/>
      <w:lang w:val="en-GB" w:eastAsia="en-US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8302FB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8302FB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8302FB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8302FB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8302FB"/>
    <w:pPr>
      <w:widowControl/>
      <w:spacing w:before="360" w:line="240" w:lineRule="auto"/>
      <w:jc w:val="center"/>
    </w:pPr>
    <w:rPr>
      <w:szCs w:val="24"/>
      <w:lang w:val="en-GB" w:eastAsia="en-US"/>
    </w:rPr>
  </w:style>
  <w:style w:type="paragraph" w:customStyle="1" w:styleId="Prrafodelista">
    <w:name w:val="Párrafo de lista"/>
    <w:basedOn w:val="Normal"/>
    <w:uiPriority w:val="99"/>
    <w:rsid w:val="008302FB"/>
    <w:pPr>
      <w:widowControl/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val="es-CO" w:eastAsia="en-US"/>
    </w:rPr>
  </w:style>
  <w:style w:type="paragraph" w:customStyle="1" w:styleId="Subject">
    <w:name w:val="Subject"/>
    <w:basedOn w:val="Normal"/>
    <w:next w:val="Normal"/>
    <w:uiPriority w:val="99"/>
    <w:rsid w:val="008302FB"/>
    <w:pPr>
      <w:widowControl/>
      <w:spacing w:after="480" w:line="240" w:lineRule="auto"/>
      <w:ind w:left="1531" w:hanging="1531"/>
      <w:jc w:val="left"/>
    </w:pPr>
    <w:rPr>
      <w:b/>
      <w:lang w:val="en-GB" w:eastAsia="en-US"/>
    </w:rPr>
  </w:style>
  <w:style w:type="paragraph" w:customStyle="1" w:styleId="Style1">
    <w:name w:val="Style1"/>
    <w:basedOn w:val="Prrafodelista"/>
    <w:uiPriority w:val="99"/>
    <w:rsid w:val="008302FB"/>
    <w:pPr>
      <w:numPr>
        <w:numId w:val="1"/>
      </w:numPr>
      <w:tabs>
        <w:tab w:val="num" w:pos="360"/>
      </w:tabs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hAnsi="Times New Roman"/>
      <w:sz w:val="24"/>
      <w:szCs w:val="24"/>
      <w:lang w:val="en-GB"/>
    </w:rPr>
  </w:style>
  <w:style w:type="paragraph" w:styleId="ListBullet">
    <w:name w:val="List Bullet"/>
    <w:basedOn w:val="Normal"/>
    <w:uiPriority w:val="99"/>
    <w:rsid w:val="008302FB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val="en-GB" w:eastAsia="en-US"/>
    </w:rPr>
  </w:style>
  <w:style w:type="paragraph" w:styleId="ListBullet2">
    <w:name w:val="List Bullet 2"/>
    <w:basedOn w:val="Normal"/>
    <w:uiPriority w:val="99"/>
    <w:rsid w:val="008302FB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val="en-GB" w:eastAsia="en-US"/>
    </w:rPr>
  </w:style>
  <w:style w:type="paragraph" w:styleId="ListBullet3">
    <w:name w:val="List Bullet 3"/>
    <w:basedOn w:val="Normal"/>
    <w:uiPriority w:val="99"/>
    <w:rsid w:val="008302FB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val="en-GB" w:eastAsia="en-US"/>
    </w:rPr>
  </w:style>
  <w:style w:type="paragraph" w:styleId="ListBullet4">
    <w:name w:val="List Bullet 4"/>
    <w:basedOn w:val="Normal"/>
    <w:uiPriority w:val="99"/>
    <w:rsid w:val="008302FB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val="en-GB" w:eastAsia="en-US"/>
    </w:rPr>
  </w:style>
  <w:style w:type="paragraph" w:styleId="ListNumber">
    <w:name w:val="List Number"/>
    <w:basedOn w:val="Normal"/>
    <w:uiPriority w:val="99"/>
    <w:rsid w:val="008302FB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val="en-GB" w:eastAsia="en-US"/>
    </w:rPr>
  </w:style>
  <w:style w:type="paragraph" w:styleId="ListNumber2">
    <w:name w:val="List Number 2"/>
    <w:basedOn w:val="Normal"/>
    <w:uiPriority w:val="99"/>
    <w:rsid w:val="008302FB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val="en-GB" w:eastAsia="en-US"/>
    </w:rPr>
  </w:style>
  <w:style w:type="paragraph" w:styleId="ListNumber3">
    <w:name w:val="List Number 3"/>
    <w:basedOn w:val="Normal"/>
    <w:uiPriority w:val="99"/>
    <w:rsid w:val="008302FB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val="en-GB" w:eastAsia="en-US"/>
    </w:rPr>
  </w:style>
  <w:style w:type="paragraph" w:styleId="ListNumber4">
    <w:name w:val="List Number 4"/>
    <w:basedOn w:val="Normal"/>
    <w:uiPriority w:val="99"/>
    <w:rsid w:val="008302FB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val="en-GB" w:eastAsia="en-US"/>
    </w:rPr>
  </w:style>
  <w:style w:type="character" w:styleId="Hyperlink">
    <w:name w:val="Hyperlink"/>
    <w:basedOn w:val="DefaultParagraphFont"/>
    <w:uiPriority w:val="99"/>
    <w:rsid w:val="008302FB"/>
    <w:rPr>
      <w:rFonts w:cs="Times New Roman"/>
      <w:color w:val="0000FF"/>
      <w:u w:val="single"/>
      <w:shd w:val="clear" w:color="auto" w:fill="auto"/>
      <w:rtl w:val="0"/>
      <w:cs w:val="0"/>
    </w:rPr>
  </w:style>
  <w:style w:type="paragraph" w:customStyle="1" w:styleId="Prrafodelista1">
    <w:name w:val="Párrafo de lista1"/>
    <w:basedOn w:val="Normal"/>
    <w:uiPriority w:val="99"/>
    <w:rsid w:val="008302FB"/>
    <w:pPr>
      <w:widowControl/>
      <w:spacing w:line="240" w:lineRule="auto"/>
      <w:ind w:left="708"/>
      <w:jc w:val="left"/>
    </w:pPr>
    <w:rPr>
      <w:szCs w:val="24"/>
      <w:lang w:val="es-ES" w:eastAsia="es-ES"/>
    </w:rPr>
  </w:style>
  <w:style w:type="paragraph" w:customStyle="1" w:styleId="Style2">
    <w:name w:val="Style2"/>
    <w:basedOn w:val="ManualNumPar1"/>
    <w:uiPriority w:val="99"/>
    <w:rsid w:val="008302FB"/>
    <w:pPr>
      <w:spacing w:line="240" w:lineRule="auto"/>
      <w:jc w:val="both"/>
    </w:pPr>
    <w:rPr>
      <w:lang w:eastAsia="es-CO"/>
    </w:rPr>
  </w:style>
  <w:style w:type="paragraph" w:styleId="BodyText">
    <w:name w:val="Body Text"/>
    <w:basedOn w:val="Normal"/>
    <w:uiPriority w:val="99"/>
    <w:rsid w:val="008302FB"/>
    <w:pPr>
      <w:widowControl/>
      <w:spacing w:before="120" w:after="120" w:line="240" w:lineRule="auto"/>
      <w:jc w:val="both"/>
    </w:pPr>
    <w:rPr>
      <w:szCs w:val="24"/>
      <w:lang w:val="en-GB" w:eastAsia="en-US"/>
    </w:rPr>
  </w:style>
  <w:style w:type="paragraph" w:styleId="BodyTextFirstIndent">
    <w:name w:val="Body Text First Indent"/>
    <w:basedOn w:val="BodyText"/>
    <w:uiPriority w:val="99"/>
    <w:rsid w:val="008302FB"/>
    <w:pPr>
      <w:spacing w:before="0" w:line="240" w:lineRule="auto"/>
      <w:ind w:firstLine="210"/>
      <w:jc w:val="both"/>
    </w:pPr>
    <w:rPr>
      <w:szCs w:val="20"/>
    </w:rPr>
  </w:style>
  <w:style w:type="paragraph" w:customStyle="1" w:styleId="Prrafodelista2">
    <w:name w:val="Párrafo de lista2"/>
    <w:basedOn w:val="Normal"/>
    <w:uiPriority w:val="99"/>
    <w:rsid w:val="008302FB"/>
    <w:pPr>
      <w:widowControl/>
      <w:spacing w:line="240" w:lineRule="auto"/>
      <w:ind w:left="708"/>
      <w:jc w:val="left"/>
    </w:pPr>
    <w:rPr>
      <w:szCs w:val="24"/>
      <w:lang w:val="es-ES" w:eastAsia="es-ES"/>
    </w:rPr>
  </w:style>
  <w:style w:type="paragraph" w:customStyle="1" w:styleId="NormalConseil">
    <w:name w:val="NormalConseil"/>
    <w:basedOn w:val="Normal"/>
    <w:uiPriority w:val="99"/>
    <w:rsid w:val="008302FB"/>
    <w:pPr>
      <w:widowControl/>
      <w:spacing w:line="240" w:lineRule="auto"/>
      <w:jc w:val="left"/>
    </w:pPr>
    <w:rPr>
      <w:lang w:val="en-GB"/>
    </w:rPr>
  </w:style>
  <w:style w:type="paragraph" w:customStyle="1" w:styleId="FooterConseil">
    <w:name w:val="FooterConseil"/>
    <w:basedOn w:val="NormalConseil"/>
    <w:uiPriority w:val="99"/>
    <w:rsid w:val="008302FB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Genredudocument">
    <w:name w:val="Genre du document"/>
    <w:basedOn w:val="EntRefer"/>
    <w:next w:val="EntRefer"/>
    <w:uiPriority w:val="99"/>
    <w:rsid w:val="008302FB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8302FB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8302FB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8302FB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8302FB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5</Pages>
  <Words>21295</Words>
  <Characters>131183</Characters>
  <Application>Microsoft Office Word</Application>
  <DocSecurity>0</DocSecurity>
  <Lines>0</Lines>
  <Paragraphs>0</Paragraphs>
  <ScaleCrop>false</ScaleCrop>
  <Company>DTI</Company>
  <LinksUpToDate>false</LinksUpToDate>
  <CharactersWithSpaces>151341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Eva</dc:creator>
  <cp:lastModifiedBy>durovcik</cp:lastModifiedBy>
  <cp:revision>2</cp:revision>
  <cp:lastPrinted>2004-06-01T11:02:00Z</cp:lastPrinted>
  <dcterms:created xsi:type="dcterms:W3CDTF">2012-11-28T12:43:00Z</dcterms:created>
  <dcterms:modified xsi:type="dcterms:W3CDTF">2012-11-28T12:43:00Z</dcterms:modified>
</cp:coreProperties>
</file>