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636230" w:rsidRPr="003B3798" w:rsidP="00636230">
      <w:pPr>
        <w:bidi w:val="0"/>
        <w:jc w:val="center"/>
        <w:rPr>
          <w:rFonts w:ascii="Times New Roman" w:hAnsi="Times New Roman"/>
          <w:b/>
          <w:bCs/>
          <w:caps/>
          <w:color w:val="000000"/>
          <w:spacing w:val="30"/>
          <w:sz w:val="24"/>
          <w:szCs w:val="24"/>
        </w:rPr>
      </w:pPr>
      <w:r w:rsidRPr="003B3798">
        <w:rPr>
          <w:rFonts w:ascii="Times New Roman" w:hAnsi="Times New Roman"/>
          <w:b/>
          <w:bCs/>
          <w:caps/>
          <w:color w:val="000000"/>
          <w:spacing w:val="30"/>
          <w:sz w:val="24"/>
          <w:szCs w:val="24"/>
        </w:rPr>
        <w:t>Doložka</w:t>
      </w:r>
    </w:p>
    <w:p w:rsidR="00636230" w:rsidRPr="00AC4AFD" w:rsidP="00636230">
      <w:pPr>
        <w:bidi w:val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B3798">
        <w:rPr>
          <w:rFonts w:ascii="Times New Roman" w:hAnsi="Times New Roman"/>
          <w:b/>
          <w:bCs/>
          <w:color w:val="000000"/>
          <w:sz w:val="24"/>
          <w:szCs w:val="24"/>
        </w:rPr>
        <w:t>vybraných vplyvov</w:t>
      </w:r>
    </w:p>
    <w:p w:rsidR="00636230" w:rsidRPr="00AC4AFD" w:rsidP="00636230">
      <w:pPr>
        <w:bidi w:val="0"/>
        <w:rPr>
          <w:rFonts w:ascii="Times New Roman" w:hAnsi="Times New Roman"/>
          <w:color w:val="000000"/>
          <w:sz w:val="24"/>
          <w:szCs w:val="24"/>
        </w:rPr>
      </w:pPr>
    </w:p>
    <w:p w:rsidR="00636230" w:rsidRPr="00AC4AFD" w:rsidP="00636230">
      <w:pPr>
        <w:bidi w:val="0"/>
        <w:rPr>
          <w:rFonts w:ascii="Times New Roman" w:hAnsi="Times New Roman"/>
          <w:color w:val="000000"/>
          <w:sz w:val="24"/>
          <w:szCs w:val="24"/>
        </w:rPr>
      </w:pPr>
    </w:p>
    <w:p w:rsidR="00636230" w:rsidRPr="002E46FE" w:rsidP="00636230">
      <w:pPr>
        <w:bidi w:val="0"/>
        <w:ind w:right="50"/>
        <w:jc w:val="both"/>
        <w:rPr>
          <w:rFonts w:ascii="Times New Roman" w:hAnsi="Times New Roman"/>
          <w:b/>
          <w:bCs/>
          <w:sz w:val="24"/>
          <w:szCs w:val="24"/>
        </w:rPr>
      </w:pPr>
      <w:r w:rsidRPr="002E46FE">
        <w:rPr>
          <w:rFonts w:ascii="Times New Roman" w:hAnsi="Times New Roman"/>
          <w:b/>
          <w:bCs/>
          <w:color w:val="000000"/>
          <w:sz w:val="24"/>
          <w:szCs w:val="24"/>
        </w:rPr>
        <w:t xml:space="preserve">A.1. Názov materiálu: </w:t>
      </w:r>
      <w:r w:rsidRPr="002E46FE">
        <w:rPr>
          <w:rFonts w:ascii="Times New Roman" w:hAnsi="Times New Roman"/>
          <w:color w:val="000000"/>
          <w:sz w:val="24"/>
          <w:szCs w:val="24"/>
        </w:rPr>
        <w:t xml:space="preserve">Návrh </w:t>
      </w:r>
      <w:r>
        <w:rPr>
          <w:rFonts w:ascii="Times New Roman" w:hAnsi="Times New Roman"/>
          <w:color w:val="000000"/>
          <w:sz w:val="24"/>
          <w:szCs w:val="24"/>
        </w:rPr>
        <w:t xml:space="preserve">na uzavretie </w:t>
      </w:r>
      <w:r w:rsidRPr="002E46FE">
        <w:rPr>
          <w:rFonts w:ascii="Times New Roman" w:hAnsi="Times New Roman"/>
          <w:bCs/>
          <w:sz w:val="24"/>
          <w:szCs w:val="24"/>
        </w:rPr>
        <w:t>Dohody o obchode medzi Európskou úniou a jej členskými štátmi na jednej strane a Kolumbiou a Peru na strane druhej</w:t>
      </w:r>
    </w:p>
    <w:p w:rsidR="00636230" w:rsidRPr="00BC2B48" w:rsidP="00636230">
      <w:pPr>
        <w:pStyle w:val="Confidentialit"/>
        <w:bidi w:val="0"/>
        <w:ind w:left="0"/>
        <w:rPr>
          <w:rFonts w:ascii="Times New Roman" w:hAnsi="Times New Roman"/>
          <w:u w:val="none"/>
        </w:rPr>
      </w:pPr>
    </w:p>
    <w:p w:rsidR="00636230" w:rsidRPr="000648FF" w:rsidP="00636230">
      <w:pPr>
        <w:bidi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AC4AFD">
        <w:rPr>
          <w:rFonts w:ascii="Times New Roman" w:hAnsi="Times New Roman"/>
          <w:b/>
          <w:bCs/>
          <w:color w:val="000000"/>
          <w:sz w:val="24"/>
          <w:szCs w:val="24"/>
        </w:rPr>
        <w:t>Termín začatia a ukončenia PPK:</w:t>
      </w:r>
      <w:r w:rsidRPr="00AC4AF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36230" w:rsidRPr="00AC4AFD" w:rsidP="00636230">
      <w:pPr>
        <w:bidi w:val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36230" w:rsidRPr="00AC4AFD" w:rsidP="00636230">
      <w:pPr>
        <w:bidi w:val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C4AFD">
        <w:rPr>
          <w:rFonts w:ascii="Times New Roman" w:hAnsi="Times New Roman"/>
          <w:b/>
          <w:bCs/>
          <w:color w:val="000000"/>
          <w:sz w:val="24"/>
          <w:szCs w:val="24"/>
        </w:rPr>
        <w:t>A.2. Vplyvy:</w:t>
      </w:r>
    </w:p>
    <w:tbl>
      <w:tblPr>
        <w:tblStyle w:val="TableNormal"/>
        <w:tblW w:w="5000" w:type="pct"/>
        <w:tblInd w:w="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</w:tblPr>
      <w:tblGrid>
        <w:gridCol w:w="5519"/>
        <w:gridCol w:w="1192"/>
        <w:gridCol w:w="1181"/>
        <w:gridCol w:w="1196"/>
      </w:tblGrid>
      <w:tr>
        <w:tblPrEx>
          <w:tblW w:w="5000" w:type="pct"/>
          <w:tblInd w:w="1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</w:tblPrEx>
        <w:tc>
          <w:tcPr>
            <w:tcW w:w="5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lrTb"/>
            <w:vAlign w:val="center"/>
          </w:tcPr>
          <w:p w:rsidR="00636230" w:rsidRPr="00AC4AFD" w:rsidP="00FE13F7">
            <w:pPr>
              <w:bidi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lrTb"/>
            <w:vAlign w:val="center"/>
          </w:tcPr>
          <w:p w:rsidR="00636230" w:rsidRPr="00AC4AFD" w:rsidP="00FE13F7">
            <w:pPr>
              <w:bidi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4AFD">
              <w:rPr>
                <w:rFonts w:ascii="Times New Roman" w:hAnsi="Times New Roman"/>
                <w:color w:val="000000"/>
                <w:sz w:val="24"/>
                <w:szCs w:val="24"/>
              </w:rPr>
              <w:t> Pozitívne 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lrTb"/>
            <w:vAlign w:val="center"/>
          </w:tcPr>
          <w:p w:rsidR="00636230" w:rsidRPr="00AC4AFD" w:rsidP="00FE13F7">
            <w:pPr>
              <w:bidi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4AFD">
              <w:rPr>
                <w:rFonts w:ascii="Times New Roman" w:hAnsi="Times New Roman"/>
                <w:color w:val="000000"/>
                <w:sz w:val="24"/>
                <w:szCs w:val="24"/>
              </w:rPr>
              <w:t> Žiadne 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lrTb"/>
            <w:vAlign w:val="center"/>
          </w:tcPr>
          <w:p w:rsidR="00636230" w:rsidRPr="00AC4AFD" w:rsidP="00FE13F7">
            <w:pPr>
              <w:bidi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4AFD">
              <w:rPr>
                <w:rFonts w:ascii="Times New Roman" w:hAnsi="Times New Roman"/>
                <w:color w:val="000000"/>
                <w:sz w:val="24"/>
                <w:szCs w:val="24"/>
              </w:rPr>
              <w:t> Negatívne </w:t>
            </w:r>
          </w:p>
        </w:tc>
      </w:tr>
      <w:tr>
        <w:tblPrEx>
          <w:tblW w:w="5000" w:type="pct"/>
          <w:tblInd w:w="1" w:type="dxa"/>
          <w:tblCellMar>
            <w:left w:w="0" w:type="dxa"/>
            <w:right w:w="0" w:type="dxa"/>
          </w:tblCellMar>
        </w:tblPrEx>
        <w:tc>
          <w:tcPr>
            <w:tcW w:w="5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lrTb"/>
            <w:vAlign w:val="center"/>
          </w:tcPr>
          <w:p w:rsidR="00636230" w:rsidRPr="00AC4AFD" w:rsidP="00FE13F7">
            <w:pPr>
              <w:bidi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4AFD">
              <w:rPr>
                <w:rFonts w:ascii="Times New Roman" w:hAnsi="Times New Roman"/>
                <w:color w:val="000000"/>
                <w:sz w:val="24"/>
                <w:szCs w:val="24"/>
              </w:rPr>
              <w:t>1. Vplyvy na rozpočet verejnej správy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lrTb"/>
            <w:vAlign w:val="center"/>
          </w:tcPr>
          <w:p w:rsidR="00636230" w:rsidRPr="00AC4AFD" w:rsidP="00FE13F7">
            <w:pPr>
              <w:bidi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lrTb"/>
            <w:vAlign w:val="center"/>
          </w:tcPr>
          <w:p w:rsidR="00636230" w:rsidRPr="00AC4AFD" w:rsidP="00FE13F7">
            <w:pPr>
              <w:bidi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4AFD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lrTb"/>
            <w:vAlign w:val="center"/>
          </w:tcPr>
          <w:p w:rsidR="00636230" w:rsidRPr="00AC4AFD" w:rsidP="00FE13F7">
            <w:pPr>
              <w:bidi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>
        <w:tblPrEx>
          <w:tblW w:w="5000" w:type="pct"/>
          <w:tblInd w:w="1" w:type="dxa"/>
          <w:tblCellMar>
            <w:left w:w="0" w:type="dxa"/>
            <w:right w:w="0" w:type="dxa"/>
          </w:tblCellMar>
        </w:tblPrEx>
        <w:tc>
          <w:tcPr>
            <w:tcW w:w="5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lrTb"/>
            <w:vAlign w:val="center"/>
          </w:tcPr>
          <w:p w:rsidR="00636230" w:rsidRPr="00AC4AFD" w:rsidP="00FE13F7">
            <w:pPr>
              <w:bidi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4AFD">
              <w:rPr>
                <w:rFonts w:ascii="Times New Roman" w:hAnsi="Times New Roman"/>
                <w:color w:val="000000"/>
                <w:sz w:val="24"/>
                <w:szCs w:val="24"/>
              </w:rPr>
              <w:t>2. Vplyvy na podnikateľské prostredie – dochádza k zvýšeniu regulačného zaťaženia?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lrTb"/>
            <w:vAlign w:val="center"/>
          </w:tcPr>
          <w:p w:rsidR="00636230" w:rsidRPr="00AC4AFD" w:rsidP="00FE13F7">
            <w:pPr>
              <w:bidi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lrTb"/>
            <w:vAlign w:val="center"/>
          </w:tcPr>
          <w:p w:rsidR="00636230" w:rsidRPr="00AC4AFD" w:rsidP="00FE13F7">
            <w:pPr>
              <w:bidi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4AFD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lrTb"/>
            <w:vAlign w:val="center"/>
          </w:tcPr>
          <w:p w:rsidR="00636230" w:rsidRPr="00AC4AFD" w:rsidP="00FE13F7">
            <w:pPr>
              <w:bidi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>
        <w:tblPrEx>
          <w:tblW w:w="5000" w:type="pct"/>
          <w:tblInd w:w="1" w:type="dxa"/>
          <w:tblCellMar>
            <w:left w:w="0" w:type="dxa"/>
            <w:right w:w="0" w:type="dxa"/>
          </w:tblCellMar>
        </w:tblPrEx>
        <w:tc>
          <w:tcPr>
            <w:tcW w:w="5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lrTb"/>
            <w:vAlign w:val="center"/>
          </w:tcPr>
          <w:p w:rsidR="00636230" w:rsidRPr="00AC4AFD" w:rsidP="00FE13F7">
            <w:pPr>
              <w:bidi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4AFD">
              <w:rPr>
                <w:rFonts w:ascii="Times New Roman" w:hAnsi="Times New Roman"/>
                <w:color w:val="000000"/>
                <w:sz w:val="24"/>
                <w:szCs w:val="24"/>
              </w:rPr>
              <w:t>3. Sociálne vplyvy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lrTb"/>
            <w:vAlign w:val="center"/>
          </w:tcPr>
          <w:p w:rsidR="00636230" w:rsidRPr="00AC4AFD" w:rsidP="00FE13F7">
            <w:pPr>
              <w:bidi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lrTb"/>
            <w:vAlign w:val="center"/>
          </w:tcPr>
          <w:p w:rsidR="00636230" w:rsidRPr="00AC4AFD" w:rsidP="00FE13F7">
            <w:pPr>
              <w:bidi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4AFD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lrTb"/>
            <w:vAlign w:val="center"/>
          </w:tcPr>
          <w:p w:rsidR="00636230" w:rsidRPr="00AC4AFD" w:rsidP="00FE13F7">
            <w:pPr>
              <w:bidi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>
        <w:tblPrEx>
          <w:tblW w:w="5000" w:type="pct"/>
          <w:tblInd w:w="1" w:type="dxa"/>
          <w:tblCellMar>
            <w:left w:w="0" w:type="dxa"/>
            <w:right w:w="0" w:type="dxa"/>
          </w:tblCellMar>
        </w:tblPrEx>
        <w:tc>
          <w:tcPr>
            <w:tcW w:w="5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lrTb"/>
            <w:vAlign w:val="center"/>
          </w:tcPr>
          <w:p w:rsidR="00636230" w:rsidRPr="00AC4AFD" w:rsidP="00FE13F7">
            <w:pPr>
              <w:bidi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4AFD">
              <w:rPr>
                <w:rFonts w:ascii="Times New Roman" w:hAnsi="Times New Roman"/>
                <w:color w:val="000000"/>
                <w:sz w:val="24"/>
                <w:szCs w:val="24"/>
              </w:rPr>
              <w:t>– vplyvy na hospodárenie obyvateľstva,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lrTb"/>
            <w:vAlign w:val="center"/>
          </w:tcPr>
          <w:p w:rsidR="00636230" w:rsidRPr="00AC4AFD" w:rsidP="00FE13F7">
            <w:pPr>
              <w:bidi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lrTb"/>
            <w:vAlign w:val="center"/>
          </w:tcPr>
          <w:p w:rsidR="00636230" w:rsidRPr="00AC4AFD" w:rsidP="00FE13F7">
            <w:pPr>
              <w:bidi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lrTb"/>
            <w:vAlign w:val="center"/>
          </w:tcPr>
          <w:p w:rsidR="00636230" w:rsidRPr="00AC4AFD" w:rsidP="00FE13F7">
            <w:pPr>
              <w:bidi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>
        <w:tblPrEx>
          <w:tblW w:w="5000" w:type="pct"/>
          <w:tblInd w:w="1" w:type="dxa"/>
          <w:tblCellMar>
            <w:left w:w="0" w:type="dxa"/>
            <w:right w:w="0" w:type="dxa"/>
          </w:tblCellMar>
        </w:tblPrEx>
        <w:tc>
          <w:tcPr>
            <w:tcW w:w="5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lrTb"/>
            <w:vAlign w:val="center"/>
          </w:tcPr>
          <w:p w:rsidR="00636230" w:rsidRPr="00AC4AFD" w:rsidP="00FE13F7">
            <w:pPr>
              <w:bidi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4AFD">
              <w:rPr>
                <w:rFonts w:ascii="Times New Roman" w:hAnsi="Times New Roman"/>
                <w:color w:val="000000"/>
                <w:sz w:val="24"/>
                <w:szCs w:val="24"/>
              </w:rPr>
              <w:t>– sociálnu exklúziu,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lrTb"/>
            <w:vAlign w:val="center"/>
          </w:tcPr>
          <w:p w:rsidR="00636230" w:rsidRPr="00AC4AFD" w:rsidP="00FE13F7">
            <w:pPr>
              <w:bidi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lrTb"/>
            <w:vAlign w:val="center"/>
          </w:tcPr>
          <w:p w:rsidR="00636230" w:rsidRPr="00AC4AFD" w:rsidP="00FE13F7">
            <w:pPr>
              <w:bidi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lrTb"/>
            <w:vAlign w:val="center"/>
          </w:tcPr>
          <w:p w:rsidR="00636230" w:rsidRPr="00AC4AFD" w:rsidP="00FE13F7">
            <w:pPr>
              <w:bidi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>
        <w:tblPrEx>
          <w:tblW w:w="5000" w:type="pct"/>
          <w:tblInd w:w="1" w:type="dxa"/>
          <w:tblCellMar>
            <w:left w:w="0" w:type="dxa"/>
            <w:right w:w="0" w:type="dxa"/>
          </w:tblCellMar>
        </w:tblPrEx>
        <w:tc>
          <w:tcPr>
            <w:tcW w:w="5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lrTb"/>
            <w:vAlign w:val="center"/>
          </w:tcPr>
          <w:p w:rsidR="00636230" w:rsidRPr="00AC4AFD" w:rsidP="00FE13F7">
            <w:pPr>
              <w:bidi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4AFD">
              <w:rPr>
                <w:rFonts w:ascii="Times New Roman" w:hAnsi="Times New Roman"/>
                <w:color w:val="000000"/>
                <w:sz w:val="24"/>
                <w:szCs w:val="24"/>
              </w:rPr>
              <w:t>– rovnosť príležitostí a rodovú rovnosť a vplyvy na zamestnanosť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lrTb"/>
            <w:vAlign w:val="center"/>
          </w:tcPr>
          <w:p w:rsidR="00636230" w:rsidRPr="00AC4AFD" w:rsidP="00FE13F7">
            <w:pPr>
              <w:bidi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lrTb"/>
            <w:vAlign w:val="center"/>
          </w:tcPr>
          <w:p w:rsidR="00636230" w:rsidRPr="00AC4AFD" w:rsidP="00FE13F7">
            <w:pPr>
              <w:bidi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lrTb"/>
            <w:vAlign w:val="center"/>
          </w:tcPr>
          <w:p w:rsidR="00636230" w:rsidRPr="00AC4AFD" w:rsidP="00FE13F7">
            <w:pPr>
              <w:bidi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>
        <w:tblPrEx>
          <w:tblW w:w="5000" w:type="pct"/>
          <w:tblInd w:w="1" w:type="dxa"/>
          <w:tblCellMar>
            <w:left w:w="0" w:type="dxa"/>
            <w:right w:w="0" w:type="dxa"/>
          </w:tblCellMar>
        </w:tblPrEx>
        <w:tc>
          <w:tcPr>
            <w:tcW w:w="5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lrTb"/>
            <w:vAlign w:val="center"/>
          </w:tcPr>
          <w:p w:rsidR="00636230" w:rsidRPr="00AC4AFD" w:rsidP="00FE13F7">
            <w:pPr>
              <w:bidi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4AFD">
              <w:rPr>
                <w:rFonts w:ascii="Times New Roman" w:hAnsi="Times New Roman"/>
                <w:color w:val="000000"/>
                <w:sz w:val="24"/>
                <w:szCs w:val="24"/>
              </w:rPr>
              <w:t>4. Vplyvy na životné prostredie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lrTb"/>
            <w:vAlign w:val="center"/>
          </w:tcPr>
          <w:p w:rsidR="00636230" w:rsidRPr="00AC4AFD" w:rsidP="00FE13F7">
            <w:pPr>
              <w:bidi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lrTb"/>
            <w:vAlign w:val="center"/>
          </w:tcPr>
          <w:p w:rsidR="00636230" w:rsidRPr="00AC4AFD" w:rsidP="00FE13F7">
            <w:pPr>
              <w:bidi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4AFD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lrTb"/>
            <w:vAlign w:val="center"/>
          </w:tcPr>
          <w:p w:rsidR="00636230" w:rsidRPr="00AC4AFD" w:rsidP="00FE13F7">
            <w:pPr>
              <w:bidi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>
        <w:tblPrEx>
          <w:tblW w:w="5000" w:type="pct"/>
          <w:tblInd w:w="1" w:type="dxa"/>
          <w:tblCellMar>
            <w:left w:w="0" w:type="dxa"/>
            <w:right w:w="0" w:type="dxa"/>
          </w:tblCellMar>
        </w:tblPrEx>
        <w:tc>
          <w:tcPr>
            <w:tcW w:w="5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lrTb"/>
            <w:vAlign w:val="center"/>
          </w:tcPr>
          <w:p w:rsidR="00636230" w:rsidRPr="00AC4AFD" w:rsidP="00FE13F7">
            <w:pPr>
              <w:bidi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4AFD">
              <w:rPr>
                <w:rFonts w:ascii="Times New Roman" w:hAnsi="Times New Roman"/>
                <w:color w:val="000000"/>
                <w:sz w:val="24"/>
                <w:szCs w:val="24"/>
              </w:rPr>
              <w:t>5. Vplyvy na informatizáciu spoločnosti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lrTb"/>
            <w:vAlign w:val="center"/>
          </w:tcPr>
          <w:p w:rsidR="00636230" w:rsidRPr="00AC4AFD" w:rsidP="00FE13F7">
            <w:pPr>
              <w:bidi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lrTb"/>
            <w:vAlign w:val="center"/>
          </w:tcPr>
          <w:p w:rsidR="00636230" w:rsidRPr="00AC4AFD" w:rsidP="00FE13F7">
            <w:pPr>
              <w:bidi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4AFD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lrTb"/>
            <w:vAlign w:val="center"/>
          </w:tcPr>
          <w:p w:rsidR="00636230" w:rsidRPr="00AC4AFD" w:rsidP="00FE13F7">
            <w:pPr>
              <w:bidi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636230" w:rsidRPr="00AC4AFD" w:rsidP="00636230">
      <w:pPr>
        <w:bidi w:val="0"/>
        <w:rPr>
          <w:rFonts w:ascii="Times New Roman" w:hAnsi="Times New Roman"/>
          <w:color w:val="000000"/>
          <w:sz w:val="24"/>
          <w:szCs w:val="24"/>
        </w:rPr>
      </w:pPr>
      <w:r w:rsidRPr="00AC4AFD">
        <w:rPr>
          <w:rFonts w:ascii="Times New Roman" w:hAnsi="Times New Roman"/>
          <w:color w:val="000000"/>
          <w:sz w:val="24"/>
          <w:szCs w:val="24"/>
        </w:rPr>
        <w:t> </w:t>
      </w:r>
    </w:p>
    <w:p w:rsidR="00636230" w:rsidRPr="00AC4AFD" w:rsidP="00636230">
      <w:pPr>
        <w:bidi w:val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36230" w:rsidRPr="00AC4AFD" w:rsidP="00636230">
      <w:pPr>
        <w:bidi w:val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C4AFD">
        <w:rPr>
          <w:rFonts w:ascii="Times New Roman" w:hAnsi="Times New Roman"/>
          <w:b/>
          <w:bCs/>
          <w:color w:val="000000"/>
          <w:sz w:val="24"/>
          <w:szCs w:val="24"/>
        </w:rPr>
        <w:t>A.3. Poznámky</w:t>
      </w:r>
    </w:p>
    <w:p w:rsidR="00636230" w:rsidRPr="00AC4AFD" w:rsidP="00636230">
      <w:pPr>
        <w:bidi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AC4AFD">
        <w:rPr>
          <w:rFonts w:ascii="Times New Roman" w:hAnsi="Times New Roman"/>
          <w:color w:val="000000"/>
          <w:sz w:val="24"/>
          <w:szCs w:val="24"/>
        </w:rPr>
        <w:t> </w:t>
      </w:r>
    </w:p>
    <w:p w:rsidR="00636230" w:rsidRPr="00AC4AFD" w:rsidP="00636230">
      <w:pPr>
        <w:bidi w:val="0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AC4AFD">
        <w:rPr>
          <w:rFonts w:ascii="Times New Roman" w:hAnsi="Times New Roman"/>
          <w:i/>
          <w:iCs/>
          <w:color w:val="000000"/>
          <w:sz w:val="24"/>
          <w:szCs w:val="24"/>
        </w:rPr>
        <w:t xml:space="preserve">      </w:t>
      </w:r>
    </w:p>
    <w:p w:rsidR="00636230" w:rsidRPr="00AC4AFD" w:rsidP="00636230">
      <w:pPr>
        <w:bidi w:val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C4AFD">
        <w:rPr>
          <w:rFonts w:ascii="Times New Roman" w:hAnsi="Times New Roman"/>
          <w:b/>
          <w:bCs/>
          <w:color w:val="000000"/>
          <w:sz w:val="24"/>
          <w:szCs w:val="24"/>
        </w:rPr>
        <w:t>A.4. Alternatívne riešenia</w:t>
      </w:r>
    </w:p>
    <w:p w:rsidR="00636230" w:rsidRPr="00AC4AFD" w:rsidP="00636230">
      <w:pPr>
        <w:bidi w:val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C4AFD">
        <w:rPr>
          <w:rFonts w:ascii="Times New Roman" w:hAnsi="Times New Roman"/>
          <w:color w:val="000000"/>
          <w:sz w:val="24"/>
          <w:szCs w:val="24"/>
        </w:rPr>
        <w:t> </w:t>
      </w:r>
    </w:p>
    <w:p w:rsidR="00636230" w:rsidRPr="00AC4AFD" w:rsidP="00636230">
      <w:pPr>
        <w:bidi w:val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36230" w:rsidRPr="00AC4AFD" w:rsidP="00636230">
      <w:pPr>
        <w:bidi w:val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C4AFD">
        <w:rPr>
          <w:rFonts w:ascii="Times New Roman" w:hAnsi="Times New Roman"/>
          <w:b/>
          <w:bCs/>
          <w:color w:val="000000"/>
          <w:sz w:val="24"/>
          <w:szCs w:val="24"/>
        </w:rPr>
        <w:t>A.5. Stanovisko gestorov</w:t>
      </w:r>
    </w:p>
    <w:p w:rsidR="00636230" w:rsidP="00636230">
      <w:pPr>
        <w:bidi w:val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 </w:t>
      </w:r>
    </w:p>
    <w:p w:rsidR="00636230" w:rsidP="00636230">
      <w:pPr>
        <w:bidi w:val="0"/>
        <w:ind w:firstLine="550"/>
        <w:jc w:val="both"/>
        <w:rPr>
          <w:rFonts w:ascii="Times New Roman" w:hAnsi="Times New Roman"/>
          <w:sz w:val="24"/>
          <w:szCs w:val="24"/>
        </w:rPr>
      </w:pPr>
      <w:r w:rsidRPr="00BF4292">
        <w:rPr>
          <w:rFonts w:ascii="Times New Roman" w:hAnsi="Times New Roman"/>
          <w:sz w:val="24"/>
          <w:szCs w:val="24"/>
        </w:rPr>
        <w:t>Pripomienku Ministerstva financií</w:t>
      </w:r>
      <w:r>
        <w:rPr>
          <w:rFonts w:ascii="Times New Roman" w:hAnsi="Times New Roman"/>
          <w:sz w:val="24"/>
          <w:szCs w:val="24"/>
        </w:rPr>
        <w:t xml:space="preserve"> SR</w:t>
      </w:r>
      <w:r w:rsidRPr="00BF4292">
        <w:rPr>
          <w:rFonts w:ascii="Times New Roman" w:hAnsi="Times New Roman"/>
          <w:sz w:val="24"/>
          <w:szCs w:val="24"/>
        </w:rPr>
        <w:t xml:space="preserve"> o vplyve predmetnej dohody na informatizáciu spoločnosti nie je možné akceptovať. Na základe metodického postupu Ministerstva financií</w:t>
      </w:r>
      <w:r>
        <w:rPr>
          <w:rFonts w:ascii="Times New Roman" w:hAnsi="Times New Roman"/>
          <w:sz w:val="24"/>
          <w:szCs w:val="24"/>
        </w:rPr>
        <w:t xml:space="preserve"> SR</w:t>
      </w:r>
      <w:r w:rsidRPr="00BF4292">
        <w:rPr>
          <w:rFonts w:ascii="Times New Roman" w:hAnsi="Times New Roman"/>
          <w:sz w:val="24"/>
          <w:szCs w:val="24"/>
        </w:rPr>
        <w:t xml:space="preserve"> Ministerstvo hospodárstva</w:t>
      </w:r>
      <w:r>
        <w:rPr>
          <w:rFonts w:ascii="Times New Roman" w:hAnsi="Times New Roman"/>
          <w:sz w:val="24"/>
          <w:szCs w:val="24"/>
        </w:rPr>
        <w:t xml:space="preserve"> SR</w:t>
      </w:r>
      <w:r w:rsidRPr="00BF4292">
        <w:rPr>
          <w:rFonts w:ascii="Times New Roman" w:hAnsi="Times New Roman"/>
          <w:sz w:val="24"/>
          <w:szCs w:val="24"/>
        </w:rPr>
        <w:t xml:space="preserve"> analyzovalo jednotlivé časti</w:t>
      </w:r>
      <w:r>
        <w:rPr>
          <w:rFonts w:ascii="Times New Roman" w:hAnsi="Times New Roman"/>
          <w:sz w:val="24"/>
          <w:szCs w:val="24"/>
        </w:rPr>
        <w:t xml:space="preserve"> predmetnej dohody. Vychádzajúc z</w:t>
      </w:r>
      <w:r w:rsidRPr="00BF4292">
        <w:rPr>
          <w:rFonts w:ascii="Times New Roman" w:hAnsi="Times New Roman"/>
          <w:sz w:val="24"/>
          <w:szCs w:val="24"/>
        </w:rPr>
        <w:t xml:space="preserve"> tejto analýzy je možné konštatovať, že dohoda nemá vplyv na budovanie základných pilierov informatizácie, riadenie procesu informatizácie, financovanie procesu informatizácie, či legislatívne prostredie procesu informatizácie. </w:t>
      </w:r>
    </w:p>
    <w:p w:rsidR="00636230" w:rsidRPr="00BF4292" w:rsidP="00636230">
      <w:pPr>
        <w:bidi w:val="0"/>
        <w:ind w:firstLine="5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Uplatňovaním dohody nebude potrebné pre štátny/verejný sektor, ani podnikateľskú verejnosť vo všeobecnosti zabezpečovať žiadne dodatočné vybavenie (hardvér, softvér) vo vzťahu k informatizácií. Preto aj orgány EÚ a ani ostatné členské štáty EÚ nepotrebujú žiadne navýšenie finančných zdrojov do tejto oblasti.</w:t>
      </w:r>
    </w:p>
    <w:p w:rsidR="00510434" w:rsidP="00636230">
      <w:pPr>
        <w:bidi w:val="0"/>
        <w:rPr>
          <w:rFonts w:ascii="Times New Roman" w:hAnsi="Times New Roman"/>
        </w:rPr>
      </w:pPr>
    </w:p>
    <w:sectPr w:rsidSect="00E670CA">
      <w:pgSz w:w="11906" w:h="16838"/>
      <w:pgMar w:top="1417" w:right="1417" w:bottom="1417" w:left="1417" w:header="709" w:footer="709" w:gutter="0"/>
      <w:lnNumType w:distance="0"/>
      <w:cols w:space="708"/>
      <w:noEndnote w:val="0"/>
      <w:titlePg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EE"/>
    <w:family w:val="roman"/>
    <w:pitch w:val="variable"/>
    <w:sig w:usb0="00000000" w:usb1="00000000" w:usb2="00000000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doNotUseIndentAsNumberingTabStop/>
    <w:allowSpaceOfSameStyleInTable/>
    <w:splitPgBreakAndParaMark/>
    <w:useAnsiKerningPairs/>
  </w:compat>
  <w:rsids>
    <w:rsidRoot w:val="00636230"/>
    <w:rsid w:val="00044B50"/>
    <w:rsid w:val="000648FF"/>
    <w:rsid w:val="00097D7A"/>
    <w:rsid w:val="002E46FE"/>
    <w:rsid w:val="003B3798"/>
    <w:rsid w:val="003D783F"/>
    <w:rsid w:val="00510434"/>
    <w:rsid w:val="00636230"/>
    <w:rsid w:val="006B2A44"/>
    <w:rsid w:val="006C40CF"/>
    <w:rsid w:val="00AC4AFD"/>
    <w:rsid w:val="00BC2B48"/>
    <w:rsid w:val="00BF4292"/>
    <w:rsid w:val="00C143D8"/>
    <w:rsid w:val="00E670CA"/>
    <w:rsid w:val="00FE13F7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15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rsid w:val="00636230"/>
    <w:pPr>
      <w:framePr w:wrap="auto"/>
      <w:widowControl/>
      <w:autoSpaceDE/>
      <w:autoSpaceDN/>
      <w:adjustRightInd/>
      <w:ind w:left="0" w:right="0"/>
      <w:jc w:val="left"/>
      <w:textAlignment w:val="auto"/>
    </w:pPr>
    <w:rPr>
      <w:rFonts w:cs="Times New Roman"/>
      <w:sz w:val="20"/>
      <w:szCs w:val="20"/>
      <w:rtl w:val="0"/>
      <w:cs w:val="0"/>
      <w:lang w:val="sk-SK" w:eastAsia="sk-SK" w:bidi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fidentialit">
    <w:name w:val="Confidentialité"/>
    <w:basedOn w:val="Normal"/>
    <w:next w:val="Normal"/>
    <w:uiPriority w:val="99"/>
    <w:rsid w:val="00636230"/>
    <w:pPr>
      <w:spacing w:before="240" w:after="240"/>
      <w:ind w:left="5103"/>
      <w:jc w:val="both"/>
    </w:pPr>
    <w:rPr>
      <w:sz w:val="24"/>
      <w:szCs w:val="24"/>
      <w:u w:val="single"/>
      <w:lang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Pages>1</Pages>
  <Words>228</Words>
  <Characters>1301</Characters>
  <Application>Microsoft Office Word</Application>
  <DocSecurity>0</DocSecurity>
  <Lines>0</Lines>
  <Paragraphs>0</Paragraphs>
  <ScaleCrop>false</ScaleCrop>
  <Company>MH SR</Company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DOLOŽKA</dc:title>
  <dc:creator>durovcik</dc:creator>
  <cp:lastModifiedBy>durovcik</cp:lastModifiedBy>
  <cp:revision>2</cp:revision>
  <dcterms:created xsi:type="dcterms:W3CDTF">2012-10-12T12:00:00Z</dcterms:created>
  <dcterms:modified xsi:type="dcterms:W3CDTF">2012-10-12T12:00:00Z</dcterms:modified>
</cp:coreProperties>
</file>