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B99" w:rsidRDefault="00B326AA">
      <w:pPr>
        <w:jc w:val="center"/>
        <w:rPr>
          <w:b/>
          <w:caps/>
          <w:spacing w:val="30"/>
          <w:sz w:val="22"/>
          <w:szCs w:val="22"/>
        </w:rPr>
      </w:pPr>
      <w:r w:rsidRPr="00C21B96">
        <w:rPr>
          <w:b/>
          <w:caps/>
          <w:spacing w:val="30"/>
          <w:sz w:val="22"/>
          <w:szCs w:val="22"/>
        </w:rPr>
        <w:t>Doložka zlučiteľnosti</w:t>
      </w:r>
    </w:p>
    <w:p w:rsidR="001F0AA3" w:rsidRDefault="00C12975" w:rsidP="00DC377E">
      <w:pPr>
        <w:jc w:val="center"/>
        <w:rPr>
          <w:b/>
        </w:rPr>
      </w:pPr>
      <w:r w:rsidRPr="00266669">
        <w:rPr>
          <w:b/>
        </w:rPr>
        <w:t xml:space="preserve">návrhu </w:t>
      </w:r>
      <w:r w:rsidR="00D22061">
        <w:rPr>
          <w:b/>
        </w:rPr>
        <w:t>zákona</w:t>
      </w:r>
      <w:r w:rsidR="00DC377E" w:rsidRPr="00266669">
        <w:rPr>
          <w:b/>
        </w:rPr>
        <w:t xml:space="preserve"> s právom Európskej únie</w:t>
      </w:r>
    </w:p>
    <w:p w:rsidR="00266669" w:rsidRDefault="00266669" w:rsidP="00DC377E">
      <w:pPr>
        <w:jc w:val="center"/>
        <w:rPr>
          <w:b/>
        </w:rPr>
      </w:pPr>
    </w:p>
    <w:p w:rsidR="00EF7E02" w:rsidRPr="00266669" w:rsidRDefault="0072772E" w:rsidP="00587BE5">
      <w:pPr>
        <w:widowControl/>
        <w:numPr>
          <w:ilvl w:val="0"/>
          <w:numId w:val="8"/>
        </w:numPr>
        <w:autoSpaceDE/>
        <w:autoSpaceDN/>
        <w:adjustRightInd/>
        <w:jc w:val="both"/>
      </w:pPr>
      <w:r w:rsidRPr="00266669">
        <w:rPr>
          <w:b/>
          <w:bCs/>
        </w:rPr>
        <w:t>Navrhova</w:t>
      </w:r>
      <w:r w:rsidR="00EF7E02" w:rsidRPr="00266669">
        <w:rPr>
          <w:b/>
          <w:bCs/>
        </w:rPr>
        <w:t xml:space="preserve">teľ </w:t>
      </w:r>
      <w:r w:rsidR="00A029EA" w:rsidRPr="00266669">
        <w:rPr>
          <w:b/>
          <w:bCs/>
        </w:rPr>
        <w:t>zákona</w:t>
      </w:r>
      <w:r w:rsidR="00EF7E02" w:rsidRPr="00266669">
        <w:rPr>
          <w:b/>
          <w:bCs/>
        </w:rPr>
        <w:t>:</w:t>
      </w:r>
      <w:r w:rsidR="00EF7E02" w:rsidRPr="00266669">
        <w:t xml:space="preserve"> </w:t>
      </w:r>
      <w:r w:rsidR="00F176F1">
        <w:t>Vláda Slovenskej republiky</w:t>
      </w:r>
    </w:p>
    <w:p w:rsidR="00EF7E02" w:rsidRPr="00E51778" w:rsidRDefault="00EF7E02" w:rsidP="00E51778">
      <w:pPr>
        <w:widowControl/>
        <w:autoSpaceDE/>
        <w:autoSpaceDN/>
        <w:adjustRightInd/>
        <w:ind w:left="425"/>
        <w:jc w:val="both"/>
      </w:pPr>
    </w:p>
    <w:p w:rsidR="008D4753" w:rsidRPr="00266669" w:rsidRDefault="00EF7E02" w:rsidP="007E4FA4">
      <w:pPr>
        <w:widowControl/>
        <w:numPr>
          <w:ilvl w:val="0"/>
          <w:numId w:val="8"/>
        </w:numPr>
        <w:autoSpaceDE/>
        <w:autoSpaceDN/>
        <w:adjustRightInd/>
        <w:jc w:val="both"/>
        <w:rPr>
          <w:b/>
        </w:rPr>
      </w:pPr>
      <w:r w:rsidRPr="00266669">
        <w:rPr>
          <w:b/>
          <w:bCs/>
        </w:rPr>
        <w:t xml:space="preserve">Názov návrhu </w:t>
      </w:r>
      <w:r w:rsidR="00A029EA" w:rsidRPr="00266669">
        <w:rPr>
          <w:b/>
          <w:bCs/>
        </w:rPr>
        <w:t>zákona</w:t>
      </w:r>
      <w:r w:rsidRPr="00266669">
        <w:rPr>
          <w:b/>
          <w:bCs/>
        </w:rPr>
        <w:t xml:space="preserve">: </w:t>
      </w:r>
      <w:r w:rsidR="00F176F1" w:rsidRPr="00F176F1">
        <w:rPr>
          <w:bCs/>
        </w:rPr>
        <w:t xml:space="preserve">Vládny </w:t>
      </w:r>
      <w:r w:rsidR="00F176F1" w:rsidRPr="00F176F1">
        <w:t>n</w:t>
      </w:r>
      <w:r w:rsidR="00B76333" w:rsidRPr="00B76333">
        <w:t>ávrh zákona</w:t>
      </w:r>
      <w:r w:rsidR="003929E9">
        <w:t xml:space="preserve"> o príspevku na pomoc pri odkázanosti na pomoc inej fyzickej osoby</w:t>
      </w:r>
      <w:r w:rsidR="007E4FA4" w:rsidRPr="007E4FA4">
        <w:t xml:space="preserve"> a o zmene a doplnení niektorých zákonov</w:t>
      </w:r>
    </w:p>
    <w:p w:rsidR="00EF7E02" w:rsidRPr="00266669" w:rsidRDefault="00EF7E02" w:rsidP="008D4753">
      <w:pPr>
        <w:widowControl/>
        <w:autoSpaceDE/>
        <w:autoSpaceDN/>
        <w:adjustRightInd/>
        <w:ind w:left="425"/>
        <w:jc w:val="both"/>
      </w:pPr>
    </w:p>
    <w:p w:rsidR="00EF7E02" w:rsidRPr="00266669" w:rsidRDefault="004306CC" w:rsidP="00E51778">
      <w:pPr>
        <w:widowControl/>
        <w:numPr>
          <w:ilvl w:val="0"/>
          <w:numId w:val="8"/>
        </w:numPr>
        <w:autoSpaceDE/>
        <w:autoSpaceDN/>
        <w:adjustRightInd/>
        <w:jc w:val="both"/>
        <w:rPr>
          <w:b/>
          <w:bCs/>
        </w:rPr>
      </w:pPr>
      <w:r w:rsidRPr="00266669">
        <w:rPr>
          <w:b/>
          <w:bCs/>
        </w:rPr>
        <w:t>Pr</w:t>
      </w:r>
      <w:r w:rsidR="00B0680D" w:rsidRPr="00266669">
        <w:rPr>
          <w:b/>
          <w:bCs/>
        </w:rPr>
        <w:t xml:space="preserve">edmet návrhu </w:t>
      </w:r>
      <w:r w:rsidR="00A029EA" w:rsidRPr="00266669">
        <w:rPr>
          <w:b/>
          <w:bCs/>
        </w:rPr>
        <w:t xml:space="preserve">zákona </w:t>
      </w:r>
      <w:r w:rsidR="00B0680D" w:rsidRPr="00266669">
        <w:rPr>
          <w:b/>
          <w:bCs/>
        </w:rPr>
        <w:t>je upravený v</w:t>
      </w:r>
      <w:r w:rsidR="00266669">
        <w:rPr>
          <w:b/>
          <w:bCs/>
        </w:rPr>
        <w:t> </w:t>
      </w:r>
      <w:r w:rsidR="00B0680D" w:rsidRPr="00266669">
        <w:rPr>
          <w:b/>
          <w:bCs/>
        </w:rPr>
        <w:t>práve Európskej únie</w:t>
      </w:r>
      <w:r w:rsidRPr="00266669">
        <w:rPr>
          <w:b/>
          <w:bCs/>
        </w:rPr>
        <w:t>:</w:t>
      </w:r>
    </w:p>
    <w:p w:rsidR="00EB2A4A" w:rsidRPr="00266669" w:rsidRDefault="00B0680D" w:rsidP="00EB2A4A">
      <w:pPr>
        <w:pStyle w:val="Zkladntext"/>
        <w:numPr>
          <w:ilvl w:val="1"/>
          <w:numId w:val="8"/>
        </w:numPr>
        <w:spacing w:after="0"/>
      </w:pPr>
      <w:r w:rsidRPr="00266669">
        <w:t>v</w:t>
      </w:r>
      <w:r w:rsidR="00266669">
        <w:t> </w:t>
      </w:r>
      <w:r w:rsidRPr="00266669">
        <w:t>primárnom práve</w:t>
      </w:r>
    </w:p>
    <w:p w:rsidR="00EF7E02" w:rsidRDefault="003B270C" w:rsidP="00EB2A4A">
      <w:pPr>
        <w:pStyle w:val="Zkladntext"/>
        <w:spacing w:after="0"/>
        <w:ind w:left="850"/>
        <w:rPr>
          <w:i/>
        </w:rPr>
      </w:pPr>
      <w:r w:rsidRPr="00266669">
        <w:rPr>
          <w:i/>
        </w:rPr>
        <w:t xml:space="preserve">čl. </w:t>
      </w:r>
      <w:r w:rsidR="00D34009" w:rsidRPr="00266669">
        <w:rPr>
          <w:i/>
        </w:rPr>
        <w:t>16</w:t>
      </w:r>
      <w:r w:rsidRPr="00266669">
        <w:rPr>
          <w:i/>
        </w:rPr>
        <w:t xml:space="preserve"> Zmluvy o</w:t>
      </w:r>
      <w:r w:rsidR="00266669">
        <w:rPr>
          <w:i/>
        </w:rPr>
        <w:t> </w:t>
      </w:r>
      <w:r w:rsidRPr="00266669">
        <w:rPr>
          <w:i/>
        </w:rPr>
        <w:t>fungovaní Európskej únie (</w:t>
      </w:r>
      <w:r w:rsidR="00145FC3" w:rsidRPr="00145FC3">
        <w:rPr>
          <w:i/>
        </w:rPr>
        <w:t>Ú. v. EÚ C 202, 7.6.2016</w:t>
      </w:r>
      <w:r w:rsidRPr="00266669">
        <w:rPr>
          <w:i/>
        </w:rPr>
        <w:t>)</w:t>
      </w:r>
      <w:r w:rsidR="00BA351C" w:rsidRPr="00266669">
        <w:rPr>
          <w:i/>
        </w:rPr>
        <w:t>,</w:t>
      </w:r>
    </w:p>
    <w:p w:rsidR="003929E9" w:rsidRPr="00266669" w:rsidRDefault="003929E9" w:rsidP="00EB2A4A">
      <w:pPr>
        <w:pStyle w:val="Zkladntext"/>
        <w:spacing w:after="0"/>
        <w:ind w:left="850"/>
        <w:rPr>
          <w:i/>
        </w:rPr>
      </w:pPr>
      <w:r w:rsidRPr="003929E9">
        <w:rPr>
          <w:i/>
        </w:rPr>
        <w:t>čl. 151 a 153 Zmluvy o fungovaní Európskej únie (Ú. v. EÚ C 202, 7.6.2016)</w:t>
      </w:r>
      <w:r>
        <w:rPr>
          <w:i/>
        </w:rPr>
        <w:t>,</w:t>
      </w:r>
    </w:p>
    <w:p w:rsidR="00D34009" w:rsidRDefault="00D34009" w:rsidP="00EB2A4A">
      <w:pPr>
        <w:pStyle w:val="Zkladntext"/>
        <w:spacing w:after="0"/>
        <w:ind w:left="850"/>
        <w:rPr>
          <w:i/>
        </w:rPr>
      </w:pPr>
      <w:r w:rsidRPr="00266669">
        <w:rPr>
          <w:i/>
        </w:rPr>
        <w:t>čl. 8 Charty základných práv Európskej únie</w:t>
      </w:r>
      <w:r w:rsidR="00145FC3">
        <w:rPr>
          <w:i/>
        </w:rPr>
        <w:t xml:space="preserve"> (Ú. v. EÚ C 202, 7.6.2016)</w:t>
      </w:r>
      <w:r w:rsidRPr="00266669">
        <w:rPr>
          <w:i/>
        </w:rPr>
        <w:t>,</w:t>
      </w:r>
    </w:p>
    <w:p w:rsidR="003929E9" w:rsidRPr="00266669" w:rsidRDefault="003929E9" w:rsidP="00EB2A4A">
      <w:pPr>
        <w:pStyle w:val="Zkladntext"/>
        <w:spacing w:after="0"/>
        <w:ind w:left="850"/>
        <w:rPr>
          <w:i/>
        </w:rPr>
      </w:pPr>
      <w:r w:rsidRPr="003929E9">
        <w:rPr>
          <w:i/>
        </w:rPr>
        <w:t>čl. 26 a 34 Charty základných práv Európskej únie (Ú. v. EÚ C 202, 7.6.2016)</w:t>
      </w:r>
      <w:r>
        <w:rPr>
          <w:i/>
        </w:rPr>
        <w:t>,</w:t>
      </w:r>
    </w:p>
    <w:p w:rsidR="00107713" w:rsidRPr="00266669" w:rsidRDefault="00107713" w:rsidP="00E51778">
      <w:pPr>
        <w:widowControl/>
        <w:autoSpaceDE/>
        <w:autoSpaceDN/>
        <w:adjustRightInd/>
        <w:ind w:left="425"/>
        <w:jc w:val="both"/>
      </w:pPr>
    </w:p>
    <w:p w:rsidR="00EB2A4A" w:rsidRPr="00266669" w:rsidRDefault="00B0680D" w:rsidP="00EB2A4A">
      <w:pPr>
        <w:pStyle w:val="Zkladntext"/>
        <w:numPr>
          <w:ilvl w:val="1"/>
          <w:numId w:val="8"/>
        </w:numPr>
        <w:spacing w:after="0"/>
      </w:pPr>
      <w:r w:rsidRPr="00266669">
        <w:t>v</w:t>
      </w:r>
      <w:r w:rsidR="00266669">
        <w:t> </w:t>
      </w:r>
      <w:r w:rsidRPr="00266669">
        <w:t>sekundárnom práve</w:t>
      </w:r>
    </w:p>
    <w:p w:rsidR="006C3F1D" w:rsidRPr="00266669" w:rsidRDefault="006C3F1D" w:rsidP="003B270C">
      <w:pPr>
        <w:pStyle w:val="Zkladntext"/>
        <w:spacing w:after="0"/>
        <w:ind w:left="850"/>
        <w:jc w:val="both"/>
        <w:rPr>
          <w:i/>
        </w:rPr>
      </w:pPr>
      <w:r w:rsidRPr="006C3F1D">
        <w:rPr>
          <w:i/>
        </w:rPr>
        <w:t>Nariadenie Európskeho parlamentu a rady (EÚ) 2016/679 z 27. apríla 2016 o ochrane fyzických osôb pri spracúvaní osobných údajov a o voľnom pohybe takýchto údajov, ktorým sa zrušuje smernica 95/46/ES (všeobecné nariadenie o ochrane údajov) (Ú. v. EÚ L 119, 4.5.2016)</w:t>
      </w:r>
      <w:r w:rsidR="00BF4BFC">
        <w:rPr>
          <w:i/>
        </w:rPr>
        <w:t xml:space="preserve"> v platnom znení</w:t>
      </w:r>
      <w:r>
        <w:rPr>
          <w:i/>
        </w:rPr>
        <w:t>,</w:t>
      </w:r>
    </w:p>
    <w:p w:rsidR="00B409E1" w:rsidRDefault="00B409E1" w:rsidP="00B409E1">
      <w:pPr>
        <w:widowControl/>
        <w:autoSpaceDE/>
        <w:autoSpaceDN/>
        <w:adjustRightInd/>
        <w:jc w:val="both"/>
      </w:pPr>
    </w:p>
    <w:p w:rsidR="004306CC" w:rsidRDefault="00B0680D" w:rsidP="00B409E1">
      <w:pPr>
        <w:pStyle w:val="Zkladntext"/>
        <w:numPr>
          <w:ilvl w:val="1"/>
          <w:numId w:val="8"/>
        </w:numPr>
        <w:spacing w:after="0"/>
      </w:pPr>
      <w:r w:rsidRPr="00266669">
        <w:t>judikatúre Súdneho dvora Európskej únie</w:t>
      </w:r>
      <w:r w:rsidR="00AE0C55">
        <w:t xml:space="preserve"> -</w:t>
      </w:r>
      <w:r w:rsidRPr="00266669">
        <w:t xml:space="preserve"> </w:t>
      </w:r>
      <w:r w:rsidR="00AE0C55" w:rsidRPr="00AE0C55">
        <w:t>je upravená: Rozsudok  SD EÚ vo veci C-433/13 Európska komisia v. Slovenská republika zo dňa 16.09.2015.</w:t>
      </w:r>
    </w:p>
    <w:p w:rsidR="00B409E1" w:rsidRPr="00266669" w:rsidRDefault="00B409E1" w:rsidP="00E51778">
      <w:pPr>
        <w:widowControl/>
        <w:autoSpaceDE/>
        <w:autoSpaceDN/>
        <w:adjustRightInd/>
        <w:ind w:left="425"/>
        <w:jc w:val="both"/>
      </w:pPr>
    </w:p>
    <w:p w:rsidR="00EF7E02" w:rsidRPr="00266669" w:rsidRDefault="00EF7E02" w:rsidP="00E51778">
      <w:pPr>
        <w:widowControl/>
        <w:numPr>
          <w:ilvl w:val="0"/>
          <w:numId w:val="8"/>
        </w:numPr>
        <w:autoSpaceDE/>
        <w:autoSpaceDN/>
        <w:adjustRightInd/>
        <w:jc w:val="both"/>
        <w:rPr>
          <w:b/>
          <w:bCs/>
        </w:rPr>
      </w:pPr>
      <w:r w:rsidRPr="00266669">
        <w:rPr>
          <w:b/>
          <w:bCs/>
        </w:rPr>
        <w:t>Záväzky Slovenskej republiky vo vzťahu k</w:t>
      </w:r>
      <w:r w:rsidR="00266669">
        <w:rPr>
          <w:b/>
          <w:bCs/>
        </w:rPr>
        <w:t> </w:t>
      </w:r>
      <w:r w:rsidRPr="00266669">
        <w:rPr>
          <w:b/>
          <w:bCs/>
        </w:rPr>
        <w:t>Európskej únii:</w:t>
      </w:r>
    </w:p>
    <w:p w:rsidR="00EF7E02" w:rsidRPr="00E51778" w:rsidRDefault="00EF7E02" w:rsidP="00E51778">
      <w:pPr>
        <w:widowControl/>
        <w:autoSpaceDE/>
        <w:autoSpaceDN/>
        <w:adjustRightInd/>
        <w:ind w:left="425"/>
        <w:jc w:val="both"/>
      </w:pPr>
    </w:p>
    <w:p w:rsidR="00EF7E02" w:rsidRDefault="00D1328E" w:rsidP="006C3F1D">
      <w:pPr>
        <w:pStyle w:val="Zkladntext"/>
        <w:numPr>
          <w:ilvl w:val="0"/>
          <w:numId w:val="16"/>
        </w:numPr>
        <w:tabs>
          <w:tab w:val="left" w:pos="360"/>
        </w:tabs>
        <w:spacing w:after="0"/>
        <w:ind w:left="851" w:hanging="425"/>
        <w:jc w:val="both"/>
      </w:pPr>
      <w:r w:rsidRPr="00266669">
        <w:rPr>
          <w:bCs/>
        </w:rPr>
        <w:t>l</w:t>
      </w:r>
      <w:r w:rsidR="001357E2" w:rsidRPr="00266669">
        <w:rPr>
          <w:bCs/>
        </w:rPr>
        <w:t>ehota na prebranie príslušného právneho aktu Európskej únie, príp. aj osobitná lehota účinnosti jeho ustanovení</w:t>
      </w:r>
      <w:r w:rsidR="00EF7E02" w:rsidRPr="00266669">
        <w:t xml:space="preserve"> </w:t>
      </w:r>
    </w:p>
    <w:p w:rsidR="006C3F1D" w:rsidRDefault="006C3F1D" w:rsidP="006C3F1D">
      <w:pPr>
        <w:pStyle w:val="Zkladntext"/>
        <w:tabs>
          <w:tab w:val="left" w:pos="360"/>
        </w:tabs>
        <w:spacing w:after="0"/>
        <w:ind w:left="851" w:hanging="425"/>
        <w:jc w:val="both"/>
        <w:rPr>
          <w:i/>
        </w:rPr>
      </w:pPr>
      <w:r>
        <w:rPr>
          <w:i/>
        </w:rPr>
        <w:tab/>
      </w:r>
      <w:r w:rsidR="003929E9" w:rsidRPr="003929E9">
        <w:rPr>
          <w:i/>
        </w:rPr>
        <w:t xml:space="preserve">- predkladaným </w:t>
      </w:r>
      <w:r w:rsidR="00F176F1">
        <w:rPr>
          <w:i/>
        </w:rPr>
        <w:t xml:space="preserve">vládnym </w:t>
      </w:r>
      <w:r w:rsidR="003929E9" w:rsidRPr="003929E9">
        <w:rPr>
          <w:i/>
        </w:rPr>
        <w:t>návrhom zákona nedochádza k transpozíci</w:t>
      </w:r>
      <w:r w:rsidR="00F451A4">
        <w:rPr>
          <w:i/>
        </w:rPr>
        <w:t>i</w:t>
      </w:r>
      <w:r w:rsidR="003929E9" w:rsidRPr="003929E9">
        <w:rPr>
          <w:i/>
        </w:rPr>
        <w:t xml:space="preserve"> ani implementáci</w:t>
      </w:r>
      <w:r w:rsidR="00F451A4">
        <w:rPr>
          <w:i/>
        </w:rPr>
        <w:t>i</w:t>
      </w:r>
      <w:bookmarkStart w:id="0" w:name="_GoBack"/>
      <w:bookmarkEnd w:id="0"/>
      <w:r w:rsidR="003929E9" w:rsidRPr="003929E9">
        <w:rPr>
          <w:i/>
        </w:rPr>
        <w:t xml:space="preserve"> európskeho práva</w:t>
      </w:r>
      <w:r w:rsidR="001904FF">
        <w:rPr>
          <w:i/>
        </w:rPr>
        <w:t>,</w:t>
      </w:r>
    </w:p>
    <w:p w:rsidR="006C3F1D" w:rsidRDefault="006C3F1D" w:rsidP="006C3F1D">
      <w:pPr>
        <w:pStyle w:val="Zkladntext"/>
        <w:tabs>
          <w:tab w:val="left" w:pos="360"/>
        </w:tabs>
        <w:spacing w:after="0"/>
        <w:ind w:left="851" w:hanging="425"/>
        <w:jc w:val="both"/>
      </w:pPr>
    </w:p>
    <w:p w:rsidR="006C3F1D" w:rsidRDefault="006C3F1D" w:rsidP="006C3F1D">
      <w:pPr>
        <w:pStyle w:val="Zkladntext"/>
        <w:numPr>
          <w:ilvl w:val="0"/>
          <w:numId w:val="16"/>
        </w:numPr>
        <w:tabs>
          <w:tab w:val="left" w:pos="360"/>
        </w:tabs>
        <w:spacing w:after="0"/>
        <w:ind w:left="851" w:hanging="425"/>
        <w:jc w:val="both"/>
      </w:pPr>
      <w:r w:rsidRPr="00266669">
        <w:t>informácia o</w:t>
      </w:r>
      <w:r>
        <w:t> </w:t>
      </w:r>
      <w:r w:rsidRPr="00266669">
        <w:t>začatí konania v</w:t>
      </w:r>
      <w:r>
        <w:t> </w:t>
      </w:r>
      <w:r w:rsidRPr="00266669">
        <w:t>rámci „EÚ Pilot“ alebo o</w:t>
      </w:r>
      <w:r>
        <w:t> </w:t>
      </w:r>
      <w:r w:rsidRPr="00266669">
        <w:t>začatí postupu Európskej komisie, alebo o</w:t>
      </w:r>
      <w:r>
        <w:t> </w:t>
      </w:r>
      <w:r w:rsidRPr="00266669">
        <w:t>konaní Súdneho dvora Európskej únie proti Slovenskej republike podľa čl. 258 a</w:t>
      </w:r>
      <w:r>
        <w:t> </w:t>
      </w:r>
      <w:r w:rsidRPr="00266669">
        <w:t>260 Zmluvy o</w:t>
      </w:r>
      <w:r>
        <w:t> </w:t>
      </w:r>
      <w:r w:rsidRPr="00266669">
        <w:t>fungovaní Európskej únie v</w:t>
      </w:r>
      <w:r>
        <w:t> </w:t>
      </w:r>
      <w:r w:rsidRPr="00266669">
        <w:t>jej platnom znení, spolu s</w:t>
      </w:r>
      <w:r>
        <w:t> </w:t>
      </w:r>
      <w:r w:rsidRPr="00266669">
        <w:t>uvedením konkrétnych vytýkaných nedostatkov a</w:t>
      </w:r>
      <w:r>
        <w:t> </w:t>
      </w:r>
      <w:r w:rsidRPr="00266669">
        <w:t>požiadaviek na zabezpečenie nápravy so zreteľom na nariadenie Európskeho parlamentu a</w:t>
      </w:r>
      <w:r>
        <w:t> </w:t>
      </w:r>
      <w:r w:rsidRPr="00266669">
        <w:t>Rady (ES) č. 1049/2001 z</w:t>
      </w:r>
      <w:r>
        <w:t> </w:t>
      </w:r>
      <w:r w:rsidR="00E34412">
        <w:t>30. m</w:t>
      </w:r>
      <w:r w:rsidRPr="00266669">
        <w:t>ája 2001 o</w:t>
      </w:r>
      <w:r>
        <w:t> </w:t>
      </w:r>
      <w:r w:rsidRPr="00266669">
        <w:t>prístupe verejnosti k</w:t>
      </w:r>
      <w:r>
        <w:t> </w:t>
      </w:r>
      <w:r w:rsidRPr="00266669">
        <w:t>dokumentom Európskeho parlamentu, Rady a</w:t>
      </w:r>
      <w:r w:rsidR="003929E9">
        <w:t> </w:t>
      </w:r>
      <w:r w:rsidRPr="00266669">
        <w:t>Komisie</w:t>
      </w:r>
    </w:p>
    <w:p w:rsidR="006C3F1D" w:rsidRPr="00266669" w:rsidRDefault="003929E9" w:rsidP="003929E9">
      <w:pPr>
        <w:pStyle w:val="Zkladntext"/>
        <w:numPr>
          <w:ilvl w:val="0"/>
          <w:numId w:val="17"/>
        </w:numPr>
        <w:tabs>
          <w:tab w:val="left" w:pos="360"/>
        </w:tabs>
        <w:spacing w:after="0"/>
        <w:jc w:val="both"/>
        <w:rPr>
          <w:i/>
        </w:rPr>
      </w:pPr>
      <w:r w:rsidRPr="003929E9">
        <w:rPr>
          <w:i/>
        </w:rPr>
        <w:t>voči Slovenskej republike neprebieha žiadne z uvádzaných konaní zo strany Európskej komisie resp. Súdneho dvora Európskej únie</w:t>
      </w:r>
      <w:r w:rsidR="006C3F1D" w:rsidRPr="00266669">
        <w:rPr>
          <w:i/>
        </w:rPr>
        <w:t>,</w:t>
      </w:r>
    </w:p>
    <w:p w:rsidR="006C3F1D" w:rsidRDefault="006C3F1D" w:rsidP="006C3F1D">
      <w:pPr>
        <w:pStyle w:val="Zkladntext"/>
        <w:tabs>
          <w:tab w:val="left" w:pos="360"/>
        </w:tabs>
        <w:spacing w:after="0"/>
        <w:ind w:left="851" w:hanging="425"/>
        <w:jc w:val="both"/>
      </w:pPr>
    </w:p>
    <w:p w:rsidR="006C3F1D" w:rsidRPr="00266669" w:rsidRDefault="006C3F1D" w:rsidP="006C3F1D">
      <w:pPr>
        <w:pStyle w:val="Zkladntext"/>
        <w:numPr>
          <w:ilvl w:val="0"/>
          <w:numId w:val="16"/>
        </w:numPr>
        <w:tabs>
          <w:tab w:val="left" w:pos="360"/>
        </w:tabs>
        <w:spacing w:after="0"/>
        <w:ind w:left="851" w:hanging="425"/>
        <w:jc w:val="both"/>
      </w:pPr>
      <w:r w:rsidRPr="006C3F1D">
        <w:rPr>
          <w:bCs/>
        </w:rPr>
        <w:t>informácia o právnych predpisoch, v ktorých sú uvádzané právne akty Európskej únie už prebrané, spolu s uvedením rozsahu ich prebrania, príp. potreby prijatia ďalších úprav</w:t>
      </w:r>
    </w:p>
    <w:p w:rsidR="00D0004A" w:rsidRPr="006C3F1D" w:rsidRDefault="003929E9" w:rsidP="003929E9">
      <w:pPr>
        <w:pStyle w:val="Zkladntext"/>
        <w:numPr>
          <w:ilvl w:val="0"/>
          <w:numId w:val="17"/>
        </w:numPr>
        <w:tabs>
          <w:tab w:val="left" w:pos="360"/>
        </w:tabs>
        <w:spacing w:after="0"/>
        <w:jc w:val="both"/>
      </w:pPr>
      <w:r w:rsidRPr="003929E9">
        <w:rPr>
          <w:i/>
        </w:rPr>
        <w:t xml:space="preserve">predkladaným </w:t>
      </w:r>
      <w:r w:rsidR="00F176F1">
        <w:rPr>
          <w:i/>
        </w:rPr>
        <w:t xml:space="preserve">vládnym </w:t>
      </w:r>
      <w:r w:rsidRPr="003929E9">
        <w:rPr>
          <w:i/>
        </w:rPr>
        <w:t>návrhom zákona nedochádza k transpozícií ani implementácií európskeho práva.</w:t>
      </w:r>
    </w:p>
    <w:p w:rsidR="00EF7E02" w:rsidRPr="00E51778" w:rsidRDefault="00EF7E02" w:rsidP="00E51778">
      <w:pPr>
        <w:pStyle w:val="Zkladntext"/>
        <w:tabs>
          <w:tab w:val="left" w:pos="360"/>
        </w:tabs>
        <w:spacing w:after="0"/>
        <w:ind w:left="851" w:hanging="425"/>
        <w:jc w:val="both"/>
      </w:pPr>
    </w:p>
    <w:p w:rsidR="0084357F" w:rsidRPr="00266669" w:rsidRDefault="00426895" w:rsidP="00E51778">
      <w:pPr>
        <w:widowControl/>
        <w:numPr>
          <w:ilvl w:val="0"/>
          <w:numId w:val="8"/>
        </w:numPr>
        <w:autoSpaceDE/>
        <w:autoSpaceDN/>
        <w:adjustRightInd/>
        <w:jc w:val="both"/>
        <w:rPr>
          <w:bCs/>
        </w:rPr>
      </w:pPr>
      <w:r w:rsidRPr="00266669">
        <w:rPr>
          <w:b/>
          <w:bCs/>
        </w:rPr>
        <w:t xml:space="preserve">Návrh </w:t>
      </w:r>
      <w:r w:rsidR="00A029EA" w:rsidRPr="00266669">
        <w:rPr>
          <w:b/>
          <w:bCs/>
        </w:rPr>
        <w:t xml:space="preserve">zákona </w:t>
      </w:r>
      <w:r w:rsidRPr="00266669">
        <w:rPr>
          <w:b/>
          <w:bCs/>
        </w:rPr>
        <w:t xml:space="preserve">je zlučiteľný </w:t>
      </w:r>
      <w:r w:rsidR="00E51778">
        <w:rPr>
          <w:b/>
          <w:bCs/>
        </w:rPr>
        <w:t>s právom Európskej únie:</w:t>
      </w:r>
    </w:p>
    <w:p w:rsidR="00EF7E02" w:rsidRPr="00E51778" w:rsidRDefault="00EF7E02" w:rsidP="00E51778">
      <w:pPr>
        <w:pStyle w:val="Zkladntext"/>
        <w:tabs>
          <w:tab w:val="left" w:pos="360"/>
        </w:tabs>
        <w:spacing w:after="0"/>
        <w:ind w:left="851" w:hanging="425"/>
        <w:jc w:val="both"/>
        <w:rPr>
          <w:i/>
        </w:rPr>
      </w:pPr>
      <w:r w:rsidRPr="00E51778">
        <w:rPr>
          <w:i/>
        </w:rPr>
        <w:t>úpln</w:t>
      </w:r>
      <w:r w:rsidR="00426895" w:rsidRPr="00E51778">
        <w:rPr>
          <w:i/>
        </w:rPr>
        <w:t>e</w:t>
      </w:r>
      <w:r w:rsidR="00D1328E" w:rsidRPr="00E51778">
        <w:rPr>
          <w:i/>
        </w:rPr>
        <w:t>.</w:t>
      </w:r>
    </w:p>
    <w:sectPr w:rsidR="00EF7E02" w:rsidRPr="00E51778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E29" w:rsidRDefault="00DC2E29" w:rsidP="00BD43E1">
      <w:r>
        <w:separator/>
      </w:r>
    </w:p>
  </w:endnote>
  <w:endnote w:type="continuationSeparator" w:id="0">
    <w:p w:rsidR="00DC2E29" w:rsidRDefault="00DC2E29" w:rsidP="00BD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859342"/>
      <w:docPartObj>
        <w:docPartGallery w:val="Page Numbers (Bottom of Page)"/>
        <w:docPartUnique/>
      </w:docPartObj>
    </w:sdtPr>
    <w:sdtEndPr/>
    <w:sdtContent>
      <w:p w:rsidR="005A1277" w:rsidRDefault="005A127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1A4">
          <w:rPr>
            <w:noProof/>
          </w:rPr>
          <w:t>1</w:t>
        </w:r>
        <w:r>
          <w:fldChar w:fldCharType="end"/>
        </w:r>
      </w:p>
    </w:sdtContent>
  </w:sdt>
  <w:p w:rsidR="00BD43E1" w:rsidRDefault="00BD43E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E29" w:rsidRDefault="00DC2E29" w:rsidP="00BD43E1">
      <w:r>
        <w:separator/>
      </w:r>
    </w:p>
  </w:footnote>
  <w:footnote w:type="continuationSeparator" w:id="0">
    <w:p w:rsidR="00DC2E29" w:rsidRDefault="00DC2E29" w:rsidP="00BD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812E3"/>
    <w:multiLevelType w:val="hybridMultilevel"/>
    <w:tmpl w:val="EDB84FAE"/>
    <w:lvl w:ilvl="0" w:tplc="53C2AE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E6B3F"/>
    <w:multiLevelType w:val="hybridMultilevel"/>
    <w:tmpl w:val="3648CF08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1484D"/>
    <w:multiLevelType w:val="hybridMultilevel"/>
    <w:tmpl w:val="81A87962"/>
    <w:lvl w:ilvl="0" w:tplc="FF2A77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01323C"/>
    <w:multiLevelType w:val="hybridMultilevel"/>
    <w:tmpl w:val="F5C89F76"/>
    <w:lvl w:ilvl="0" w:tplc="F4446A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A9515D"/>
    <w:multiLevelType w:val="hybridMultilevel"/>
    <w:tmpl w:val="66E036BA"/>
    <w:lvl w:ilvl="0" w:tplc="041B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36EF6"/>
    <w:multiLevelType w:val="hybridMultilevel"/>
    <w:tmpl w:val="2DEC11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13B58"/>
    <w:multiLevelType w:val="hybridMultilevel"/>
    <w:tmpl w:val="1EF280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BB08A6"/>
    <w:multiLevelType w:val="hybridMultilevel"/>
    <w:tmpl w:val="2B9ED0AE"/>
    <w:lvl w:ilvl="0" w:tplc="58AE94BC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  <w:b w:val="0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6F6257"/>
    <w:multiLevelType w:val="hybridMultilevel"/>
    <w:tmpl w:val="9692FBC6"/>
    <w:lvl w:ilvl="0" w:tplc="E4CAC76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25B21DE"/>
    <w:multiLevelType w:val="hybridMultilevel"/>
    <w:tmpl w:val="2078F9F6"/>
    <w:lvl w:ilvl="0" w:tplc="D0BA0F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F84C23"/>
    <w:multiLevelType w:val="hybridMultilevel"/>
    <w:tmpl w:val="3C5E2C8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10587"/>
    <w:multiLevelType w:val="hybridMultilevel"/>
    <w:tmpl w:val="921A651C"/>
    <w:lvl w:ilvl="0" w:tplc="A34E5E9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B77D4"/>
    <w:multiLevelType w:val="multilevel"/>
    <w:tmpl w:val="31CA9A1E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cs="Times New Roman"/>
        <w:b/>
        <w:bCs/>
      </w:rPr>
    </w:lvl>
    <w:lvl w:ilvl="1">
      <w:start w:val="1"/>
      <w:numFmt w:val="lowerLetter"/>
      <w:lvlText w:val="%2)"/>
      <w:legacy w:legacy="1" w:legacySpace="0" w:legacyIndent="425"/>
      <w:lvlJc w:val="left"/>
      <w:pPr>
        <w:ind w:left="850" w:hanging="425"/>
      </w:pPr>
      <w:rPr>
        <w:rFonts w:cs="Times New Roman"/>
      </w:rPr>
    </w:lvl>
    <w:lvl w:ilvl="2">
      <w:start w:val="1"/>
      <w:numFmt w:val="decimal"/>
      <w:lvlText w:val="%3.)"/>
      <w:legacy w:legacy="1" w:legacySpace="0" w:legacyIndent="425"/>
      <w:lvlJc w:val="left"/>
      <w:pPr>
        <w:ind w:left="1275" w:hanging="425"/>
      </w:pPr>
      <w:rPr>
        <w:rFonts w:cs="Times New Roman"/>
      </w:rPr>
    </w:lvl>
    <w:lvl w:ilvl="3">
      <w:start w:val="1"/>
      <w:numFmt w:val="lowerLetter"/>
      <w:lvlText w:val="%4)"/>
      <w:legacy w:legacy="1" w:legacySpace="0" w:legacyIndent="708"/>
      <w:lvlJc w:val="left"/>
      <w:pPr>
        <w:ind w:left="1983" w:hanging="708"/>
      </w:pPr>
      <w:rPr>
        <w:rFonts w:cs="Times New Roman"/>
      </w:rPr>
    </w:lvl>
    <w:lvl w:ilvl="4">
      <w:start w:val="1"/>
      <w:numFmt w:val="decimal"/>
      <w:lvlText w:val="(%5)"/>
      <w:legacy w:legacy="1" w:legacySpace="0" w:legacyIndent="708"/>
      <w:lvlJc w:val="left"/>
      <w:pPr>
        <w:ind w:left="2691" w:hanging="708"/>
      </w:pPr>
      <w:rPr>
        <w:rFonts w:cs="Times New Roman"/>
      </w:rPr>
    </w:lvl>
    <w:lvl w:ilvl="5">
      <w:start w:val="1"/>
      <w:numFmt w:val="lowerLetter"/>
      <w:lvlText w:val="(%6)"/>
      <w:legacy w:legacy="1" w:legacySpace="0" w:legacyIndent="708"/>
      <w:lvlJc w:val="left"/>
      <w:pPr>
        <w:ind w:left="3399" w:hanging="708"/>
      </w:pPr>
      <w:rPr>
        <w:rFonts w:cs="Times New Roman"/>
      </w:rPr>
    </w:lvl>
    <w:lvl w:ilvl="6">
      <w:start w:val="1"/>
      <w:numFmt w:val="lowerRoman"/>
      <w:lvlText w:val="(%7)"/>
      <w:legacy w:legacy="1" w:legacySpace="0" w:legacyIndent="708"/>
      <w:lvlJc w:val="left"/>
      <w:pPr>
        <w:ind w:left="4107" w:hanging="708"/>
      </w:pPr>
      <w:rPr>
        <w:rFonts w:cs="Times New Roman"/>
      </w:rPr>
    </w:lvl>
    <w:lvl w:ilvl="7">
      <w:start w:val="1"/>
      <w:numFmt w:val="lowerLetter"/>
      <w:lvlText w:val="(%8)"/>
      <w:legacy w:legacy="1" w:legacySpace="0" w:legacyIndent="708"/>
      <w:lvlJc w:val="left"/>
      <w:pPr>
        <w:ind w:left="4815" w:hanging="708"/>
      </w:pPr>
      <w:rPr>
        <w:rFonts w:cs="Times New Roman"/>
      </w:rPr>
    </w:lvl>
    <w:lvl w:ilvl="8">
      <w:start w:val="1"/>
      <w:numFmt w:val="lowerRoman"/>
      <w:lvlText w:val="(%9)"/>
      <w:legacy w:legacy="1" w:legacySpace="0" w:legacyIndent="708"/>
      <w:lvlJc w:val="left"/>
      <w:pPr>
        <w:ind w:left="5523" w:hanging="708"/>
      </w:pPr>
      <w:rPr>
        <w:rFonts w:cs="Times New Roman"/>
      </w:rPr>
    </w:lvl>
  </w:abstractNum>
  <w:abstractNum w:abstractNumId="13" w15:restartNumberingAfterBreak="0">
    <w:nsid w:val="5E5642E0"/>
    <w:multiLevelType w:val="hybridMultilevel"/>
    <w:tmpl w:val="0E729AC6"/>
    <w:lvl w:ilvl="0" w:tplc="4BA683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BF03261"/>
    <w:multiLevelType w:val="hybridMultilevel"/>
    <w:tmpl w:val="69926042"/>
    <w:lvl w:ilvl="0" w:tplc="54082824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E8B16FD"/>
    <w:multiLevelType w:val="hybridMultilevel"/>
    <w:tmpl w:val="A0F68696"/>
    <w:lvl w:ilvl="0" w:tplc="A1801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6"/>
  </w:num>
  <w:num w:numId="5">
    <w:abstractNumId w:val="2"/>
  </w:num>
  <w:num w:numId="6">
    <w:abstractNumId w:val="13"/>
  </w:num>
  <w:num w:numId="7">
    <w:abstractNumId w:val="16"/>
  </w:num>
  <w:num w:numId="8">
    <w:abstractNumId w:val="12"/>
  </w:num>
  <w:num w:numId="9">
    <w:abstractNumId w:val="7"/>
  </w:num>
  <w:num w:numId="10">
    <w:abstractNumId w:val="14"/>
  </w:num>
  <w:num w:numId="11">
    <w:abstractNumId w:val="11"/>
  </w:num>
  <w:num w:numId="12">
    <w:abstractNumId w:val="0"/>
  </w:num>
  <w:num w:numId="13">
    <w:abstractNumId w:val="4"/>
  </w:num>
  <w:num w:numId="14">
    <w:abstractNumId w:val="1"/>
  </w:num>
  <w:num w:numId="15">
    <w:abstractNumId w:val="5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CF"/>
    <w:rsid w:val="00010D7F"/>
    <w:rsid w:val="00016A80"/>
    <w:rsid w:val="00020244"/>
    <w:rsid w:val="00037977"/>
    <w:rsid w:val="00054456"/>
    <w:rsid w:val="00060C85"/>
    <w:rsid w:val="000A56DA"/>
    <w:rsid w:val="000B1A59"/>
    <w:rsid w:val="000B1DC1"/>
    <w:rsid w:val="000C03E4"/>
    <w:rsid w:val="000C5887"/>
    <w:rsid w:val="000E0681"/>
    <w:rsid w:val="00107713"/>
    <w:rsid w:val="00111DA2"/>
    <w:rsid w:val="00113E98"/>
    <w:rsid w:val="00117A7E"/>
    <w:rsid w:val="001357E2"/>
    <w:rsid w:val="00142762"/>
    <w:rsid w:val="00145DE7"/>
    <w:rsid w:val="00145FC3"/>
    <w:rsid w:val="00155B35"/>
    <w:rsid w:val="00182BF7"/>
    <w:rsid w:val="001904FF"/>
    <w:rsid w:val="001C66D2"/>
    <w:rsid w:val="001D60ED"/>
    <w:rsid w:val="001E22B5"/>
    <w:rsid w:val="001F0AA3"/>
    <w:rsid w:val="0020025E"/>
    <w:rsid w:val="002071DE"/>
    <w:rsid w:val="00234278"/>
    <w:rsid w:val="0023485C"/>
    <w:rsid w:val="00240FDA"/>
    <w:rsid w:val="002445DC"/>
    <w:rsid w:val="00246C78"/>
    <w:rsid w:val="00253E3E"/>
    <w:rsid w:val="00261197"/>
    <w:rsid w:val="00266669"/>
    <w:rsid w:val="00271585"/>
    <w:rsid w:val="00274452"/>
    <w:rsid w:val="00276BB9"/>
    <w:rsid w:val="00285E47"/>
    <w:rsid w:val="002B14DD"/>
    <w:rsid w:val="002B1AD7"/>
    <w:rsid w:val="002B4595"/>
    <w:rsid w:val="002B6DE4"/>
    <w:rsid w:val="002C08EE"/>
    <w:rsid w:val="002E6AC0"/>
    <w:rsid w:val="002E791C"/>
    <w:rsid w:val="00306E81"/>
    <w:rsid w:val="00310B9F"/>
    <w:rsid w:val="003215E6"/>
    <w:rsid w:val="00327B62"/>
    <w:rsid w:val="00336B0A"/>
    <w:rsid w:val="00341EC3"/>
    <w:rsid w:val="00344702"/>
    <w:rsid w:val="0035400A"/>
    <w:rsid w:val="003718B0"/>
    <w:rsid w:val="003841E0"/>
    <w:rsid w:val="003929E9"/>
    <w:rsid w:val="003B270C"/>
    <w:rsid w:val="003B33FE"/>
    <w:rsid w:val="003D0DA4"/>
    <w:rsid w:val="003D1B1F"/>
    <w:rsid w:val="003D28B1"/>
    <w:rsid w:val="003D2BE7"/>
    <w:rsid w:val="003D5590"/>
    <w:rsid w:val="003F1ADA"/>
    <w:rsid w:val="003F45C5"/>
    <w:rsid w:val="00402A80"/>
    <w:rsid w:val="00404DEA"/>
    <w:rsid w:val="00426895"/>
    <w:rsid w:val="004306CC"/>
    <w:rsid w:val="00432A16"/>
    <w:rsid w:val="00433883"/>
    <w:rsid w:val="004354FA"/>
    <w:rsid w:val="00435BB9"/>
    <w:rsid w:val="0044691D"/>
    <w:rsid w:val="00450D5C"/>
    <w:rsid w:val="004531C2"/>
    <w:rsid w:val="00454837"/>
    <w:rsid w:val="0047240E"/>
    <w:rsid w:val="00482868"/>
    <w:rsid w:val="004A3CCB"/>
    <w:rsid w:val="004B021D"/>
    <w:rsid w:val="004B1E6E"/>
    <w:rsid w:val="004B329B"/>
    <w:rsid w:val="004C0997"/>
    <w:rsid w:val="004D2B1E"/>
    <w:rsid w:val="004E7F23"/>
    <w:rsid w:val="00507EDE"/>
    <w:rsid w:val="005104A3"/>
    <w:rsid w:val="00516D1E"/>
    <w:rsid w:val="00537A2D"/>
    <w:rsid w:val="005622BE"/>
    <w:rsid w:val="005658B5"/>
    <w:rsid w:val="00567CA2"/>
    <w:rsid w:val="005724BE"/>
    <w:rsid w:val="00577ABE"/>
    <w:rsid w:val="00587BE5"/>
    <w:rsid w:val="00596545"/>
    <w:rsid w:val="005A1277"/>
    <w:rsid w:val="005C7B26"/>
    <w:rsid w:val="005E2F70"/>
    <w:rsid w:val="005E6D46"/>
    <w:rsid w:val="005F2087"/>
    <w:rsid w:val="00621CBC"/>
    <w:rsid w:val="00632C56"/>
    <w:rsid w:val="006341A1"/>
    <w:rsid w:val="00647319"/>
    <w:rsid w:val="0065501E"/>
    <w:rsid w:val="00660F2E"/>
    <w:rsid w:val="00666BFE"/>
    <w:rsid w:val="00686D1F"/>
    <w:rsid w:val="00695786"/>
    <w:rsid w:val="006B4937"/>
    <w:rsid w:val="006B6EA7"/>
    <w:rsid w:val="006C0FA0"/>
    <w:rsid w:val="006C3F1D"/>
    <w:rsid w:val="006D6EE9"/>
    <w:rsid w:val="006E1D9C"/>
    <w:rsid w:val="006E2064"/>
    <w:rsid w:val="006F3E6F"/>
    <w:rsid w:val="00704AC1"/>
    <w:rsid w:val="00707A48"/>
    <w:rsid w:val="00723D18"/>
    <w:rsid w:val="0072772E"/>
    <w:rsid w:val="00733620"/>
    <w:rsid w:val="0075334B"/>
    <w:rsid w:val="00755D81"/>
    <w:rsid w:val="0076250F"/>
    <w:rsid w:val="0077683C"/>
    <w:rsid w:val="00785F35"/>
    <w:rsid w:val="00785F65"/>
    <w:rsid w:val="007A7118"/>
    <w:rsid w:val="007C6363"/>
    <w:rsid w:val="007D29EB"/>
    <w:rsid w:val="007D7422"/>
    <w:rsid w:val="007D7D7B"/>
    <w:rsid w:val="007E4FA4"/>
    <w:rsid w:val="007E6612"/>
    <w:rsid w:val="007F3182"/>
    <w:rsid w:val="007F5B72"/>
    <w:rsid w:val="007F7B64"/>
    <w:rsid w:val="008001FC"/>
    <w:rsid w:val="008023A6"/>
    <w:rsid w:val="00814DF5"/>
    <w:rsid w:val="0081542B"/>
    <w:rsid w:val="008154F4"/>
    <w:rsid w:val="00824CCF"/>
    <w:rsid w:val="0084357F"/>
    <w:rsid w:val="00847169"/>
    <w:rsid w:val="00855F3C"/>
    <w:rsid w:val="008570D4"/>
    <w:rsid w:val="008655C8"/>
    <w:rsid w:val="008703B8"/>
    <w:rsid w:val="00872B90"/>
    <w:rsid w:val="008979A9"/>
    <w:rsid w:val="008C23C0"/>
    <w:rsid w:val="008D4753"/>
    <w:rsid w:val="008E2891"/>
    <w:rsid w:val="0090315B"/>
    <w:rsid w:val="009073A9"/>
    <w:rsid w:val="00933205"/>
    <w:rsid w:val="009342B8"/>
    <w:rsid w:val="00950474"/>
    <w:rsid w:val="0095394A"/>
    <w:rsid w:val="00954AB4"/>
    <w:rsid w:val="00956E4D"/>
    <w:rsid w:val="00961C34"/>
    <w:rsid w:val="00970F68"/>
    <w:rsid w:val="009A16D3"/>
    <w:rsid w:val="009B2A13"/>
    <w:rsid w:val="009C3C41"/>
    <w:rsid w:val="009C63EB"/>
    <w:rsid w:val="009C6FE2"/>
    <w:rsid w:val="009E0371"/>
    <w:rsid w:val="009E504F"/>
    <w:rsid w:val="009E589D"/>
    <w:rsid w:val="00A025FE"/>
    <w:rsid w:val="00A029EA"/>
    <w:rsid w:val="00A05805"/>
    <w:rsid w:val="00A1469A"/>
    <w:rsid w:val="00A263FB"/>
    <w:rsid w:val="00A57EFB"/>
    <w:rsid w:val="00A60A2B"/>
    <w:rsid w:val="00A73284"/>
    <w:rsid w:val="00AA36C6"/>
    <w:rsid w:val="00AB1DB9"/>
    <w:rsid w:val="00AB24BE"/>
    <w:rsid w:val="00AB6F16"/>
    <w:rsid w:val="00AD1244"/>
    <w:rsid w:val="00AE0C55"/>
    <w:rsid w:val="00AE5612"/>
    <w:rsid w:val="00AF544A"/>
    <w:rsid w:val="00B0680D"/>
    <w:rsid w:val="00B128CD"/>
    <w:rsid w:val="00B12DFB"/>
    <w:rsid w:val="00B2011F"/>
    <w:rsid w:val="00B326AA"/>
    <w:rsid w:val="00B409E1"/>
    <w:rsid w:val="00B55DE7"/>
    <w:rsid w:val="00B56913"/>
    <w:rsid w:val="00B63C3A"/>
    <w:rsid w:val="00B65B4D"/>
    <w:rsid w:val="00B744D0"/>
    <w:rsid w:val="00B76333"/>
    <w:rsid w:val="00B77262"/>
    <w:rsid w:val="00B84C26"/>
    <w:rsid w:val="00BA351C"/>
    <w:rsid w:val="00BB4538"/>
    <w:rsid w:val="00BC5924"/>
    <w:rsid w:val="00BD43E1"/>
    <w:rsid w:val="00BD6486"/>
    <w:rsid w:val="00BF4BFC"/>
    <w:rsid w:val="00BF6695"/>
    <w:rsid w:val="00C12975"/>
    <w:rsid w:val="00C14EA0"/>
    <w:rsid w:val="00C21B96"/>
    <w:rsid w:val="00C24A30"/>
    <w:rsid w:val="00C300DD"/>
    <w:rsid w:val="00C447A2"/>
    <w:rsid w:val="00C45BC3"/>
    <w:rsid w:val="00C544A3"/>
    <w:rsid w:val="00C65F88"/>
    <w:rsid w:val="00C67845"/>
    <w:rsid w:val="00C83404"/>
    <w:rsid w:val="00C850C2"/>
    <w:rsid w:val="00C86B09"/>
    <w:rsid w:val="00C90146"/>
    <w:rsid w:val="00C90471"/>
    <w:rsid w:val="00C93E91"/>
    <w:rsid w:val="00CA43BA"/>
    <w:rsid w:val="00CA5D08"/>
    <w:rsid w:val="00CB2297"/>
    <w:rsid w:val="00CC4CA2"/>
    <w:rsid w:val="00CC533E"/>
    <w:rsid w:val="00CC7901"/>
    <w:rsid w:val="00CE5EB9"/>
    <w:rsid w:val="00CF36FC"/>
    <w:rsid w:val="00D0004A"/>
    <w:rsid w:val="00D03462"/>
    <w:rsid w:val="00D1328E"/>
    <w:rsid w:val="00D14B99"/>
    <w:rsid w:val="00D22061"/>
    <w:rsid w:val="00D34009"/>
    <w:rsid w:val="00D3580A"/>
    <w:rsid w:val="00D35A56"/>
    <w:rsid w:val="00D465F6"/>
    <w:rsid w:val="00D5344B"/>
    <w:rsid w:val="00D7275F"/>
    <w:rsid w:val="00D75FDD"/>
    <w:rsid w:val="00D955F9"/>
    <w:rsid w:val="00D97C69"/>
    <w:rsid w:val="00DA4F85"/>
    <w:rsid w:val="00DB3DB1"/>
    <w:rsid w:val="00DC2E29"/>
    <w:rsid w:val="00DC377E"/>
    <w:rsid w:val="00DC3BFE"/>
    <w:rsid w:val="00DF6298"/>
    <w:rsid w:val="00E01A11"/>
    <w:rsid w:val="00E034C0"/>
    <w:rsid w:val="00E1013A"/>
    <w:rsid w:val="00E34412"/>
    <w:rsid w:val="00E35D82"/>
    <w:rsid w:val="00E507C9"/>
    <w:rsid w:val="00E51778"/>
    <w:rsid w:val="00E51F3F"/>
    <w:rsid w:val="00E630A8"/>
    <w:rsid w:val="00E851E0"/>
    <w:rsid w:val="00E85F6B"/>
    <w:rsid w:val="00EB25FA"/>
    <w:rsid w:val="00EB2A4A"/>
    <w:rsid w:val="00EB625F"/>
    <w:rsid w:val="00EC0CDD"/>
    <w:rsid w:val="00EC5BF8"/>
    <w:rsid w:val="00ED613D"/>
    <w:rsid w:val="00EF7E02"/>
    <w:rsid w:val="00F0081A"/>
    <w:rsid w:val="00F169A3"/>
    <w:rsid w:val="00F172C6"/>
    <w:rsid w:val="00F176F1"/>
    <w:rsid w:val="00F451A4"/>
    <w:rsid w:val="00F54A03"/>
    <w:rsid w:val="00F603FF"/>
    <w:rsid w:val="00F96CC3"/>
    <w:rsid w:val="00FA32F7"/>
    <w:rsid w:val="00FD5000"/>
    <w:rsid w:val="00FD64B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FD6AE"/>
  <w14:defaultImageDpi w14:val="0"/>
  <w15:docId w15:val="{A8B6BBDA-FC6E-4BD5-B736-B3F02BA0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5">
    <w:name w:val="heading 5"/>
    <w:basedOn w:val="Normlny"/>
    <w:link w:val="Nadpis5Char"/>
    <w:uiPriority w:val="9"/>
    <w:qFormat/>
    <w:rsid w:val="009C63E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locked/>
    <w:rsid w:val="009C63EB"/>
    <w:rPr>
      <w:rFonts w:cs="Times New Roman"/>
      <w:b/>
      <w:bCs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EC5BF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5B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C5BF8"/>
    <w:rPr>
      <w:rFonts w:cs="Times New Roman"/>
      <w:sz w:val="20"/>
      <w:szCs w:val="20"/>
      <w:lang w:val="ru-RU" w:eastAsia="x-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5B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C5BF8"/>
    <w:rPr>
      <w:rFonts w:cs="Times New Roman"/>
      <w:b/>
      <w:bCs/>
      <w:sz w:val="20"/>
      <w:szCs w:val="20"/>
      <w:lang w:val="ru-RU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5B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C5BF8"/>
    <w:rPr>
      <w:rFonts w:ascii="Tahoma" w:hAnsi="Tahoma" w:cs="Tahoma"/>
      <w:sz w:val="16"/>
      <w:szCs w:val="16"/>
      <w:lang w:val="ru-RU" w:eastAsia="x-none"/>
    </w:rPr>
  </w:style>
  <w:style w:type="paragraph" w:styleId="Odsekzoznamu">
    <w:name w:val="List Paragraph"/>
    <w:basedOn w:val="Normlny"/>
    <w:uiPriority w:val="34"/>
    <w:qFormat/>
    <w:rsid w:val="00E85F6B"/>
    <w:pPr>
      <w:ind w:left="720"/>
      <w:contextualSpacing/>
    </w:pPr>
  </w:style>
  <w:style w:type="table" w:styleId="Mriekatabuky">
    <w:name w:val="Table Grid"/>
    <w:basedOn w:val="Normlnatabuka"/>
    <w:uiPriority w:val="99"/>
    <w:unhideWhenUsed/>
    <w:rsid w:val="001F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BD43E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D43E1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BD43E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D43E1"/>
    <w:rPr>
      <w:rFonts w:cs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EF7E02"/>
    <w:pPr>
      <w:widowControl/>
      <w:autoSpaceDE/>
      <w:autoSpaceDN/>
      <w:adjustRightInd/>
      <w:ind w:firstLine="709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EF7E02"/>
    <w:rPr>
      <w:rFonts w:cs="Times New Roman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EF7E02"/>
    <w:pPr>
      <w:widowControl/>
      <w:autoSpaceDE/>
      <w:autoSpaceDN/>
      <w:adjustRightInd/>
      <w:spacing w:after="120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EF7E02"/>
    <w:rPr>
      <w:rFonts w:cs="Times New Roman"/>
      <w:sz w:val="24"/>
      <w:szCs w:val="24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65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Doložka zlučiteľnosti"/>
    <f:field ref="objsubject" par="" edit="true" text="Doložka zlučiteľnosti"/>
    <f:field ref="objcreatedby" par="" text="Administrator, System"/>
    <f:field ref="objcreatedat" par="" text="29.6.2017 13:15:25"/>
    <f:field ref="objchangedby" par="" text="Administrator, System"/>
    <f:field ref="objmodifiedat" par="" text="29.6.2017 13:15:28"/>
    <f:field ref="doc_FSCFOLIO_1_1001_FieldDocumentNumber" par="" text=""/>
    <f:field ref="doc_FSCFOLIO_1_1001_FieldSubject" par="" edit="true" text="Doložka zlučiteľ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38211AD-CB56-4C1C-91B0-7A42A353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Hatala Martin</cp:lastModifiedBy>
  <cp:revision>15</cp:revision>
  <cp:lastPrinted>2019-05-15T12:17:00Z</cp:lastPrinted>
  <dcterms:created xsi:type="dcterms:W3CDTF">2025-10-09T09:04:00Z</dcterms:created>
  <dcterms:modified xsi:type="dcterms:W3CDTF">2025-11-26T09:14:00Z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COO.2145.1000.3.2042959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Sociálne poistenie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Vladimír Hornáček</vt:lpwstr>
  </property>
  <property fmtid="{D5CDD505-2E9C-101B-9397-08002B2CF9AE}" pid="11" name="FSC#SKEDITIONSLOVLEX@103.510:zodppredkladatel">
    <vt:lpwstr>Ján Richter</vt:lpwstr>
  </property>
  <property fmtid="{D5CDD505-2E9C-101B-9397-08002B2CF9AE}" pid="12" name="FSC#SKEDITIONSLOVLEX@103.510:nazovpredpis">
    <vt:lpwstr>, ktorým sa mení a dopĺňa zákon č. 461/2003 Z. z. o sociálnom poistení v znení neskorších predpisov a ktorým sa menia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2017</vt:lpwstr>
  </property>
  <property fmtid="{D5CDD505-2E9C-101B-9397-08002B2CF9AE}" pid="18" name="FSC#SKEDITIONSLOVLEX@103.510:plnynazovpredpis">
    <vt:lpwstr> Zákon, ktorým sa mení a dopĺňa zákon č. 461/2003 Z. z. o sociálnom poistení v znení neskorších predpisov a ktorým sa menia niektoré zákony</vt:lpwstr>
  </property>
  <property fmtid="{D5CDD505-2E9C-101B-9397-08002B2CF9AE}" pid="19" name="FSC#SKEDITIONSLOVLEX@103.510:rezortcislopredpis">
    <vt:lpwstr>12832/2017-M_OPVA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LP/2017/504</vt:lpwstr>
  </property>
  <property fmtid="{D5CDD505-2E9C-101B-9397-08002B2CF9AE}" pid="29" name="FSC#SKEDITIONSLOVLEX@103.510:typsprievdok">
    <vt:lpwstr>Doložka zlučiteľnosti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Problematika návrhu zákona je upravená v primárnom práve Európskej únie, a to v čl. 151 a 153 Zmluvy o fungovaní Európskej únie (Ú. v. EÚ C 83, 30. 3. 2010).</vt:lpwstr>
  </property>
  <property fmtid="{D5CDD505-2E9C-101B-9397-08002B2CF9AE}" pid="39" name="FSC#SKEDITIONSLOVLEX@103.510:AttrStrListDocPropSekundarneLegPravoPO">
    <vt:lpwstr>nie je upravená,</vt:lpwstr>
  </property>
  <property fmtid="{D5CDD505-2E9C-101B-9397-08002B2CF9AE}" pid="40" name="FSC#SKEDITIONSLOVLEX@103.510:AttrStrListDocPropSekundarneNelegPravoPO">
    <vt:lpwstr>nie je upravená,</vt:lpwstr>
  </property>
  <property fmtid="{D5CDD505-2E9C-101B-9397-08002B2CF9AE}" pid="41" name="FSC#SKEDITIONSLOVLEX@103.510:AttrStrListDocPropSekundarneLegPravoDO">
    <vt:lpwstr>Nariadenia Európskeho parlamentu a rady (ES) č. 883/2004 z 29. apríla 2004 o koordinácii systémov sociálneho zabezpečenia (Mimoriadne vydanie Ú. v. EÚ, kap. 5/zv. 5; Ú. v. ES L 166, 30.4.2004) v znení nariadenia Európskeho parlamentu a Rady (ES) č. 988/20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práce, sociálnych vecí a rodiny Slovenskej republiky</vt:lpwstr>
  </property>
  <property fmtid="{D5CDD505-2E9C-101B-9397-08002B2CF9AE}" pid="50" name="FSC#SKEDITIONSLOVLEX@103.510:AttrDateDocPropZaciatokPKK">
    <vt:lpwstr>13. 6. 2017</vt:lpwstr>
  </property>
  <property fmtid="{D5CDD505-2E9C-101B-9397-08002B2CF9AE}" pid="51" name="FSC#SKEDITIONSLOVLEX@103.510:AttrDateDocPropUkonceniePKK">
    <vt:lpwstr>28. 6. 2017</vt:lpwstr>
  </property>
  <property fmtid="{D5CDD505-2E9C-101B-9397-08002B2CF9AE}" pid="52" name="FSC#SKEDITIONSLOVLEX@103.510:AttrStrDocPropVplyvRozpocetVS">
    <vt:lpwstr>Pozitívne_x000d__x000d_Negatívne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Vplyvy na rozpočet verejnej správy – celkový vplyv na rozpočet verejnej správy bude  negatívny v porovnaní   s návrhom rozpočtu Sociálnej poisťovne na rok 2018 a rozpočtovým výhľadom na roky 2019 a 2020 a návrhu rozpočtu verejnej správy na roky 2018 až 20</vt:lpwstr>
  </property>
  <property fmtid="{D5CDD505-2E9C-101B-9397-08002B2CF9AE}" pid="58" name="FSC#SKEDITIONSLOVLEX@103.510:AttrStrListDocPropAltRiesenia">
    <vt:lpwstr>A) Navrhuje sa zavedenie minimálnej valorizačnej pevnej sumy na úrovni 2%.  Alternatívne sa zvažovalo nastavenie minimálnej percentuálnej valorizácie alebo zavedenie valorizácie pevnou sumou v minimálnej výške 2 % z priemernej sumy dôchodku daného druhu. </vt:lpwstr>
  </property>
  <property fmtid="{D5CDD505-2E9C-101B-9397-08002B2CF9AE}" pid="59" name="FSC#SKEDITIONSLOVLEX@103.510:AttrStrListDocPropStanoviskoGest">
    <vt:lpwstr>Stála pracovná komisia na posudzovanie vybraných vplyvov vyjadrila nesúhlasné stanovisko s materiálom predloženým na predbežné pripomienkové konanie s odporúčaním na jeho dopracovanie.Jednotlivé pripomienky a ich vyhodnotenie (text kurzívou) sú uvedené ni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461/2003 Z. z. o sociálnom poistení v znení neskorších predpisov a ktorým sa menia niektoré zákony.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republiky_x000d__x000d_minister práce, sociálnych vecí a rodiny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práce, sociálnych vecí a rodiny Slovenskej republiky predkladá návrh zákona, ktorým sa mení a dopĺňa zákon č. 461/2003 Z. z. o sociálnom poistení v znení neskorších predpisov a&amp;nbsp;ktorým sa menia niektoré zák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 style="text-align: justify;"&gt;Verejnosť bola o príprave návrhu zákona, ktorým sa mení a dopĺňa zákon č. 461/2003 &amp;nbsp;&amp;nbsp;&amp;nbsp;Z. z. o&amp;nbsp;sociálnom poistení v&amp;nbsp;znení neskorších predpisov a&amp;nbsp;ktorým sa menia niektoré zákony informovaná prost</vt:lpwstr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práce, sociálnych vecí a rodiny Slovenskej republiky</vt:lpwstr>
  </property>
  <property fmtid="{D5CDD505-2E9C-101B-9397-08002B2CF9AE}" pid="138" name="FSC#SKEDITIONSLOVLEX@103.510:funkciaZodpPredAkuzativ">
    <vt:lpwstr>ministrovi práce, sociálnych vecí a rodiny Slovenskej republiky</vt:lpwstr>
  </property>
  <property fmtid="{D5CDD505-2E9C-101B-9397-08002B2CF9AE}" pid="139" name="FSC#SKEDITIONSLOVLEX@103.510:funkciaZodpPredDativ">
    <vt:lpwstr>ministra práce, sociálnych vecí a rodiny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Ján Richter_x000d__x000d_minister práce, sociálnych vecí a rodiny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</Properties>
</file>