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943" w:rsidRPr="005B7746" w:rsidRDefault="00783943" w:rsidP="00783943">
      <w:pPr>
        <w:jc w:val="center"/>
        <w:rPr>
          <w:b/>
          <w:caps/>
          <w:sz w:val="28"/>
        </w:rPr>
      </w:pPr>
      <w:r w:rsidRPr="005B7746">
        <w:rPr>
          <w:b/>
          <w:caps/>
          <w:sz w:val="28"/>
        </w:rPr>
        <w:t>Tabuľka zhody</w:t>
      </w:r>
    </w:p>
    <w:p w:rsidR="00783943" w:rsidRPr="005B7746" w:rsidRDefault="00783943" w:rsidP="00783943">
      <w:pPr>
        <w:jc w:val="center"/>
        <w:rPr>
          <w:b/>
        </w:rPr>
      </w:pPr>
      <w:r w:rsidRPr="005B7746">
        <w:rPr>
          <w:b/>
        </w:rPr>
        <w:t>právneho predpisu s právom Európskej únie</w:t>
      </w:r>
    </w:p>
    <w:p w:rsidR="00783943" w:rsidRPr="005B7746" w:rsidRDefault="00783943" w:rsidP="00783943"/>
    <w:tbl>
      <w:tblPr>
        <w:tblW w:w="158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977"/>
        <w:gridCol w:w="1134"/>
        <w:gridCol w:w="1134"/>
        <w:gridCol w:w="1134"/>
        <w:gridCol w:w="3543"/>
        <w:gridCol w:w="709"/>
        <w:gridCol w:w="1701"/>
        <w:gridCol w:w="1276"/>
        <w:gridCol w:w="1275"/>
      </w:tblGrid>
      <w:tr w:rsidR="00792F19" w:rsidRPr="005B7746" w:rsidTr="009303FA">
        <w:trPr>
          <w:trHeight w:val="956"/>
        </w:trPr>
        <w:tc>
          <w:tcPr>
            <w:tcW w:w="5104" w:type="dxa"/>
            <w:gridSpan w:val="3"/>
          </w:tcPr>
          <w:p w:rsidR="00792F19" w:rsidRPr="005B7746" w:rsidRDefault="00792F19" w:rsidP="00404636">
            <w:pPr>
              <w:jc w:val="both"/>
              <w:rPr>
                <w:b/>
                <w:sz w:val="20"/>
                <w:szCs w:val="20"/>
              </w:rPr>
            </w:pPr>
            <w:r w:rsidRPr="005102DC">
              <w:rPr>
                <w:b/>
                <w:sz w:val="20"/>
                <w:szCs w:val="20"/>
              </w:rPr>
              <w:t>Smernica Európskeho parlamentu a Rady (EÚ) 2022/211 zo 16. februára 2022, ktorou sa mení rámcové rozhodnutie Rady 2002/465/SVV, pokiaľ ide o jeho zosúladenie s pravidlami Únie o ochrane osobných údajov</w:t>
            </w:r>
            <w:r>
              <w:rPr>
                <w:b/>
                <w:sz w:val="20"/>
                <w:szCs w:val="20"/>
              </w:rPr>
              <w:t xml:space="preserve"> (</w:t>
            </w:r>
            <w:r w:rsidRPr="005102DC">
              <w:rPr>
                <w:b/>
                <w:sz w:val="20"/>
                <w:szCs w:val="20"/>
              </w:rPr>
              <w:t>Ú. v. EÚ L 37, 18.2.2022</w:t>
            </w:r>
            <w:r>
              <w:rPr>
                <w:b/>
                <w:sz w:val="20"/>
                <w:szCs w:val="20"/>
              </w:rPr>
              <w:t>)</w:t>
            </w:r>
            <w:r w:rsidR="0074479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772" w:type="dxa"/>
            <w:gridSpan w:val="7"/>
            <w:vAlign w:val="center"/>
          </w:tcPr>
          <w:p w:rsidR="007B5746" w:rsidRDefault="007B5746" w:rsidP="00AD414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="00336799">
              <w:rPr>
                <w:b/>
                <w:sz w:val="20"/>
                <w:szCs w:val="20"/>
              </w:rPr>
              <w:t>Vládny n</w:t>
            </w:r>
            <w:r>
              <w:rPr>
                <w:b/>
                <w:sz w:val="20"/>
                <w:szCs w:val="20"/>
              </w:rPr>
              <w:t>ávrh zákona</w:t>
            </w:r>
            <w:r w:rsidR="00675A45">
              <w:rPr>
                <w:b/>
                <w:sz w:val="20"/>
                <w:szCs w:val="20"/>
              </w:rPr>
              <w:t xml:space="preserve">,  </w:t>
            </w:r>
            <w:r w:rsidR="00675A45" w:rsidRPr="00675A45">
              <w:rPr>
                <w:b/>
                <w:sz w:val="20"/>
                <w:szCs w:val="20"/>
              </w:rPr>
              <w:t>ktorým sa menia a dopĺňajú niektoré zákony v súvislosti s prijatím zákona o medzinárodnej justičnej spolupráci v trestných veciach</w:t>
            </w:r>
            <w:r w:rsidR="00675A45">
              <w:rPr>
                <w:b/>
                <w:sz w:val="20"/>
                <w:szCs w:val="20"/>
              </w:rPr>
              <w:t xml:space="preserve"> </w:t>
            </w:r>
            <w:r w:rsidR="00FA6669">
              <w:rPr>
                <w:b/>
                <w:sz w:val="20"/>
                <w:szCs w:val="20"/>
              </w:rPr>
              <w:t>(ďalej len „N</w:t>
            </w:r>
            <w:r>
              <w:rPr>
                <w:b/>
                <w:sz w:val="20"/>
                <w:szCs w:val="20"/>
              </w:rPr>
              <w:t>ávrh zákona“).</w:t>
            </w:r>
            <w:bookmarkStart w:id="0" w:name="_GoBack"/>
            <w:bookmarkEnd w:id="0"/>
          </w:p>
          <w:p w:rsidR="007B5746" w:rsidRPr="007B5746" w:rsidRDefault="007B5746" w:rsidP="00AD414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7B5746">
              <w:rPr>
                <w:b/>
                <w:sz w:val="20"/>
                <w:szCs w:val="20"/>
              </w:rPr>
              <w:t>Zákon č. 18/2018 Z. z. o ochrane osobných údajov a o zmene a doplnení niektorých zákonov v znení neskorších predpisov</w:t>
            </w:r>
            <w:r w:rsidR="001B3908">
              <w:rPr>
                <w:b/>
                <w:sz w:val="20"/>
                <w:szCs w:val="20"/>
              </w:rPr>
              <w:t xml:space="preserve"> (ďalej len „</w:t>
            </w:r>
            <w:r w:rsidR="001B3908" w:rsidRPr="001B3908">
              <w:rPr>
                <w:b/>
                <w:sz w:val="20"/>
                <w:szCs w:val="20"/>
              </w:rPr>
              <w:t>Zákon č. 18/2018 Z. z.</w:t>
            </w:r>
            <w:r w:rsidR="001B3908">
              <w:rPr>
                <w:b/>
                <w:sz w:val="20"/>
                <w:szCs w:val="20"/>
              </w:rPr>
              <w:t>“).</w:t>
            </w:r>
          </w:p>
        </w:tc>
      </w:tr>
      <w:tr w:rsidR="00792F19" w:rsidRPr="005B7746" w:rsidTr="009303FA">
        <w:trPr>
          <w:trHeight w:val="255"/>
        </w:trPr>
        <w:tc>
          <w:tcPr>
            <w:tcW w:w="993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275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</w:tr>
      <w:tr w:rsidR="00792F19" w:rsidRPr="005B7746" w:rsidTr="009303FA">
        <w:trPr>
          <w:trHeight w:val="255"/>
        </w:trPr>
        <w:tc>
          <w:tcPr>
            <w:tcW w:w="993" w:type="dxa"/>
            <w:vAlign w:val="center"/>
          </w:tcPr>
          <w:p w:rsidR="00792F19" w:rsidRPr="005B7746" w:rsidRDefault="00792F19" w:rsidP="00792F19">
            <w:pPr>
              <w:ind w:left="-144" w:right="-144"/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Článok</w:t>
            </w:r>
          </w:p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(Č, O, V, P)</w:t>
            </w:r>
          </w:p>
        </w:tc>
        <w:tc>
          <w:tcPr>
            <w:tcW w:w="2977" w:type="dxa"/>
            <w:vAlign w:val="center"/>
          </w:tcPr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Text</w:t>
            </w:r>
          </w:p>
        </w:tc>
        <w:tc>
          <w:tcPr>
            <w:tcW w:w="1134" w:type="dxa"/>
          </w:tcPr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Spôsob transpozície</w:t>
            </w:r>
          </w:p>
        </w:tc>
        <w:tc>
          <w:tcPr>
            <w:tcW w:w="1134" w:type="dxa"/>
            <w:vAlign w:val="center"/>
          </w:tcPr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Predpis</w:t>
            </w:r>
          </w:p>
        </w:tc>
        <w:tc>
          <w:tcPr>
            <w:tcW w:w="1134" w:type="dxa"/>
            <w:vAlign w:val="center"/>
          </w:tcPr>
          <w:p w:rsidR="00792F19" w:rsidRPr="005B7746" w:rsidRDefault="00792F19" w:rsidP="00792F19">
            <w:pPr>
              <w:ind w:left="-144" w:right="-144"/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Článok</w:t>
            </w:r>
          </w:p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(Č, §, O, V, P)</w:t>
            </w:r>
          </w:p>
        </w:tc>
        <w:tc>
          <w:tcPr>
            <w:tcW w:w="3543" w:type="dxa"/>
            <w:vAlign w:val="center"/>
          </w:tcPr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Text</w:t>
            </w:r>
          </w:p>
        </w:tc>
        <w:tc>
          <w:tcPr>
            <w:tcW w:w="709" w:type="dxa"/>
            <w:vAlign w:val="center"/>
          </w:tcPr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Zhoda</w:t>
            </w:r>
          </w:p>
        </w:tc>
        <w:tc>
          <w:tcPr>
            <w:tcW w:w="1701" w:type="dxa"/>
            <w:vAlign w:val="center"/>
          </w:tcPr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Poznámky</w:t>
            </w:r>
          </w:p>
        </w:tc>
        <w:tc>
          <w:tcPr>
            <w:tcW w:w="1276" w:type="dxa"/>
          </w:tcPr>
          <w:p w:rsidR="00792F19" w:rsidRDefault="00792F19" w:rsidP="00792F19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792F19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792F19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792F19">
            <w:pPr>
              <w:jc w:val="center"/>
              <w:rPr>
                <w:sz w:val="20"/>
                <w:szCs w:val="20"/>
              </w:rPr>
            </w:pPr>
          </w:p>
          <w:p w:rsidR="00792F19" w:rsidRPr="00792F19" w:rsidRDefault="00792F19" w:rsidP="00792F19">
            <w:pPr>
              <w:jc w:val="center"/>
              <w:rPr>
                <w:sz w:val="20"/>
                <w:szCs w:val="20"/>
              </w:rPr>
            </w:pPr>
            <w:r w:rsidRPr="00792F19">
              <w:rPr>
                <w:sz w:val="20"/>
                <w:szCs w:val="20"/>
              </w:rPr>
              <w:t>Identifikácia</w:t>
            </w:r>
          </w:p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proofErr w:type="spellStart"/>
            <w:r w:rsidRPr="00792F19">
              <w:rPr>
                <w:sz w:val="20"/>
                <w:szCs w:val="20"/>
              </w:rPr>
              <w:t>goldplatingu</w:t>
            </w:r>
            <w:proofErr w:type="spellEnd"/>
          </w:p>
        </w:tc>
        <w:tc>
          <w:tcPr>
            <w:tcW w:w="1275" w:type="dxa"/>
          </w:tcPr>
          <w:p w:rsidR="00792F19" w:rsidRPr="00792F19" w:rsidRDefault="00792F19" w:rsidP="00792F19">
            <w:pPr>
              <w:jc w:val="center"/>
              <w:rPr>
                <w:sz w:val="20"/>
                <w:szCs w:val="20"/>
              </w:rPr>
            </w:pPr>
            <w:r w:rsidRPr="00792F19">
              <w:rPr>
                <w:sz w:val="20"/>
                <w:szCs w:val="20"/>
              </w:rPr>
              <w:t>Identifikácia</w:t>
            </w:r>
          </w:p>
          <w:p w:rsidR="00792F19" w:rsidRPr="00792F19" w:rsidRDefault="00792F19" w:rsidP="00792F19">
            <w:pPr>
              <w:jc w:val="center"/>
              <w:rPr>
                <w:sz w:val="20"/>
                <w:szCs w:val="20"/>
              </w:rPr>
            </w:pPr>
            <w:r w:rsidRPr="00792F19">
              <w:rPr>
                <w:sz w:val="20"/>
                <w:szCs w:val="20"/>
              </w:rPr>
              <w:t xml:space="preserve">oblasti </w:t>
            </w:r>
            <w:proofErr w:type="spellStart"/>
            <w:r w:rsidRPr="00792F19">
              <w:rPr>
                <w:sz w:val="20"/>
                <w:szCs w:val="20"/>
              </w:rPr>
              <w:t>goldplatingu</w:t>
            </w:r>
            <w:proofErr w:type="spellEnd"/>
            <w:r w:rsidRPr="00792F19">
              <w:rPr>
                <w:sz w:val="20"/>
                <w:szCs w:val="20"/>
              </w:rPr>
              <w:t xml:space="preserve"> a</w:t>
            </w:r>
          </w:p>
          <w:p w:rsidR="00792F19" w:rsidRPr="00792F19" w:rsidRDefault="00792F19" w:rsidP="00792F19">
            <w:pPr>
              <w:jc w:val="center"/>
              <w:rPr>
                <w:sz w:val="20"/>
                <w:szCs w:val="20"/>
              </w:rPr>
            </w:pPr>
            <w:r w:rsidRPr="00792F19">
              <w:rPr>
                <w:sz w:val="20"/>
                <w:szCs w:val="20"/>
              </w:rPr>
              <w:t>vyjadrenie k</w:t>
            </w:r>
          </w:p>
          <w:p w:rsidR="00792F19" w:rsidRPr="00792F19" w:rsidRDefault="00792F19" w:rsidP="00792F19">
            <w:pPr>
              <w:jc w:val="center"/>
              <w:rPr>
                <w:sz w:val="20"/>
                <w:szCs w:val="20"/>
              </w:rPr>
            </w:pPr>
            <w:r w:rsidRPr="00792F19">
              <w:rPr>
                <w:sz w:val="20"/>
                <w:szCs w:val="20"/>
              </w:rPr>
              <w:t>opodstatnenosti</w:t>
            </w:r>
          </w:p>
          <w:p w:rsidR="00792F19" w:rsidRPr="005B7746" w:rsidRDefault="00792F19" w:rsidP="00792F19">
            <w:pPr>
              <w:jc w:val="center"/>
              <w:rPr>
                <w:sz w:val="20"/>
                <w:szCs w:val="20"/>
              </w:rPr>
            </w:pPr>
            <w:proofErr w:type="spellStart"/>
            <w:r w:rsidRPr="00792F19">
              <w:rPr>
                <w:sz w:val="20"/>
                <w:szCs w:val="20"/>
              </w:rPr>
              <w:t>goldplatingu</w:t>
            </w:r>
            <w:proofErr w:type="spellEnd"/>
            <w:r w:rsidRPr="00792F19">
              <w:rPr>
                <w:sz w:val="20"/>
                <w:szCs w:val="20"/>
              </w:rPr>
              <w:t>*</w:t>
            </w:r>
          </w:p>
        </w:tc>
      </w:tr>
      <w:tr w:rsidR="00792F19" w:rsidRPr="005B7746" w:rsidTr="009303FA">
        <w:trPr>
          <w:trHeight w:val="255"/>
        </w:trPr>
        <w:tc>
          <w:tcPr>
            <w:tcW w:w="993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 xml:space="preserve">Č: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792F19" w:rsidRPr="0056214D" w:rsidRDefault="00792F19" w:rsidP="00404636">
            <w:pPr>
              <w:jc w:val="center"/>
              <w:rPr>
                <w:sz w:val="20"/>
                <w:szCs w:val="20"/>
              </w:rPr>
            </w:pPr>
            <w:r w:rsidRPr="0056214D">
              <w:rPr>
                <w:sz w:val="20"/>
                <w:szCs w:val="20"/>
              </w:rPr>
              <w:t>Zmena rámcového rozhodnutia 2002/465/SVV</w:t>
            </w:r>
          </w:p>
          <w:p w:rsidR="00792F19" w:rsidRPr="005102DC" w:rsidRDefault="00792F19" w:rsidP="00404636">
            <w:pPr>
              <w:rPr>
                <w:sz w:val="20"/>
                <w:szCs w:val="20"/>
              </w:rPr>
            </w:pPr>
          </w:p>
          <w:p w:rsidR="00792F19" w:rsidRPr="005102DC" w:rsidRDefault="00792F19" w:rsidP="00404636">
            <w:pPr>
              <w:jc w:val="both"/>
              <w:rPr>
                <w:sz w:val="20"/>
                <w:szCs w:val="20"/>
              </w:rPr>
            </w:pPr>
            <w:r w:rsidRPr="005102DC">
              <w:rPr>
                <w:sz w:val="20"/>
                <w:szCs w:val="20"/>
              </w:rPr>
              <w:t xml:space="preserve">V článku 1 ods. 10 rámcového rozhodnutia 2002/465/SVV sa dopĺňa tento </w:t>
            </w:r>
            <w:proofErr w:type="spellStart"/>
            <w:r w:rsidRPr="005102DC">
              <w:rPr>
                <w:sz w:val="20"/>
                <w:szCs w:val="20"/>
              </w:rPr>
              <w:t>pododsek</w:t>
            </w:r>
            <w:proofErr w:type="spellEnd"/>
            <w:r w:rsidRPr="005102DC">
              <w:rPr>
                <w:sz w:val="20"/>
                <w:szCs w:val="20"/>
              </w:rPr>
              <w:t>:</w:t>
            </w:r>
          </w:p>
          <w:p w:rsidR="00792F19" w:rsidRPr="005102DC" w:rsidRDefault="00792F19" w:rsidP="00404636">
            <w:pPr>
              <w:rPr>
                <w:sz w:val="20"/>
                <w:szCs w:val="20"/>
              </w:rPr>
            </w:pPr>
          </w:p>
          <w:p w:rsidR="00792F19" w:rsidRPr="005B7746" w:rsidRDefault="00792F19" w:rsidP="00404636">
            <w:pPr>
              <w:jc w:val="both"/>
              <w:rPr>
                <w:sz w:val="20"/>
                <w:szCs w:val="20"/>
              </w:rPr>
            </w:pPr>
            <w:r w:rsidRPr="005102DC">
              <w:rPr>
                <w:sz w:val="20"/>
                <w:szCs w:val="20"/>
              </w:rPr>
              <w:t xml:space="preserve">„Pokiaľ informácie použité na účely uvedené v prvom </w:t>
            </w:r>
            <w:proofErr w:type="spellStart"/>
            <w:r w:rsidRPr="005102DC">
              <w:rPr>
                <w:sz w:val="20"/>
                <w:szCs w:val="20"/>
              </w:rPr>
              <w:t>pododseku</w:t>
            </w:r>
            <w:proofErr w:type="spellEnd"/>
            <w:r w:rsidRPr="005102DC">
              <w:rPr>
                <w:sz w:val="20"/>
                <w:szCs w:val="20"/>
              </w:rPr>
              <w:t xml:space="preserve"> písm. b), c) a d) obsahujú osobné údaje, tieto sa spracúvajú jedine v súlade so smernicou Európskeho parlamentu a Rady (EÚ) 2016/680 (*), a najmä s jej článkom 4 ods. 2 a článkom 9 ods. 1 a 3.</w:t>
            </w:r>
          </w:p>
        </w:tc>
        <w:tc>
          <w:tcPr>
            <w:tcW w:w="1134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Zákon č. 18/2018 Z. z. </w:t>
            </w: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B5746" w:rsidRDefault="007B5746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7F4901" w:rsidRDefault="007F4901" w:rsidP="007F4901">
            <w:pPr>
              <w:rPr>
                <w:sz w:val="20"/>
                <w:szCs w:val="20"/>
              </w:rPr>
            </w:pPr>
          </w:p>
          <w:p w:rsidR="00ED3555" w:rsidRDefault="00ED3555" w:rsidP="007F4901">
            <w:pPr>
              <w:rPr>
                <w:sz w:val="20"/>
                <w:szCs w:val="20"/>
              </w:rPr>
            </w:pPr>
          </w:p>
          <w:p w:rsidR="00ED3555" w:rsidRDefault="00ED3555" w:rsidP="007F4901">
            <w:pPr>
              <w:rPr>
                <w:sz w:val="20"/>
                <w:szCs w:val="20"/>
              </w:rPr>
            </w:pP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Návrh zákona</w:t>
            </w:r>
          </w:p>
          <w:p w:rsidR="007B5746" w:rsidRDefault="007B5746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(Čl. IV)</w:t>
            </w:r>
          </w:p>
          <w:p w:rsidR="007B5746" w:rsidRPr="005B7746" w:rsidRDefault="007B5746" w:rsidP="00404636">
            <w:pPr>
              <w:jc w:val="center"/>
              <w:rPr>
                <w:sz w:val="20"/>
                <w:szCs w:val="20"/>
              </w:rPr>
            </w:pPr>
          </w:p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§: 55</w:t>
            </w: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C879DC" w:rsidRDefault="00C879DC" w:rsidP="00404636">
            <w:pPr>
              <w:jc w:val="center"/>
              <w:rPr>
                <w:sz w:val="20"/>
                <w:szCs w:val="20"/>
              </w:rPr>
            </w:pPr>
          </w:p>
          <w:p w:rsidR="00C879DC" w:rsidRDefault="00C879DC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55</w:t>
            </w: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3</w:t>
            </w: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C879DC" w:rsidRDefault="00C879DC" w:rsidP="00404636">
            <w:pPr>
              <w:jc w:val="center"/>
              <w:rPr>
                <w:sz w:val="20"/>
                <w:szCs w:val="20"/>
              </w:rPr>
            </w:pPr>
          </w:p>
          <w:p w:rsidR="00C879DC" w:rsidRDefault="00C879DC" w:rsidP="00404636">
            <w:pPr>
              <w:jc w:val="center"/>
              <w:rPr>
                <w:sz w:val="20"/>
                <w:szCs w:val="20"/>
              </w:rPr>
            </w:pPr>
          </w:p>
          <w:p w:rsidR="00C879DC" w:rsidRDefault="00C879DC" w:rsidP="00C879DC">
            <w:pPr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7F4901" w:rsidRDefault="007F4901" w:rsidP="00404636">
            <w:pPr>
              <w:jc w:val="center"/>
              <w:rPr>
                <w:sz w:val="20"/>
                <w:szCs w:val="20"/>
              </w:rPr>
            </w:pPr>
          </w:p>
          <w:p w:rsidR="00593100" w:rsidRDefault="00593100" w:rsidP="00404636">
            <w:pPr>
              <w:jc w:val="center"/>
              <w:rPr>
                <w:sz w:val="20"/>
                <w:szCs w:val="20"/>
              </w:rPr>
            </w:pPr>
          </w:p>
          <w:p w:rsidR="00593100" w:rsidRDefault="00593100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74</w:t>
            </w: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3</w:t>
            </w: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404636">
            <w:pPr>
              <w:jc w:val="center"/>
              <w:rPr>
                <w:sz w:val="20"/>
                <w:szCs w:val="20"/>
              </w:rPr>
            </w:pPr>
          </w:p>
          <w:p w:rsidR="00166262" w:rsidRDefault="00166262" w:rsidP="008A1BFE">
            <w:pPr>
              <w:rPr>
                <w:sz w:val="20"/>
                <w:szCs w:val="20"/>
              </w:rPr>
            </w:pPr>
          </w:p>
          <w:p w:rsidR="00166262" w:rsidRPr="001A56AB" w:rsidRDefault="00166262" w:rsidP="00166262">
            <w:pPr>
              <w:jc w:val="center"/>
              <w:rPr>
                <w:sz w:val="20"/>
                <w:szCs w:val="20"/>
              </w:rPr>
            </w:pPr>
            <w:r w:rsidRPr="001A56AB">
              <w:rPr>
                <w:sz w:val="20"/>
                <w:szCs w:val="20"/>
              </w:rPr>
              <w:t>§: 74</w:t>
            </w:r>
          </w:p>
          <w:p w:rsidR="00166262" w:rsidRPr="001A56AB" w:rsidRDefault="00166262" w:rsidP="00166262">
            <w:pPr>
              <w:jc w:val="center"/>
              <w:rPr>
                <w:sz w:val="20"/>
                <w:szCs w:val="20"/>
              </w:rPr>
            </w:pPr>
            <w:r w:rsidRPr="001A56AB">
              <w:rPr>
                <w:sz w:val="20"/>
                <w:szCs w:val="20"/>
              </w:rPr>
              <w:t>O: 4</w:t>
            </w:r>
          </w:p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  <w:r w:rsidRPr="00D103A3">
              <w:rPr>
                <w:sz w:val="20"/>
                <w:szCs w:val="20"/>
              </w:rPr>
              <w:lastRenderedPageBreak/>
              <w:t>Príslušný orgán je oprávnený spracúvať osobné údaje na plnenie úloh na účely trestného konania podľa tohto zákona, osobitného predpisu alebo medzinárodnej zmluvy, ktorou je Slovenská republika viazaná.</w:t>
            </w: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  <w:r w:rsidRPr="00017D95">
              <w:rPr>
                <w:sz w:val="20"/>
                <w:szCs w:val="20"/>
              </w:rPr>
              <w:t>Príslušný orgán je oprávnený osobné údaje spracúvať aj na iný účel, ako je plnenie úloh na účely trestného konania, ak to je zlučiteľné s účelom, na ktorý sa zhromaždili, a ak spracúvanie je na tento iný účel nevyhnutné a primerané. Na spracúvanie osobných údajov na iný úče</w:t>
            </w:r>
            <w:r>
              <w:rPr>
                <w:sz w:val="20"/>
                <w:szCs w:val="20"/>
              </w:rPr>
              <w:t>l sa vzťahuje osobitný predpis,</w:t>
            </w:r>
            <w:r>
              <w:rPr>
                <w:sz w:val="20"/>
                <w:szCs w:val="20"/>
                <w:vertAlign w:val="superscript"/>
              </w:rPr>
              <w:t>2</w:t>
            </w:r>
            <w:r w:rsidRPr="00017D95">
              <w:rPr>
                <w:sz w:val="20"/>
                <w:szCs w:val="20"/>
              </w:rPr>
              <w:t>) ak ide o spracúvanie osobných údajov v rámci činnosti, ktorá patrí do pôsobnosti práva Európskej únie; ak nejde o spracúvanie v rámci činnosti, ktorá patrí do pôsobnosti práva Európskej únie, na spracúvanie osobných údajov na iný účel sa vzťahuje tento zákon okrem tejto časti.</w:t>
            </w:r>
          </w:p>
          <w:p w:rsidR="007F4901" w:rsidRDefault="007F4901" w:rsidP="00404636">
            <w:pPr>
              <w:jc w:val="both"/>
              <w:rPr>
                <w:sz w:val="20"/>
                <w:szCs w:val="20"/>
              </w:rPr>
            </w:pPr>
          </w:p>
          <w:p w:rsidR="00593100" w:rsidRDefault="007F4901" w:rsidP="007F49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Poznámka pod čiarou k odkazu 2 znie:</w:t>
            </w:r>
          </w:p>
          <w:p w:rsidR="007F4901" w:rsidRDefault="007F4901" w:rsidP="007F4901">
            <w:pPr>
              <w:jc w:val="both"/>
              <w:rPr>
                <w:sz w:val="20"/>
                <w:szCs w:val="20"/>
              </w:rPr>
            </w:pPr>
            <w:r w:rsidRPr="006E3128">
              <w:rPr>
                <w:sz w:val="20"/>
                <w:szCs w:val="20"/>
                <w:vertAlign w:val="superscript"/>
              </w:rPr>
              <w:lastRenderedPageBreak/>
              <w:t>2</w:t>
            </w:r>
            <w:r>
              <w:rPr>
                <w:sz w:val="20"/>
                <w:szCs w:val="20"/>
              </w:rPr>
              <w:t xml:space="preserve">) </w:t>
            </w:r>
            <w:r w:rsidRPr="00017D95">
              <w:rPr>
                <w:sz w:val="20"/>
                <w:szCs w:val="20"/>
              </w:rPr>
              <w:t>Nariadenie Európskeho parlamentu a Rady (EÚ) 2016/679 z 27. apríla 2016 o ochrane fyzických osôb pri spracúvaní osobných údajov a o voľnom pohybe takýchto údajov, ktorým sa zrušuje smernica 95/46/ES (všeobecné nariadenie o ochrane údajov) (Ú. v. EÚ L 119, 4. 5. 2016).</w:t>
            </w:r>
          </w:p>
          <w:p w:rsidR="007F4901" w:rsidRDefault="007F4901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 príslušný orgán uskutočňuje prenos osobných údajov, na ktorých spracúvanie sa podľa osobitného predpisu vzťahujú osobitné podmienky spracúvania, musí o podmienkach a požiadavke dodržiavať ich informovať príjemcu. Pri prenose osobných údajov príjemcovi v inom členskom štáte alebo agentúre, úradu alebo orgánu Európskej únie, nemôže príslušný orgán uplatňovať iné podmienky, ako sa uplatňujú na prenos osobných údajov v rámci Slovenskej republiky. </w:t>
            </w:r>
          </w:p>
          <w:p w:rsidR="00166262" w:rsidRDefault="00166262" w:rsidP="00404636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66262" w:rsidRDefault="00166262" w:rsidP="00404636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632E1" w:rsidRDefault="001632E1" w:rsidP="00404636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66262" w:rsidRPr="001A56AB" w:rsidRDefault="008A1BFE" w:rsidP="0040463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A56AB">
              <w:rPr>
                <w:color w:val="auto"/>
                <w:sz w:val="20"/>
                <w:szCs w:val="20"/>
              </w:rPr>
              <w:t>Ak osobné údaje, ktoré boli príslušnému orgánu poskytnuté treťou krajinou, majú byť poskytnuté inej tretej krajine alebo členskému štátu, postupuje sa podľa osobitného predpisu.</w:t>
            </w:r>
            <w:r w:rsidR="007A2AAC" w:rsidRPr="001A56AB">
              <w:rPr>
                <w:color w:val="auto"/>
                <w:sz w:val="20"/>
                <w:szCs w:val="20"/>
                <w:vertAlign w:val="superscript"/>
              </w:rPr>
              <w:t>21a</w:t>
            </w:r>
            <w:r w:rsidR="007A2AAC" w:rsidRPr="001A56AB">
              <w:rPr>
                <w:color w:val="auto"/>
                <w:sz w:val="20"/>
                <w:szCs w:val="20"/>
              </w:rPr>
              <w:t>)</w:t>
            </w:r>
          </w:p>
          <w:p w:rsidR="008A1BFE" w:rsidRPr="001A56AB" w:rsidRDefault="008A1BFE" w:rsidP="0040463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AD4141" w:rsidRPr="001A56AB" w:rsidRDefault="00AD4141" w:rsidP="00AD4141">
            <w:pPr>
              <w:rPr>
                <w:sz w:val="20"/>
                <w:szCs w:val="20"/>
              </w:rPr>
            </w:pPr>
            <w:r w:rsidRPr="001A56AB">
              <w:rPr>
                <w:sz w:val="20"/>
                <w:szCs w:val="20"/>
              </w:rPr>
              <w:t>Poznámka pod čiarou k odkazu 21a znie:</w:t>
            </w:r>
          </w:p>
          <w:p w:rsidR="00AD4141" w:rsidRPr="001A56AB" w:rsidRDefault="00AD4141" w:rsidP="00AD4141">
            <w:pPr>
              <w:rPr>
                <w:sz w:val="20"/>
                <w:szCs w:val="20"/>
              </w:rPr>
            </w:pPr>
            <w:r w:rsidRPr="001A56AB">
              <w:rPr>
                <w:sz w:val="20"/>
                <w:szCs w:val="20"/>
              </w:rPr>
              <w:t>„</w:t>
            </w:r>
            <w:r w:rsidRPr="001A56AB">
              <w:rPr>
                <w:sz w:val="20"/>
                <w:szCs w:val="20"/>
                <w:vertAlign w:val="superscript"/>
              </w:rPr>
              <w:t>21a</w:t>
            </w:r>
            <w:r w:rsidRPr="001A56AB">
              <w:rPr>
                <w:sz w:val="20"/>
                <w:szCs w:val="20"/>
              </w:rPr>
              <w:t>) § 11 ods. 2 zákona č. .../2026 Z. z. o medzinárodnej justičnej spolupráci v trestných veciach.“.</w:t>
            </w:r>
          </w:p>
          <w:p w:rsidR="00AD4141" w:rsidRPr="00E2389F" w:rsidRDefault="00AD4141" w:rsidP="0040463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lastRenderedPageBreak/>
              <w:t>Ú</w:t>
            </w:r>
          </w:p>
        </w:tc>
        <w:tc>
          <w:tcPr>
            <w:tcW w:w="1701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6A0287" w:rsidRDefault="006A0287" w:rsidP="00404636">
            <w:pPr>
              <w:rPr>
                <w:sz w:val="20"/>
                <w:szCs w:val="20"/>
              </w:rPr>
            </w:pPr>
          </w:p>
          <w:p w:rsidR="00792F19" w:rsidRPr="005B7746" w:rsidRDefault="00792F19" w:rsidP="00AD4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2F19" w:rsidRDefault="00792F19" w:rsidP="00C07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 - N</w:t>
            </w:r>
          </w:p>
        </w:tc>
        <w:tc>
          <w:tcPr>
            <w:tcW w:w="1275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</w:tr>
      <w:tr w:rsidR="00792F19" w:rsidRPr="005B7746" w:rsidTr="009303FA">
        <w:trPr>
          <w:trHeight w:val="255"/>
        </w:trPr>
        <w:tc>
          <w:tcPr>
            <w:tcW w:w="993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Č: 2</w:t>
            </w:r>
          </w:p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</w:tc>
        <w:tc>
          <w:tcPr>
            <w:tcW w:w="2977" w:type="dxa"/>
          </w:tcPr>
          <w:p w:rsidR="00792F19" w:rsidRPr="0056214D" w:rsidRDefault="00792F19" w:rsidP="00404636">
            <w:pPr>
              <w:jc w:val="center"/>
              <w:rPr>
                <w:sz w:val="20"/>
                <w:szCs w:val="20"/>
              </w:rPr>
            </w:pPr>
            <w:r w:rsidRPr="0056214D">
              <w:rPr>
                <w:sz w:val="20"/>
                <w:szCs w:val="20"/>
              </w:rPr>
              <w:t>Transpozícia</w:t>
            </w:r>
          </w:p>
          <w:p w:rsidR="00792F19" w:rsidRPr="0056214D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Pr="00783943" w:rsidRDefault="00792F19" w:rsidP="00404636">
            <w:pPr>
              <w:jc w:val="both"/>
              <w:rPr>
                <w:sz w:val="20"/>
                <w:szCs w:val="20"/>
              </w:rPr>
            </w:pPr>
            <w:r w:rsidRPr="0056214D">
              <w:rPr>
                <w:sz w:val="20"/>
                <w:szCs w:val="20"/>
              </w:rPr>
              <w:t xml:space="preserve">1.   Členské štáty uvedú do účinnosti zákony, iné právne predpisy a správne opatrenia potrebné na dosiahnutie súladu s touto smernicou do 11. marca 2023. </w:t>
            </w:r>
            <w:r w:rsidRPr="0056214D">
              <w:rPr>
                <w:sz w:val="20"/>
                <w:szCs w:val="20"/>
              </w:rPr>
              <w:lastRenderedPageBreak/>
              <w:t>Bezodkladne o tom informujú Komisiu.</w:t>
            </w:r>
          </w:p>
        </w:tc>
        <w:tc>
          <w:tcPr>
            <w:tcW w:w="1134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Zákon č. 18/2018 Z. z.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Čl. XVI</w:t>
            </w: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Pr="005B7746" w:rsidRDefault="00792F19" w:rsidP="00404636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  <w:r w:rsidRPr="00017D95">
              <w:rPr>
                <w:sz w:val="20"/>
                <w:szCs w:val="20"/>
              </w:rPr>
              <w:t>Tento zákon nadobúda účinnosť 25. mája 2018.</w:t>
            </w: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Pr="005102DC" w:rsidRDefault="00792F19" w:rsidP="0078394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2F19" w:rsidRPr="005B7746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Ú</w:t>
            </w:r>
          </w:p>
        </w:tc>
        <w:tc>
          <w:tcPr>
            <w:tcW w:w="1701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2F19" w:rsidRDefault="00792F19" w:rsidP="00C078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 - N</w:t>
            </w:r>
          </w:p>
        </w:tc>
        <w:tc>
          <w:tcPr>
            <w:tcW w:w="1275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</w:tr>
      <w:tr w:rsidR="00792F19" w:rsidRPr="005B7746" w:rsidTr="009303FA">
        <w:trPr>
          <w:trHeight w:val="255"/>
        </w:trPr>
        <w:tc>
          <w:tcPr>
            <w:tcW w:w="993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Č: 3</w:t>
            </w:r>
          </w:p>
        </w:tc>
        <w:tc>
          <w:tcPr>
            <w:tcW w:w="2977" w:type="dxa"/>
          </w:tcPr>
          <w:p w:rsidR="00792F19" w:rsidRPr="00670DC0" w:rsidRDefault="00792F19" w:rsidP="00404636">
            <w:pPr>
              <w:jc w:val="center"/>
              <w:rPr>
                <w:sz w:val="20"/>
                <w:szCs w:val="20"/>
              </w:rPr>
            </w:pPr>
            <w:r w:rsidRPr="00670DC0">
              <w:rPr>
                <w:sz w:val="20"/>
                <w:szCs w:val="20"/>
              </w:rPr>
              <w:t>Nadobudnutie účinnosti</w:t>
            </w:r>
          </w:p>
          <w:p w:rsidR="00792F19" w:rsidRPr="00670DC0" w:rsidRDefault="00792F19" w:rsidP="00404636">
            <w:pPr>
              <w:jc w:val="both"/>
              <w:rPr>
                <w:sz w:val="20"/>
                <w:szCs w:val="20"/>
              </w:rPr>
            </w:pPr>
          </w:p>
          <w:p w:rsidR="00792F19" w:rsidRPr="00670DC0" w:rsidRDefault="00792F19" w:rsidP="00404636">
            <w:pPr>
              <w:jc w:val="both"/>
              <w:rPr>
                <w:sz w:val="20"/>
                <w:szCs w:val="20"/>
              </w:rPr>
            </w:pPr>
            <w:r w:rsidRPr="00670DC0">
              <w:rPr>
                <w:sz w:val="20"/>
                <w:szCs w:val="20"/>
              </w:rPr>
              <w:t>Táto smernica nadobúda účinnosť dvadsiatym dňom po jej uverejnení v Úradnom vestníku Európskej únie.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792F19" w:rsidRPr="00670DC0" w:rsidRDefault="00792F19" w:rsidP="0040463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1701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</w:tr>
      <w:tr w:rsidR="00792F19" w:rsidRPr="005B7746" w:rsidTr="009303FA">
        <w:trPr>
          <w:trHeight w:val="255"/>
        </w:trPr>
        <w:tc>
          <w:tcPr>
            <w:tcW w:w="993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Č: 4</w:t>
            </w:r>
          </w:p>
        </w:tc>
        <w:tc>
          <w:tcPr>
            <w:tcW w:w="2977" w:type="dxa"/>
          </w:tcPr>
          <w:p w:rsidR="00792F19" w:rsidRPr="00FD4219" w:rsidRDefault="00792F19" w:rsidP="00404636">
            <w:pPr>
              <w:jc w:val="center"/>
              <w:rPr>
                <w:sz w:val="20"/>
                <w:szCs w:val="20"/>
              </w:rPr>
            </w:pPr>
            <w:r w:rsidRPr="00FD4219">
              <w:rPr>
                <w:sz w:val="20"/>
                <w:szCs w:val="20"/>
              </w:rPr>
              <w:t>Adresáti</w:t>
            </w:r>
          </w:p>
          <w:p w:rsidR="00792F19" w:rsidRPr="00FD4219" w:rsidRDefault="00792F19" w:rsidP="00404636">
            <w:pPr>
              <w:jc w:val="center"/>
              <w:rPr>
                <w:sz w:val="20"/>
                <w:szCs w:val="20"/>
              </w:rPr>
            </w:pPr>
          </w:p>
          <w:p w:rsidR="00792F19" w:rsidRPr="00670DC0" w:rsidRDefault="00792F19" w:rsidP="00404636">
            <w:pPr>
              <w:jc w:val="both"/>
              <w:rPr>
                <w:sz w:val="20"/>
                <w:szCs w:val="20"/>
              </w:rPr>
            </w:pPr>
            <w:r w:rsidRPr="00FD4219">
              <w:rPr>
                <w:sz w:val="20"/>
                <w:szCs w:val="20"/>
              </w:rPr>
              <w:t>Táto smernica je určená členským štátom v súlade so zmluvami.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792F19" w:rsidRPr="00670DC0" w:rsidRDefault="00792F19" w:rsidP="0040463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2F19" w:rsidRDefault="00792F19" w:rsidP="00404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1701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2F19" w:rsidRDefault="00792F19" w:rsidP="00404636">
            <w:pPr>
              <w:rPr>
                <w:sz w:val="20"/>
                <w:szCs w:val="20"/>
              </w:rPr>
            </w:pPr>
          </w:p>
        </w:tc>
      </w:tr>
    </w:tbl>
    <w:p w:rsidR="00783943" w:rsidRPr="005B7746" w:rsidRDefault="00783943" w:rsidP="00783943"/>
    <w:p w:rsidR="00783943" w:rsidRPr="005B7746" w:rsidRDefault="00783943" w:rsidP="00783943">
      <w:pPr>
        <w:jc w:val="both"/>
        <w:rPr>
          <w:sz w:val="20"/>
          <w:szCs w:val="20"/>
        </w:rPr>
      </w:pPr>
    </w:p>
    <w:p w:rsidR="00783943" w:rsidRPr="005B7746" w:rsidRDefault="00783943" w:rsidP="00783943">
      <w:pPr>
        <w:jc w:val="both"/>
        <w:rPr>
          <w:sz w:val="20"/>
          <w:szCs w:val="20"/>
        </w:rPr>
      </w:pPr>
      <w:r w:rsidRPr="005B7746">
        <w:rPr>
          <w:sz w:val="20"/>
          <w:szCs w:val="20"/>
        </w:rPr>
        <w:t xml:space="preserve">  LEGENDA:</w:t>
      </w:r>
    </w:p>
    <w:tbl>
      <w:tblPr>
        <w:tblW w:w="15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780"/>
        <w:gridCol w:w="2340"/>
        <w:gridCol w:w="7200"/>
      </w:tblGrid>
      <w:tr w:rsidR="00783943" w:rsidRPr="005B7746" w:rsidTr="0040463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83943" w:rsidRPr="005B7746" w:rsidRDefault="00783943" w:rsidP="00404636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5B7746">
              <w:rPr>
                <w:lang w:eastAsia="sk-SK"/>
              </w:rPr>
              <w:t>V stĺpci (1):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Č – článok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O – odsek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V – veta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P – písmeno (číslo)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83943" w:rsidRPr="005B7746" w:rsidRDefault="00783943" w:rsidP="00404636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5B7746">
              <w:rPr>
                <w:lang w:eastAsia="sk-SK"/>
              </w:rPr>
              <w:t>V stĺpci (3):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N – bežná transpozícia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O – transpozícia s možnosťou voľby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D – transpozícia podľa úvahy (dobrovoľná)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proofErr w:type="spellStart"/>
            <w:r w:rsidRPr="005B7746">
              <w:rPr>
                <w:sz w:val="20"/>
                <w:szCs w:val="20"/>
              </w:rPr>
              <w:t>n.a</w:t>
            </w:r>
            <w:proofErr w:type="spellEnd"/>
            <w:r w:rsidRPr="005B7746">
              <w:rPr>
                <w:sz w:val="20"/>
                <w:szCs w:val="20"/>
              </w:rPr>
              <w:t>. – transpozícia sa neuskutočňuje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83943" w:rsidRPr="005B7746" w:rsidRDefault="00783943" w:rsidP="00404636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5B7746">
              <w:rPr>
                <w:lang w:eastAsia="sk-SK"/>
              </w:rPr>
              <w:t>V stĺpci (5):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Č – článok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§ – paragraf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O – odsek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V – veta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783943" w:rsidRPr="005B7746" w:rsidRDefault="00783943" w:rsidP="00404636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5B7746">
              <w:rPr>
                <w:lang w:eastAsia="sk-SK"/>
              </w:rPr>
              <w:t>V stĺpci (7):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Ú – úplná zhoda</w:t>
            </w:r>
          </w:p>
          <w:p w:rsidR="00783943" w:rsidRPr="005B7746" w:rsidRDefault="00783943" w:rsidP="00404636">
            <w:pPr>
              <w:jc w:val="both"/>
              <w:rPr>
                <w:sz w:val="20"/>
                <w:szCs w:val="20"/>
              </w:rPr>
            </w:pPr>
            <w:r w:rsidRPr="005B7746">
              <w:rPr>
                <w:sz w:val="20"/>
                <w:szCs w:val="20"/>
              </w:rPr>
              <w:t>Č – čiastočná zhoda</w:t>
            </w:r>
          </w:p>
          <w:p w:rsidR="00783943" w:rsidRPr="005B7746" w:rsidRDefault="00783943" w:rsidP="00404636">
            <w:pPr>
              <w:pStyle w:val="Zarkazkladnhotextu2"/>
              <w:jc w:val="both"/>
            </w:pPr>
            <w:r w:rsidRPr="005B7746">
              <w:t>Ž – žiadna zhoda (ak nebola dosiahnutá ani čiastková ani úplná zhoda alebo k prebratiu dôjde v budúcnosti)</w:t>
            </w:r>
          </w:p>
        </w:tc>
      </w:tr>
    </w:tbl>
    <w:p w:rsidR="00783943" w:rsidRPr="005B7746" w:rsidRDefault="00783943" w:rsidP="00783943"/>
    <w:p w:rsidR="00783943" w:rsidRDefault="00783943" w:rsidP="00783943"/>
    <w:p w:rsidR="00783943" w:rsidRDefault="00783943" w:rsidP="00783943"/>
    <w:p w:rsidR="00783943" w:rsidRDefault="00783943" w:rsidP="00783943"/>
    <w:p w:rsidR="00783943" w:rsidRDefault="00783943" w:rsidP="00783943"/>
    <w:p w:rsidR="00783943" w:rsidRDefault="00783943" w:rsidP="00783943"/>
    <w:p w:rsidR="003F45FB" w:rsidRDefault="003F45FB"/>
    <w:sectPr w:rsidR="003F45FB" w:rsidSect="00133AD1">
      <w:footerReference w:type="even" r:id="rId7"/>
      <w:footerReference w:type="default" r:id="rId8"/>
      <w:pgSz w:w="16838" w:h="11906" w:orient="landscape"/>
      <w:pgMar w:top="964" w:right="964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1B7" w:rsidRDefault="002A21B7">
      <w:r>
        <w:separator/>
      </w:r>
    </w:p>
  </w:endnote>
  <w:endnote w:type="continuationSeparator" w:id="0">
    <w:p w:rsidR="002A21B7" w:rsidRDefault="002A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AD1" w:rsidRDefault="00783943" w:rsidP="00133AD1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133AD1" w:rsidRDefault="002A21B7" w:rsidP="00133AD1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AD1" w:rsidRPr="004914C0" w:rsidRDefault="00783943" w:rsidP="00133AD1">
    <w:pPr>
      <w:pStyle w:val="Pta"/>
      <w:framePr w:wrap="around" w:vAnchor="text" w:hAnchor="margin" w:xAlign="right" w:y="1"/>
      <w:rPr>
        <w:rStyle w:val="slostrany"/>
        <w:sz w:val="20"/>
        <w:szCs w:val="20"/>
      </w:rPr>
    </w:pPr>
    <w:r w:rsidRPr="004914C0">
      <w:rPr>
        <w:rStyle w:val="slostrany"/>
        <w:sz w:val="20"/>
        <w:szCs w:val="20"/>
      </w:rPr>
      <w:fldChar w:fldCharType="begin"/>
    </w:r>
    <w:r w:rsidRPr="004914C0">
      <w:rPr>
        <w:rStyle w:val="slostrany"/>
        <w:sz w:val="20"/>
        <w:szCs w:val="20"/>
      </w:rPr>
      <w:instrText xml:space="preserve">PAGE  </w:instrText>
    </w:r>
    <w:r w:rsidRPr="004914C0">
      <w:rPr>
        <w:rStyle w:val="slostrany"/>
        <w:sz w:val="20"/>
        <w:szCs w:val="20"/>
      </w:rPr>
      <w:fldChar w:fldCharType="separate"/>
    </w:r>
    <w:r w:rsidR="005C7CA1">
      <w:rPr>
        <w:rStyle w:val="slostrany"/>
        <w:noProof/>
        <w:sz w:val="20"/>
        <w:szCs w:val="20"/>
      </w:rPr>
      <w:t>2</w:t>
    </w:r>
    <w:r w:rsidRPr="004914C0">
      <w:rPr>
        <w:rStyle w:val="slostrany"/>
        <w:sz w:val="20"/>
        <w:szCs w:val="20"/>
      </w:rPr>
      <w:fldChar w:fldCharType="end"/>
    </w:r>
  </w:p>
  <w:p w:rsidR="00133AD1" w:rsidRDefault="002A21B7" w:rsidP="00133AD1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1B7" w:rsidRDefault="002A21B7">
      <w:r>
        <w:separator/>
      </w:r>
    </w:p>
  </w:footnote>
  <w:footnote w:type="continuationSeparator" w:id="0">
    <w:p w:rsidR="002A21B7" w:rsidRDefault="002A2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3EDA"/>
    <w:multiLevelType w:val="hybridMultilevel"/>
    <w:tmpl w:val="DA56D2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943"/>
    <w:rsid w:val="0001579A"/>
    <w:rsid w:val="0007491C"/>
    <w:rsid w:val="000F05F6"/>
    <w:rsid w:val="001632E1"/>
    <w:rsid w:val="00166262"/>
    <w:rsid w:val="001A56AB"/>
    <w:rsid w:val="001B1A75"/>
    <w:rsid w:val="001B3908"/>
    <w:rsid w:val="002A21B7"/>
    <w:rsid w:val="00336799"/>
    <w:rsid w:val="003D6594"/>
    <w:rsid w:val="003F45FB"/>
    <w:rsid w:val="00493916"/>
    <w:rsid w:val="004D113C"/>
    <w:rsid w:val="00593100"/>
    <w:rsid w:val="005C7CA1"/>
    <w:rsid w:val="005F730D"/>
    <w:rsid w:val="00675A45"/>
    <w:rsid w:val="006A0287"/>
    <w:rsid w:val="006E3128"/>
    <w:rsid w:val="0074479D"/>
    <w:rsid w:val="00783943"/>
    <w:rsid w:val="00792F19"/>
    <w:rsid w:val="007A2AAC"/>
    <w:rsid w:val="007B5746"/>
    <w:rsid w:val="007D1358"/>
    <w:rsid w:val="007F4901"/>
    <w:rsid w:val="00832AE4"/>
    <w:rsid w:val="00854601"/>
    <w:rsid w:val="008A1BFE"/>
    <w:rsid w:val="009303FA"/>
    <w:rsid w:val="00AD4141"/>
    <w:rsid w:val="00AF4FD7"/>
    <w:rsid w:val="00B71F36"/>
    <w:rsid w:val="00BD39BF"/>
    <w:rsid w:val="00C07880"/>
    <w:rsid w:val="00C879DC"/>
    <w:rsid w:val="00CB12A3"/>
    <w:rsid w:val="00D055C8"/>
    <w:rsid w:val="00D47A91"/>
    <w:rsid w:val="00E53F7E"/>
    <w:rsid w:val="00E72C3B"/>
    <w:rsid w:val="00ED3555"/>
    <w:rsid w:val="00F51FE3"/>
    <w:rsid w:val="00FA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5EA2"/>
  <w15:chartTrackingRefBased/>
  <w15:docId w15:val="{3F6BEA3B-4A46-4CF7-95AC-464BA4C2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3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8394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8394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783943"/>
    <w:rPr>
      <w:rFonts w:cs="Times New Roman"/>
    </w:rPr>
  </w:style>
  <w:style w:type="paragraph" w:styleId="Odsekzoznamu">
    <w:name w:val="List Paragraph"/>
    <w:basedOn w:val="Normlny"/>
    <w:uiPriority w:val="34"/>
    <w:qFormat/>
    <w:rsid w:val="00783943"/>
    <w:pPr>
      <w:ind w:left="720"/>
      <w:contextualSpacing/>
    </w:pPr>
  </w:style>
  <w:style w:type="paragraph" w:customStyle="1" w:styleId="Normlny0">
    <w:name w:val="_Normálny"/>
    <w:basedOn w:val="Normlny"/>
    <w:uiPriority w:val="99"/>
    <w:rsid w:val="00783943"/>
    <w:pPr>
      <w:autoSpaceDE w:val="0"/>
      <w:autoSpaceDN w:val="0"/>
    </w:pPr>
    <w:rPr>
      <w:sz w:val="20"/>
      <w:szCs w:val="20"/>
      <w:lang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783943"/>
    <w:pPr>
      <w:ind w:left="290" w:hanging="290"/>
    </w:pPr>
    <w:rPr>
      <w:sz w:val="20"/>
      <w:szCs w:val="20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78394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839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839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8394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7839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394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3943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GRACIKOVÁ Anna</dc:creator>
  <cp:keywords/>
  <dc:description/>
  <cp:lastModifiedBy>GRACIKOVÁ Anna</cp:lastModifiedBy>
  <cp:revision>35</cp:revision>
  <cp:lastPrinted>2026-03-19T07:25:00Z</cp:lastPrinted>
  <dcterms:created xsi:type="dcterms:W3CDTF">2023-05-31T11:03:00Z</dcterms:created>
  <dcterms:modified xsi:type="dcterms:W3CDTF">2026-03-23T16:15:00Z</dcterms:modified>
</cp:coreProperties>
</file>