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65283">
        <w:rPr>
          <w:sz w:val="22"/>
          <w:szCs w:val="22"/>
        </w:rPr>
        <w:t>811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65283">
        <w:t>1013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65283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10612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065283">
        <w:rPr>
          <w:rFonts w:cs="Arial"/>
          <w:szCs w:val="22"/>
        </w:rPr>
        <w:t>Mariana KOTLEBU, Rastislava SCHLOSÁRA, Jána MORU a Jána KECSKÉSA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065283">
        <w:rPr>
          <w:rFonts w:cs="Arial"/>
          <w:szCs w:val="22"/>
        </w:rPr>
        <w:t>zákon č. 301/2005 Z. z. Trestný poriadok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65283">
        <w:rPr>
          <w:rFonts w:cs="Arial"/>
          <w:szCs w:val="22"/>
        </w:rPr>
        <w:t>963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65283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632455" w:rsidP="0063245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E66789" w:rsidR="008B1A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632455" w:rsidP="0063245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632455" w:rsidP="0063245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32455" w:rsidP="00632455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32455" w:rsidP="00632455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632455" w:rsidP="00632455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632455" w:rsidP="00632455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a) k návrhu zákona ako gestorský Ústavnoprávny výbor Národnej rady Slovenskej republiky,</w:t>
      </w:r>
    </w:p>
    <w:p w:rsidR="00632455" w:rsidP="0063245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32455" w:rsidP="00632455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63245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65283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226AE"/>
    <w:rsid w:val="003453A8"/>
    <w:rsid w:val="00345D4D"/>
    <w:rsid w:val="00351461"/>
    <w:rsid w:val="00370627"/>
    <w:rsid w:val="00484701"/>
    <w:rsid w:val="00492F29"/>
    <w:rsid w:val="004D06C1"/>
    <w:rsid w:val="004F21D2"/>
    <w:rsid w:val="00510612"/>
    <w:rsid w:val="0054739D"/>
    <w:rsid w:val="005F3F76"/>
    <w:rsid w:val="00632455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2018-04-24T14:16:00Z</cp:lastPrinted>
  <dcterms:created xsi:type="dcterms:W3CDTF">2018-04-25T10:42:00Z</dcterms:created>
  <dcterms:modified xsi:type="dcterms:W3CDTF">2018-04-25T10:42:00Z</dcterms:modified>
</cp:coreProperties>
</file>