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D8BA" w14:textId="77777777" w:rsidR="003866B7" w:rsidRPr="00B773FA" w:rsidRDefault="00484662" w:rsidP="00A80592">
      <w:pPr>
        <w:pStyle w:val="Default"/>
        <w:widowControl w:val="0"/>
        <w:jc w:val="center"/>
        <w:rPr>
          <w:b/>
          <w:bCs/>
          <w:szCs w:val="20"/>
        </w:rPr>
      </w:pPr>
      <w:r w:rsidRPr="00B773FA">
        <w:rPr>
          <w:b/>
          <w:bCs/>
          <w:szCs w:val="20"/>
        </w:rPr>
        <w:t>TABUĽKA ZHODY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3686"/>
        <w:gridCol w:w="708"/>
        <w:gridCol w:w="709"/>
        <w:gridCol w:w="851"/>
        <w:gridCol w:w="5103"/>
        <w:gridCol w:w="708"/>
        <w:gridCol w:w="851"/>
        <w:gridCol w:w="709"/>
        <w:gridCol w:w="1417"/>
      </w:tblGrid>
      <w:tr w:rsidR="00484662" w:rsidRPr="008551EE" w14:paraId="1B5DC446" w14:textId="77777777" w:rsidTr="001D0F61">
        <w:tc>
          <w:tcPr>
            <w:tcW w:w="5387" w:type="dxa"/>
            <w:gridSpan w:val="3"/>
          </w:tcPr>
          <w:p w14:paraId="4773D1E9" w14:textId="3C4926BB" w:rsidR="00484662" w:rsidRPr="008551EE" w:rsidRDefault="00484662" w:rsidP="00A8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Delegovaná smernice Komisie (EÚ) 2025/1223 z 10. apríla 2025, ktorou sa mení smernica Európskeho parlamentu </w:t>
            </w:r>
            <w:r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br/>
              <w:t>a Rady 2005/36/EÚ, pokiaľ ide o minimálne požiadavky na odbornú prípravu pre povolanie veterinárneho lekára</w:t>
            </w:r>
            <w:r w:rsidR="00D875F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875F5" w:rsidRPr="00D875F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(Ú. v. EÚ L, 2025/1223, 20.6.2025)</w:t>
            </w:r>
          </w:p>
        </w:tc>
        <w:tc>
          <w:tcPr>
            <w:tcW w:w="10348" w:type="dxa"/>
            <w:gridSpan w:val="7"/>
          </w:tcPr>
          <w:p w14:paraId="4148A7E5" w14:textId="013A9D24" w:rsidR="00484662" w:rsidRPr="00B773FA" w:rsidRDefault="00484662" w:rsidP="00A8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Návrh zákona</w:t>
            </w:r>
            <w:r w:rsidR="003817CF"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, ktorým sa mení zákon č. 442/2004 Z. z. o súkromných veterinárnych lekároch, o Komore veterinárnych lekárov Slovenskej republiky a o zmene a doplnení zákona č. 488/2002 Z. z. o veterinárnej starostlivosti a o zmene niektorých zákonov v znení neskorších predpisov v znení neskorších predpisov</w:t>
            </w:r>
          </w:p>
        </w:tc>
      </w:tr>
      <w:tr w:rsidR="00A821BF" w:rsidRPr="008551EE" w14:paraId="324BB2CF" w14:textId="77777777" w:rsidTr="00895265">
        <w:tc>
          <w:tcPr>
            <w:tcW w:w="993" w:type="dxa"/>
          </w:tcPr>
          <w:p w14:paraId="773F813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3686" w:type="dxa"/>
          </w:tcPr>
          <w:p w14:paraId="5A4D791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708" w:type="dxa"/>
          </w:tcPr>
          <w:p w14:paraId="692A69B3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709" w:type="dxa"/>
          </w:tcPr>
          <w:p w14:paraId="1B25E0C8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2D0996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8A6C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D49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15F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049E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>9</w:t>
            </w:r>
          </w:p>
          <w:p w14:paraId="2A8045A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D525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>10</w:t>
            </w:r>
          </w:p>
        </w:tc>
      </w:tr>
      <w:tr w:rsidR="00A821BF" w:rsidRPr="008551EE" w14:paraId="3AE72241" w14:textId="77777777" w:rsidTr="00895265">
        <w:tc>
          <w:tcPr>
            <w:tcW w:w="993" w:type="dxa"/>
          </w:tcPr>
          <w:p w14:paraId="1D1790AF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Článok </w:t>
            </w:r>
          </w:p>
          <w:p w14:paraId="2C16491D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(Č, O, </w:t>
            </w:r>
          </w:p>
          <w:p w14:paraId="6DFFB892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V, P) </w:t>
            </w:r>
          </w:p>
        </w:tc>
        <w:tc>
          <w:tcPr>
            <w:tcW w:w="3686" w:type="dxa"/>
          </w:tcPr>
          <w:p w14:paraId="0658AD7B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</w:tcPr>
          <w:p w14:paraId="130405A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Spôsob 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>trans-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 xml:space="preserve">pozície </w:t>
            </w:r>
          </w:p>
          <w:p w14:paraId="1C59937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37AEDC2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Číslo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0007CB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Článok </w:t>
            </w:r>
            <w:r w:rsidRPr="008551EE">
              <w:rPr>
                <w:b/>
                <w:sz w:val="18"/>
                <w:szCs w:val="18"/>
              </w:rPr>
              <w:br/>
              <w:t xml:space="preserve">(Č, §, O, V, P)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A1D5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CDE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Zhoda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4E0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>Poz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námky</w:t>
            </w:r>
            <w:r w:rsidR="00A821BF" w:rsidRPr="008551EE">
              <w:rPr>
                <w:b/>
                <w:sz w:val="18"/>
                <w:szCs w:val="18"/>
              </w:rPr>
              <w:br/>
              <w:t>(pri návrhu predpisu predpo-kladaný dátum účinnosti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5D8000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>Identi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fikácia gold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platingu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84FCE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Identifikácia 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>v oblasti goldplatingu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>a vyjadrenie</w:t>
            </w:r>
            <w:r w:rsidR="00A821BF" w:rsidRPr="008551EE">
              <w:rPr>
                <w:b/>
                <w:sz w:val="18"/>
                <w:szCs w:val="18"/>
              </w:rPr>
              <w:t xml:space="preserve"> k opodstatnenosti goldplatingu</w:t>
            </w:r>
          </w:p>
        </w:tc>
      </w:tr>
      <w:tr w:rsidR="00A821BF" w:rsidRPr="008551EE" w14:paraId="3C3379D3" w14:textId="77777777" w:rsidTr="00895265">
        <w:tc>
          <w:tcPr>
            <w:tcW w:w="993" w:type="dxa"/>
          </w:tcPr>
          <w:p w14:paraId="5019E683" w14:textId="77777777" w:rsidR="00484662" w:rsidRPr="008551EE" w:rsidRDefault="00484662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1</w:t>
            </w:r>
          </w:p>
          <w:p w14:paraId="0CAD13B3" w14:textId="77777777" w:rsidR="00484662" w:rsidRPr="008551EE" w:rsidRDefault="0025559E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Zmeny smernice 2005/36/ES</w:t>
            </w:r>
          </w:p>
          <w:p w14:paraId="66D960EA" w14:textId="77777777" w:rsidR="0025559E" w:rsidRPr="008551EE" w:rsidRDefault="0025559E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O</w:t>
            </w:r>
            <w:r w:rsidR="009025C9" w:rsidRPr="008551EE">
              <w:rPr>
                <w:sz w:val="18"/>
                <w:szCs w:val="18"/>
              </w:rPr>
              <w:t>:</w:t>
            </w:r>
            <w:r w:rsidRPr="008551E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3686" w:type="dxa"/>
          </w:tcPr>
          <w:p w14:paraId="3C67D543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Smernica 2005/36/ES sa mení takto:</w:t>
            </w:r>
          </w:p>
          <w:p w14:paraId="766D4686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1. V článku 38 sa odsek 3 nahrádza takto:</w:t>
            </w:r>
          </w:p>
          <w:p w14:paraId="5937850E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„3. Odborná príprava veterinárneho lekára poskytuje záruku, že príslušný odborník získal tieto znalosti a zručnosti:</w:t>
            </w:r>
          </w:p>
          <w:p w14:paraId="41F84606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a) znalosti vied, o ktoré sa opierajú činnosti veterinárneho lekára, a právnych predpisov EÚ súvisiacich s týmito činnosťami;</w:t>
            </w:r>
          </w:p>
          <w:p w14:paraId="6CA32925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b) primerané znalosti štruktúry, fungovania, správania a fyziologických potrieb zvierat, ako </w:t>
            </w:r>
            <w:r w:rsidRPr="008551EE">
              <w:rPr>
                <w:sz w:val="18"/>
                <w:szCs w:val="18"/>
              </w:rPr>
              <w:br/>
              <w:t xml:space="preserve">aj zručnosti a spôsobilosti potrebné na ich chov, kŕmenie, zdravie, reprodukciu a hygienu všeobecne; </w:t>
            </w:r>
          </w:p>
          <w:p w14:paraId="4A6E6FE5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c) klinické, epidemiologické a analytické zručnosti a spôsobilosti požadované na prevenciu, diagnostiku a liečenie ochorení zvierat, ako aj na posúdenie a zvládanie bolesti, bezpečné vykonávanie sterilných operácií, sedácie, anestézie a eutanázie, či už zvažované individuálne alebo skupinovo, vrátane špecifických znalostí chorôb prenosných na človeka;</w:t>
            </w:r>
          </w:p>
          <w:p w14:paraId="09C77CFC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d) primerané znalosti, zručnosti a spôsobilosti na preventívne lekárstvo vrátane spôsobilostí týkajúcich sa biologickej bezpečnosti, vyšetrovania a vydávania potvrdení;</w:t>
            </w:r>
          </w:p>
          <w:p w14:paraId="45128C63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e) primerané znalosti hygieny a technológie použitej pri produkcii, výrobe a uvedení do obehu krmív zvierat a potravín živočíšneho pôvodu, určených na ľudskú spotrebu, vrátane zručností </w:t>
            </w:r>
            <w:r w:rsidRPr="008551EE">
              <w:rPr>
                <w:sz w:val="18"/>
                <w:szCs w:val="18"/>
              </w:rPr>
              <w:br/>
            </w:r>
            <w:r w:rsidRPr="008551EE">
              <w:rPr>
                <w:sz w:val="18"/>
                <w:szCs w:val="18"/>
              </w:rPr>
              <w:lastRenderedPageBreak/>
              <w:t xml:space="preserve">a spôsobilostí potrebných na pochopenie </w:t>
            </w:r>
            <w:r w:rsidRPr="008551EE">
              <w:rPr>
                <w:sz w:val="18"/>
                <w:szCs w:val="18"/>
              </w:rPr>
              <w:br/>
              <w:t>a vysvetlenie osvedčených postupov v tejto oblasti;</w:t>
            </w:r>
          </w:p>
          <w:p w14:paraId="73A09EAF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f) znalosti, zručnosti a spôsobilosti potrebné na zodpovedné a citlivé využívanie veterinárnych liekov s cieľom liečiť zvieratá a zaistiť bezpečnosť potravinového reťazca a ochrany životného prostredia;</w:t>
            </w:r>
          </w:p>
          <w:p w14:paraId="73F48EEA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g) primerané znalosti a pochopenie koncepcie ‚jedno zdravie‘ vrátane zručností a spôsobilostí na jej uplatňovanie a začlenenie do veterinárneho verejného zdravia;</w:t>
            </w:r>
          </w:p>
          <w:p w14:paraId="081BA437" w14:textId="77777777" w:rsidR="0025559E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h) znalosti o organizácii a riadení v súvislosti </w:t>
            </w:r>
            <w:r w:rsidRPr="008551EE">
              <w:rPr>
                <w:sz w:val="18"/>
                <w:szCs w:val="18"/>
              </w:rPr>
              <w:br/>
              <w:t xml:space="preserve">s veterinárnym podnikom vrátane riadenia praxe </w:t>
            </w:r>
            <w:r w:rsidRPr="008551EE">
              <w:rPr>
                <w:sz w:val="18"/>
                <w:szCs w:val="18"/>
              </w:rPr>
              <w:br/>
              <w:t xml:space="preserve">a ekonomiky v oblasti zdravia zvierat; primerané znalosti, zručnosti a spôsobilosti v oblasti interpersonálnej a interprofesijnej interakcie, komunikácie, tímovej práce </w:t>
            </w:r>
            <w:r w:rsidR="00B317A7" w:rsidRPr="008551EE">
              <w:rPr>
                <w:sz w:val="18"/>
                <w:szCs w:val="18"/>
              </w:rPr>
              <w:br/>
            </w:r>
            <w:r w:rsidRPr="008551EE">
              <w:rPr>
                <w:sz w:val="18"/>
                <w:szCs w:val="18"/>
              </w:rPr>
              <w:t>a multidisciplinárnej spolupráce;</w:t>
            </w:r>
          </w:p>
          <w:p w14:paraId="2777998A" w14:textId="77777777" w:rsidR="00484662" w:rsidRPr="008551EE" w:rsidRDefault="0025559E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i) primerané znalosti v oblasti správy údajov, informačných technológií a digitálnych technológií, ako aj zručnosti a spôsobilosti potrebné na ich praktické uplatňovanie vo veterinárnej oblasti.“</w:t>
            </w:r>
          </w:p>
        </w:tc>
        <w:tc>
          <w:tcPr>
            <w:tcW w:w="708" w:type="dxa"/>
          </w:tcPr>
          <w:p w14:paraId="324A0884" w14:textId="77777777" w:rsidR="00484662" w:rsidRPr="008551EE" w:rsidRDefault="00484662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35916F" w14:textId="65575FF2" w:rsidR="00484662" w:rsidRPr="008551EE" w:rsidRDefault="008924CD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Návrh zákona </w:t>
            </w:r>
            <w:r w:rsidRPr="008551EE">
              <w:rPr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1C57" w14:textId="77777777" w:rsidR="00A0306A" w:rsidRPr="008551EE" w:rsidRDefault="00A0306A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I</w:t>
            </w:r>
          </w:p>
          <w:p w14:paraId="6B193539" w14:textId="40AB1A36" w:rsidR="007D546F" w:rsidRPr="008551EE" w:rsidRDefault="007D54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Príloha č. </w:t>
            </w:r>
            <w:r w:rsidR="00A0306A" w:rsidRPr="008551EE">
              <w:rPr>
                <w:sz w:val="18"/>
                <w:szCs w:val="18"/>
              </w:rPr>
              <w:t>1</w:t>
            </w:r>
          </w:p>
          <w:p w14:paraId="411BCD1C" w14:textId="77777777" w:rsidR="00484662" w:rsidRPr="008551EE" w:rsidRDefault="007D54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Časť B</w:t>
            </w:r>
          </w:p>
          <w:p w14:paraId="62987952" w14:textId="77777777" w:rsidR="00484662" w:rsidRPr="008551EE" w:rsidRDefault="00484662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BE6E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OBLASTI, KTORÝCH ZNALOSŤ JE PREDPOKLADOM ZÍSKANIA DIPLOMU, OSVEDČENIA ALEBO INÉHO DOKLADU O POŽADOVANOM VZDELANÍ PRE VETERINÁRNEHO LEKÁRA</w:t>
            </w:r>
          </w:p>
          <w:p w14:paraId="1B646A6A" w14:textId="4DDA2DA5" w:rsidR="00A0306A" w:rsidRPr="008551EE" w:rsidRDefault="00895265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Predpoklady</w:t>
            </w:r>
            <w:r w:rsidR="00A0306A" w:rsidRPr="008551E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6531FEC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a) znalosti vied, o ktoré sa opierajú činnosti veterinárneho lekára, a právne záväzných aktov Európskej únie súvisiacich s týmito činnosťami,</w:t>
            </w:r>
          </w:p>
          <w:p w14:paraId="6DFCA282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b) primerané znalosti štruktúry, fungovania, správania a fyziologických potrieb zvierat, zručnosti a spôsobilosti potrebné na ich chov, kŕmenie, zdravie, reprodukciu a hygienu všeobecne,</w:t>
            </w:r>
          </w:p>
          <w:p w14:paraId="0FF34626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c) klinické, epidemiologické a analytické zručnosti a spôsobilosti požadované na prevenciu, diagnostiku a liečenie ochorení zvierat, posúdenie a zvládanie bolesti, bezpečné vykonávanie sterilných operácií, sedácie, anestézie a eutanázie zvažované individuálne alebo skupinovo vrátane špecifických znalostí chorôb prenosných na človeka,</w:t>
            </w:r>
          </w:p>
          <w:p w14:paraId="02D6C918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d) primerané znalosti, zručnosti a spôsobilosti na preventívne lekárstvo vrátane spôsobilostí týkajúcich sa biologickej bezpečnosti, vyšetrovania a vydávania potvrdení,</w:t>
            </w:r>
          </w:p>
          <w:p w14:paraId="04ED546C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e) primerané znalosti hygieny a technológie použitej pri produkcii, výrobe a uvedení do obehu krmív zvierat a potravín živočíšneho pôvodu určených na ľudskú spotrebu vrátane zručností a spôsobilostí potrebných na pochopenie a vysvetlenie osvedčených postupov v tejto oblasti,</w:t>
            </w:r>
          </w:p>
          <w:p w14:paraId="1FCC5748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f) znalosti, zručnosti a spôsobilosti potrebné na zodpovedné a citlivé využívanie veterinárnych liekov s cieľom liečiť zvieratá a zaistiť bezpečnosť potravinového reťazca a ochrany životného prostredia,</w:t>
            </w:r>
          </w:p>
          <w:p w14:paraId="7D3D176C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 xml:space="preserve">g) primerané znalosti a pochopenie koncepcie „jedno zdravie“ vrátane zručností a spôsobilostí na jej uplatňovanie a začlenenie do </w:t>
            </w:r>
            <w:r w:rsidRPr="008551E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veterinárneho verejného zdravia,</w:t>
            </w:r>
          </w:p>
          <w:p w14:paraId="2BB8769F" w14:textId="77777777" w:rsidR="00A0306A" w:rsidRPr="008551EE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h) znalosti o organizácii a riadení v súvislosti s veterinárnym podnikom vrátane riadenia praxe a ekonomiky v oblasti zdravia zvierat, primerané znalosti, zručnosti a spôsobilosti v oblasti interpersonálnej a interprofesijnej interakcie, komunikácie, tímovej práce a multidisciplinárnej spolupráce,</w:t>
            </w:r>
          </w:p>
          <w:p w14:paraId="3AC94CAB" w14:textId="5EAB6EAD" w:rsidR="00A0306A" w:rsidRPr="00B773FA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i) primerané znalosti v oblasti správy údajov, informačných technológií a digitálnych technológií, zručnosti a spôsobilosti potrebné na ich praktické uplatňovanie vo veterinárnej oblasti.</w:t>
            </w:r>
          </w:p>
          <w:p w14:paraId="2026884B" w14:textId="6C492D6C" w:rsidR="00484662" w:rsidRPr="008551EE" w:rsidRDefault="00484662" w:rsidP="00A8059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5EA" w14:textId="77777777" w:rsidR="00484662" w:rsidRPr="008551EE" w:rsidRDefault="00484662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 xml:space="preserve">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C1E" w14:textId="77777777" w:rsidR="008924CD" w:rsidRPr="008551EE" w:rsidRDefault="008924CD" w:rsidP="00A80592">
            <w:pPr>
              <w:pStyle w:val="Default"/>
              <w:widowControl w:val="0"/>
              <w:rPr>
                <w:sz w:val="20"/>
                <w:szCs w:val="20"/>
              </w:rPr>
            </w:pPr>
            <w:r w:rsidRPr="008551EE">
              <w:rPr>
                <w:sz w:val="18"/>
                <w:szCs w:val="20"/>
              </w:rPr>
              <w:t>1</w:t>
            </w:r>
            <w:r w:rsidR="00CC1F6F" w:rsidRPr="008551EE">
              <w:rPr>
                <w:sz w:val="18"/>
                <w:szCs w:val="20"/>
              </w:rPr>
              <w:t>0</w:t>
            </w:r>
            <w:r w:rsidRPr="008551EE">
              <w:rPr>
                <w:sz w:val="18"/>
                <w:szCs w:val="20"/>
              </w:rPr>
              <w:t xml:space="preserve">. </w:t>
            </w:r>
            <w:r w:rsidR="00CC1F6F" w:rsidRPr="008551EE">
              <w:rPr>
                <w:sz w:val="18"/>
                <w:szCs w:val="20"/>
              </w:rPr>
              <w:t>apríla</w:t>
            </w:r>
            <w:r w:rsidRPr="008551EE">
              <w:rPr>
                <w:sz w:val="18"/>
                <w:szCs w:val="20"/>
              </w:rPr>
              <w:t xml:space="preserve"> 202</w:t>
            </w:r>
            <w:r w:rsidR="00CC1F6F" w:rsidRPr="008551EE">
              <w:rPr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2C997E3" w14:textId="77777777" w:rsidR="00484662" w:rsidRPr="008551EE" w:rsidRDefault="00970F0B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GP - </w:t>
            </w:r>
            <w:r w:rsidR="00BB3E98" w:rsidRPr="008551EE">
              <w:rPr>
                <w:sz w:val="18"/>
                <w:szCs w:val="18"/>
              </w:rPr>
              <w:t>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AD4AE67" w14:textId="77777777" w:rsidR="00484662" w:rsidRPr="008551EE" w:rsidRDefault="00484662" w:rsidP="00A80592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CC1F6F" w:rsidRPr="008551EE" w14:paraId="05A443BE" w14:textId="77777777" w:rsidTr="00895265">
        <w:tc>
          <w:tcPr>
            <w:tcW w:w="993" w:type="dxa"/>
          </w:tcPr>
          <w:p w14:paraId="1DD57207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1</w:t>
            </w:r>
          </w:p>
          <w:p w14:paraId="20843496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Zmeny smernice 2005/36/ES</w:t>
            </w:r>
            <w:r w:rsidRPr="008551EE">
              <w:rPr>
                <w:sz w:val="18"/>
                <w:szCs w:val="18"/>
              </w:rPr>
              <w:br/>
              <w:t>O: 2</w:t>
            </w:r>
          </w:p>
        </w:tc>
        <w:tc>
          <w:tcPr>
            <w:tcW w:w="3686" w:type="dxa"/>
          </w:tcPr>
          <w:p w14:paraId="0AE22142" w14:textId="77777777" w:rsidR="00CC1F6F" w:rsidRPr="008551EE" w:rsidRDefault="00CC1F6F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2. Príloha V sa mení v súlade s prílohou k tejto smernici.</w:t>
            </w:r>
          </w:p>
        </w:tc>
        <w:tc>
          <w:tcPr>
            <w:tcW w:w="708" w:type="dxa"/>
          </w:tcPr>
          <w:p w14:paraId="20228E63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BD2249" w14:textId="33DC1824" w:rsidR="00CC1F6F" w:rsidRPr="008551EE" w:rsidRDefault="00D27E0E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Návrh zákona </w:t>
            </w:r>
            <w:r w:rsidRPr="008551EE">
              <w:rPr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5C2A" w14:textId="77777777" w:rsidR="00A0306A" w:rsidRPr="008551EE" w:rsidRDefault="00A0306A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I</w:t>
            </w:r>
          </w:p>
          <w:p w14:paraId="3AD93ECF" w14:textId="4E608B22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Príloha č. </w:t>
            </w:r>
            <w:r w:rsidR="00A0306A" w:rsidRPr="008551EE">
              <w:rPr>
                <w:sz w:val="18"/>
                <w:szCs w:val="18"/>
              </w:rPr>
              <w:t>1</w:t>
            </w:r>
          </w:p>
          <w:p w14:paraId="3B4B6171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Časť 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2100" w14:textId="77777777" w:rsidR="00A0306A" w:rsidRPr="00B773FA" w:rsidRDefault="00A0306A" w:rsidP="00A0306A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POŽIADAVKY NA OBSAH VZDELANIE VETERINÁRNEHO LEKÁRA</w:t>
            </w:r>
          </w:p>
          <w:p w14:paraId="22DEC5FB" w14:textId="77777777" w:rsidR="00A0306A" w:rsidRPr="00B773FA" w:rsidRDefault="00A0306A" w:rsidP="00A0306A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ČASŤ A</w:t>
            </w:r>
          </w:p>
          <w:p w14:paraId="575E04E0" w14:textId="77777777" w:rsidR="00A0306A" w:rsidRPr="00B773FA" w:rsidRDefault="00A0306A" w:rsidP="00A0306A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ŠTUDIJNÝ PROGRAM PRE VETERINÁRNYCH LEKÁROV</w:t>
            </w:r>
          </w:p>
          <w:p w14:paraId="4CEDE548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Program štúdia vedúceho k udeleniu diplomu, osvedčenia alebo iného dokladu o formálnej kvalifikácii v oblasti veterinárnej medicíny zahŕňa minimálne tieto predmety:</w:t>
            </w:r>
          </w:p>
          <w:p w14:paraId="5D81E82D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 xml:space="preserve">A. </w:t>
            </w:r>
            <w:r w:rsidRPr="00B773FA">
              <w:rPr>
                <w:b/>
                <w:sz w:val="18"/>
                <w:szCs w:val="18"/>
              </w:rPr>
              <w:t>Základné predmety</w:t>
            </w:r>
          </w:p>
          <w:p w14:paraId="5BB4EB33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fyzika,</w:t>
            </w:r>
          </w:p>
          <w:p w14:paraId="46AFF019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chémia,</w:t>
            </w:r>
          </w:p>
          <w:p w14:paraId="669AD07D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biológia zvierat a cytológia,</w:t>
            </w:r>
          </w:p>
          <w:p w14:paraId="5C3D2A58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biológia rastlín,</w:t>
            </w:r>
          </w:p>
          <w:p w14:paraId="318E5121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biomatematika.</w:t>
            </w:r>
          </w:p>
          <w:p w14:paraId="3BCB2CB1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 xml:space="preserve">B. </w:t>
            </w:r>
            <w:r w:rsidRPr="00B773FA">
              <w:rPr>
                <w:b/>
                <w:sz w:val="18"/>
                <w:szCs w:val="18"/>
              </w:rPr>
              <w:t>Špecifické predmety</w:t>
            </w:r>
          </w:p>
          <w:p w14:paraId="7C7E43A3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1: Základné vedy</w:t>
            </w:r>
          </w:p>
          <w:p w14:paraId="12F5AD0B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anatómia vrátane histológie a embryológie,</w:t>
            </w:r>
          </w:p>
          <w:p w14:paraId="75FC36F7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fyziológia,</w:t>
            </w:r>
          </w:p>
          <w:p w14:paraId="67D595DE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biochémia,</w:t>
            </w:r>
          </w:p>
          <w:p w14:paraId="07E35479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genetika a molekulárna genetika,</w:t>
            </w:r>
          </w:p>
          <w:p w14:paraId="372C4BDF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farmácia, farmakológia a farmakoterapia vrátane antimikrobiálnej rezistencie,</w:t>
            </w:r>
          </w:p>
          <w:p w14:paraId="39678068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toxikológia,</w:t>
            </w:r>
          </w:p>
          <w:p w14:paraId="52B5D9D1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mikrobiológia,</w:t>
            </w:r>
          </w:p>
          <w:p w14:paraId="2571FE12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imunológia,</w:t>
            </w:r>
          </w:p>
          <w:p w14:paraId="212CB588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lastRenderedPageBreak/>
              <w:t>epidemiológia,</w:t>
            </w:r>
          </w:p>
          <w:p w14:paraId="4B3CF6B3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profesná etika.</w:t>
            </w:r>
          </w:p>
          <w:p w14:paraId="7CD11820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2: Klinické vedy</w:t>
            </w:r>
          </w:p>
          <w:p w14:paraId="7C97816D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pôrodníctvo,</w:t>
            </w:r>
          </w:p>
          <w:p w14:paraId="5B4D31E6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patológia vrátane patologickej anatómie,</w:t>
            </w:r>
          </w:p>
          <w:p w14:paraId="3B8035C6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parazitológia,</w:t>
            </w:r>
          </w:p>
          <w:p w14:paraId="409BB204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klinická medicína a chirurgia vrátane anestéziológie,</w:t>
            </w:r>
          </w:p>
          <w:p w14:paraId="30090910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klinické prednášky o domácich zvieratách, hydine a iných živočíšnych druhoch,</w:t>
            </w:r>
          </w:p>
          <w:p w14:paraId="65AD7AD5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preventívna medicína,</w:t>
            </w:r>
          </w:p>
          <w:p w14:paraId="4B4E3D48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diagnostické zobrazovanie,</w:t>
            </w:r>
          </w:p>
          <w:p w14:paraId="1391CF52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rozmnožovanie a reprodukčné poruchy, </w:t>
            </w:r>
          </w:p>
          <w:p w14:paraId="5BCB404C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štátne veterinárne lekárstvo a verejné zdravie,</w:t>
            </w:r>
          </w:p>
          <w:p w14:paraId="1F6E96B4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veterinárna legislatíva a veterinárne súdne lekárstvo,</w:t>
            </w:r>
          </w:p>
          <w:p w14:paraId="70982ADD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terapeutika,</w:t>
            </w:r>
          </w:p>
          <w:p w14:paraId="18B15853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propedeutika.</w:t>
            </w:r>
          </w:p>
          <w:p w14:paraId="66961B54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3: Živočíšna výroba</w:t>
            </w:r>
          </w:p>
          <w:p w14:paraId="27A341AE" w14:textId="77777777" w:rsidR="00A0306A" w:rsidRPr="00B773FA" w:rsidRDefault="00A0306A" w:rsidP="00A0306A">
            <w:pPr>
              <w:pStyle w:val="Defaul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živočíšna výroba,</w:t>
            </w:r>
          </w:p>
          <w:p w14:paraId="3D1B73B9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výživa zvierat,</w:t>
            </w:r>
          </w:p>
          <w:p w14:paraId="61334CEF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agronómia,</w:t>
            </w:r>
          </w:p>
          <w:p w14:paraId="081B46AB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ekonomika vidieka,</w:t>
            </w:r>
          </w:p>
          <w:p w14:paraId="1972B96F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chov hospodárskych zvierat a riadenie zdravia stád,</w:t>
            </w:r>
          </w:p>
          <w:p w14:paraId="61408A59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veterinárna hygiena,</w:t>
            </w:r>
          </w:p>
          <w:p w14:paraId="04086CED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dobré životné podmienky, etológia a ochrana zvierat.</w:t>
            </w:r>
          </w:p>
          <w:p w14:paraId="5247657C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4: Hygiena potravín</w:t>
            </w:r>
          </w:p>
          <w:p w14:paraId="180D3864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hygiena potravín, technológia prípravy potravín a mikrobiológia potravín,</w:t>
            </w:r>
            <w:r w:rsidRPr="00B773FA" w:rsidDel="001A2664">
              <w:rPr>
                <w:sz w:val="18"/>
                <w:szCs w:val="18"/>
              </w:rPr>
              <w:t xml:space="preserve"> </w:t>
            </w:r>
          </w:p>
          <w:p w14:paraId="4E390ED9" w14:textId="77777777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pracovná prax vrátane praxe na bitúnkoch a pri spracovaní potravín, </w:t>
            </w:r>
          </w:p>
          <w:p w14:paraId="7DFB6F59" w14:textId="14466F34" w:rsidR="00A0306A" w:rsidRPr="00B773FA" w:rsidRDefault="00A0306A" w:rsidP="00B773FA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inšpekcia a kontrola krmív pre zvieratá alebo </w:t>
            </w:r>
            <w:r w:rsidR="00895265" w:rsidRPr="00895265">
              <w:rPr>
                <w:sz w:val="18"/>
                <w:szCs w:val="18"/>
              </w:rPr>
              <w:t xml:space="preserve">inšpekcia a kontrola </w:t>
            </w:r>
            <w:r w:rsidRPr="00B773FA">
              <w:rPr>
                <w:sz w:val="18"/>
                <w:szCs w:val="18"/>
              </w:rPr>
              <w:t>potravín živočíšneho pôvodu.</w:t>
            </w:r>
          </w:p>
          <w:p w14:paraId="31EBA557" w14:textId="77777777" w:rsidR="00A0306A" w:rsidRPr="00B773FA" w:rsidRDefault="00A0306A" w:rsidP="00A0306A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Praktická príprava môže prebiehať formou prípravného obdobia, ak prebieha dennou formou a pod priamym dohľadom príslušného orgánu a netrvá dlhšie ako šesť mesiacov v rámci celkového päťročného odborného štúdia.</w:t>
            </w:r>
          </w:p>
          <w:p w14:paraId="55E60883" w14:textId="0AC12250" w:rsidR="00CC1F6F" w:rsidRPr="008551EE" w:rsidRDefault="00A0306A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Teoretická príprava a praktická príprava je vyvážene a koordinovane rozložená do rôznych predmetových skupín tak, aby bolo možné nadobúdať znalosti a skúsenosti spôsobom, ktorý veterinárnemu lekárovi umožní vykonávať všetky jeho povinnosti.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68F8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FB11" w14:textId="77777777" w:rsidR="00CC1F6F" w:rsidRPr="008551EE" w:rsidRDefault="00CC1F6F" w:rsidP="00A80592">
            <w:pPr>
              <w:pStyle w:val="Default"/>
              <w:widowControl w:val="0"/>
              <w:rPr>
                <w:sz w:val="20"/>
                <w:szCs w:val="20"/>
              </w:rPr>
            </w:pPr>
            <w:r w:rsidRPr="008551EE">
              <w:rPr>
                <w:sz w:val="18"/>
                <w:szCs w:val="20"/>
              </w:rPr>
              <w:t>10. apríla 2027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A07027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GP - N</w:t>
            </w:r>
          </w:p>
          <w:p w14:paraId="43FB4BC1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1A95FED0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075D20EC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C4A96C" w14:textId="77777777" w:rsidR="00CC1F6F" w:rsidRPr="008551EE" w:rsidRDefault="00CC1F6F" w:rsidP="00A80592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CC1F6F" w:rsidRPr="008551EE" w14:paraId="76E126BB" w14:textId="77777777" w:rsidTr="00895265">
        <w:tc>
          <w:tcPr>
            <w:tcW w:w="993" w:type="dxa"/>
          </w:tcPr>
          <w:p w14:paraId="09C789A6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2</w:t>
            </w:r>
          </w:p>
          <w:p w14:paraId="46F84C91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Transpozícia</w:t>
            </w:r>
          </w:p>
          <w:p w14:paraId="3E9E3769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O: 1</w:t>
            </w:r>
          </w:p>
        </w:tc>
        <w:tc>
          <w:tcPr>
            <w:tcW w:w="3686" w:type="dxa"/>
          </w:tcPr>
          <w:p w14:paraId="56C07DBA" w14:textId="77777777" w:rsidR="00CC1F6F" w:rsidRPr="008551EE" w:rsidRDefault="00CC1F6F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1. Členské štáty uvedú do účinnosti zákony, iné právne predpisy a správne opatrenia potrebné na dosiahnutie súladu s touto smernicou najneskôr do 10. apríla 2027. Znenie týchto ustanovení bezodkladne oznámia Komisii.</w:t>
            </w:r>
          </w:p>
          <w:p w14:paraId="31A42675" w14:textId="77777777" w:rsidR="00CC1F6F" w:rsidRPr="008551EE" w:rsidRDefault="00CC1F6F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Členské štáty uvedú priamo v prijatých ustanoveniach alebo pri ich úradnom uverejnení odkaz na túto smernicu. Podrobnosti o odkaze </w:t>
            </w:r>
            <w:r w:rsidRPr="008551EE">
              <w:rPr>
                <w:sz w:val="18"/>
                <w:szCs w:val="18"/>
              </w:rPr>
              <w:lastRenderedPageBreak/>
              <w:t>upravia členské štáty.</w:t>
            </w:r>
          </w:p>
        </w:tc>
        <w:tc>
          <w:tcPr>
            <w:tcW w:w="708" w:type="dxa"/>
          </w:tcPr>
          <w:p w14:paraId="016420D6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N</w:t>
            </w:r>
          </w:p>
          <w:p w14:paraId="794C6C68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03E7DA9B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70BA1EE2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2F3FB53F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3A18F027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69C1DFD5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</w:t>
            </w:r>
          </w:p>
          <w:p w14:paraId="4DB4DC26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2E6E7B9E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5F891FC2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2A943AA2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139A1493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1913F5F7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710D70" w14:textId="4507F1EE" w:rsidR="00CC1F6F" w:rsidRPr="008551EE" w:rsidRDefault="00D27E0E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 xml:space="preserve">Návrh zákona </w:t>
            </w:r>
            <w:r w:rsidRPr="008551EE">
              <w:rPr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9E9" w14:textId="4ECC4145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</w:t>
            </w:r>
            <w:r w:rsidR="00895265">
              <w:rPr>
                <w:sz w:val="18"/>
                <w:szCs w:val="18"/>
              </w:rPr>
              <w:t>:</w:t>
            </w:r>
            <w:r w:rsidRPr="008551EE">
              <w:rPr>
                <w:sz w:val="18"/>
                <w:szCs w:val="18"/>
              </w:rPr>
              <w:t xml:space="preserve"> II</w:t>
            </w:r>
          </w:p>
          <w:p w14:paraId="5DD5DA64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7305C294" w14:textId="77777777" w:rsidR="00895265" w:rsidRDefault="00895265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I</w:t>
            </w:r>
          </w:p>
          <w:p w14:paraId="702808FD" w14:textId="13CE790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Príloha č. 3</w:t>
            </w:r>
          </w:p>
          <w:p w14:paraId="4AEDC9DF" w14:textId="58DBE181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4283" w14:textId="76555311" w:rsidR="00CC1F6F" w:rsidRPr="008551EE" w:rsidRDefault="002945AD" w:rsidP="00A8059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51EE">
              <w:rPr>
                <w:rFonts w:ascii="Times New Roman" w:hAnsi="Times New Roman" w:cs="Times New Roman"/>
                <w:sz w:val="18"/>
                <w:szCs w:val="18"/>
              </w:rPr>
              <w:t>Tento zákon nadobúda účinnosť 10. apríla 2027</w:t>
            </w:r>
            <w:r w:rsidR="00CC1F6F" w:rsidRPr="008551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05648FD" w14:textId="77777777" w:rsidR="00CC1F6F" w:rsidRPr="008551EE" w:rsidRDefault="00CC1F6F" w:rsidP="00A8059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06D726" w14:textId="77777777" w:rsidR="00A0306A" w:rsidRPr="00B773FA" w:rsidRDefault="00A0306A" w:rsidP="00A030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ZOZNAM PREBERANÝCH PRÁVNE ZÁVÄZNÝCH AKTOV EURÓPSKEJ ÚNIE</w:t>
            </w:r>
          </w:p>
          <w:p w14:paraId="1A5E6B5E" w14:textId="77777777" w:rsidR="00895265" w:rsidRPr="00895265" w:rsidRDefault="00895265" w:rsidP="008952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265">
              <w:rPr>
                <w:rFonts w:ascii="Times New Roman" w:hAnsi="Times New Roman" w:cs="Times New Roman"/>
                <w:sz w:val="18"/>
                <w:szCs w:val="18"/>
              </w:rPr>
              <w:t>Smernica Európskeho parlamentu a Rady 2005/36/ES zo 7. septembra 2005 o uznávaní odborných kvalifikácií (Ú. v. EÚ L 255, 30. 9. 2005) v znení</w:t>
            </w:r>
          </w:p>
          <w:p w14:paraId="3349C77F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 xml:space="preserve">smernice Rady 2006/100/ES z 20. novembra 2006 (Ú. v. EÚ L 363, </w:t>
            </w:r>
            <w:r w:rsidRPr="00895265">
              <w:rPr>
                <w:sz w:val="18"/>
                <w:szCs w:val="18"/>
              </w:rPr>
              <w:lastRenderedPageBreak/>
              <w:t>20.12.2006),</w:t>
            </w:r>
          </w:p>
          <w:p w14:paraId="30771E84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Komisie (ES) č. 1430/2007 z 5. decembra 2007 (Ú. v. EÚ L 320, 6.12.2007),</w:t>
            </w:r>
          </w:p>
          <w:p w14:paraId="64DA7D73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Komisie (ES) č. 755/2008 z 31. júla 2008 (Ú. v. EÚ L 205, 1.8.2008),</w:t>
            </w:r>
          </w:p>
          <w:p w14:paraId="2D0B9A44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Európskeho parlamentu a Rady (ES) č. 1137/2008 z 22. októbra 2008 (Ú. v. EÚ L 311, 21.11.2008),</w:t>
            </w:r>
          </w:p>
          <w:p w14:paraId="3129F55A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Komisie (ES) č. 279/2009 zo 6. apríla 2009 (Ú. v. EÚ L 93, 7.4.2009),</w:t>
            </w:r>
          </w:p>
          <w:p w14:paraId="31B63E96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Komisie (ES) č. 213/2011 z 3. marca 2011 (Ú. v. EÚ L 59, 4.3.2011),</w:t>
            </w:r>
          </w:p>
          <w:p w14:paraId="378BBF82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nariadenia Komisie (ES) č. 623/2012 z 11. júla 2012 (Ú. v. EÚ L 180, 12.7.2012),</w:t>
            </w:r>
          </w:p>
          <w:p w14:paraId="073EAEDA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smernice Rady 2013/25/EÚ z 13. mája 2013 (Ú. v. EÚ L 158, 10.6.2013),</w:t>
            </w:r>
          </w:p>
          <w:p w14:paraId="0AC6A5C2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smernice Európskeho parlamentu a Rady 2013/55/EÚ z 20. novembra 2013 (Ú. v. EÚ L 354, 28.12.2013),</w:t>
            </w:r>
          </w:p>
          <w:p w14:paraId="01D1BEAD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2016/790 z 13. januára 2016 (Ú. v. EÚ L 134, 24.5.2016),</w:t>
            </w:r>
          </w:p>
          <w:p w14:paraId="668C92FD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2017/2113 z 11. septembra 2017 (Ú. v. EÚ L 317, 1.12.2017),</w:t>
            </w:r>
          </w:p>
          <w:p w14:paraId="39EFF131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2019/608 zo 16. januára 2019 (Ú. v. EÚ L 104, 15.4.2019),</w:t>
            </w:r>
          </w:p>
          <w:p w14:paraId="4504CA41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2020/548 z 23. januára 2020 (Ú. v. EÚ L 131, 24.4.2020),</w:t>
            </w:r>
          </w:p>
          <w:p w14:paraId="63CFF734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2021/2183 z 25. augusta 2021 (Ú. v. EÚ L 444, 10.12.2021),</w:t>
            </w:r>
          </w:p>
          <w:p w14:paraId="3C4B6CB1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2023/2383 z 23. mája 2023 (Ú. v. EÚ L, 2023/2383, 9.10.2023),</w:t>
            </w:r>
          </w:p>
          <w:p w14:paraId="3495A43C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smernice Európskeho parlamentu a Rady (EÚ) 2024/505 zo 7. februára 2024 (Ú. v. EÚ L, 2024/505, 12.2.2024),</w:t>
            </w:r>
          </w:p>
          <w:p w14:paraId="6BCA54C8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2024/1395 z 5. marca 2024 (Ú. v. EÚ L, 2024/1395, 31.5.2024),</w:t>
            </w:r>
          </w:p>
          <w:p w14:paraId="4C236555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delegovanej smernice Komisie (EÚ) 2024/782 zo 4. marca 2024 (Ú. v. EÚ L, 2024/782, 31.5.2024),</w:t>
            </w:r>
          </w:p>
          <w:p w14:paraId="04F33E48" w14:textId="77777777" w:rsidR="00895265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delegovanej smernice Komisie (EÚ) 2025/1223 z 10. apríla 2025 (Ú. v. EÚ L, 2025/1223, 20.6.2025),</w:t>
            </w:r>
          </w:p>
          <w:p w14:paraId="5121CF66" w14:textId="02A8FFD1" w:rsidR="00CC1F6F" w:rsidRPr="00895265" w:rsidRDefault="00895265" w:rsidP="00895265">
            <w:pPr>
              <w:pStyle w:val="Odsekzoznamu"/>
              <w:widowControl w:val="0"/>
              <w:numPr>
                <w:ilvl w:val="0"/>
                <w:numId w:val="3"/>
              </w:numPr>
              <w:spacing w:after="0" w:line="240" w:lineRule="auto"/>
              <w:ind w:left="227" w:hanging="227"/>
              <w:jc w:val="both"/>
              <w:rPr>
                <w:sz w:val="18"/>
                <w:szCs w:val="18"/>
              </w:rPr>
            </w:pPr>
            <w:r w:rsidRPr="00895265">
              <w:rPr>
                <w:sz w:val="18"/>
                <w:szCs w:val="18"/>
              </w:rPr>
              <w:t>delegovaného rozhodnutia Komisie (EÚ) 2025/2187 z 30. júla 2025 (Ú. v. EÚ L, 2025/2187, 29.10.2025).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F18" w14:textId="6922F080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Ú</w:t>
            </w:r>
          </w:p>
          <w:p w14:paraId="25792D6C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34D04BE5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35FC6ADB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2F9C2528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144A41F5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  <w:p w14:paraId="7FD0FFFC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5968" w14:textId="7C714945" w:rsidR="002945AD" w:rsidRPr="00B773FA" w:rsidRDefault="00CC1F6F" w:rsidP="00B773FA">
            <w:pPr>
              <w:pStyle w:val="Default"/>
              <w:widowControl w:val="0"/>
              <w:rPr>
                <w:sz w:val="18"/>
                <w:szCs w:val="20"/>
              </w:rPr>
            </w:pPr>
            <w:r w:rsidRPr="008551EE">
              <w:rPr>
                <w:sz w:val="18"/>
                <w:szCs w:val="20"/>
              </w:rPr>
              <w:t>10. apríla 2027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40391D" w14:textId="2114D60D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GP - 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DBD0AB" w14:textId="77777777" w:rsidR="00CC1F6F" w:rsidRPr="008551EE" w:rsidRDefault="00CC1F6F" w:rsidP="00A80592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D875F5" w:rsidRPr="008551EE" w14:paraId="5203F826" w14:textId="77777777" w:rsidTr="00895265">
        <w:tc>
          <w:tcPr>
            <w:tcW w:w="993" w:type="dxa"/>
          </w:tcPr>
          <w:p w14:paraId="3697C261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2</w:t>
            </w:r>
          </w:p>
          <w:p w14:paraId="7708D32F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Transpozícia</w:t>
            </w:r>
          </w:p>
          <w:p w14:paraId="289AAB03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O: 2</w:t>
            </w:r>
          </w:p>
        </w:tc>
        <w:tc>
          <w:tcPr>
            <w:tcW w:w="3686" w:type="dxa"/>
          </w:tcPr>
          <w:p w14:paraId="509F4C29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2. Členské štáty oznámia Komisii znenie hlavných ustanovení vnútroštátnych právnych predpisov, ktoré prijmú v oblasti pôsobnosti tejto smernice.</w:t>
            </w:r>
          </w:p>
        </w:tc>
        <w:tc>
          <w:tcPr>
            <w:tcW w:w="708" w:type="dxa"/>
          </w:tcPr>
          <w:p w14:paraId="0A3991F8" w14:textId="3ADF5380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A19F19" w14:textId="0B1DE40F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Zákon. </w:t>
            </w:r>
            <w:r w:rsidR="00895265">
              <w:rPr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. 575/2001 Z. z.</w:t>
            </w:r>
            <w:r w:rsidR="00680553">
              <w:rPr>
                <w:sz w:val="18"/>
                <w:szCs w:val="18"/>
              </w:rPr>
              <w:t xml:space="preserve"> v znení neskorších predpis</w:t>
            </w:r>
            <w:r w:rsidR="00680553">
              <w:rPr>
                <w:sz w:val="18"/>
                <w:szCs w:val="18"/>
              </w:rPr>
              <w:lastRenderedPageBreak/>
              <w:t>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F119" w14:textId="1F5F2B8E" w:rsidR="00D875F5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§: 3</w:t>
            </w:r>
            <w:r w:rsidR="0063297E">
              <w:rPr>
                <w:sz w:val="18"/>
                <w:szCs w:val="18"/>
              </w:rPr>
              <w:t>5</w:t>
            </w:r>
          </w:p>
          <w:p w14:paraId="1C617147" w14:textId="24D9B7B3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798C" w14:textId="255E960D" w:rsidR="00D875F5" w:rsidRPr="008551EE" w:rsidRDefault="00D875F5" w:rsidP="00D875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75F5">
              <w:rPr>
                <w:rFonts w:ascii="Times New Roman" w:hAnsi="Times New Roman" w:cs="Times New Roman"/>
                <w:sz w:val="18"/>
                <w:szCs w:val="18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802" w14:textId="68098B32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B0FF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5C129B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42BAC6" w14:textId="77777777" w:rsidR="00D875F5" w:rsidRPr="008551EE" w:rsidRDefault="00D875F5" w:rsidP="00D875F5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D875F5" w:rsidRPr="008551EE" w14:paraId="506B37EF" w14:textId="77777777" w:rsidTr="00895265">
        <w:tc>
          <w:tcPr>
            <w:tcW w:w="993" w:type="dxa"/>
          </w:tcPr>
          <w:p w14:paraId="7D53A8CF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3</w:t>
            </w:r>
          </w:p>
          <w:p w14:paraId="0D8019B1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Nadobudnutie účinnosti</w:t>
            </w:r>
          </w:p>
        </w:tc>
        <w:tc>
          <w:tcPr>
            <w:tcW w:w="3686" w:type="dxa"/>
          </w:tcPr>
          <w:p w14:paraId="066664F6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Táto smernica nadobúda účinnosť dvadsiatym dňom nasledujúcim po jej uverejnení </w:t>
            </w:r>
            <w:r w:rsidRPr="008551EE">
              <w:rPr>
                <w:sz w:val="18"/>
                <w:szCs w:val="18"/>
              </w:rPr>
              <w:br/>
              <w:t>v Úradnom vestníku Európskej únie.</w:t>
            </w:r>
          </w:p>
        </w:tc>
        <w:tc>
          <w:tcPr>
            <w:tcW w:w="708" w:type="dxa"/>
          </w:tcPr>
          <w:p w14:paraId="213BD3B0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n.a.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34C1C2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F981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563" w14:textId="77777777" w:rsidR="00D875F5" w:rsidRPr="008551EE" w:rsidRDefault="00D875F5" w:rsidP="00D875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39E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7745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8A67DB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1BF3BEF" w14:textId="77777777" w:rsidR="00D875F5" w:rsidRPr="008551EE" w:rsidRDefault="00D875F5" w:rsidP="00D875F5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D875F5" w:rsidRPr="008551EE" w14:paraId="78087694" w14:textId="77777777" w:rsidTr="00895265">
        <w:tc>
          <w:tcPr>
            <w:tcW w:w="993" w:type="dxa"/>
          </w:tcPr>
          <w:p w14:paraId="3C4DAC42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4</w:t>
            </w:r>
          </w:p>
          <w:p w14:paraId="0AD6310D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Adresáti</w:t>
            </w:r>
          </w:p>
        </w:tc>
        <w:tc>
          <w:tcPr>
            <w:tcW w:w="3686" w:type="dxa"/>
          </w:tcPr>
          <w:p w14:paraId="562487BA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Táto smernica je určená členským štátom.</w:t>
            </w:r>
          </w:p>
        </w:tc>
        <w:tc>
          <w:tcPr>
            <w:tcW w:w="708" w:type="dxa"/>
          </w:tcPr>
          <w:p w14:paraId="5277D9C3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n.a.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E9FCF5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B27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370" w14:textId="77777777" w:rsidR="00D875F5" w:rsidRPr="008551EE" w:rsidRDefault="00D875F5" w:rsidP="00D875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B96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28B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C17285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9533441" w14:textId="77777777" w:rsidR="00D875F5" w:rsidRPr="008551EE" w:rsidRDefault="00D875F5" w:rsidP="00D875F5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D875F5" w:rsidRPr="008551EE" w14:paraId="25F01AA8" w14:textId="77777777" w:rsidTr="00895265">
        <w:tc>
          <w:tcPr>
            <w:tcW w:w="993" w:type="dxa"/>
          </w:tcPr>
          <w:p w14:paraId="77BA0B37" w14:textId="77777777" w:rsidR="00D875F5" w:rsidRPr="008551EE" w:rsidRDefault="00D875F5" w:rsidP="00D875F5">
            <w:pPr>
              <w:pStyle w:val="Default"/>
              <w:widowControl w:val="0"/>
              <w:rPr>
                <w:i/>
                <w:sz w:val="18"/>
                <w:szCs w:val="18"/>
              </w:rPr>
            </w:pPr>
            <w:r w:rsidRPr="008551EE">
              <w:rPr>
                <w:i/>
                <w:sz w:val="18"/>
                <w:szCs w:val="18"/>
              </w:rPr>
              <w:t>PRÍLOHA</w:t>
            </w:r>
          </w:p>
        </w:tc>
        <w:tc>
          <w:tcPr>
            <w:tcW w:w="3686" w:type="dxa"/>
          </w:tcPr>
          <w:p w14:paraId="374D3C2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V prílohe V k smernici 2005/36/ES sa bod 5.4.1 nahrádza takto:</w:t>
            </w:r>
          </w:p>
          <w:p w14:paraId="2908C7A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„5.4.1. Program štúdia veterinárnych chirurgov</w:t>
            </w:r>
          </w:p>
          <w:p w14:paraId="50DF5F2D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Program štúdia vedúceho k udeleniu dokladu o formálnej kvalifikácii v oblasti veterinárnej medicíny zahŕňa minimálne ďalej uvedené predmety.</w:t>
            </w:r>
          </w:p>
          <w:p w14:paraId="24532C9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Jeden alebo viac týchto predmetov sa môže vyučovať ako súčasť inej prípravy alebo v spojení s ňou.</w:t>
            </w:r>
          </w:p>
          <w:p w14:paraId="25E1B41C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A. Základné predmety:</w:t>
            </w:r>
          </w:p>
          <w:p w14:paraId="5EC74C3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fyzika,</w:t>
            </w:r>
          </w:p>
          <w:p w14:paraId="1EC2F29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chémia,</w:t>
            </w:r>
          </w:p>
          <w:p w14:paraId="37E0FE7E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biológia zvierat a cytológia,</w:t>
            </w:r>
          </w:p>
          <w:p w14:paraId="4D9002BC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biológia rastlín,</w:t>
            </w:r>
          </w:p>
          <w:p w14:paraId="28C5D3C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biomatematika.</w:t>
            </w:r>
          </w:p>
          <w:p w14:paraId="4859EE8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B. Špecifické predmety:</w:t>
            </w:r>
          </w:p>
          <w:p w14:paraId="3D1F9EB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a) Základné vedy:</w:t>
            </w:r>
          </w:p>
          <w:p w14:paraId="0118696A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anatómia (vrátane histológie a embryológie),</w:t>
            </w:r>
          </w:p>
          <w:p w14:paraId="2090AAF3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fyziológia,</w:t>
            </w:r>
          </w:p>
          <w:p w14:paraId="68FB02E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biochémia,</w:t>
            </w:r>
          </w:p>
          <w:p w14:paraId="00AAEFA3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genetika a molekulárna genetika,</w:t>
            </w:r>
          </w:p>
          <w:p w14:paraId="38B7F35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farmácia, farmakológia a farmakoterapia (vrátane antimikrobiálnej rezistencie),</w:t>
            </w:r>
          </w:p>
          <w:p w14:paraId="03FE3FA0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toxikológia,</w:t>
            </w:r>
          </w:p>
          <w:p w14:paraId="4BDB89DB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mikrobiológia,</w:t>
            </w:r>
          </w:p>
          <w:p w14:paraId="4044814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imunológia,</w:t>
            </w:r>
          </w:p>
          <w:p w14:paraId="1F1F8DA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epidemiológia,</w:t>
            </w:r>
          </w:p>
          <w:p w14:paraId="18892C5D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profesná etika.</w:t>
            </w:r>
          </w:p>
          <w:p w14:paraId="61779B37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b) Klinické vedy:</w:t>
            </w:r>
          </w:p>
          <w:p w14:paraId="448A65FF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pôrodníctvo,</w:t>
            </w:r>
          </w:p>
          <w:p w14:paraId="0C77B963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patológia (vrátane patologickej anatómie),</w:t>
            </w:r>
          </w:p>
          <w:p w14:paraId="680FC4F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parazitológia,</w:t>
            </w:r>
          </w:p>
          <w:p w14:paraId="4003DB79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klinická medicína a chirurgia (vrátane anestéziológie),</w:t>
            </w:r>
          </w:p>
          <w:p w14:paraId="6F077D15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klinické prednášky o rôznych domácich zvieratách, hydine a iných živočíšnych druhoch,</w:t>
            </w:r>
          </w:p>
          <w:p w14:paraId="0D567D74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preventívna medicína,</w:t>
            </w:r>
          </w:p>
          <w:p w14:paraId="4A17712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diagnostické zobrazovaie,</w:t>
            </w:r>
          </w:p>
          <w:p w14:paraId="005BDC5A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rozmnožovanie a reprodukčné poruchy,</w:t>
            </w:r>
          </w:p>
          <w:p w14:paraId="5F21289C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štátne zverolekárstvo a verejné zdravie,</w:t>
            </w:r>
          </w:p>
          <w:p w14:paraId="161FC03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— veterinárna legislatíva a veterinárne súdne lekárstvo</w:t>
            </w:r>
          </w:p>
          <w:p w14:paraId="5B1CDFA8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terapeutika,</w:t>
            </w:r>
          </w:p>
          <w:p w14:paraId="7DBD1149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propedeutika.</w:t>
            </w:r>
          </w:p>
          <w:p w14:paraId="594D14E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c) Živočíšna výroba:</w:t>
            </w:r>
          </w:p>
          <w:p w14:paraId="7D26E336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živočíšna výroba,</w:t>
            </w:r>
          </w:p>
          <w:p w14:paraId="57E788E6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živočíšna výživa,</w:t>
            </w:r>
          </w:p>
          <w:p w14:paraId="687BCA2D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agronómia,</w:t>
            </w:r>
          </w:p>
          <w:p w14:paraId="70080C64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vidiecke hospodárstvo,</w:t>
            </w:r>
          </w:p>
          <w:p w14:paraId="7FD055AE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chov hospodárskych zvierat a riadenie zdravia stád,</w:t>
            </w:r>
          </w:p>
          <w:p w14:paraId="7673F010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veterinárna hygiena,</w:t>
            </w:r>
          </w:p>
          <w:p w14:paraId="58CD9FC1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dobré životné podmienky, etológia a ochrana zvierat.</w:t>
            </w:r>
          </w:p>
          <w:p w14:paraId="63769863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d) Hygiena potravín:</w:t>
            </w:r>
          </w:p>
          <w:p w14:paraId="57C0EFAC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hygiena potravín, technológia prípravy potravín a mikrobiológia potravín,</w:t>
            </w:r>
          </w:p>
          <w:p w14:paraId="1FB76DEE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pracovná prax (vrátane pracovnej praxe na bitúnkoch a pri spracovaní potravín).</w:t>
            </w:r>
          </w:p>
          <w:p w14:paraId="5B011222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— inšpekcia a kontrola krmiva pre zvieratá alebo potravín živočíšneho pôvodu.</w:t>
            </w:r>
          </w:p>
          <w:p w14:paraId="532197EA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Praktická príprava môže prebiehať formou prípravného obdobia pod podmienkou, že prebieha dennou formou a pod priamym dohľadom príslušného orgánu a nebude trvať dlhšie ako šesť mesiacov v rámci celkového päťročného odborného štúdia.</w:t>
            </w:r>
          </w:p>
          <w:p w14:paraId="4ACDC59F" w14:textId="77777777" w:rsidR="00D875F5" w:rsidRPr="008551EE" w:rsidRDefault="00D875F5" w:rsidP="00D875F5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Teoretická a praktická príprava bude vyvážene </w:t>
            </w:r>
            <w:r w:rsidRPr="008551EE">
              <w:rPr>
                <w:sz w:val="18"/>
                <w:szCs w:val="18"/>
              </w:rPr>
              <w:br/>
              <w:t>a koordinovane rozložená do rôznych predmetových skupín, aby bolo možné nadobúdať znalosti a skúsenosti spôsobom, ktorý veterinárnym chirurgom umožní vykonávať všetky svoje povinnosti.“</w:t>
            </w:r>
          </w:p>
        </w:tc>
        <w:tc>
          <w:tcPr>
            <w:tcW w:w="708" w:type="dxa"/>
          </w:tcPr>
          <w:p w14:paraId="532347E4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89DB96" w14:textId="55408616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Návrh zákona </w:t>
            </w:r>
            <w:r w:rsidRPr="008551EE">
              <w:rPr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09BA" w14:textId="60AE970F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I</w:t>
            </w:r>
          </w:p>
          <w:p w14:paraId="42B9B03B" w14:textId="7C5AC2A5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Príloha č. 1</w:t>
            </w:r>
          </w:p>
          <w:p w14:paraId="68AA9DC0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Časť 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AD3" w14:textId="77777777" w:rsidR="00D875F5" w:rsidRPr="00B773FA" w:rsidRDefault="00D875F5" w:rsidP="00D875F5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POŽIADAVKY NA OBSAH VZDELANIE VETERINÁRNEHO LEKÁRA</w:t>
            </w:r>
          </w:p>
          <w:p w14:paraId="1AD67AFB" w14:textId="77777777" w:rsidR="00D875F5" w:rsidRPr="00B773FA" w:rsidRDefault="00D875F5" w:rsidP="00D875F5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ČASŤ A</w:t>
            </w:r>
          </w:p>
          <w:p w14:paraId="3138AB75" w14:textId="77777777" w:rsidR="00D875F5" w:rsidRPr="00B773FA" w:rsidRDefault="00D875F5" w:rsidP="00D875F5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>ŠTUDIJNÝ PROGRAM PRE VETERINÁRNYCH LEKÁROV</w:t>
            </w:r>
          </w:p>
          <w:p w14:paraId="661663E5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Program štúdia vedúceho k udeleniu diplomu, osvedčenia alebo iného dokladu o formálnej kvalifikácii v oblasti veterinárnej medicíny zahŕňa minimálne tieto predmety:</w:t>
            </w:r>
          </w:p>
          <w:p w14:paraId="04033178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 xml:space="preserve">A. </w:t>
            </w:r>
            <w:r w:rsidRPr="00B773FA">
              <w:rPr>
                <w:b/>
                <w:sz w:val="18"/>
                <w:szCs w:val="18"/>
              </w:rPr>
              <w:t>Základné predmety</w:t>
            </w:r>
          </w:p>
          <w:p w14:paraId="098D83F1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fyzika,</w:t>
            </w:r>
          </w:p>
          <w:p w14:paraId="150B62A2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chémia,</w:t>
            </w:r>
          </w:p>
          <w:p w14:paraId="70D3AF86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biológia zvierat a cytológia,</w:t>
            </w:r>
          </w:p>
          <w:p w14:paraId="04019D3F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biológia rastlín,</w:t>
            </w:r>
          </w:p>
          <w:p w14:paraId="4CFA2D36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biomatematika.</w:t>
            </w:r>
          </w:p>
          <w:p w14:paraId="34A55AB7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b/>
                <w:bCs/>
                <w:sz w:val="18"/>
                <w:szCs w:val="18"/>
              </w:rPr>
              <w:t xml:space="preserve">B. </w:t>
            </w:r>
            <w:r w:rsidRPr="00B773FA">
              <w:rPr>
                <w:b/>
                <w:sz w:val="18"/>
                <w:szCs w:val="18"/>
              </w:rPr>
              <w:t>Špecifické predmety</w:t>
            </w:r>
          </w:p>
          <w:p w14:paraId="4696001D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1: Základné vedy</w:t>
            </w:r>
          </w:p>
          <w:p w14:paraId="038F2604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anatómia vrátane histológie a embryológie,</w:t>
            </w:r>
          </w:p>
          <w:p w14:paraId="25B213E3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fyziológia,</w:t>
            </w:r>
          </w:p>
          <w:p w14:paraId="3BB1BA4A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biochémia,</w:t>
            </w:r>
          </w:p>
          <w:p w14:paraId="2C448605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genetika a molekulárna genetika,</w:t>
            </w:r>
          </w:p>
          <w:p w14:paraId="5BD63F30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farmácia, farmakológia a farmakoterapia vrátane antimikrobiálnej rezistencie,</w:t>
            </w:r>
          </w:p>
          <w:p w14:paraId="4542F851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toxikológia,</w:t>
            </w:r>
          </w:p>
          <w:p w14:paraId="353D1A23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mikrobiológia,</w:t>
            </w:r>
          </w:p>
          <w:p w14:paraId="04207AF9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imunológia,</w:t>
            </w:r>
          </w:p>
          <w:p w14:paraId="6D1A5628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epidemiológia,</w:t>
            </w:r>
          </w:p>
          <w:p w14:paraId="2668231C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profesná etika.</w:t>
            </w:r>
          </w:p>
          <w:p w14:paraId="0417B647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2: Klinické vedy</w:t>
            </w:r>
          </w:p>
          <w:p w14:paraId="1CB871C0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pôrodníctvo,</w:t>
            </w:r>
          </w:p>
          <w:p w14:paraId="6AF08FD0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patológia vrátane patologickej anatómie,</w:t>
            </w:r>
          </w:p>
          <w:p w14:paraId="29CA2031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parazitológia,</w:t>
            </w:r>
          </w:p>
          <w:p w14:paraId="4A41B491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klinická medicína a chirurgia vrátane anestéziológie,</w:t>
            </w:r>
          </w:p>
          <w:p w14:paraId="55B9046D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klinické prednášky o domácich zvieratách, hydine a iných živočíšnych druhoch,</w:t>
            </w:r>
          </w:p>
          <w:p w14:paraId="35EBBD10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preventívna medicína,</w:t>
            </w:r>
          </w:p>
          <w:p w14:paraId="2FC0E522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diagnostické zobrazovanie,</w:t>
            </w:r>
          </w:p>
          <w:p w14:paraId="1623066C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rozmnožovanie a reprodukčné poruchy, </w:t>
            </w:r>
          </w:p>
          <w:p w14:paraId="58BA1222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štátne veterinárne lekárstvo a verejné zdravie,</w:t>
            </w:r>
          </w:p>
          <w:p w14:paraId="75568554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veterinárna legislatíva a veterinárne súdne lekárstvo,</w:t>
            </w:r>
          </w:p>
          <w:p w14:paraId="1345E5B3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terapeutika,</w:t>
            </w:r>
          </w:p>
          <w:p w14:paraId="7B89B301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propedeutika.</w:t>
            </w:r>
          </w:p>
          <w:p w14:paraId="6CA5294B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lastRenderedPageBreak/>
              <w:t>Skupina 3: Živočíšna výroba</w:t>
            </w:r>
          </w:p>
          <w:p w14:paraId="172E0CDF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živočíšna výroba,</w:t>
            </w:r>
          </w:p>
          <w:p w14:paraId="5CB08CC5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výživa zvierat,</w:t>
            </w:r>
          </w:p>
          <w:p w14:paraId="7C153F86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agronómia,</w:t>
            </w:r>
          </w:p>
          <w:p w14:paraId="5632EF57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ekonomika vidieka,</w:t>
            </w:r>
          </w:p>
          <w:p w14:paraId="7B14B997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chov hospodárskych zvierat a riadenie zdravia stád,</w:t>
            </w:r>
          </w:p>
          <w:p w14:paraId="6520BFA7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veterinárna hygiena,</w:t>
            </w:r>
          </w:p>
          <w:p w14:paraId="346555CA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dobré životné podmienky, etológia a ochrana zvierat.</w:t>
            </w:r>
          </w:p>
          <w:p w14:paraId="2E990458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  <w:u w:val="single"/>
              </w:rPr>
            </w:pPr>
            <w:r w:rsidRPr="00B773FA">
              <w:rPr>
                <w:sz w:val="18"/>
                <w:szCs w:val="18"/>
                <w:u w:val="single"/>
              </w:rPr>
              <w:t>Skupina 4: Hygiena potravín</w:t>
            </w:r>
          </w:p>
          <w:p w14:paraId="3F487544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hygiena potravín, technológia prípravy potravín a mikrobiológia potravín,</w:t>
            </w:r>
            <w:r w:rsidRPr="00B773FA" w:rsidDel="001A2664">
              <w:rPr>
                <w:sz w:val="18"/>
                <w:szCs w:val="18"/>
              </w:rPr>
              <w:t xml:space="preserve"> </w:t>
            </w:r>
          </w:p>
          <w:p w14:paraId="59C78E9D" w14:textId="77777777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pracovná prax vrátane praxe na bitúnkoch a pri spracovaní potravín, </w:t>
            </w:r>
          </w:p>
          <w:p w14:paraId="57B6FFDD" w14:textId="52FC8948" w:rsidR="00D875F5" w:rsidRPr="00B773FA" w:rsidRDefault="00D875F5" w:rsidP="00D875F5">
            <w:pPr>
              <w:pStyle w:val="Default"/>
              <w:numPr>
                <w:ilvl w:val="0"/>
                <w:numId w:val="1"/>
              </w:numPr>
              <w:ind w:left="372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 xml:space="preserve">inšpekcia a kontrola krmív pre zvieratá alebo </w:t>
            </w:r>
            <w:r w:rsidR="00895265" w:rsidRPr="00B773FA">
              <w:rPr>
                <w:sz w:val="18"/>
                <w:szCs w:val="18"/>
              </w:rPr>
              <w:t xml:space="preserve">inšpekcia a kontrola </w:t>
            </w:r>
            <w:r w:rsidRPr="00B773FA">
              <w:rPr>
                <w:sz w:val="18"/>
                <w:szCs w:val="18"/>
              </w:rPr>
              <w:t>potravín živočíšneho pôvodu.</w:t>
            </w:r>
          </w:p>
          <w:p w14:paraId="2282B188" w14:textId="77777777" w:rsidR="00D875F5" w:rsidRPr="00B773FA" w:rsidRDefault="00D875F5" w:rsidP="00D875F5">
            <w:pPr>
              <w:pStyle w:val="Default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Praktická príprava môže prebiehať formou prípravného obdobia, ak prebieha dennou formou a pod priamym dohľadom príslušného orgánu a netrvá dlhšie ako šesť mesiacov v rámci celkového päťročného odborného štúdia.</w:t>
            </w:r>
          </w:p>
          <w:p w14:paraId="0AE165A2" w14:textId="77777777" w:rsidR="00D875F5" w:rsidRPr="00B773FA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B773FA">
              <w:rPr>
                <w:sz w:val="18"/>
                <w:szCs w:val="18"/>
              </w:rPr>
              <w:t>Teoretická príprava a praktická príprava je vyvážene a koordinovane rozložená do rôznych predmetových skupín tak, aby bolo možné nadobúdať znalosti a skúsenosti spôsobom, ktorý veterinárnemu lekárovi umožní vykonávať všetky jeho povinnosti.</w:t>
            </w:r>
          </w:p>
          <w:p w14:paraId="59930AC0" w14:textId="23D12C50" w:rsidR="00D875F5" w:rsidRPr="008551EE" w:rsidRDefault="00D875F5" w:rsidP="00D875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495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lastRenderedPageBreak/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337" w14:textId="37647F79" w:rsidR="00D875F5" w:rsidRPr="00B773FA" w:rsidRDefault="00D875F5" w:rsidP="00D875F5">
            <w:pPr>
              <w:pStyle w:val="Default"/>
              <w:widowControl w:val="0"/>
              <w:rPr>
                <w:sz w:val="18"/>
                <w:szCs w:val="20"/>
              </w:rPr>
            </w:pPr>
            <w:r w:rsidRPr="008551EE">
              <w:rPr>
                <w:sz w:val="18"/>
                <w:szCs w:val="20"/>
              </w:rPr>
              <w:t>10. apríla 2027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368" w14:textId="77777777" w:rsidR="00D875F5" w:rsidRPr="008551EE" w:rsidRDefault="00D875F5" w:rsidP="00D875F5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GP - 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4E5" w14:textId="77777777" w:rsidR="00D875F5" w:rsidRPr="008551EE" w:rsidRDefault="00D875F5" w:rsidP="00D875F5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</w:tbl>
    <w:p w14:paraId="177A9C51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LEGENDA:</w:t>
      </w:r>
    </w:p>
    <w:p w14:paraId="7C904C5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sectPr w:rsidR="009025C9" w:rsidRPr="008551EE" w:rsidSect="00484662">
          <w:footerReference w:type="default" r:id="rId8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14:paraId="46CD4513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(1):</w:t>
      </w:r>
    </w:p>
    <w:p w14:paraId="4BDFCED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640E8E8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1D7FBAE0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4830DC52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1581116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1386620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(3):</w:t>
      </w:r>
    </w:p>
    <w:p w14:paraId="256C9CA9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 – bežná transpozícia</w:t>
      </w:r>
    </w:p>
    <w:p w14:paraId="52C2D69C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transpozícia s možnosťou voľby</w:t>
      </w:r>
    </w:p>
    <w:p w14:paraId="17B008F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 – transpozícia podľa úvahy (dobrovoľná)</w:t>
      </w:r>
    </w:p>
    <w:p w14:paraId="5755EEC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n.a. – transpozícia sa neuskutočňuje</w:t>
      </w:r>
    </w:p>
    <w:p w14:paraId="16B762A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14515AC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(5):</w:t>
      </w:r>
    </w:p>
    <w:p w14:paraId="1013FBD4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69B0B9B2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§ – paragraf</w:t>
      </w:r>
    </w:p>
    <w:p w14:paraId="3BD0DF0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5708983C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7FC51254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465D2D3B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(7):</w:t>
      </w:r>
    </w:p>
    <w:p w14:paraId="7F9D0F11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Ú – úplná zhoda</w:t>
      </w:r>
    </w:p>
    <w:p w14:paraId="4757E8D3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čiastočná zhoda</w:t>
      </w:r>
    </w:p>
    <w:p w14:paraId="128BC4FD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Ž – žiadna zhoda</w:t>
      </w:r>
    </w:p>
    <w:p w14:paraId="1710EBB0" w14:textId="77777777" w:rsidR="009025C9" w:rsidRPr="009025C9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n.a. – neaplikovateľnosť</w:t>
      </w:r>
    </w:p>
    <w:p w14:paraId="7F2E873D" w14:textId="77777777" w:rsidR="009025C9" w:rsidRDefault="009025C9" w:rsidP="00A80592">
      <w:pPr>
        <w:widowControl w:val="0"/>
        <w:spacing w:after="0" w:line="240" w:lineRule="auto"/>
        <w:sectPr w:rsidR="009025C9" w:rsidSect="009025C9">
          <w:type w:val="continuous"/>
          <w:pgSz w:w="16838" w:h="11906" w:orient="landscape"/>
          <w:pgMar w:top="851" w:right="1418" w:bottom="851" w:left="1418" w:header="709" w:footer="709" w:gutter="0"/>
          <w:cols w:num="4" w:space="567" w:equalWidth="0">
            <w:col w:w="1985" w:space="567"/>
            <w:col w:w="3515" w:space="567"/>
            <w:col w:w="1964" w:space="567"/>
            <w:col w:w="4837"/>
          </w:cols>
          <w:docGrid w:linePitch="360"/>
        </w:sectPr>
      </w:pPr>
    </w:p>
    <w:p w14:paraId="37073A3A" w14:textId="77777777" w:rsidR="009025C9" w:rsidRDefault="009025C9" w:rsidP="00A80592">
      <w:pPr>
        <w:widowControl w:val="0"/>
        <w:spacing w:after="0" w:line="240" w:lineRule="auto"/>
      </w:pPr>
    </w:p>
    <w:sectPr w:rsidR="009025C9" w:rsidSect="009025C9">
      <w:type w:val="continuous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5870" w14:textId="77777777" w:rsidR="002905F3" w:rsidRDefault="002905F3" w:rsidP="00E64992">
      <w:pPr>
        <w:spacing w:after="0" w:line="240" w:lineRule="auto"/>
      </w:pPr>
      <w:r>
        <w:separator/>
      </w:r>
    </w:p>
  </w:endnote>
  <w:endnote w:type="continuationSeparator" w:id="0">
    <w:p w14:paraId="2D26CBE8" w14:textId="77777777" w:rsidR="002905F3" w:rsidRDefault="002905F3" w:rsidP="00E6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2074184571"/>
      <w:docPartObj>
        <w:docPartGallery w:val="Page Numbers (Bottom of Page)"/>
        <w:docPartUnique/>
      </w:docPartObj>
    </w:sdtPr>
    <w:sdtEndPr/>
    <w:sdtContent>
      <w:p w14:paraId="6A4BBEB8" w14:textId="6F6D752D" w:rsidR="00E64992" w:rsidRPr="001D0F61" w:rsidRDefault="00E64992" w:rsidP="001D0F61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0F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F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F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0F6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D0F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3570" w14:textId="77777777" w:rsidR="002905F3" w:rsidRDefault="002905F3" w:rsidP="00E64992">
      <w:pPr>
        <w:spacing w:after="0" w:line="240" w:lineRule="auto"/>
      </w:pPr>
      <w:r>
        <w:separator/>
      </w:r>
    </w:p>
  </w:footnote>
  <w:footnote w:type="continuationSeparator" w:id="0">
    <w:p w14:paraId="4556408A" w14:textId="77777777" w:rsidR="002905F3" w:rsidRDefault="002905F3" w:rsidP="00E6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F1275"/>
    <w:multiLevelType w:val="hybridMultilevel"/>
    <w:tmpl w:val="82F8C942"/>
    <w:lvl w:ilvl="0" w:tplc="F0EE70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0877"/>
    <w:multiLevelType w:val="hybridMultilevel"/>
    <w:tmpl w:val="EAFA26B4"/>
    <w:lvl w:ilvl="0" w:tplc="F0EE7066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DE35057"/>
    <w:multiLevelType w:val="hybridMultilevel"/>
    <w:tmpl w:val="BE2C212C"/>
    <w:lvl w:ilvl="0" w:tplc="F0EE70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981079">
    <w:abstractNumId w:val="1"/>
  </w:num>
  <w:num w:numId="2" w16cid:durableId="1310982528">
    <w:abstractNumId w:val="0"/>
  </w:num>
  <w:num w:numId="3" w16cid:durableId="59273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4B5"/>
    <w:rsid w:val="00085CDA"/>
    <w:rsid w:val="000A5ED3"/>
    <w:rsid w:val="000E246F"/>
    <w:rsid w:val="001D0F61"/>
    <w:rsid w:val="002214B5"/>
    <w:rsid w:val="0025559E"/>
    <w:rsid w:val="002905F3"/>
    <w:rsid w:val="002945AD"/>
    <w:rsid w:val="0034477B"/>
    <w:rsid w:val="003817CF"/>
    <w:rsid w:val="003866B7"/>
    <w:rsid w:val="003D1645"/>
    <w:rsid w:val="0047640C"/>
    <w:rsid w:val="00484662"/>
    <w:rsid w:val="004B3EFC"/>
    <w:rsid w:val="00597DEB"/>
    <w:rsid w:val="0063297E"/>
    <w:rsid w:val="00680553"/>
    <w:rsid w:val="006879E0"/>
    <w:rsid w:val="006E5420"/>
    <w:rsid w:val="00755B9E"/>
    <w:rsid w:val="00787699"/>
    <w:rsid w:val="007D546F"/>
    <w:rsid w:val="007E30A5"/>
    <w:rsid w:val="00820238"/>
    <w:rsid w:val="008551EE"/>
    <w:rsid w:val="00862B66"/>
    <w:rsid w:val="008924CD"/>
    <w:rsid w:val="00895265"/>
    <w:rsid w:val="008C1126"/>
    <w:rsid w:val="009025C9"/>
    <w:rsid w:val="00957C76"/>
    <w:rsid w:val="00970F0B"/>
    <w:rsid w:val="0097367E"/>
    <w:rsid w:val="00A0306A"/>
    <w:rsid w:val="00A80592"/>
    <w:rsid w:val="00A821BF"/>
    <w:rsid w:val="00B317A7"/>
    <w:rsid w:val="00B556C7"/>
    <w:rsid w:val="00B74A1C"/>
    <w:rsid w:val="00B773FA"/>
    <w:rsid w:val="00B90D25"/>
    <w:rsid w:val="00BB3E98"/>
    <w:rsid w:val="00CC1F6F"/>
    <w:rsid w:val="00D27E0E"/>
    <w:rsid w:val="00D875F5"/>
    <w:rsid w:val="00E64992"/>
    <w:rsid w:val="00F35EDD"/>
    <w:rsid w:val="00F9636B"/>
    <w:rsid w:val="00F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9A58"/>
  <w15:chartTrackingRefBased/>
  <w15:docId w15:val="{FB04C7B9-CF73-4C48-8E98-895E70F0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84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662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9025C9"/>
  </w:style>
  <w:style w:type="paragraph" w:styleId="Hlavika">
    <w:name w:val="header"/>
    <w:basedOn w:val="Normlny"/>
    <w:link w:val="HlavikaChar"/>
    <w:uiPriority w:val="99"/>
    <w:unhideWhenUsed/>
    <w:rsid w:val="00E64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4992"/>
  </w:style>
  <w:style w:type="paragraph" w:styleId="Pta">
    <w:name w:val="footer"/>
    <w:basedOn w:val="Normlny"/>
    <w:link w:val="PtaChar"/>
    <w:uiPriority w:val="99"/>
    <w:unhideWhenUsed/>
    <w:rsid w:val="00E64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4992"/>
  </w:style>
  <w:style w:type="paragraph" w:styleId="Revzia">
    <w:name w:val="Revision"/>
    <w:hidden/>
    <w:uiPriority w:val="99"/>
    <w:semiHidden/>
    <w:rsid w:val="003817C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0306A"/>
    <w:pPr>
      <w:spacing w:after="200" w:line="276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A0306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03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7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0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Oľga Bosáková"/>
    <f:field ref="FSCFOLIO_1_1001_FieldCurrentDate" text="17.2.2026 12:58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12_Tabuľka zhody"/>
    <f:field ref="objname" text="12_Tabuľka zhody" edit="true"/>
    <f:field ref="objsubject" text="" edit="true"/>
    <f:field ref="objcreatedby" text="Janíková, Paulína, MVDr."/>
    <f:field ref="objcreatedat" date="2026-02-17T11:37:05" text="17.2.2026 11:37:05"/>
    <f:field ref="objchangedby" text="Hlinka, Tibor, Mgr., PhD."/>
    <f:field ref="objmodifiedat" date="2026-02-17T12:56:05" text="17.2.2026 12:56:05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2307</Words>
  <Characters>13150</Characters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2026-01-28T12:17:00Z</cp:lastPrinted>
  <dcterms:created xsi:type="dcterms:W3CDTF">2025-11-28T07:34:00Z</dcterms:created>
  <dcterms:modified xsi:type="dcterms:W3CDTF">2026-06-02T13:56:00Z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2. 2026, 11:37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Oľga Bosáková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17. 2. 2026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17.2.2026, 11:37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17.02.2026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*COO.2296.100.2.7393622*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vedúci</vt:lpwstr>
  </property>
  <property fmtid="{D5CDD505-2E9C-101B-9397-08002B2CF9AE}" pid="367" name="FSC#COOELAK@1.1001:CurrentUserEmail">
    <vt:lpwstr>olga.bosakova@land.gov.sk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COO.2296.100.2.7393622</vt:lpwstr>
  </property>
  <property fmtid="{D5CDD505-2E9C-101B-9397-08002B2CF9AE}" pid="403" name="FSC#FSCFOLIO@1.1001:docpropproject">
    <vt:lpwstr/>
  </property>
</Properties>
</file>