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2F27" w14:textId="77777777" w:rsidR="00472195" w:rsidRDefault="00E6187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 Ô V O D O V Á  S P R Á V A</w:t>
      </w:r>
    </w:p>
    <w:p w14:paraId="011C2F29" w14:textId="77777777" w:rsidR="00472195" w:rsidRDefault="00E6187E">
      <w:pPr>
        <w:numPr>
          <w:ilvl w:val="0"/>
          <w:numId w:val="1"/>
        </w:numPr>
        <w:spacing w:before="48" w:after="9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Všeobecná časť</w:t>
      </w:r>
    </w:p>
    <w:p w14:paraId="011C2F2A"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ktorým sa mení zákon č. 82/2005 Z. z. o nelegálnej práci a nelegálnom zamestnávaní a o zmene a doplnení niektorých zákonov v znení neskorších predpisov predkladá na rokovanie Národnej rady Slovenskej republiky poslanec Národnej rady Slovenskej republiky Marián Viskupič.</w:t>
      </w:r>
    </w:p>
    <w:p w14:paraId="011C2F2B"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Predkladaný návrh zákona má za cieľ </w:t>
      </w:r>
      <w:r>
        <w:rPr>
          <w:rFonts w:ascii="Times New Roman" w:eastAsia="Times New Roman" w:hAnsi="Times New Roman" w:cs="Times New Roman"/>
          <w:b/>
          <w:bCs/>
          <w:sz w:val="24"/>
          <w:szCs w:val="24"/>
        </w:rPr>
        <w:t xml:space="preserve">zrušenie podmienky ustanovujúcej výnimku z nelegálnej práce a nelegálneho zamestnávania v prípade právnickej osoby, ktorá je spoločnosťou s ručením obmedzeným a má najviac dvoch spoločníkov. </w:t>
      </w:r>
      <w:r>
        <w:rPr>
          <w:rFonts w:ascii="Times New Roman" w:eastAsia="Times New Roman" w:hAnsi="Times New Roman" w:cs="Times New Roman"/>
          <w:sz w:val="24"/>
          <w:szCs w:val="24"/>
        </w:rPr>
        <w:t xml:space="preserve">Cieľom je legislatívne zakotviť ustanovenie, ktoré nebude obmedzovať výnimku zastrešujúcu podnikanie bez pracovnej zmluvy v prípade rodinných príslušníkov; konkrétne príbuzného v priamom rade, súrodenca alebo manžela tejto fyzickej osoby alebo niektorého zo spoločníkov, ak tento príbuzný v priamom rade, súrodenec alebo manžel je dôchodkovo poistený, je poberateľom dôchodku podľa osobitných predpisov alebo je žiakom alebo študentom do 26 rokov veku. </w:t>
      </w:r>
    </w:p>
    <w:p w14:paraId="011C2F2C"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Zámerom je, aby sa táto výnimka nevzťahovala iba na spoločnosti s ručením obmedzeným, ktoré majú najviac dvoch spoločníkov, ale aby bola rozšírená na spoločnosti s ručením obmedzeným (ktoré sú najčastejšie využívaná forma obchodnej spoločnosti firiem s rodinným prvkom) s neobmedzeným počtom spoločníkov, za predpokladu, že ostatné podmienky ustanovenia zostávajú zachované.</w:t>
      </w:r>
    </w:p>
    <w:p w14:paraId="011C2F2D"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Potreba legislatívnej úpravy vyplýva z aplikačnej praxe, ktorá dlhodobo poukazuje na neprimeranosť a vecnú neodôvodnenosť obmedzenia predmetnej výnimky len na spoločnosti s ručením obmedzeným s najviac dvoma spoločníkmi. Uvedené kritérium nevychádza z povahy rodinnej výpomoci, zo spôsobu fungovania obchodnej spoločnosti ani z účelu právnej úpravy nelegálnej práce a nelegálneho zamestnávania. V praxi vedie k rozdielnemu právnemu režimu medzi subjektmi, ktoré sa nachádzajú v porovnateľnej skutkovej a právnej situácii, pričom sa odlišujú výlučne počtom spoločníkov. Takto nastavená právna úprava oslabuje princíp rovnakého zaobchádzania, znižuje predvídateľnosť rozhodovania a vytvára priestor na formalistické posudzovanie situácií, v ktorých ide o legitímnu a reálnu pomoc rodinných príslušníkov pri výkone podnikateľskej činnosti.</w:t>
      </w:r>
    </w:p>
    <w:p w14:paraId="011C2F2E"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Navrhovaná zmena sleduje odstránenie neodôvodnenej diferenciácie medzi spoločnosťami s ručením obmedzeným, ktoré sú z hľadiska účelu sledovaného zákonom porovnateľné. Samotný počet spoločníkov spoločnosti s ručením obmedzeným nepredstavuje objektívne, rozumné a vecne presvedčivé kritérium, ktoré by odôvodňovalo odlišný právny režim pri posudzovaní zapojenia taxatívne vymedzených rodinných príslušníkov do činnosti podnikateľského subjektu. Uvedený záver korešponduje aj s judikatúrou Ústavného súdu Slovenskej republiky, podľa ktorej možno za diskriminačný prístup považovať taký postup, ktorý rovnaké alebo analogické situácie rieši odchylným spôsobom bez rozumného odôvodnenia, a podľa ktorej sa v ústavnom poriadku Slovenskej republiky uznáva len také vychýlenie z princípu rovnosti, ktoré má ústavne akceptovateľný základ. Rovnako judikatúra zdôrazňuje, že zákonodarca pri vnášaní diferenciácie do homogénnej skupiny adresátov práva musí rešpektovať požiadavku odôvodnenosti a primeranosti zvoleného rozlišovacieho kritéria, ako aj požiadavku, aby zákonné obmedzenia platili rovnako pre všetky prípady, ktoré spĺňajú ustanovené podmienky. Ak zákon viaže uplatnenie výnimky na splnenie ďalších materiálnych podmienok, najmä na presne vymedzený okruh osôb a ich sociálny alebo študijný status, </w:t>
      </w:r>
      <w:r>
        <w:rPr>
          <w:rFonts w:ascii="Times New Roman" w:eastAsia="Times New Roman" w:hAnsi="Times New Roman" w:cs="Times New Roman"/>
          <w:sz w:val="24"/>
          <w:szCs w:val="24"/>
        </w:rPr>
        <w:lastRenderedPageBreak/>
        <w:t>absentuje legitímny dôvod, aby právne následky záviseli ešte aj od počtu spoločníkov spoločnosti. Takéto rozlišovanie preto nemožno považovať za primerané vo vzťahu k sledovanému cieľu právnej úpravy, a preto je namieste jeho odstránenie. Navrhovaná právna úprava tým posilňuje vnútornú konzistentnosť zákona, podporuje ústavne konformnú aplikáciu právnych noriem a prispieva k vyššej miere právnej istoty pri posudzovaní rodinnej výpomoci v podnikateľskom prostredí.</w:t>
      </w:r>
    </w:p>
    <w:p w14:paraId="011C2F2F"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úprava zároveň reaguje na aktuálnu celospoločenskú situáciu, v ktorej významná časť slovenských rodinných firiem vstupuje do fázy medzigeneračného prechodu riadenia, vlastníctva a majetku. Podľa odborných a inštitucionálnych zdrojov majú rodinné podniky osobitné postavenie v štruktúre malých a stredných podnikov a otázka ich generačnej výmeny predstavuje jednu z rozhodujúcich podmienok zachovania kontinuity podnikania. Európska komisia dlhodobo zdôrazňuje, že rodinné podniky tvoria viac ako 60 % všetkých spoločností v Európe, pričom plánovanie nástupníctva a podnikových prevodov je kľúčové pre zachovanie hospodárskej činnosti, pracovných miest a sociálnej stability. Rovnako poukazuje na to, že úspešné podnikové prevody sú pre hospodárstvo rovnako významné ako vznik nových podnikov a že vytváranie priaznivého regulačného prostredia pre kontinuitu a odovzdávanie podnikania patrí medzi legitímne ciele hospodárskej politiky. Z týchto poznatkov vyplýva, že aj vnútroštátna právna úprava by mala reagovať na potrebu uľahčovať prirodzené zapájanie rodinných príslušníkov do fungovania podnikov s rodinným prvkom, osobitne v období, keď dochádza k postupnému preberaniu zodpovednosti mladšou generáciou a k prechodu majetkových i riadiacich kompetencií v rámci rodiny. Odstránenie vecne neodôvodnenej podmienky viazanej na počet spoločníkov preto zodpovedá nielen požiadavke rovnakého zaobchádzania, ale aj širšej potrebe podporiť kontinuitu rodinného podnikania v čase prebiehajúcej generačnej výmeny.</w:t>
      </w:r>
    </w:p>
    <w:p w14:paraId="011C2F30"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úprava prispieva k zosúladeniu právnej regulácie s reálnymi podmienkami fungovania spoločností s rodinným prvkom a vytvára priaznivejšie prostredie pre kontinuitu rodinného podnikania. Jej prijatím sa odstráni neodôvodnená administratívna a právna prekážka, ktorá v súčasnosti komplikuje prirodzené zapájanie rodinných príslušníkov do podnikania aj v prípadoch, keď sú splnené všetky ostatné zákonné podmienky. Návrh zákona tak podporuje stabilitu podnikateľského prostredia, uľahčuje medzigeneračné odovzdávanie podnikateľských aktivít a majetkových hodnôt v rámci rodiny a zároveň posilňuje právnu istotu subjektov, ktoré vykonávajú podnikateľskú činnosť so zachovaním rodinného prvku. Z hľadiska hospodárskej politiky ide o opatrenie, ktoré môže prispieť k zachovaniu funkčných podnikateľských štruktúr, know-how a pracovných väzieb vytvorených v rámci rodinných firiem.</w:t>
      </w:r>
    </w:p>
    <w:p w14:paraId="011C2F31"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je v súlade s Ústavou Slovenskej republiky, najmä s princípom rovnosti a zákazom diskriminácie, s ústavnými zákonmi, zákonmi a všeobecne záväznými právnymi predpismi, medzinárodnými zmluvami a inými medzinárodnými dokumentmi, ktorými je Slovenská republika viazaná, ako aj s právom Európskej únie.</w:t>
      </w:r>
    </w:p>
    <w:p w14:paraId="011C2F32" w14:textId="5DFBD49D"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má pozitívny vplyv na podnikateľské prostredie, keďže odstraňuje neprimerané obmedzenia pri uplatňovaní výnimky z nelegálnej práce v spoločnostiach s ručením obmedzeným s rodinným prvkom. Návrh zákona nemá vplyv </w:t>
      </w:r>
      <w:r w:rsidR="00D84418">
        <w:rPr>
          <w:rFonts w:ascii="Times New Roman" w:eastAsia="Times New Roman" w:hAnsi="Times New Roman" w:cs="Times New Roman"/>
          <w:sz w:val="24"/>
          <w:szCs w:val="24"/>
        </w:rPr>
        <w:t xml:space="preserve">rozpočet verejnej správy, </w:t>
      </w:r>
      <w:r w:rsidR="00A6179A">
        <w:rPr>
          <w:rFonts w:ascii="Times New Roman" w:eastAsia="Times New Roman" w:hAnsi="Times New Roman" w:cs="Times New Roman"/>
          <w:sz w:val="24"/>
          <w:szCs w:val="24"/>
        </w:rPr>
        <w:t xml:space="preserve">nemá vplyv </w:t>
      </w:r>
      <w:r>
        <w:rPr>
          <w:rFonts w:ascii="Times New Roman" w:eastAsia="Times New Roman" w:hAnsi="Times New Roman" w:cs="Times New Roman"/>
          <w:sz w:val="24"/>
          <w:szCs w:val="24"/>
        </w:rPr>
        <w:t>na životné prostredie, informatizáciu spoločnosti, sociálne vplyvy</w:t>
      </w:r>
      <w:r w:rsidR="00A6179A">
        <w:rPr>
          <w:rFonts w:ascii="Times New Roman" w:eastAsia="Times New Roman" w:hAnsi="Times New Roman" w:cs="Times New Roman"/>
          <w:sz w:val="24"/>
          <w:szCs w:val="24"/>
        </w:rPr>
        <w:t xml:space="preserve">, nemá vplyv na </w:t>
      </w:r>
      <w:r>
        <w:rPr>
          <w:rFonts w:ascii="Times New Roman" w:eastAsia="Times New Roman" w:hAnsi="Times New Roman" w:cs="Times New Roman"/>
          <w:sz w:val="24"/>
          <w:szCs w:val="24"/>
        </w:rPr>
        <w:t>manželstvo, rodičovstvo a rodinu, ani na služby verejnej správy pre občana.</w:t>
      </w:r>
    </w:p>
    <w:p w14:paraId="41144F2B" w14:textId="77777777" w:rsidR="00BD25CC" w:rsidRDefault="00BD25CC" w:rsidP="00BD25CC">
      <w:pPr>
        <w:ind w:right="-1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Doložka vybraných vplyvov</w:t>
      </w:r>
    </w:p>
    <w:p w14:paraId="432DFFF5" w14:textId="77777777" w:rsidR="00BD25CC" w:rsidRDefault="00BD25CC" w:rsidP="00BD25CC">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rPr>
        <w:t xml:space="preserve">A.1. Názov materiálu: </w:t>
      </w:r>
    </w:p>
    <w:p w14:paraId="56C143F4" w14:textId="77777777" w:rsidR="00BD25CC" w:rsidRDefault="00BD25CC" w:rsidP="00BD25CC">
      <w:pPr>
        <w:spacing w:after="0" w:line="240" w:lineRule="auto"/>
        <w:jc w:val="both"/>
        <w:rPr>
          <w:rFonts w:ascii="Times New Roman" w:eastAsia="Times New Roman" w:hAnsi="Times New Roman" w:cs="Times New Roman"/>
          <w:sz w:val="24"/>
          <w:szCs w:val="24"/>
        </w:rPr>
      </w:pPr>
    </w:p>
    <w:p w14:paraId="4F58BB56" w14:textId="77777777" w:rsidR="00BD25CC" w:rsidRDefault="00BD25CC" w:rsidP="00BD25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ktorým sa mení zákon č. 82/2005 Z. z. o nelegálnej práci a nelegálnom zamestnávaní a o zmene a doplnení niektorých zákonov v znení neskorších predpisov</w:t>
      </w:r>
    </w:p>
    <w:p w14:paraId="1A17A7F6" w14:textId="77777777" w:rsidR="00BD25CC" w:rsidRDefault="00BD25CC" w:rsidP="00BD25CC">
      <w:pPr>
        <w:spacing w:after="0" w:line="240" w:lineRule="auto"/>
        <w:jc w:val="both"/>
        <w:rPr>
          <w:rFonts w:ascii="Times New Roman" w:eastAsia="Times New Roman" w:hAnsi="Times New Roman" w:cs="Times New Roman"/>
          <w:sz w:val="24"/>
          <w:szCs w:val="24"/>
        </w:rPr>
      </w:pPr>
    </w:p>
    <w:p w14:paraId="18935A6B" w14:textId="77777777" w:rsidR="00BD25CC" w:rsidRDefault="00BD25CC" w:rsidP="00BD25CC">
      <w:pPr>
        <w:spacing w:line="240" w:lineRule="auto"/>
        <w:rPr>
          <w:rFonts w:ascii="Times New Roman" w:eastAsia="Times New Roman" w:hAnsi="Times New Roman" w:cs="Times New Roman"/>
          <w:b/>
          <w:bCs/>
        </w:rPr>
      </w:pPr>
      <w:r>
        <w:rPr>
          <w:rFonts w:ascii="Times New Roman" w:eastAsia="Times New Roman" w:hAnsi="Times New Roman" w:cs="Times New Roman"/>
          <w:b/>
          <w:bCs/>
        </w:rPr>
        <w:t>A.2. Vplyvy:</w:t>
      </w:r>
    </w:p>
    <w:tbl>
      <w:tblPr>
        <w:tblW w:w="7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7"/>
        <w:gridCol w:w="1245"/>
        <w:gridCol w:w="1263"/>
        <w:gridCol w:w="1340"/>
      </w:tblGrid>
      <w:tr w:rsidR="00BD25CC" w14:paraId="25679DCE" w14:textId="77777777" w:rsidTr="00A120EB">
        <w:trPr>
          <w:trHeight w:val="432"/>
        </w:trPr>
        <w:tc>
          <w:tcPr>
            <w:tcW w:w="3737" w:type="dxa"/>
            <w:tcBorders>
              <w:top w:val="single" w:sz="4" w:space="0" w:color="000000"/>
              <w:left w:val="single" w:sz="4" w:space="0" w:color="000000"/>
              <w:bottom w:val="single" w:sz="4" w:space="0" w:color="000000"/>
              <w:right w:val="single" w:sz="4" w:space="0" w:color="000000"/>
            </w:tcBorders>
          </w:tcPr>
          <w:p w14:paraId="68006A60" w14:textId="77777777" w:rsidR="00BD25CC" w:rsidRDefault="00BD25CC" w:rsidP="00A120EB">
            <w:pPr>
              <w:spacing w:line="240" w:lineRule="auto"/>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vAlign w:val="center"/>
          </w:tcPr>
          <w:p w14:paraId="72FDC4DB" w14:textId="77777777" w:rsidR="00BD25CC" w:rsidRDefault="00BD25CC" w:rsidP="00A120EB">
            <w:pPr>
              <w:spacing w:line="240" w:lineRule="auto"/>
              <w:jc w:val="center"/>
              <w:rPr>
                <w:rFonts w:ascii="Times New Roman" w:eastAsia="Times New Roman" w:hAnsi="Times New Roman" w:cs="Times New Roman"/>
              </w:rPr>
            </w:pPr>
            <w:r>
              <w:rPr>
                <w:rFonts w:ascii="Times New Roman" w:eastAsia="Times New Roman" w:hAnsi="Times New Roman" w:cs="Times New Roman"/>
              </w:rPr>
              <w:t>Pozitívne</w:t>
            </w:r>
            <w:r>
              <w:rPr>
                <w:rFonts w:ascii="Times New Roman" w:eastAsia="Times New Roman" w:hAnsi="Times New Roman" w:cs="Times New Roman"/>
                <w:vertAlign w:val="superscript"/>
              </w:rPr>
              <w:t>*</w:t>
            </w:r>
            <w:r>
              <w:rPr>
                <w:rFonts w:ascii="Times New Roman" w:eastAsia="Times New Roman" w:hAnsi="Times New Roman" w:cs="Times New Roman"/>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C75F98D" w14:textId="77777777" w:rsidR="00BD25CC" w:rsidRDefault="00BD25CC" w:rsidP="00A120EB">
            <w:pPr>
              <w:spacing w:line="240" w:lineRule="auto"/>
              <w:jc w:val="center"/>
              <w:rPr>
                <w:rFonts w:ascii="Times New Roman" w:eastAsia="Times New Roman" w:hAnsi="Times New Roman" w:cs="Times New Roman"/>
              </w:rPr>
            </w:pPr>
            <w:r>
              <w:rPr>
                <w:rFonts w:ascii="Times New Roman" w:eastAsia="Times New Roman" w:hAnsi="Times New Roman" w:cs="Times New Roman"/>
              </w:rPr>
              <w:t>Žiadne</w:t>
            </w:r>
            <w:r>
              <w:rPr>
                <w:rFonts w:ascii="Times New Roman" w:eastAsia="Times New Roman" w:hAnsi="Times New Roman" w:cs="Times New Roman"/>
                <w:vertAlign w:val="superscript"/>
              </w:rPr>
              <w:t>*</w:t>
            </w:r>
          </w:p>
        </w:tc>
        <w:tc>
          <w:tcPr>
            <w:tcW w:w="1340" w:type="dxa"/>
            <w:tcBorders>
              <w:top w:val="single" w:sz="4" w:space="0" w:color="000000"/>
              <w:left w:val="single" w:sz="4" w:space="0" w:color="000000"/>
              <w:bottom w:val="single" w:sz="4" w:space="0" w:color="000000"/>
              <w:right w:val="single" w:sz="4" w:space="0" w:color="000000"/>
            </w:tcBorders>
            <w:vAlign w:val="center"/>
          </w:tcPr>
          <w:p w14:paraId="24F35098" w14:textId="77777777" w:rsidR="00BD25CC" w:rsidRDefault="00BD25CC" w:rsidP="00A120EB">
            <w:pPr>
              <w:spacing w:line="240" w:lineRule="auto"/>
              <w:jc w:val="center"/>
              <w:rPr>
                <w:rFonts w:ascii="Times New Roman" w:eastAsia="Times New Roman" w:hAnsi="Times New Roman" w:cs="Times New Roman"/>
              </w:rPr>
            </w:pPr>
            <w:r>
              <w:rPr>
                <w:rFonts w:ascii="Times New Roman" w:eastAsia="Times New Roman" w:hAnsi="Times New Roman" w:cs="Times New Roman"/>
              </w:rPr>
              <w:t>Negatívne</w:t>
            </w:r>
            <w:r>
              <w:rPr>
                <w:rFonts w:ascii="Times New Roman" w:eastAsia="Times New Roman" w:hAnsi="Times New Roman" w:cs="Times New Roman"/>
                <w:vertAlign w:val="superscript"/>
              </w:rPr>
              <w:t>*</w:t>
            </w:r>
          </w:p>
        </w:tc>
      </w:tr>
      <w:tr w:rsidR="00BD25CC" w14:paraId="620C04E7" w14:textId="77777777" w:rsidTr="00A120EB">
        <w:trPr>
          <w:trHeight w:val="829"/>
        </w:trPr>
        <w:tc>
          <w:tcPr>
            <w:tcW w:w="3737" w:type="dxa"/>
            <w:tcBorders>
              <w:top w:val="single" w:sz="4" w:space="0" w:color="000000"/>
              <w:left w:val="single" w:sz="4" w:space="0" w:color="000000"/>
              <w:bottom w:val="single" w:sz="4" w:space="0" w:color="000000"/>
              <w:right w:val="single" w:sz="4" w:space="0" w:color="000000"/>
            </w:tcBorders>
          </w:tcPr>
          <w:p w14:paraId="131D9F5C"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Vplyvy na rozpočet verejnej správy</w:t>
            </w:r>
          </w:p>
          <w:p w14:paraId="727756BF" w14:textId="77777777" w:rsidR="00BD25CC" w:rsidRDefault="00BD25CC" w:rsidP="00A120EB">
            <w:pPr>
              <w:spacing w:line="240" w:lineRule="auto"/>
              <w:rPr>
                <w:rFonts w:ascii="Times New Roman" w:eastAsia="Times New Roman" w:hAnsi="Times New Roman" w:cs="Times New Roman"/>
                <w:i/>
                <w:iCs/>
                <w:sz w:val="20"/>
                <w:szCs w:val="20"/>
              </w:rPr>
            </w:pPr>
          </w:p>
        </w:tc>
        <w:tc>
          <w:tcPr>
            <w:tcW w:w="1245" w:type="dxa"/>
            <w:tcBorders>
              <w:top w:val="single" w:sz="4" w:space="0" w:color="000000"/>
              <w:left w:val="single" w:sz="4" w:space="0" w:color="000000"/>
              <w:bottom w:val="single" w:sz="4" w:space="0" w:color="000000"/>
              <w:right w:val="single" w:sz="4" w:space="0" w:color="000000"/>
            </w:tcBorders>
          </w:tcPr>
          <w:p w14:paraId="6747E4C8"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4C20AF30" w14:textId="77777777" w:rsidR="00BD25CC" w:rsidRDefault="00BD25CC" w:rsidP="00A120E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340" w:type="dxa"/>
            <w:tcBorders>
              <w:top w:val="single" w:sz="4" w:space="0" w:color="000000"/>
              <w:left w:val="single" w:sz="4" w:space="0" w:color="000000"/>
              <w:bottom w:val="single" w:sz="4" w:space="0" w:color="000000"/>
              <w:right w:val="single" w:sz="4" w:space="0" w:color="000000"/>
            </w:tcBorders>
          </w:tcPr>
          <w:p w14:paraId="1CED98CF" w14:textId="77777777" w:rsidR="00BD25CC" w:rsidRDefault="00BD25CC" w:rsidP="00A120EB">
            <w:pPr>
              <w:spacing w:line="240" w:lineRule="auto"/>
              <w:jc w:val="center"/>
              <w:rPr>
                <w:rFonts w:ascii="Times New Roman" w:eastAsia="Times New Roman" w:hAnsi="Times New Roman" w:cs="Times New Roman"/>
              </w:rPr>
            </w:pPr>
          </w:p>
        </w:tc>
      </w:tr>
      <w:tr w:rsidR="00BD25CC" w14:paraId="490BDA33" w14:textId="77777777" w:rsidTr="00A120EB">
        <w:trPr>
          <w:trHeight w:val="864"/>
        </w:trPr>
        <w:tc>
          <w:tcPr>
            <w:tcW w:w="3737" w:type="dxa"/>
            <w:tcBorders>
              <w:top w:val="single" w:sz="4" w:space="0" w:color="000000"/>
              <w:left w:val="single" w:sz="4" w:space="0" w:color="000000"/>
              <w:bottom w:val="single" w:sz="4" w:space="0" w:color="000000"/>
              <w:right w:val="single" w:sz="4" w:space="0" w:color="000000"/>
            </w:tcBorders>
          </w:tcPr>
          <w:p w14:paraId="02250B9B"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Vplyvy na podnikateľské prostredie – dochádza k zvýšeniu regulačného zaťaženia?</w:t>
            </w:r>
          </w:p>
        </w:tc>
        <w:tc>
          <w:tcPr>
            <w:tcW w:w="1245" w:type="dxa"/>
            <w:tcBorders>
              <w:top w:val="single" w:sz="4" w:space="0" w:color="000000"/>
              <w:left w:val="single" w:sz="4" w:space="0" w:color="000000"/>
              <w:bottom w:val="single" w:sz="4" w:space="0" w:color="000000"/>
              <w:right w:val="single" w:sz="4" w:space="0" w:color="000000"/>
            </w:tcBorders>
          </w:tcPr>
          <w:p w14:paraId="623AEC2F" w14:textId="77777777" w:rsidR="00BD25CC" w:rsidRDefault="00BD25CC" w:rsidP="00A120E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63" w:type="dxa"/>
            <w:tcBorders>
              <w:top w:val="single" w:sz="4" w:space="0" w:color="000000"/>
              <w:left w:val="single" w:sz="4" w:space="0" w:color="000000"/>
              <w:bottom w:val="single" w:sz="4" w:space="0" w:color="000000"/>
              <w:right w:val="single" w:sz="4" w:space="0" w:color="000000"/>
            </w:tcBorders>
          </w:tcPr>
          <w:p w14:paraId="0983ADBB"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340" w:type="dxa"/>
            <w:tcBorders>
              <w:top w:val="single" w:sz="4" w:space="0" w:color="000000"/>
              <w:left w:val="single" w:sz="4" w:space="0" w:color="000000"/>
              <w:bottom w:val="single" w:sz="4" w:space="0" w:color="000000"/>
              <w:right w:val="single" w:sz="4" w:space="0" w:color="000000"/>
            </w:tcBorders>
          </w:tcPr>
          <w:p w14:paraId="1BACA392" w14:textId="77777777" w:rsidR="00BD25CC" w:rsidRDefault="00BD25CC" w:rsidP="00A120EB">
            <w:pPr>
              <w:spacing w:line="240" w:lineRule="auto"/>
              <w:jc w:val="center"/>
              <w:rPr>
                <w:rFonts w:ascii="Times New Roman" w:eastAsia="Times New Roman" w:hAnsi="Times New Roman" w:cs="Times New Roman"/>
              </w:rPr>
            </w:pPr>
          </w:p>
        </w:tc>
      </w:tr>
      <w:tr w:rsidR="00BD25CC" w14:paraId="6D537A81" w14:textId="77777777" w:rsidTr="00A120EB">
        <w:trPr>
          <w:trHeight w:val="1881"/>
        </w:trPr>
        <w:tc>
          <w:tcPr>
            <w:tcW w:w="3737" w:type="dxa"/>
            <w:tcBorders>
              <w:top w:val="single" w:sz="4" w:space="0" w:color="000000"/>
              <w:left w:val="single" w:sz="4" w:space="0" w:color="000000"/>
              <w:bottom w:val="single" w:sz="4" w:space="0" w:color="000000"/>
              <w:right w:val="single" w:sz="4" w:space="0" w:color="000000"/>
            </w:tcBorders>
          </w:tcPr>
          <w:p w14:paraId="66BEBF46"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Sociálne vplyvy </w:t>
            </w:r>
          </w:p>
          <w:p w14:paraId="3EBCDE16"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vplyvy  na hospodárenie obyvateľstva,</w:t>
            </w:r>
          </w:p>
          <w:p w14:paraId="6EA0BCEB"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sociálnu exklúziu,</w:t>
            </w:r>
          </w:p>
          <w:p w14:paraId="277C75CA"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rovnosť príležitostí a rodovú rovnosť a vplyvy na zamestnanosť</w:t>
            </w:r>
          </w:p>
        </w:tc>
        <w:tc>
          <w:tcPr>
            <w:tcW w:w="1245" w:type="dxa"/>
            <w:tcBorders>
              <w:top w:val="single" w:sz="4" w:space="0" w:color="000000"/>
              <w:left w:val="single" w:sz="4" w:space="0" w:color="000000"/>
              <w:bottom w:val="single" w:sz="4" w:space="0" w:color="000000"/>
              <w:right w:val="single" w:sz="4" w:space="0" w:color="000000"/>
            </w:tcBorders>
          </w:tcPr>
          <w:p w14:paraId="6CBF87F1" w14:textId="77777777" w:rsidR="00BD25CC" w:rsidRDefault="00BD25CC" w:rsidP="00A120EB">
            <w:pPr>
              <w:spacing w:line="240" w:lineRule="auto"/>
              <w:jc w:val="center"/>
              <w:rPr>
                <w:rFonts w:ascii="Times New Roman" w:eastAsia="Times New Roman" w:hAnsi="Times New Roman" w:cs="Times New Roman"/>
                <w:sz w:val="20"/>
                <w:szCs w:val="20"/>
              </w:rPr>
            </w:pPr>
          </w:p>
          <w:p w14:paraId="0ACF2649" w14:textId="77777777" w:rsidR="00BD25CC" w:rsidRDefault="00BD25CC" w:rsidP="00A120EB">
            <w:pPr>
              <w:spacing w:line="240" w:lineRule="auto"/>
              <w:jc w:val="center"/>
              <w:rPr>
                <w:rFonts w:ascii="Times New Roman" w:eastAsia="Times New Roman" w:hAnsi="Times New Roman" w:cs="Times New Roman"/>
                <w:sz w:val="20"/>
                <w:szCs w:val="20"/>
              </w:rPr>
            </w:pPr>
          </w:p>
          <w:p w14:paraId="47FC6A34"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398322C2" w14:textId="77777777" w:rsidR="00BD25CC" w:rsidRDefault="00BD25CC" w:rsidP="00A120E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p w14:paraId="76D94C75"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340" w:type="dxa"/>
            <w:tcBorders>
              <w:top w:val="single" w:sz="4" w:space="0" w:color="000000"/>
              <w:left w:val="single" w:sz="4" w:space="0" w:color="000000"/>
              <w:bottom w:val="single" w:sz="4" w:space="0" w:color="000000"/>
              <w:right w:val="single" w:sz="4" w:space="0" w:color="000000"/>
            </w:tcBorders>
          </w:tcPr>
          <w:p w14:paraId="0957187F" w14:textId="77777777" w:rsidR="00BD25CC" w:rsidRDefault="00BD25CC" w:rsidP="00A120EB">
            <w:pPr>
              <w:spacing w:line="240" w:lineRule="auto"/>
              <w:jc w:val="center"/>
              <w:rPr>
                <w:rFonts w:ascii="Times New Roman" w:eastAsia="Times New Roman" w:hAnsi="Times New Roman" w:cs="Times New Roman"/>
              </w:rPr>
            </w:pPr>
          </w:p>
        </w:tc>
      </w:tr>
      <w:tr w:rsidR="00BD25CC" w14:paraId="5993F526" w14:textId="77777777" w:rsidTr="00A120EB">
        <w:trPr>
          <w:trHeight w:val="432"/>
        </w:trPr>
        <w:tc>
          <w:tcPr>
            <w:tcW w:w="3737" w:type="dxa"/>
            <w:tcBorders>
              <w:top w:val="single" w:sz="4" w:space="0" w:color="000000"/>
              <w:left w:val="single" w:sz="4" w:space="0" w:color="000000"/>
              <w:bottom w:val="single" w:sz="4" w:space="0" w:color="000000"/>
              <w:right w:val="single" w:sz="4" w:space="0" w:color="000000"/>
            </w:tcBorders>
          </w:tcPr>
          <w:p w14:paraId="368F93CF"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Vplyvy na životné prostredie</w:t>
            </w:r>
          </w:p>
        </w:tc>
        <w:tc>
          <w:tcPr>
            <w:tcW w:w="1245" w:type="dxa"/>
            <w:tcBorders>
              <w:top w:val="single" w:sz="4" w:space="0" w:color="000000"/>
              <w:left w:val="single" w:sz="4" w:space="0" w:color="000000"/>
              <w:bottom w:val="single" w:sz="4" w:space="0" w:color="000000"/>
              <w:right w:val="single" w:sz="4" w:space="0" w:color="000000"/>
            </w:tcBorders>
          </w:tcPr>
          <w:p w14:paraId="3D264A3C"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00FAB811" w14:textId="77777777" w:rsidR="00BD25CC" w:rsidRDefault="00BD25CC" w:rsidP="00A120E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340" w:type="dxa"/>
            <w:tcBorders>
              <w:top w:val="single" w:sz="4" w:space="0" w:color="000000"/>
              <w:left w:val="single" w:sz="4" w:space="0" w:color="000000"/>
              <w:bottom w:val="single" w:sz="4" w:space="0" w:color="000000"/>
              <w:right w:val="single" w:sz="4" w:space="0" w:color="000000"/>
            </w:tcBorders>
          </w:tcPr>
          <w:p w14:paraId="2D74169B" w14:textId="77777777" w:rsidR="00BD25CC" w:rsidRDefault="00BD25CC" w:rsidP="00A120EB">
            <w:pPr>
              <w:spacing w:line="240" w:lineRule="auto"/>
              <w:jc w:val="center"/>
              <w:rPr>
                <w:rFonts w:ascii="Times New Roman" w:eastAsia="Times New Roman" w:hAnsi="Times New Roman" w:cs="Times New Roman"/>
              </w:rPr>
            </w:pPr>
          </w:p>
        </w:tc>
      </w:tr>
      <w:tr w:rsidR="00BD25CC" w14:paraId="4D18D0A2" w14:textId="77777777" w:rsidTr="00A120EB">
        <w:trPr>
          <w:trHeight w:val="548"/>
        </w:trPr>
        <w:tc>
          <w:tcPr>
            <w:tcW w:w="3737" w:type="dxa"/>
            <w:tcBorders>
              <w:top w:val="single" w:sz="4" w:space="0" w:color="000000"/>
              <w:left w:val="single" w:sz="4" w:space="0" w:color="000000"/>
              <w:bottom w:val="single" w:sz="4" w:space="0" w:color="000000"/>
              <w:right w:val="single" w:sz="4" w:space="0" w:color="000000"/>
            </w:tcBorders>
          </w:tcPr>
          <w:p w14:paraId="1C30AB08"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Vplyvy na informatizáciu spoločnosti</w:t>
            </w:r>
          </w:p>
        </w:tc>
        <w:tc>
          <w:tcPr>
            <w:tcW w:w="1245" w:type="dxa"/>
            <w:tcBorders>
              <w:top w:val="single" w:sz="4" w:space="0" w:color="000000"/>
              <w:left w:val="single" w:sz="4" w:space="0" w:color="000000"/>
              <w:bottom w:val="single" w:sz="4" w:space="0" w:color="000000"/>
              <w:right w:val="single" w:sz="4" w:space="0" w:color="000000"/>
            </w:tcBorders>
          </w:tcPr>
          <w:p w14:paraId="121E0336"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246DF607" w14:textId="77777777" w:rsidR="00BD25CC" w:rsidRDefault="00BD25CC" w:rsidP="00A120E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340" w:type="dxa"/>
            <w:tcBorders>
              <w:top w:val="single" w:sz="4" w:space="0" w:color="000000"/>
              <w:left w:val="single" w:sz="4" w:space="0" w:color="000000"/>
              <w:bottom w:val="single" w:sz="4" w:space="0" w:color="000000"/>
              <w:right w:val="single" w:sz="4" w:space="0" w:color="000000"/>
            </w:tcBorders>
          </w:tcPr>
          <w:p w14:paraId="298421FE" w14:textId="77777777" w:rsidR="00BD25CC" w:rsidRDefault="00BD25CC" w:rsidP="00A120EB">
            <w:pPr>
              <w:spacing w:line="240" w:lineRule="auto"/>
              <w:jc w:val="center"/>
              <w:rPr>
                <w:rFonts w:ascii="Times New Roman" w:eastAsia="Times New Roman" w:hAnsi="Times New Roman" w:cs="Times New Roman"/>
              </w:rPr>
            </w:pPr>
          </w:p>
        </w:tc>
      </w:tr>
      <w:tr w:rsidR="00BD25CC" w14:paraId="2202CEEC" w14:textId="77777777" w:rsidTr="00A120EB">
        <w:trPr>
          <w:trHeight w:val="742"/>
        </w:trPr>
        <w:tc>
          <w:tcPr>
            <w:tcW w:w="3737" w:type="dxa"/>
            <w:tcBorders>
              <w:top w:val="single" w:sz="4" w:space="0" w:color="000000"/>
              <w:left w:val="single" w:sz="4" w:space="0" w:color="000000"/>
              <w:bottom w:val="single" w:sz="4" w:space="0" w:color="000000"/>
              <w:right w:val="single" w:sz="4" w:space="0" w:color="000000"/>
            </w:tcBorders>
          </w:tcPr>
          <w:p w14:paraId="4C08BC01" w14:textId="77777777" w:rsidR="00BD25CC" w:rsidRDefault="00BD25CC" w:rsidP="00A120EB">
            <w:pPr>
              <w:spacing w:line="240" w:lineRule="auto"/>
              <w:rPr>
                <w:rFonts w:ascii="Times New Roman" w:eastAsia="Times New Roman" w:hAnsi="Times New Roman" w:cs="Times New Roman"/>
                <w:sz w:val="20"/>
                <w:szCs w:val="20"/>
              </w:rPr>
            </w:pPr>
            <w:bookmarkStart w:id="0" w:name="_heading=h.2iqj6ohd0ro0" w:colFirst="0" w:colLast="0"/>
            <w:bookmarkEnd w:id="0"/>
            <w:r>
              <w:rPr>
                <w:rFonts w:ascii="Times New Roman" w:eastAsia="Times New Roman" w:hAnsi="Times New Roman" w:cs="Times New Roman"/>
                <w:sz w:val="20"/>
                <w:szCs w:val="20"/>
              </w:rPr>
              <w:t>6. Vplyvy na manželstvo, rodičovstvo a rodinu</w:t>
            </w:r>
          </w:p>
        </w:tc>
        <w:tc>
          <w:tcPr>
            <w:tcW w:w="1245" w:type="dxa"/>
            <w:tcBorders>
              <w:top w:val="single" w:sz="4" w:space="0" w:color="000000"/>
              <w:left w:val="single" w:sz="4" w:space="0" w:color="000000"/>
              <w:bottom w:val="single" w:sz="4" w:space="0" w:color="000000"/>
              <w:right w:val="single" w:sz="4" w:space="0" w:color="000000"/>
            </w:tcBorders>
          </w:tcPr>
          <w:p w14:paraId="06215473"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47B16A56" w14:textId="77777777" w:rsidR="00BD25CC" w:rsidRDefault="00BD25CC" w:rsidP="00A120E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340" w:type="dxa"/>
            <w:tcBorders>
              <w:top w:val="single" w:sz="4" w:space="0" w:color="000000"/>
              <w:left w:val="single" w:sz="4" w:space="0" w:color="000000"/>
              <w:bottom w:val="single" w:sz="4" w:space="0" w:color="000000"/>
              <w:right w:val="single" w:sz="4" w:space="0" w:color="000000"/>
            </w:tcBorders>
          </w:tcPr>
          <w:p w14:paraId="7C4945AC" w14:textId="77777777" w:rsidR="00BD25CC" w:rsidRDefault="00BD25CC" w:rsidP="00A120EB">
            <w:pPr>
              <w:spacing w:line="240" w:lineRule="auto"/>
              <w:jc w:val="center"/>
              <w:rPr>
                <w:rFonts w:ascii="Times New Roman" w:eastAsia="Times New Roman" w:hAnsi="Times New Roman" w:cs="Times New Roman"/>
              </w:rPr>
            </w:pPr>
          </w:p>
        </w:tc>
      </w:tr>
      <w:tr w:rsidR="00BD25CC" w14:paraId="3087FDA1" w14:textId="77777777" w:rsidTr="00A120EB">
        <w:trPr>
          <w:trHeight w:val="149"/>
        </w:trPr>
        <w:tc>
          <w:tcPr>
            <w:tcW w:w="3737" w:type="dxa"/>
            <w:tcBorders>
              <w:top w:val="single" w:sz="4" w:space="0" w:color="000000"/>
              <w:left w:val="single" w:sz="4" w:space="0" w:color="000000"/>
              <w:bottom w:val="single" w:sz="4" w:space="0" w:color="000000"/>
              <w:right w:val="single" w:sz="4" w:space="0" w:color="000000"/>
            </w:tcBorders>
          </w:tcPr>
          <w:p w14:paraId="60C8FBE3" w14:textId="77777777" w:rsidR="00BD25CC" w:rsidRDefault="00BD25CC" w:rsidP="00A120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Vplyvy na služby verejnej správy pre občana</w:t>
            </w:r>
          </w:p>
        </w:tc>
        <w:tc>
          <w:tcPr>
            <w:tcW w:w="1245" w:type="dxa"/>
            <w:tcBorders>
              <w:top w:val="single" w:sz="4" w:space="0" w:color="000000"/>
              <w:left w:val="single" w:sz="4" w:space="0" w:color="000000"/>
              <w:bottom w:val="single" w:sz="4" w:space="0" w:color="000000"/>
              <w:right w:val="single" w:sz="4" w:space="0" w:color="000000"/>
            </w:tcBorders>
          </w:tcPr>
          <w:p w14:paraId="19743099" w14:textId="77777777" w:rsidR="00BD25CC" w:rsidRDefault="00BD25CC" w:rsidP="00A120EB">
            <w:pPr>
              <w:spacing w:line="240" w:lineRule="auto"/>
              <w:jc w:val="center"/>
              <w:rPr>
                <w:rFonts w:ascii="Times New Roman" w:eastAsia="Times New Roman" w:hAnsi="Times New Roman" w:cs="Times New Roman"/>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19791E19" w14:textId="77777777" w:rsidR="00BD25CC" w:rsidRDefault="00BD25CC" w:rsidP="00A120E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340" w:type="dxa"/>
            <w:tcBorders>
              <w:top w:val="single" w:sz="4" w:space="0" w:color="000000"/>
              <w:left w:val="single" w:sz="4" w:space="0" w:color="000000"/>
              <w:bottom w:val="single" w:sz="4" w:space="0" w:color="000000"/>
              <w:right w:val="single" w:sz="4" w:space="0" w:color="000000"/>
            </w:tcBorders>
          </w:tcPr>
          <w:p w14:paraId="5684679E" w14:textId="77777777" w:rsidR="00BD25CC" w:rsidRDefault="00BD25CC" w:rsidP="00A120EB">
            <w:pPr>
              <w:spacing w:line="240" w:lineRule="auto"/>
              <w:jc w:val="center"/>
              <w:rPr>
                <w:rFonts w:ascii="Times New Roman" w:eastAsia="Times New Roman" w:hAnsi="Times New Roman" w:cs="Times New Roman"/>
              </w:rPr>
            </w:pPr>
          </w:p>
        </w:tc>
      </w:tr>
    </w:tbl>
    <w:p w14:paraId="6C19CC2C" w14:textId="77777777" w:rsidR="00BD25CC" w:rsidRDefault="00BD25CC" w:rsidP="00BD25CC">
      <w:pPr>
        <w:pBdr>
          <w:top w:val="nil"/>
          <w:left w:val="nil"/>
          <w:bottom w:val="nil"/>
          <w:right w:val="nil"/>
          <w:between w:val="nil"/>
        </w:pBdr>
        <w:spacing w:after="120" w:line="240" w:lineRule="auto"/>
        <w:jc w:val="both"/>
        <w:rPr>
          <w:rFonts w:ascii="Times New Roman" w:eastAsia="Times New Roman" w:hAnsi="Times New Roman" w:cs="Times New Roman"/>
          <w:sz w:val="16"/>
          <w:szCs w:val="16"/>
        </w:rPr>
      </w:pPr>
    </w:p>
    <w:p w14:paraId="34BAA726" w14:textId="77777777" w:rsidR="00BD25CC" w:rsidRDefault="00BD25CC" w:rsidP="00BD25CC">
      <w:pPr>
        <w:pBdr>
          <w:top w:val="nil"/>
          <w:left w:val="nil"/>
          <w:bottom w:val="nil"/>
          <w:right w:val="nil"/>
          <w:between w:val="nil"/>
        </w:pBdr>
        <w:spacing w:after="1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A.3. Poznámky</w:t>
      </w:r>
    </w:p>
    <w:p w14:paraId="77AB3DAF" w14:textId="77777777" w:rsidR="00BD25CC" w:rsidRDefault="00BD25CC" w:rsidP="00BD25CC">
      <w:r>
        <w:rPr>
          <w:rFonts w:ascii="Times New Roman" w:eastAsia="Times New Roman" w:hAnsi="Times New Roman" w:cs="Times New Roman"/>
        </w:rPr>
        <w:t xml:space="preserve">Návrh zákona má pozitívny vplyv na podnikateľské prostredie, keďže odstraňuje neprimerané obmedzenia pri uplatňovaní výnimky z nelegálnej práce v spoločnostiach s ručením obmedzeným s rodinným prvkom. </w:t>
      </w:r>
    </w:p>
    <w:p w14:paraId="7F6A5D74" w14:textId="77777777" w:rsidR="00BD25CC" w:rsidRDefault="00BD25CC" w:rsidP="00BD25CC">
      <w:pPr>
        <w:pBdr>
          <w:top w:val="nil"/>
          <w:left w:val="nil"/>
          <w:bottom w:val="nil"/>
          <w:right w:val="nil"/>
          <w:between w:val="nil"/>
        </w:pBdr>
        <w:spacing w:after="1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A.4. Alternatívne riešenia</w:t>
      </w:r>
    </w:p>
    <w:p w14:paraId="2E902726" w14:textId="77777777" w:rsidR="00BD25CC" w:rsidRDefault="00BD25CC" w:rsidP="00BD25CC">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Nepredkladajú sa. </w:t>
      </w:r>
    </w:p>
    <w:p w14:paraId="6B3AA7F5" w14:textId="77777777" w:rsidR="00BD25CC" w:rsidRDefault="00BD25CC" w:rsidP="00BD25CC">
      <w:pPr>
        <w:pBdr>
          <w:top w:val="nil"/>
          <w:left w:val="nil"/>
          <w:bottom w:val="nil"/>
          <w:right w:val="nil"/>
          <w:between w:val="nil"/>
        </w:pBdr>
        <w:spacing w:after="12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A.5. Stanovisko gestorov </w:t>
      </w:r>
    </w:p>
    <w:p w14:paraId="444A42F6" w14:textId="77777777" w:rsidR="00BD25CC" w:rsidRDefault="00BD25CC" w:rsidP="00BD25CC">
      <w:pPr>
        <w:rPr>
          <w:sz w:val="24"/>
          <w:szCs w:val="24"/>
        </w:rPr>
      </w:pPr>
      <w:r>
        <w:rPr>
          <w:rFonts w:ascii="Times New Roman" w:eastAsia="Times New Roman" w:hAnsi="Times New Roman" w:cs="Times New Roman"/>
          <w:sz w:val="24"/>
          <w:szCs w:val="24"/>
        </w:rPr>
        <w:t xml:space="preserve">Bezpredmetné </w:t>
      </w:r>
    </w:p>
    <w:p w14:paraId="011C2F33" w14:textId="77777777" w:rsidR="00472195" w:rsidRDefault="00472195">
      <w:pPr>
        <w:jc w:val="both"/>
        <w:rPr>
          <w:rFonts w:ascii="Times New Roman" w:eastAsia="Times New Roman" w:hAnsi="Times New Roman" w:cs="Times New Roman"/>
          <w:sz w:val="24"/>
          <w:szCs w:val="24"/>
        </w:rPr>
      </w:pPr>
    </w:p>
    <w:p w14:paraId="585A7E19" w14:textId="77777777" w:rsidR="00A90BED" w:rsidRDefault="00A90BED">
      <w:pPr>
        <w:jc w:val="both"/>
        <w:rPr>
          <w:rFonts w:ascii="Times New Roman" w:eastAsia="Times New Roman" w:hAnsi="Times New Roman" w:cs="Times New Roman"/>
          <w:sz w:val="24"/>
          <w:szCs w:val="24"/>
        </w:rPr>
      </w:pPr>
    </w:p>
    <w:p w14:paraId="1A698C6A" w14:textId="77777777" w:rsidR="00A90BED" w:rsidRDefault="00A90BED">
      <w:pPr>
        <w:jc w:val="both"/>
        <w:rPr>
          <w:rFonts w:ascii="Times New Roman" w:eastAsia="Times New Roman" w:hAnsi="Times New Roman" w:cs="Times New Roman"/>
          <w:sz w:val="24"/>
          <w:szCs w:val="24"/>
        </w:rPr>
      </w:pPr>
    </w:p>
    <w:p w14:paraId="4F8EC67C" w14:textId="77777777" w:rsidR="00A90BED" w:rsidRDefault="00A90BED">
      <w:pPr>
        <w:jc w:val="both"/>
        <w:rPr>
          <w:rFonts w:ascii="Times New Roman" w:eastAsia="Times New Roman" w:hAnsi="Times New Roman" w:cs="Times New Roman"/>
          <w:sz w:val="24"/>
          <w:szCs w:val="24"/>
        </w:rPr>
      </w:pPr>
    </w:p>
    <w:p w14:paraId="011C2F34" w14:textId="77777777" w:rsidR="00472195" w:rsidRDefault="00E6187E">
      <w:pPr>
        <w:numPr>
          <w:ilvl w:val="0"/>
          <w:numId w:val="1"/>
        </w:num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Osobitná časť</w:t>
      </w:r>
    </w:p>
    <w:p w14:paraId="011C2F35" w14:textId="77777777" w:rsidR="00472195" w:rsidRDefault="00472195">
      <w:pPr>
        <w:pBdr>
          <w:top w:val="nil"/>
          <w:left w:val="nil"/>
          <w:bottom w:val="nil"/>
          <w:right w:val="nil"/>
          <w:between w:val="nil"/>
        </w:pBdr>
        <w:ind w:left="927"/>
        <w:jc w:val="both"/>
        <w:rPr>
          <w:rFonts w:ascii="Times New Roman" w:eastAsia="Times New Roman" w:hAnsi="Times New Roman" w:cs="Times New Roman"/>
          <w:b/>
          <w:bCs/>
          <w:color w:val="000000"/>
          <w:sz w:val="24"/>
          <w:szCs w:val="24"/>
        </w:rPr>
      </w:pPr>
    </w:p>
    <w:p w14:paraId="011C2F36" w14:textId="77777777" w:rsidR="00472195" w:rsidRDefault="00E6187E" w:rsidP="00A90BED">
      <w:pPr>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w:t>
      </w:r>
    </w:p>
    <w:p w14:paraId="666DFC6B" w14:textId="44946CBF" w:rsidR="00DE4716" w:rsidRDefault="00E6187E" w:rsidP="00DE4716">
      <w:pPr>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Navrhuje sa úprava § 2a, ktorou sa zrušuje podmienka obmedzujúca uplatnenie výnimky z nelegálnej práce a nelegálneho zamestnávania len na spoločnosti s ručením obmedzeným s najviac dvoma spoločníkmi.</w:t>
      </w:r>
      <w:r w:rsidR="00DE4716">
        <w:rPr>
          <w:rFonts w:ascii="Times New Roman" w:eastAsia="Times New Roman" w:hAnsi="Times New Roman" w:cs="Times New Roman"/>
          <w:color w:val="000000"/>
          <w:sz w:val="24"/>
          <w:szCs w:val="24"/>
        </w:rPr>
        <w:t xml:space="preserve"> </w:t>
      </w:r>
      <w:r w:rsidR="00DE4716">
        <w:rPr>
          <w:rFonts w:ascii="Times New Roman" w:eastAsia="Times New Roman" w:hAnsi="Times New Roman" w:cs="Times New Roman"/>
          <w:sz w:val="24"/>
          <w:szCs w:val="24"/>
        </w:rPr>
        <w:t xml:space="preserve">Ďalej sa </w:t>
      </w:r>
      <w:r w:rsidR="00DE4716">
        <w:rPr>
          <w:rFonts w:ascii="Times New Roman" w:eastAsia="Times New Roman" w:hAnsi="Times New Roman" w:cs="Times New Roman"/>
          <w:sz w:val="24"/>
          <w:szCs w:val="24"/>
        </w:rPr>
        <w:t>rieši náhrad</w:t>
      </w:r>
      <w:r w:rsidR="00073FE9">
        <w:rPr>
          <w:rFonts w:ascii="Times New Roman" w:eastAsia="Times New Roman" w:hAnsi="Times New Roman" w:cs="Times New Roman"/>
          <w:sz w:val="24"/>
          <w:szCs w:val="24"/>
        </w:rPr>
        <w:t>a</w:t>
      </w:r>
      <w:r w:rsidR="00DE4716">
        <w:rPr>
          <w:rFonts w:ascii="Times New Roman" w:eastAsia="Times New Roman" w:hAnsi="Times New Roman" w:cs="Times New Roman"/>
          <w:sz w:val="24"/>
          <w:szCs w:val="24"/>
        </w:rPr>
        <w:t xml:space="preserve"> anaforickej väzby „z týchto spoločníkov" – po vypustení podmienky o spoločníkoch totiž odkazové slovo „týchto" stratí referent, takže musí byť nahradené všeobecnou väzbou „zo spoločníkov"</w:t>
      </w:r>
      <w:r w:rsidR="0035125A">
        <w:rPr>
          <w:rFonts w:ascii="Times New Roman" w:eastAsia="Times New Roman" w:hAnsi="Times New Roman" w:cs="Times New Roman"/>
          <w:sz w:val="24"/>
          <w:szCs w:val="24"/>
        </w:rPr>
        <w:t>, pričom sa spresňuje, že pôjde o spoločníkov spoločnosti s ručením obmedzeným</w:t>
      </w:r>
      <w:r w:rsidR="00DE4716">
        <w:rPr>
          <w:rFonts w:ascii="Times New Roman" w:eastAsia="Times New Roman" w:hAnsi="Times New Roman" w:cs="Times New Roman"/>
          <w:sz w:val="24"/>
          <w:szCs w:val="24"/>
        </w:rPr>
        <w:t>.</w:t>
      </w:r>
    </w:p>
    <w:p w14:paraId="011C2F39" w14:textId="0F7E3789" w:rsidR="00472195" w:rsidRDefault="00E6187E">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Cieľom </w:t>
      </w:r>
      <w:r w:rsidR="00F31CCD">
        <w:rPr>
          <w:rFonts w:ascii="Times New Roman" w:eastAsia="Times New Roman" w:hAnsi="Times New Roman" w:cs="Times New Roman"/>
          <w:color w:val="000000"/>
          <w:sz w:val="24"/>
          <w:szCs w:val="24"/>
        </w:rPr>
        <w:t xml:space="preserve">týchto zmien </w:t>
      </w:r>
      <w:r>
        <w:rPr>
          <w:rFonts w:ascii="Times New Roman" w:eastAsia="Times New Roman" w:hAnsi="Times New Roman" w:cs="Times New Roman"/>
          <w:color w:val="000000"/>
          <w:sz w:val="24"/>
          <w:szCs w:val="24"/>
        </w:rPr>
        <w:t>je rozšíriť možnosť uplatnenia výnimky na spoločnosti s ručením obmedzeným bez ohľadu na počet ich spoločníkov, za predpokladu, že sú splnené ostatné zákonné podmienky, najmä že ide o príbuzného v priamom rade, súrodenca alebo manžela spoločníka alebo fyzickej osoby spoločníka, ktorý je zároveň dôchodkovo poistený, poberateľom dôchodku alebo žiakom či študentom do 26 rokov veku.</w:t>
      </w:r>
    </w:p>
    <w:p w14:paraId="011C2F3C" w14:textId="77777777" w:rsidR="00472195" w:rsidRDefault="00E6187E" w:rsidP="00A90BED">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 čl. II</w:t>
      </w:r>
    </w:p>
    <w:p w14:paraId="011C2F3D" w14:textId="77777777" w:rsidR="00472195" w:rsidRDefault="00E6187E">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Vzhľadom na aktuálny stav legislatívneho procesu a potrebu primeranej legisvakačnej doby sa navrhuje, aby zákon nadobudol účinnosť 1. januára 2027.</w:t>
      </w:r>
    </w:p>
    <w:p w14:paraId="011C2F3E" w14:textId="77777777" w:rsidR="00472195" w:rsidRDefault="00E6187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Táto lehota poskytne dostatočný čas na oboznámenie sa dotknutých subjektov s novou právnou úpravou, na úpravu interných procesov podnikateľských subjektov a na zabezpečenie plynulej implementácie bez negatívnych dopadov na aplikačnú prax.</w:t>
      </w:r>
    </w:p>
    <w:sectPr w:rsidR="0047219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27CEFB1-6A30-4A18-8940-74D874A9F3A7}"/>
    <w:embedItalic r:id="rId2" w:fontKey="{8EB131EE-0E08-4341-9A7E-E5CE0A3109E0}"/>
  </w:font>
  <w:font w:name="Play">
    <w:charset w:val="00"/>
    <w:family w:val="auto"/>
    <w:pitch w:val="default"/>
    <w:embedRegular r:id="rId3" w:fontKey="{6BA96147-A4CC-401F-BBA3-90886325A23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55DD760C-B4A1-4592-A73E-6556FFFF270D}"/>
  </w:font>
  <w:font w:name="Cambria">
    <w:panose1 w:val="02040503050406030204"/>
    <w:charset w:val="EE"/>
    <w:family w:val="roman"/>
    <w:pitch w:val="variable"/>
    <w:sig w:usb0="E00006FF" w:usb1="420024FF" w:usb2="02000000" w:usb3="00000000" w:csb0="0000019F" w:csb1="00000000"/>
    <w:embedRegular r:id="rId5" w:fontKey="{D2AABE51-A689-484A-959B-225D58AEB52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2DB0"/>
    <w:multiLevelType w:val="multilevel"/>
    <w:tmpl w:val="07941CA4"/>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346060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195"/>
    <w:rsid w:val="00073FE9"/>
    <w:rsid w:val="001F374F"/>
    <w:rsid w:val="0035125A"/>
    <w:rsid w:val="00472195"/>
    <w:rsid w:val="007B6BFE"/>
    <w:rsid w:val="00A6179A"/>
    <w:rsid w:val="00A90BED"/>
    <w:rsid w:val="00BD25CC"/>
    <w:rsid w:val="00D84418"/>
    <w:rsid w:val="00DE1C21"/>
    <w:rsid w:val="00DE4716"/>
    <w:rsid w:val="00E6187E"/>
    <w:rsid w:val="00F31CCD"/>
    <w:rsid w:val="00F760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F27"/>
  <w15:docId w15:val="{608F6505-301C-4C68-995F-D0EF9378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360" w:after="80"/>
      <w:outlineLvl w:val="0"/>
    </w:pPr>
    <w:rPr>
      <w:rFonts w:ascii="Play" w:eastAsia="Play" w:hAnsi="Play" w:cs="Play"/>
      <w:color w:val="0F4761"/>
      <w:sz w:val="40"/>
      <w:szCs w:val="40"/>
    </w:rPr>
  </w:style>
  <w:style w:type="paragraph" w:styleId="Nadpis2">
    <w:name w:val="heading 2"/>
    <w:basedOn w:val="Normlny"/>
    <w:next w:val="Norm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dpis3">
    <w:name w:val="heading 3"/>
    <w:basedOn w:val="Normlny"/>
    <w:next w:val="Normlny"/>
    <w:uiPriority w:val="9"/>
    <w:semiHidden/>
    <w:unhideWhenUsed/>
    <w:qFormat/>
    <w:pPr>
      <w:keepNext/>
      <w:keepLines/>
      <w:spacing w:before="160" w:after="80"/>
      <w:outlineLvl w:val="2"/>
    </w:pPr>
    <w:rPr>
      <w:color w:val="0F4761"/>
      <w:sz w:val="28"/>
      <w:szCs w:val="28"/>
    </w:rPr>
  </w:style>
  <w:style w:type="paragraph" w:styleId="Nadpis4">
    <w:name w:val="heading 4"/>
    <w:basedOn w:val="Normlny"/>
    <w:next w:val="Normlny"/>
    <w:uiPriority w:val="9"/>
    <w:semiHidden/>
    <w:unhideWhenUsed/>
    <w:qFormat/>
    <w:pPr>
      <w:keepNext/>
      <w:keepLines/>
      <w:spacing w:before="80" w:after="40"/>
      <w:outlineLvl w:val="3"/>
    </w:pPr>
    <w:rPr>
      <w:i/>
      <w:iCs/>
      <w:color w:val="0F4761"/>
    </w:rPr>
  </w:style>
  <w:style w:type="paragraph" w:styleId="Nadpis5">
    <w:name w:val="heading 5"/>
    <w:basedOn w:val="Normlny"/>
    <w:next w:val="Normlny"/>
    <w:uiPriority w:val="9"/>
    <w:semiHidden/>
    <w:unhideWhenUsed/>
    <w:qFormat/>
    <w:pPr>
      <w:keepNext/>
      <w:keepLines/>
      <w:spacing w:before="80" w:after="40"/>
      <w:outlineLvl w:val="4"/>
    </w:pPr>
    <w:rPr>
      <w:color w:val="0F4761"/>
    </w:rPr>
  </w:style>
  <w:style w:type="paragraph" w:styleId="Nadpis6">
    <w:name w:val="heading 6"/>
    <w:basedOn w:val="Normlny"/>
    <w:next w:val="Normlny"/>
    <w:uiPriority w:val="9"/>
    <w:semiHidden/>
    <w:unhideWhenUsed/>
    <w:qFormat/>
    <w:pPr>
      <w:keepNext/>
      <w:keepLines/>
      <w:spacing w:before="40" w:after="0"/>
      <w:outlineLvl w:val="5"/>
    </w:pPr>
    <w:rPr>
      <w:i/>
      <w:iCs/>
      <w:color w:val="595959"/>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spacing w:after="80" w:line="240" w:lineRule="auto"/>
    </w:pPr>
    <w:rPr>
      <w:rFonts w:ascii="Play" w:eastAsia="Play" w:hAnsi="Play" w:cs="Play"/>
      <w:sz w:val="56"/>
      <w:szCs w:val="56"/>
    </w:rPr>
  </w:style>
  <w:style w:type="paragraph" w:styleId="Podtitul">
    <w:name w:val="Subtitle"/>
    <w:basedOn w:val="Normlny"/>
    <w:next w:val="Norm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itTbWeuhZd3fkPRcpDr26GqFA==">CgMxLjA4AHIhMVdlNjdTREV5M3h4VmdLR2JXWUg4VnFGa2s5ZjVRWHZV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1416</Words>
  <Characters>8074</Characters>
  <Application>Microsoft Office Word</Application>
  <DocSecurity>0</DocSecurity>
  <Lines>67</Lines>
  <Paragraphs>18</Paragraphs>
  <ScaleCrop>false</ScaleCrop>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Andrej Pitonak</cp:lastModifiedBy>
  <cp:revision>11</cp:revision>
  <dcterms:created xsi:type="dcterms:W3CDTF">2026-05-28T10:52:00Z</dcterms:created>
  <dcterms:modified xsi:type="dcterms:W3CDTF">2026-05-28T13:32:00Z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c556d04c-4b95-477f-ba80-d0ae9f2d16d5</vt:lpwstr>
  </property>
</Properties>
</file>