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9EC13" w14:textId="77777777" w:rsidR="00A11DAC" w:rsidRDefault="00A11DAC" w:rsidP="00A11DAC">
      <w:pPr>
        <w:keepNext/>
        <w:spacing w:after="0" w:line="240" w:lineRule="auto"/>
        <w:outlineLvl w:val="5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>Výbor Národnej rady Slovenskej republiky</w:t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  <w:r>
        <w:rPr>
          <w:b/>
          <w:i/>
          <w:sz w:val="32"/>
          <w:szCs w:val="24"/>
          <w:lang w:eastAsia="sk-SK"/>
        </w:rPr>
        <w:tab/>
      </w:r>
    </w:p>
    <w:p w14:paraId="5142757C" w14:textId="77777777" w:rsidR="00A11DAC" w:rsidRDefault="00A11DAC" w:rsidP="00A11DAC">
      <w:pPr>
        <w:spacing w:after="0" w:line="240" w:lineRule="auto"/>
        <w:rPr>
          <w:b/>
          <w:i/>
          <w:sz w:val="32"/>
          <w:szCs w:val="24"/>
          <w:lang w:eastAsia="sk-SK"/>
        </w:rPr>
      </w:pPr>
      <w:r>
        <w:rPr>
          <w:b/>
          <w:i/>
          <w:sz w:val="32"/>
          <w:szCs w:val="24"/>
          <w:lang w:eastAsia="sk-SK"/>
        </w:rPr>
        <w:t xml:space="preserve">             pre obranu a bezpečnosť</w:t>
      </w:r>
    </w:p>
    <w:p w14:paraId="7DA1F50D" w14:textId="24E1EE92" w:rsidR="00231090" w:rsidRDefault="00C17BC3" w:rsidP="00231090">
      <w:pPr>
        <w:spacing w:after="0" w:line="240" w:lineRule="auto"/>
        <w:jc w:val="right"/>
        <w:rPr>
          <w:b/>
          <w:szCs w:val="24"/>
          <w:lang w:eastAsia="sk-SK"/>
        </w:rPr>
      </w:pPr>
      <w:r>
        <w:rPr>
          <w:b/>
          <w:szCs w:val="24"/>
          <w:lang w:eastAsia="sk-SK"/>
        </w:rPr>
        <w:t>81</w:t>
      </w:r>
      <w:r w:rsidR="00231090">
        <w:rPr>
          <w:b/>
          <w:szCs w:val="24"/>
          <w:lang w:eastAsia="sk-SK"/>
        </w:rPr>
        <w:t>. schôdza výboru</w:t>
      </w:r>
    </w:p>
    <w:p w14:paraId="49430037" w14:textId="2D07F546" w:rsidR="00231090" w:rsidRDefault="00231090" w:rsidP="00231090">
      <w:pPr>
        <w:spacing w:after="0" w:line="240" w:lineRule="auto"/>
        <w:jc w:val="both"/>
        <w:rPr>
          <w:szCs w:val="24"/>
          <w:lang w:eastAsia="sk-SK"/>
        </w:rPr>
      </w:pP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</w:r>
      <w:r>
        <w:rPr>
          <w:szCs w:val="24"/>
          <w:lang w:eastAsia="sk-SK"/>
        </w:rPr>
        <w:tab/>
        <w:t xml:space="preserve">          </w:t>
      </w:r>
      <w:r w:rsidR="00CD0178">
        <w:rPr>
          <w:szCs w:val="24"/>
          <w:lang w:eastAsia="sk-SK"/>
        </w:rPr>
        <w:t xml:space="preserve"> </w:t>
      </w:r>
      <w:r w:rsidR="00365ACF">
        <w:rPr>
          <w:szCs w:val="24"/>
          <w:lang w:eastAsia="sk-SK"/>
        </w:rPr>
        <w:t xml:space="preserve">     </w:t>
      </w:r>
      <w:r w:rsidR="00E879C6">
        <w:rPr>
          <w:szCs w:val="24"/>
          <w:lang w:eastAsia="sk-SK"/>
        </w:rPr>
        <w:t>Číslo: KNR-VOB-</w:t>
      </w:r>
      <w:r w:rsidR="00C17BC3">
        <w:rPr>
          <w:szCs w:val="24"/>
          <w:lang w:eastAsia="sk-SK"/>
        </w:rPr>
        <w:t>4684</w:t>
      </w:r>
      <w:r w:rsidR="00E879C6">
        <w:rPr>
          <w:szCs w:val="24"/>
          <w:lang w:eastAsia="sk-SK"/>
        </w:rPr>
        <w:t>/202</w:t>
      </w:r>
      <w:r w:rsidR="00C17BC3">
        <w:rPr>
          <w:szCs w:val="24"/>
          <w:lang w:eastAsia="sk-SK"/>
        </w:rPr>
        <w:t>6</w:t>
      </w:r>
      <w:r w:rsidR="00E879C6">
        <w:rPr>
          <w:szCs w:val="24"/>
          <w:lang w:eastAsia="sk-SK"/>
        </w:rPr>
        <w:t>-</w:t>
      </w:r>
      <w:r w:rsidR="00D401E9">
        <w:rPr>
          <w:szCs w:val="24"/>
          <w:lang w:eastAsia="sk-SK"/>
        </w:rPr>
        <w:t>10</w:t>
      </w:r>
    </w:p>
    <w:p w14:paraId="2A6C07A3" w14:textId="77777777" w:rsidR="00231090" w:rsidRDefault="00231090" w:rsidP="00231090">
      <w:pPr>
        <w:spacing w:after="0" w:line="240" w:lineRule="auto"/>
        <w:rPr>
          <w:szCs w:val="24"/>
          <w:lang w:eastAsia="sk-SK"/>
        </w:rPr>
      </w:pPr>
    </w:p>
    <w:p w14:paraId="0D6DC0E6" w14:textId="19BBE5D4" w:rsidR="00231090" w:rsidRDefault="00C17BC3" w:rsidP="00231090">
      <w:pPr>
        <w:spacing w:after="0" w:line="240" w:lineRule="auto"/>
        <w:jc w:val="center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17</w:t>
      </w:r>
      <w:r w:rsidR="003C1BCC">
        <w:rPr>
          <w:b/>
          <w:sz w:val="28"/>
          <w:szCs w:val="24"/>
          <w:lang w:eastAsia="sk-SK"/>
        </w:rPr>
        <w:t>1</w:t>
      </w:r>
    </w:p>
    <w:p w14:paraId="468DF260" w14:textId="77777777" w:rsidR="00231090" w:rsidRDefault="00231090" w:rsidP="00231090">
      <w:pPr>
        <w:keepNext/>
        <w:spacing w:after="0" w:line="240" w:lineRule="auto"/>
        <w:jc w:val="center"/>
        <w:outlineLvl w:val="0"/>
        <w:rPr>
          <w:b/>
          <w:spacing w:val="40"/>
          <w:sz w:val="28"/>
          <w:szCs w:val="20"/>
          <w:lang w:eastAsia="sk-SK"/>
        </w:rPr>
      </w:pPr>
      <w:r>
        <w:rPr>
          <w:b/>
          <w:spacing w:val="40"/>
          <w:sz w:val="28"/>
          <w:szCs w:val="20"/>
          <w:lang w:eastAsia="sk-SK"/>
        </w:rPr>
        <w:t>Uznesenie</w:t>
      </w:r>
    </w:p>
    <w:p w14:paraId="4E9816E7" w14:textId="77777777" w:rsidR="00231090" w:rsidRDefault="00231090" w:rsidP="00231090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Výboru Národnej rady Slovenskej republiky</w:t>
      </w:r>
    </w:p>
    <w:p w14:paraId="3BB38771" w14:textId="77777777" w:rsidR="00231090" w:rsidRDefault="00231090" w:rsidP="00231090">
      <w:pPr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>pre obranu a bezpečnosť</w:t>
      </w:r>
    </w:p>
    <w:p w14:paraId="715FC6A0" w14:textId="19C15B9A" w:rsidR="00231090" w:rsidRDefault="00CD0178" w:rsidP="00231090">
      <w:pPr>
        <w:tabs>
          <w:tab w:val="left" w:pos="4678"/>
        </w:tabs>
        <w:spacing w:after="0" w:line="240" w:lineRule="auto"/>
        <w:jc w:val="center"/>
        <w:rPr>
          <w:szCs w:val="24"/>
          <w:lang w:eastAsia="sk-SK"/>
        </w:rPr>
      </w:pPr>
      <w:r>
        <w:rPr>
          <w:szCs w:val="24"/>
          <w:lang w:eastAsia="sk-SK"/>
        </w:rPr>
        <w:t xml:space="preserve">z </w:t>
      </w:r>
      <w:r w:rsidR="00C17BC3">
        <w:rPr>
          <w:szCs w:val="24"/>
          <w:lang w:eastAsia="sk-SK"/>
        </w:rPr>
        <w:t>25</w:t>
      </w:r>
      <w:r w:rsidR="00231090">
        <w:rPr>
          <w:szCs w:val="24"/>
          <w:lang w:eastAsia="sk-SK"/>
        </w:rPr>
        <w:t xml:space="preserve">. </w:t>
      </w:r>
      <w:r w:rsidR="00C17BC3">
        <w:rPr>
          <w:szCs w:val="24"/>
          <w:lang w:eastAsia="sk-SK"/>
        </w:rPr>
        <w:t>mája</w:t>
      </w:r>
      <w:r w:rsidR="008E1862">
        <w:rPr>
          <w:szCs w:val="24"/>
          <w:lang w:eastAsia="sk-SK"/>
        </w:rPr>
        <w:t xml:space="preserve"> 202</w:t>
      </w:r>
      <w:r w:rsidR="00C17BC3">
        <w:rPr>
          <w:szCs w:val="24"/>
          <w:lang w:eastAsia="sk-SK"/>
        </w:rPr>
        <w:t>6</w:t>
      </w:r>
    </w:p>
    <w:p w14:paraId="0253DA65" w14:textId="77777777" w:rsidR="00F93E52" w:rsidRDefault="00F93E52" w:rsidP="00231090">
      <w:pPr>
        <w:spacing w:after="0" w:line="240" w:lineRule="auto"/>
        <w:ind w:left="360"/>
        <w:jc w:val="right"/>
        <w:rPr>
          <w:szCs w:val="24"/>
          <w:lang w:eastAsia="sk-SK"/>
        </w:rPr>
      </w:pPr>
    </w:p>
    <w:p w14:paraId="65EE0851" w14:textId="67205BE1" w:rsidR="008E1862" w:rsidRPr="00D401E9" w:rsidRDefault="008A7F41" w:rsidP="00D401E9">
      <w:pPr>
        <w:spacing w:after="0" w:line="240" w:lineRule="auto"/>
        <w:jc w:val="both"/>
        <w:rPr>
          <w:b/>
          <w:bCs/>
          <w:i/>
          <w:sz w:val="28"/>
          <w:szCs w:val="28"/>
          <w:lang w:eastAsia="sk-SK"/>
        </w:rPr>
      </w:pPr>
      <w:r w:rsidRPr="00D401E9">
        <w:rPr>
          <w:rFonts w:cs="Arial"/>
          <w:noProof/>
        </w:rPr>
        <w:t xml:space="preserve">Výbor Národnej rady Slovenskej republiky pre obranu a bezpečnosť prerokoval </w:t>
      </w:r>
      <w:r w:rsidR="003B610A" w:rsidRPr="00D401E9">
        <w:rPr>
          <w:rFonts w:cs="Arial"/>
          <w:noProof/>
        </w:rPr>
        <w:t>vládny návrh zákona,</w:t>
      </w:r>
      <w:r w:rsidR="003B610A" w:rsidRPr="00D401E9">
        <w:rPr>
          <w:sz w:val="28"/>
        </w:rPr>
        <w:t xml:space="preserve"> </w:t>
      </w:r>
      <w:r w:rsidR="003B610A" w:rsidRPr="00D401E9">
        <w:rPr>
          <w:rFonts w:cs="Arial"/>
          <w:noProof/>
        </w:rPr>
        <w:t xml:space="preserve">ktorým sa mení a dopĺňa </w:t>
      </w:r>
      <w:r w:rsidR="00D401E9" w:rsidRPr="00D401E9">
        <w:rPr>
          <w:rFonts w:cs="Arial"/>
          <w:noProof/>
          <w:szCs w:val="24"/>
        </w:rPr>
        <w:t xml:space="preserve">č. 404/2011 Z. z. o pobyte cudzincov a o zmene a doplnení niektorých zákonov v znení neskorších predpisov a ktorým sa menia a dopĺňajú niektoré zákony </w:t>
      </w:r>
      <w:r w:rsidR="00D401E9" w:rsidRPr="00D401E9">
        <w:rPr>
          <w:rFonts w:cs="Arial"/>
          <w:b/>
          <w:bCs/>
          <w:noProof/>
          <w:szCs w:val="24"/>
        </w:rPr>
        <w:t>(tlač 1226)</w:t>
      </w:r>
      <w:r w:rsidR="00C17BC3" w:rsidRPr="00D401E9">
        <w:rPr>
          <w:rFonts w:cs="Arial"/>
          <w:b/>
          <w:bCs/>
          <w:noProof/>
          <w:szCs w:val="24"/>
        </w:rPr>
        <w:t xml:space="preserve"> </w:t>
      </w:r>
      <w:r w:rsidR="008E1862" w:rsidRPr="00D401E9">
        <w:rPr>
          <w:rFonts w:cs="Arial"/>
          <w:noProof/>
        </w:rPr>
        <w:t>a</w:t>
      </w:r>
    </w:p>
    <w:p w14:paraId="77C1EB09" w14:textId="77777777" w:rsidR="00F93E52" w:rsidRPr="00231090" w:rsidRDefault="00F93E52" w:rsidP="00F93E52">
      <w:pPr>
        <w:tabs>
          <w:tab w:val="left" w:pos="5580"/>
        </w:tabs>
        <w:spacing w:after="0" w:line="240" w:lineRule="auto"/>
        <w:jc w:val="both"/>
        <w:rPr>
          <w:bCs/>
          <w:szCs w:val="24"/>
          <w:lang w:eastAsia="sk-SK"/>
        </w:rPr>
      </w:pPr>
    </w:p>
    <w:p w14:paraId="6562A06B" w14:textId="77777777" w:rsidR="00F93E52" w:rsidRDefault="00F93E52" w:rsidP="00F93E52">
      <w:pPr>
        <w:pStyle w:val="Odsekzoznamu"/>
        <w:keepNext/>
        <w:numPr>
          <w:ilvl w:val="0"/>
          <w:numId w:val="1"/>
        </w:numPr>
        <w:spacing w:after="0" w:line="240" w:lineRule="auto"/>
        <w:jc w:val="both"/>
        <w:outlineLvl w:val="2"/>
        <w:rPr>
          <w:b/>
          <w:sz w:val="28"/>
          <w:szCs w:val="24"/>
          <w:lang w:eastAsia="sk-SK"/>
        </w:rPr>
      </w:pPr>
      <w:r>
        <w:rPr>
          <w:b/>
          <w:sz w:val="28"/>
          <w:szCs w:val="24"/>
          <w:lang w:eastAsia="sk-SK"/>
        </w:rPr>
        <w:t>súhlasí</w:t>
      </w:r>
    </w:p>
    <w:p w14:paraId="13B1154C" w14:textId="77777777" w:rsidR="00F93E52" w:rsidRDefault="00F93E52" w:rsidP="00F93E52">
      <w:pPr>
        <w:pStyle w:val="Odsekzoznamu"/>
        <w:keepNext/>
        <w:spacing w:after="0" w:line="240" w:lineRule="auto"/>
        <w:ind w:left="1068"/>
        <w:jc w:val="both"/>
        <w:outlineLvl w:val="2"/>
        <w:rPr>
          <w:b/>
          <w:sz w:val="28"/>
          <w:szCs w:val="24"/>
          <w:lang w:eastAsia="sk-SK"/>
        </w:rPr>
      </w:pPr>
    </w:p>
    <w:p w14:paraId="0B8AB1B8" w14:textId="3CC271C8" w:rsidR="008E1862" w:rsidRPr="008E1862" w:rsidRDefault="00F211DC" w:rsidP="008E1862">
      <w:pPr>
        <w:pStyle w:val="Odsekzoznamu"/>
        <w:spacing w:after="0" w:line="240" w:lineRule="auto"/>
        <w:jc w:val="both"/>
        <w:rPr>
          <w:sz w:val="28"/>
          <w:szCs w:val="24"/>
          <w:lang w:eastAsia="sk-SK"/>
        </w:rPr>
      </w:pPr>
      <w:r>
        <w:rPr>
          <w:rFonts w:cs="Arial"/>
          <w:noProof/>
        </w:rPr>
        <w:t xml:space="preserve">      </w:t>
      </w:r>
      <w:r w:rsidR="008E1862">
        <w:rPr>
          <w:rFonts w:cs="Arial"/>
          <w:noProof/>
        </w:rPr>
        <w:t xml:space="preserve">s </w:t>
      </w:r>
      <w:r w:rsidR="003B610A" w:rsidRPr="003B610A">
        <w:rPr>
          <w:rFonts w:cs="Arial"/>
          <w:noProof/>
        </w:rPr>
        <w:t>vládny</w:t>
      </w:r>
      <w:r w:rsidR="003B610A">
        <w:rPr>
          <w:rFonts w:cs="Arial"/>
          <w:noProof/>
        </w:rPr>
        <w:t>m</w:t>
      </w:r>
      <w:r w:rsidR="003B610A" w:rsidRPr="003B610A">
        <w:rPr>
          <w:rFonts w:cs="Arial"/>
          <w:noProof/>
        </w:rPr>
        <w:t xml:space="preserve"> návrh</w:t>
      </w:r>
      <w:r w:rsidR="003B610A">
        <w:rPr>
          <w:rFonts w:cs="Arial"/>
          <w:noProof/>
        </w:rPr>
        <w:t>om</w:t>
      </w:r>
      <w:r w:rsidR="003B610A" w:rsidRPr="003B610A">
        <w:rPr>
          <w:rFonts w:cs="Arial"/>
          <w:noProof/>
        </w:rPr>
        <w:t xml:space="preserve"> zákona,</w:t>
      </w:r>
      <w:r w:rsidR="003B610A" w:rsidRPr="003B610A">
        <w:rPr>
          <w:sz w:val="28"/>
        </w:rPr>
        <w:t xml:space="preserve"> </w:t>
      </w:r>
      <w:r w:rsidR="003B610A" w:rsidRPr="003B610A">
        <w:rPr>
          <w:rFonts w:cs="Arial"/>
          <w:noProof/>
        </w:rPr>
        <w:t xml:space="preserve">ktorým sa mení a dopĺňa </w:t>
      </w:r>
      <w:r w:rsidR="00C17BC3" w:rsidRPr="00C17BC3">
        <w:rPr>
          <w:rFonts w:cs="Arial"/>
          <w:noProof/>
        </w:rPr>
        <w:t xml:space="preserve">zákon </w:t>
      </w:r>
      <w:r w:rsidR="00D401E9" w:rsidRPr="00D401E9">
        <w:rPr>
          <w:rFonts w:cs="Arial"/>
          <w:noProof/>
          <w:szCs w:val="24"/>
        </w:rPr>
        <w:t xml:space="preserve">č. 404/2011 Z. z. o pobyte cudzincov a o zmene a doplnení niektorých zákonov v znení neskorších predpisov a ktorým sa menia a dopĺňajú niektoré zákony </w:t>
      </w:r>
      <w:r w:rsidR="00D401E9" w:rsidRPr="00D401E9">
        <w:rPr>
          <w:rFonts w:cs="Arial"/>
          <w:b/>
          <w:bCs/>
          <w:noProof/>
          <w:szCs w:val="24"/>
        </w:rPr>
        <w:t>(tlač 1226)</w:t>
      </w:r>
      <w:r w:rsidR="003B610A" w:rsidRPr="00A65BC5">
        <w:rPr>
          <w:b/>
        </w:rPr>
        <w:t>;</w:t>
      </w:r>
    </w:p>
    <w:p w14:paraId="62D0A0A8" w14:textId="77777777" w:rsidR="00F93E52" w:rsidRDefault="00F93E52" w:rsidP="00F93E52">
      <w:pPr>
        <w:spacing w:after="0" w:line="240" w:lineRule="auto"/>
        <w:jc w:val="both"/>
        <w:rPr>
          <w:szCs w:val="24"/>
          <w:lang w:eastAsia="sk-SK"/>
        </w:rPr>
      </w:pPr>
    </w:p>
    <w:p w14:paraId="78B02B70" w14:textId="77777777" w:rsidR="002E206A" w:rsidRDefault="002E206A" w:rsidP="00F93E52">
      <w:pPr>
        <w:spacing w:after="0" w:line="240" w:lineRule="auto"/>
        <w:jc w:val="both"/>
        <w:rPr>
          <w:szCs w:val="24"/>
          <w:lang w:eastAsia="sk-SK"/>
        </w:rPr>
      </w:pPr>
    </w:p>
    <w:p w14:paraId="197F62CC" w14:textId="77777777" w:rsidR="00F93E52" w:rsidRDefault="00F93E52" w:rsidP="00F93E52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B. odporúča</w:t>
      </w:r>
    </w:p>
    <w:p w14:paraId="46FDF05E" w14:textId="77777777" w:rsidR="00F93E52" w:rsidRPr="000D6798" w:rsidRDefault="00F93E52" w:rsidP="00F93E52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</w:t>
      </w:r>
      <w:r w:rsidR="000D6798">
        <w:rPr>
          <w:b/>
          <w:bCs/>
          <w:sz w:val="28"/>
          <w:szCs w:val="24"/>
          <w:lang w:eastAsia="sk-SK"/>
        </w:rPr>
        <w:t xml:space="preserve"> </w:t>
      </w:r>
      <w:r>
        <w:rPr>
          <w:szCs w:val="24"/>
          <w:lang w:eastAsia="sk-SK"/>
        </w:rPr>
        <w:t xml:space="preserve"> </w:t>
      </w:r>
      <w:r w:rsidRPr="000D6798">
        <w:rPr>
          <w:b/>
          <w:szCs w:val="24"/>
          <w:lang w:eastAsia="sk-SK"/>
        </w:rPr>
        <w:t>Národnej rade Slovenskej republiky</w:t>
      </w:r>
    </w:p>
    <w:p w14:paraId="16FB3233" w14:textId="77777777" w:rsidR="00F93E52" w:rsidRDefault="00F93E52" w:rsidP="00F93E52">
      <w:pPr>
        <w:spacing w:after="0" w:line="240" w:lineRule="auto"/>
        <w:ind w:firstLine="708"/>
        <w:jc w:val="both"/>
        <w:rPr>
          <w:szCs w:val="24"/>
          <w:lang w:eastAsia="sk-SK"/>
        </w:rPr>
      </w:pPr>
    </w:p>
    <w:p w14:paraId="3DC17F28" w14:textId="6802C503" w:rsidR="00124A08" w:rsidRPr="005215DE" w:rsidRDefault="00BA0B63" w:rsidP="00124A08">
      <w:pPr>
        <w:jc w:val="both"/>
        <w:rPr>
          <w:color w:val="000000" w:themeColor="text1"/>
        </w:rPr>
      </w:pPr>
      <w:r>
        <w:rPr>
          <w:szCs w:val="24"/>
          <w:lang w:eastAsia="sk-SK"/>
        </w:rPr>
        <w:t xml:space="preserve">       </w:t>
      </w:r>
      <w:r w:rsidR="003B610A" w:rsidRPr="003B610A">
        <w:rPr>
          <w:rFonts w:cs="Arial"/>
          <w:noProof/>
        </w:rPr>
        <w:t>vládny návrh zákona,</w:t>
      </w:r>
      <w:r w:rsidR="003B610A" w:rsidRPr="003B610A">
        <w:rPr>
          <w:sz w:val="28"/>
        </w:rPr>
        <w:t xml:space="preserve"> </w:t>
      </w:r>
      <w:r w:rsidR="003B610A" w:rsidRPr="003B610A">
        <w:rPr>
          <w:rFonts w:cs="Arial"/>
          <w:noProof/>
        </w:rPr>
        <w:t xml:space="preserve">ktorým sa mení a dopĺňa </w:t>
      </w:r>
      <w:r w:rsidR="00C17BC3" w:rsidRPr="00C17BC3">
        <w:rPr>
          <w:rFonts w:cs="Arial"/>
          <w:noProof/>
        </w:rPr>
        <w:t xml:space="preserve">zákon </w:t>
      </w:r>
      <w:r w:rsidR="00D401E9" w:rsidRPr="00D401E9">
        <w:rPr>
          <w:rFonts w:cs="Arial"/>
          <w:noProof/>
          <w:szCs w:val="24"/>
        </w:rPr>
        <w:t xml:space="preserve">č. 404/2011 Z. z. o pobyte cudzincov a o zmene a doplnení niektorých zákonov v znení neskorších predpisov a ktorým sa menia a dopĺňajú niektoré zákony </w:t>
      </w:r>
      <w:r w:rsidR="00D401E9" w:rsidRPr="00D401E9">
        <w:rPr>
          <w:rFonts w:cs="Arial"/>
          <w:b/>
          <w:bCs/>
          <w:noProof/>
          <w:szCs w:val="24"/>
        </w:rPr>
        <w:t xml:space="preserve">(tlač 1226) </w:t>
      </w:r>
      <w:r w:rsidR="00C17BC3">
        <w:rPr>
          <w:rFonts w:cs="Arial"/>
          <w:b/>
          <w:bCs/>
          <w:noProof/>
          <w:szCs w:val="24"/>
        </w:rPr>
        <w:t xml:space="preserve"> </w:t>
      </w:r>
      <w:r w:rsidR="0048576A" w:rsidRPr="001B2F9C">
        <w:rPr>
          <w:rFonts w:cs="Arial"/>
          <w:b/>
          <w:szCs w:val="24"/>
        </w:rPr>
        <w:t>schváliť</w:t>
      </w:r>
      <w:r w:rsidR="0048576A">
        <w:rPr>
          <w:rFonts w:cs="Arial"/>
          <w:b/>
          <w:szCs w:val="24"/>
        </w:rPr>
        <w:t xml:space="preserve"> </w:t>
      </w:r>
      <w:r w:rsidR="0048576A" w:rsidRPr="00186C49">
        <w:rPr>
          <w:rFonts w:cs="Arial"/>
          <w:b/>
          <w:szCs w:val="24"/>
        </w:rPr>
        <w:t>s pozmeňujúcimi a doplňujúcimi návrhmi</w:t>
      </w:r>
      <w:r w:rsidR="0048576A">
        <w:rPr>
          <w:rFonts w:cs="Arial"/>
          <w:szCs w:val="24"/>
        </w:rPr>
        <w:t xml:space="preserve"> </w:t>
      </w:r>
      <w:r w:rsidR="00124A08" w:rsidRPr="0048576A">
        <w:rPr>
          <w:rFonts w:cs="Arial"/>
          <w:noProof/>
          <w:color w:val="000000" w:themeColor="text1"/>
        </w:rPr>
        <w:t>uvedenými v prílohe tohto uznesenia</w:t>
      </w:r>
      <w:r w:rsidR="00505D02" w:rsidRPr="00A65BC5">
        <w:rPr>
          <w:b/>
        </w:rPr>
        <w:t>;</w:t>
      </w:r>
    </w:p>
    <w:p w14:paraId="4337F6F3" w14:textId="77777777" w:rsidR="002E206A" w:rsidRDefault="002E206A" w:rsidP="00F93E52">
      <w:pPr>
        <w:spacing w:after="0" w:line="240" w:lineRule="auto"/>
        <w:jc w:val="both"/>
        <w:rPr>
          <w:szCs w:val="24"/>
          <w:lang w:eastAsia="sk-SK"/>
        </w:rPr>
      </w:pPr>
    </w:p>
    <w:p w14:paraId="5509A4D0" w14:textId="77777777" w:rsidR="005964B7" w:rsidRDefault="005964B7" w:rsidP="005964B7">
      <w:pPr>
        <w:spacing w:after="0" w:line="240" w:lineRule="auto"/>
        <w:ind w:firstLine="708"/>
        <w:jc w:val="both"/>
        <w:rPr>
          <w:b/>
          <w:bCs/>
          <w:sz w:val="28"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>C. ukladá</w:t>
      </w:r>
    </w:p>
    <w:p w14:paraId="6E04A5E9" w14:textId="77777777" w:rsidR="005964B7" w:rsidRPr="00022AE4" w:rsidRDefault="005964B7" w:rsidP="005964B7">
      <w:pPr>
        <w:spacing w:after="0" w:line="240" w:lineRule="auto"/>
        <w:ind w:firstLine="708"/>
        <w:jc w:val="both"/>
        <w:rPr>
          <w:b/>
          <w:szCs w:val="24"/>
          <w:lang w:eastAsia="sk-SK"/>
        </w:rPr>
      </w:pPr>
      <w:r>
        <w:rPr>
          <w:b/>
          <w:bCs/>
          <w:sz w:val="28"/>
          <w:szCs w:val="24"/>
          <w:lang w:eastAsia="sk-SK"/>
        </w:rPr>
        <w:t xml:space="preserve">     </w:t>
      </w:r>
      <w:r w:rsidRPr="00022AE4">
        <w:rPr>
          <w:b/>
          <w:szCs w:val="24"/>
          <w:lang w:eastAsia="sk-SK"/>
        </w:rPr>
        <w:t>predsedovi výboru</w:t>
      </w:r>
    </w:p>
    <w:p w14:paraId="435DE07E" w14:textId="77777777" w:rsidR="005964B7" w:rsidRDefault="005964B7" w:rsidP="005964B7">
      <w:pPr>
        <w:spacing w:after="0" w:line="240" w:lineRule="auto"/>
        <w:ind w:firstLine="708"/>
        <w:jc w:val="both"/>
        <w:rPr>
          <w:szCs w:val="24"/>
          <w:lang w:eastAsia="sk-SK"/>
        </w:rPr>
      </w:pPr>
      <w:r>
        <w:rPr>
          <w:szCs w:val="24"/>
          <w:lang w:eastAsia="sk-SK"/>
        </w:rPr>
        <w:t xml:space="preserve">          </w:t>
      </w:r>
    </w:p>
    <w:p w14:paraId="7556C98E" w14:textId="77777777" w:rsidR="00407A53" w:rsidRDefault="005964B7" w:rsidP="00407A53">
      <w:pPr>
        <w:jc w:val="both"/>
      </w:pPr>
      <w:r>
        <w:rPr>
          <w:szCs w:val="24"/>
          <w:lang w:eastAsia="sk-SK"/>
        </w:rPr>
        <w:t xml:space="preserve">     </w:t>
      </w:r>
      <w:r w:rsidR="00407A53" w:rsidRPr="00060C8B">
        <w:t xml:space="preserve">v spolupráci s ostatnými predsedami výborov Národnej rady Slovenskej republiky, ktorí predmetný návrh zákona prerokovali, predložiť Národnej rade Slovenskej republiky spoločnú správu o výsledku </w:t>
      </w:r>
      <w:r w:rsidR="00407A53">
        <w:t xml:space="preserve">prerokovania uvedeného </w:t>
      </w:r>
      <w:r w:rsidR="00407A53" w:rsidRPr="00060C8B">
        <w:t>návrhu zákona vo výboroch.</w:t>
      </w:r>
    </w:p>
    <w:p w14:paraId="7ECCE457" w14:textId="1D7F546F" w:rsidR="000415EB" w:rsidRDefault="000415EB" w:rsidP="00407A53">
      <w:pPr>
        <w:spacing w:after="0" w:line="240" w:lineRule="auto"/>
        <w:ind w:firstLine="708"/>
        <w:jc w:val="both"/>
        <w:rPr>
          <w:b/>
          <w:sz w:val="28"/>
          <w:szCs w:val="28"/>
        </w:rPr>
      </w:pP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i/>
          <w:szCs w:val="24"/>
          <w:lang w:eastAsia="sk-SK"/>
        </w:rPr>
        <w:tab/>
      </w:r>
      <w:r>
        <w:rPr>
          <w:b/>
          <w:sz w:val="28"/>
          <w:szCs w:val="28"/>
        </w:rPr>
        <w:t xml:space="preserve">                                                                                                                      </w:t>
      </w:r>
    </w:p>
    <w:p w14:paraId="1560E54E" w14:textId="5F99034B" w:rsidR="00093929" w:rsidRDefault="000415EB" w:rsidP="00093929">
      <w:pPr>
        <w:keepNext/>
        <w:tabs>
          <w:tab w:val="left" w:pos="709"/>
          <w:tab w:val="left" w:pos="1021"/>
        </w:tabs>
        <w:spacing w:after="0" w:line="240" w:lineRule="auto"/>
        <w:jc w:val="center"/>
        <w:outlineLvl w:val="3"/>
        <w:rPr>
          <w:szCs w:val="24"/>
          <w:lang w:eastAsia="sk-SK"/>
        </w:rPr>
      </w:pPr>
      <w:r>
        <w:rPr>
          <w:b/>
          <w:sz w:val="28"/>
          <w:szCs w:val="28"/>
        </w:rPr>
        <w:t xml:space="preserve">                                                                       </w:t>
      </w:r>
      <w:r w:rsidR="00586F4B">
        <w:rPr>
          <w:b/>
          <w:sz w:val="28"/>
          <w:szCs w:val="28"/>
        </w:rPr>
        <w:t xml:space="preserve">  </w:t>
      </w:r>
      <w:r w:rsidR="00093929">
        <w:rPr>
          <w:b/>
          <w:sz w:val="28"/>
          <w:szCs w:val="28"/>
        </w:rPr>
        <w:t xml:space="preserve">       </w:t>
      </w:r>
      <w:r w:rsidR="00DF3F7F">
        <w:rPr>
          <w:b/>
          <w:sz w:val="28"/>
          <w:szCs w:val="28"/>
        </w:rPr>
        <w:t xml:space="preserve"> </w:t>
      </w:r>
      <w:r w:rsidR="0037772C">
        <w:rPr>
          <w:b/>
          <w:sz w:val="28"/>
          <w:szCs w:val="28"/>
        </w:rPr>
        <w:t xml:space="preserve"> </w:t>
      </w:r>
      <w:r w:rsidR="00DF3F7F">
        <w:rPr>
          <w:b/>
          <w:sz w:val="28"/>
          <w:szCs w:val="28"/>
        </w:rPr>
        <w:t xml:space="preserve"> </w:t>
      </w:r>
      <w:r w:rsidR="00093929">
        <w:rPr>
          <w:b/>
          <w:sz w:val="28"/>
          <w:szCs w:val="28"/>
          <w:lang w:eastAsia="sk-SK"/>
        </w:rPr>
        <w:t>Richard Glück</w:t>
      </w:r>
      <w:r w:rsidR="00E85D68">
        <w:rPr>
          <w:b/>
          <w:sz w:val="28"/>
          <w:szCs w:val="28"/>
          <w:lang w:eastAsia="sk-SK"/>
        </w:rPr>
        <w:t>, v.r.</w:t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</w:r>
      <w:r w:rsidR="00093929">
        <w:rPr>
          <w:szCs w:val="24"/>
          <w:lang w:eastAsia="sk-SK"/>
        </w:rPr>
        <w:tab/>
        <w:t xml:space="preserve">                  </w:t>
      </w:r>
      <w:r w:rsidR="00824ABB">
        <w:rPr>
          <w:szCs w:val="24"/>
          <w:lang w:eastAsia="sk-SK"/>
        </w:rPr>
        <w:t xml:space="preserve">  </w:t>
      </w:r>
      <w:r w:rsidR="00093929">
        <w:rPr>
          <w:szCs w:val="24"/>
          <w:lang w:eastAsia="sk-SK"/>
        </w:rPr>
        <w:t>predseda výboru</w:t>
      </w:r>
    </w:p>
    <w:p w14:paraId="41499303" w14:textId="657696AE" w:rsidR="00093929" w:rsidRDefault="00093929" w:rsidP="00093929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Marián Saloň</w:t>
      </w:r>
      <w:r w:rsidR="00E85D68">
        <w:rPr>
          <w:b/>
          <w:sz w:val="28"/>
          <w:szCs w:val="28"/>
          <w:lang w:eastAsia="sk-SK"/>
        </w:rPr>
        <w:t>, v.r.</w:t>
      </w:r>
    </w:p>
    <w:p w14:paraId="3E99C457" w14:textId="77777777" w:rsidR="00093929" w:rsidRDefault="00093929" w:rsidP="00093929">
      <w:pPr>
        <w:tabs>
          <w:tab w:val="left" w:pos="709"/>
          <w:tab w:val="left" w:pos="1021"/>
        </w:tabs>
        <w:spacing w:after="0" w:line="240" w:lineRule="auto"/>
        <w:rPr>
          <w:sz w:val="22"/>
          <w:lang w:eastAsia="sk-SK"/>
        </w:rPr>
      </w:pPr>
      <w:r>
        <w:rPr>
          <w:sz w:val="22"/>
          <w:lang w:eastAsia="sk-SK"/>
        </w:rPr>
        <w:t>overovateľ</w:t>
      </w:r>
    </w:p>
    <w:p w14:paraId="2C0E06D0" w14:textId="77777777" w:rsidR="00093929" w:rsidRDefault="00093929" w:rsidP="00093929">
      <w:pPr>
        <w:tabs>
          <w:tab w:val="left" w:pos="709"/>
          <w:tab w:val="left" w:pos="1021"/>
        </w:tabs>
        <w:spacing w:after="0" w:line="240" w:lineRule="auto"/>
        <w:rPr>
          <w:sz w:val="22"/>
          <w:lang w:eastAsia="sk-SK"/>
        </w:rPr>
      </w:pPr>
    </w:p>
    <w:p w14:paraId="31281ECC" w14:textId="63B2DB6E" w:rsidR="00093929" w:rsidRDefault="00093929" w:rsidP="00093929">
      <w:pPr>
        <w:tabs>
          <w:tab w:val="left" w:pos="709"/>
          <w:tab w:val="left" w:pos="1021"/>
        </w:tabs>
        <w:spacing w:after="0" w:line="240" w:lineRule="auto"/>
        <w:rPr>
          <w:b/>
          <w:sz w:val="28"/>
          <w:szCs w:val="28"/>
          <w:lang w:eastAsia="sk-SK"/>
        </w:rPr>
      </w:pPr>
      <w:r>
        <w:rPr>
          <w:b/>
          <w:sz w:val="28"/>
          <w:szCs w:val="28"/>
          <w:lang w:eastAsia="sk-SK"/>
        </w:rPr>
        <w:t>Jaroslav Spišia</w:t>
      </w:r>
      <w:r w:rsidR="00407A53">
        <w:rPr>
          <w:b/>
          <w:sz w:val="28"/>
          <w:szCs w:val="28"/>
          <w:lang w:eastAsia="sk-SK"/>
        </w:rPr>
        <w:t>k</w:t>
      </w:r>
      <w:r w:rsidR="00E85D68">
        <w:rPr>
          <w:b/>
          <w:sz w:val="28"/>
          <w:szCs w:val="28"/>
          <w:lang w:eastAsia="sk-SK"/>
        </w:rPr>
        <w:t>, v.r.</w:t>
      </w:r>
    </w:p>
    <w:p w14:paraId="038D33D1" w14:textId="3B8D6654" w:rsidR="000E30E2" w:rsidRPr="00407A53" w:rsidRDefault="00093929" w:rsidP="00407A53">
      <w:pPr>
        <w:tabs>
          <w:tab w:val="left" w:pos="709"/>
          <w:tab w:val="left" w:pos="1021"/>
        </w:tabs>
        <w:spacing w:after="0" w:line="240" w:lineRule="auto"/>
      </w:pPr>
      <w:r>
        <w:rPr>
          <w:sz w:val="22"/>
          <w:lang w:eastAsia="sk-SK"/>
        </w:rPr>
        <w:t xml:space="preserve">overovateľ </w:t>
      </w:r>
      <w:r w:rsidR="00F94890">
        <w:rPr>
          <w:sz w:val="22"/>
          <w:lang w:eastAsia="sk-SK"/>
        </w:rPr>
        <w:t xml:space="preserve">                                                                                                                         </w:t>
      </w:r>
      <w:r w:rsidR="008F514A">
        <w:rPr>
          <w:sz w:val="22"/>
          <w:lang w:eastAsia="sk-SK"/>
        </w:rPr>
        <w:t xml:space="preserve">            </w:t>
      </w:r>
    </w:p>
    <w:p w14:paraId="5B098D00" w14:textId="77777777" w:rsidR="000E30E2" w:rsidRDefault="000E30E2" w:rsidP="000E30E2">
      <w:pPr>
        <w:spacing w:after="0" w:line="240" w:lineRule="auto"/>
        <w:jc w:val="right"/>
        <w:rPr>
          <w:sz w:val="22"/>
          <w:lang w:eastAsia="sk-SK"/>
        </w:rPr>
      </w:pPr>
    </w:p>
    <w:p w14:paraId="18731C0F" w14:textId="77777777" w:rsidR="00124A08" w:rsidRDefault="00124A08" w:rsidP="000E30E2">
      <w:pPr>
        <w:spacing w:after="0" w:line="240" w:lineRule="auto"/>
        <w:jc w:val="right"/>
        <w:rPr>
          <w:sz w:val="22"/>
          <w:lang w:eastAsia="sk-SK"/>
        </w:rPr>
      </w:pPr>
    </w:p>
    <w:p w14:paraId="130823E0" w14:textId="70FB76CF" w:rsidR="00124A08" w:rsidRDefault="00351DC0" w:rsidP="00124A08">
      <w:pPr>
        <w:jc w:val="right"/>
        <w:rPr>
          <w:sz w:val="22"/>
        </w:rPr>
      </w:pPr>
      <w:r>
        <w:rPr>
          <w:sz w:val="22"/>
        </w:rPr>
        <w:t xml:space="preserve">Príloha k uzn. č. </w:t>
      </w:r>
      <w:r w:rsidR="00C17BC3">
        <w:rPr>
          <w:sz w:val="22"/>
        </w:rPr>
        <w:t>17</w:t>
      </w:r>
      <w:r w:rsidR="003C1BCC">
        <w:rPr>
          <w:sz w:val="22"/>
        </w:rPr>
        <w:t>1</w:t>
      </w:r>
    </w:p>
    <w:p w14:paraId="3A54F33C" w14:textId="77777777" w:rsidR="00124A08" w:rsidRDefault="00124A08" w:rsidP="00124A08">
      <w:pPr>
        <w:jc w:val="center"/>
        <w:rPr>
          <w:sz w:val="28"/>
          <w:szCs w:val="28"/>
        </w:rPr>
      </w:pPr>
    </w:p>
    <w:p w14:paraId="68041ABD" w14:textId="77777777" w:rsidR="00124A08" w:rsidRDefault="00124A08" w:rsidP="00124A08">
      <w:pPr>
        <w:jc w:val="center"/>
        <w:rPr>
          <w:sz w:val="28"/>
          <w:szCs w:val="28"/>
        </w:rPr>
      </w:pPr>
      <w:r w:rsidRPr="004C4EB7">
        <w:rPr>
          <w:sz w:val="28"/>
          <w:szCs w:val="28"/>
        </w:rPr>
        <w:t>Pripomienky</w:t>
      </w:r>
    </w:p>
    <w:p w14:paraId="48DB3362" w14:textId="1A327664" w:rsidR="00C17BC3" w:rsidRDefault="00124A08" w:rsidP="00124A08">
      <w:pPr>
        <w:pBdr>
          <w:bottom w:val="single" w:sz="12" w:space="1" w:color="auto"/>
        </w:pBdr>
        <w:spacing w:after="0" w:line="240" w:lineRule="auto"/>
        <w:rPr>
          <w:rFonts w:cs="Arial"/>
          <w:b/>
          <w:bCs/>
          <w:noProof/>
          <w:szCs w:val="24"/>
        </w:rPr>
      </w:pPr>
      <w:r>
        <w:rPr>
          <w:rFonts w:cs="Arial"/>
          <w:noProof/>
        </w:rPr>
        <w:t>k vládnemu</w:t>
      </w:r>
      <w:r w:rsidRPr="003B610A">
        <w:rPr>
          <w:rFonts w:cs="Arial"/>
          <w:noProof/>
        </w:rPr>
        <w:t xml:space="preserve"> návrh</w:t>
      </w:r>
      <w:r>
        <w:rPr>
          <w:rFonts w:cs="Arial"/>
          <w:noProof/>
        </w:rPr>
        <w:t>u</w:t>
      </w:r>
      <w:r w:rsidRPr="003B610A">
        <w:rPr>
          <w:rFonts w:cs="Arial"/>
          <w:noProof/>
        </w:rPr>
        <w:t xml:space="preserve"> zákona,</w:t>
      </w:r>
      <w:r w:rsidRPr="003B610A">
        <w:rPr>
          <w:sz w:val="28"/>
        </w:rPr>
        <w:t xml:space="preserve"> </w:t>
      </w:r>
      <w:r w:rsidRPr="003B610A">
        <w:rPr>
          <w:rFonts w:cs="Arial"/>
          <w:noProof/>
        </w:rPr>
        <w:t xml:space="preserve">ktorým sa mení a dopĺňa zákon </w:t>
      </w:r>
      <w:r w:rsidR="00C17BC3" w:rsidRPr="00C17BC3">
        <w:rPr>
          <w:rFonts w:cs="Arial"/>
          <w:noProof/>
        </w:rPr>
        <w:t xml:space="preserve">zákon </w:t>
      </w:r>
      <w:r w:rsidR="00D401E9" w:rsidRPr="00D401E9">
        <w:rPr>
          <w:rFonts w:cs="Arial"/>
          <w:noProof/>
          <w:szCs w:val="24"/>
        </w:rPr>
        <w:t xml:space="preserve">č. 404/2011 Z. z. o pobyte cudzincov a o zmene a doplnení niektorých zákonov v znení neskorších predpisov a ktorým sa menia a dopĺňajú niektoré zákony </w:t>
      </w:r>
      <w:r w:rsidR="00D401E9" w:rsidRPr="00D401E9">
        <w:rPr>
          <w:rFonts w:cs="Arial"/>
          <w:b/>
          <w:bCs/>
          <w:noProof/>
          <w:szCs w:val="24"/>
        </w:rPr>
        <w:t>(tlač 1226)</w:t>
      </w:r>
    </w:p>
    <w:p w14:paraId="7135385C" w14:textId="77777777" w:rsidR="00D401E9" w:rsidRDefault="00D401E9" w:rsidP="00124A08">
      <w:pPr>
        <w:pBdr>
          <w:bottom w:val="single" w:sz="12" w:space="1" w:color="auto"/>
        </w:pBdr>
        <w:spacing w:after="0" w:line="240" w:lineRule="auto"/>
        <w:rPr>
          <w:rFonts w:cs="Arial"/>
          <w:b/>
          <w:noProof/>
        </w:rPr>
      </w:pPr>
    </w:p>
    <w:p w14:paraId="4F09E23E" w14:textId="77777777" w:rsidR="00124A08" w:rsidRDefault="00124A08" w:rsidP="00124A08">
      <w:pPr>
        <w:spacing w:after="0" w:line="240" w:lineRule="auto"/>
        <w:rPr>
          <w:sz w:val="22"/>
          <w:lang w:eastAsia="sk-SK"/>
        </w:rPr>
      </w:pPr>
    </w:p>
    <w:p w14:paraId="493175DB" w14:textId="77777777" w:rsidR="005A44AA" w:rsidRPr="005A44AA" w:rsidRDefault="005A44AA" w:rsidP="005A44A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eastAsiaTheme="minorHAnsi"/>
          <w:szCs w:val="24"/>
        </w:rPr>
      </w:pPr>
      <w:r w:rsidRPr="005A44AA">
        <w:rPr>
          <w:rFonts w:eastAsiaTheme="minorHAnsi"/>
          <w:szCs w:val="24"/>
        </w:rPr>
        <w:t>V čl. I, bode 1 [§ 2 ods. 1 písm. a)] sa nad slovo „stráž,“ umiestňuje odkaz 3a.</w:t>
      </w:r>
    </w:p>
    <w:p w14:paraId="09831CF7" w14:textId="77777777" w:rsidR="005A44AA" w:rsidRPr="008742D8" w:rsidRDefault="005A44AA" w:rsidP="005A44AA">
      <w:pPr>
        <w:pStyle w:val="Odsekzoznamu"/>
        <w:ind w:left="709"/>
        <w:jc w:val="both"/>
        <w:rPr>
          <w:rFonts w:eastAsiaTheme="minorHAnsi"/>
          <w:szCs w:val="24"/>
        </w:rPr>
      </w:pPr>
    </w:p>
    <w:p w14:paraId="05FAF15F" w14:textId="77777777" w:rsidR="005A44AA" w:rsidRPr="008742D8" w:rsidRDefault="005A44AA" w:rsidP="005A44AA">
      <w:pPr>
        <w:pStyle w:val="Odsekzoznamu"/>
        <w:ind w:left="426"/>
        <w:jc w:val="both"/>
        <w:rPr>
          <w:rFonts w:eastAsiaTheme="minorHAnsi"/>
          <w:szCs w:val="24"/>
        </w:rPr>
      </w:pPr>
      <w:r w:rsidRPr="008742D8">
        <w:rPr>
          <w:rFonts w:eastAsiaTheme="minorHAnsi"/>
          <w:szCs w:val="24"/>
        </w:rPr>
        <w:t>Poznámka pod čiarou k odkazu 3a znie:</w:t>
      </w:r>
    </w:p>
    <w:p w14:paraId="070A817D" w14:textId="77777777" w:rsidR="005A44AA" w:rsidRPr="008742D8" w:rsidRDefault="005A44AA" w:rsidP="005A44AA">
      <w:pPr>
        <w:pStyle w:val="Odsekzoznamu"/>
        <w:ind w:left="709" w:hanging="283"/>
        <w:jc w:val="both"/>
        <w:rPr>
          <w:rFonts w:eastAsiaTheme="minorHAnsi"/>
          <w:szCs w:val="24"/>
        </w:rPr>
      </w:pPr>
      <w:r w:rsidRPr="008742D8">
        <w:rPr>
          <w:rFonts w:eastAsiaTheme="minorHAnsi"/>
          <w:szCs w:val="24"/>
        </w:rPr>
        <w:t>„</w:t>
      </w:r>
      <w:r w:rsidRPr="008742D8">
        <w:rPr>
          <w:rFonts w:eastAsiaTheme="minorHAnsi"/>
          <w:szCs w:val="24"/>
          <w:vertAlign w:val="superscript"/>
        </w:rPr>
        <w:t>3a</w:t>
      </w:r>
      <w:r w:rsidRPr="008742D8">
        <w:rPr>
          <w:rFonts w:eastAsiaTheme="minorHAnsi"/>
          <w:szCs w:val="24"/>
        </w:rPr>
        <w:t>) Čl. 1 nariadenia Európskeho parlamentu a Rady (EÚ) 2019/1896 z 13. novembra 2019 o európskej pohraničnej a pobrežnej stráži a zrušení nariadení (EÚ) č. 1052/2013 a (EÚ) 2016/1624 (Ú. v. EÚ L 295, 14. 11. 2019) v platnom znení.“.</w:t>
      </w:r>
    </w:p>
    <w:p w14:paraId="39163FD3" w14:textId="77777777" w:rsidR="005A44AA" w:rsidRPr="008742D8" w:rsidRDefault="005A44AA" w:rsidP="005A44AA">
      <w:pPr>
        <w:pStyle w:val="Odsekzoznamu"/>
        <w:ind w:left="709"/>
        <w:jc w:val="both"/>
        <w:rPr>
          <w:rFonts w:eastAsiaTheme="minorHAnsi"/>
          <w:szCs w:val="24"/>
        </w:rPr>
      </w:pPr>
    </w:p>
    <w:p w14:paraId="259B49F6" w14:textId="77777777" w:rsidR="005A44AA" w:rsidRPr="008742D8" w:rsidRDefault="005A44AA" w:rsidP="005A44AA">
      <w:pPr>
        <w:pStyle w:val="Odsekzoznamu"/>
        <w:ind w:left="2835"/>
        <w:jc w:val="both"/>
        <w:rPr>
          <w:iCs/>
          <w:szCs w:val="24"/>
        </w:rPr>
      </w:pPr>
      <w:r w:rsidRPr="008742D8">
        <w:rPr>
          <w:iCs/>
          <w:szCs w:val="24"/>
        </w:rPr>
        <w:t>Ustanovenie o Európskej agentúre pre pohraničnú a pobrežnú stráž sa spresňuje odkazom na príslušné európske nariadenie.</w:t>
      </w:r>
    </w:p>
    <w:p w14:paraId="5C587947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7268E019" w14:textId="77777777" w:rsidR="005A44AA" w:rsidRPr="005A44AA" w:rsidRDefault="005A44AA" w:rsidP="005A44A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eastAsiaTheme="minorHAnsi"/>
          <w:szCs w:val="24"/>
        </w:rPr>
      </w:pPr>
      <w:r w:rsidRPr="005A44AA">
        <w:rPr>
          <w:rFonts w:eastAsiaTheme="minorHAnsi"/>
          <w:szCs w:val="24"/>
        </w:rPr>
        <w:t>V čl. I, bode 15 (§ 17 ods. 13) druhá veta znie: „</w:t>
      </w:r>
      <w:r w:rsidRPr="005A44AA">
        <w:rPr>
          <w:szCs w:val="24"/>
        </w:rPr>
        <w:t>Rozhodnutie o zrušení národného víza s uvedením dôvodov jeho zrušenia sa vydáva na formulári uvedenom v prílohe č. 5.“.</w:t>
      </w:r>
    </w:p>
    <w:p w14:paraId="3C6A18EA" w14:textId="77777777" w:rsidR="005A44AA" w:rsidRPr="008742D8" w:rsidRDefault="005A44AA" w:rsidP="005A44AA">
      <w:pPr>
        <w:pStyle w:val="Odsekzoznamu"/>
        <w:ind w:left="709"/>
        <w:jc w:val="both"/>
        <w:rPr>
          <w:szCs w:val="24"/>
        </w:rPr>
      </w:pPr>
    </w:p>
    <w:p w14:paraId="4D4AB055" w14:textId="77777777" w:rsidR="005A44AA" w:rsidRPr="008742D8" w:rsidRDefault="005A44AA" w:rsidP="005A44AA">
      <w:pPr>
        <w:pStyle w:val="Odsekzoznamu"/>
        <w:ind w:left="2835"/>
        <w:jc w:val="both"/>
        <w:rPr>
          <w:iCs/>
          <w:szCs w:val="24"/>
        </w:rPr>
      </w:pPr>
      <w:r w:rsidRPr="008742D8">
        <w:rPr>
          <w:iCs/>
          <w:szCs w:val="24"/>
        </w:rPr>
        <w:t xml:space="preserve">Ide o formulačné zjednotenie znenia druhej vety s prvou vetou v jednom ustanovení. </w:t>
      </w:r>
    </w:p>
    <w:p w14:paraId="2C00C59E" w14:textId="77777777" w:rsidR="005A44AA" w:rsidRDefault="005A44AA" w:rsidP="005A44AA">
      <w:pPr>
        <w:shd w:val="clear" w:color="auto" w:fill="FFFFFF" w:themeFill="background1"/>
        <w:rPr>
          <w:sz w:val="22"/>
          <w:lang w:eastAsia="sk-SK"/>
        </w:rPr>
      </w:pPr>
    </w:p>
    <w:p w14:paraId="57C3C66A" w14:textId="7ABDD4C5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>V čl. I, bode 20 (§ 32 ods. 4) sa slová „odseku 5 písm. j)“ nahrádzajú slovami „odseku 5 písm. i)“.</w:t>
      </w:r>
    </w:p>
    <w:p w14:paraId="0C9FA4CE" w14:textId="77777777" w:rsidR="005A44AA" w:rsidRPr="00B24741" w:rsidRDefault="005A44AA" w:rsidP="005A44AA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  <w:szCs w:val="24"/>
        </w:rPr>
      </w:pPr>
      <w:r w:rsidRPr="00B24741">
        <w:rPr>
          <w:color w:val="000000" w:themeColor="text1"/>
          <w:szCs w:val="24"/>
        </w:rPr>
        <w:t xml:space="preserve">Legislatívno - technická úprava; spresnenie znenia ustanovenia. Medzinárodná zmluva, na ktorú ustanovenie odkazuje je uvedená v § 32 ods. 5 písm. i). </w:t>
      </w:r>
    </w:p>
    <w:p w14:paraId="1AAF0D62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1AE75B54" w14:textId="77777777" w:rsidR="005A44AA" w:rsidRPr="005A44AA" w:rsidRDefault="005A44AA" w:rsidP="005A44A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5A44AA">
        <w:rPr>
          <w:szCs w:val="24"/>
        </w:rPr>
        <w:t xml:space="preserve">V čl. I bod 25 znie: </w:t>
      </w:r>
    </w:p>
    <w:p w14:paraId="38A77684" w14:textId="5825D16D" w:rsidR="005A44AA" w:rsidRPr="00101FAD" w:rsidRDefault="007A36B6" w:rsidP="005A44AA">
      <w:pPr>
        <w:pStyle w:val="Odsekzoznamu"/>
        <w:ind w:left="709" w:hanging="283"/>
        <w:jc w:val="both"/>
        <w:rPr>
          <w:szCs w:val="24"/>
        </w:rPr>
      </w:pPr>
      <w:r>
        <w:rPr>
          <w:rFonts w:eastAsiaTheme="minorHAnsi"/>
          <w:szCs w:val="24"/>
        </w:rPr>
        <w:t xml:space="preserve">        </w:t>
      </w:r>
      <w:r w:rsidR="005A44AA" w:rsidRPr="00101FAD">
        <w:rPr>
          <w:rFonts w:eastAsiaTheme="minorHAnsi"/>
          <w:szCs w:val="24"/>
        </w:rPr>
        <w:t xml:space="preserve">„25. </w:t>
      </w:r>
      <w:r w:rsidR="005A44AA" w:rsidRPr="00101FAD">
        <w:rPr>
          <w:szCs w:val="24"/>
        </w:rPr>
        <w:t>V § 33 ods. 6 písm. j) sa slová „nedosiahla zisk po zdanení“ nahrádzajú slovami „nezaplatila daň za predchádzajúce zdaňovacie obdobie“ a slová „ods. 7“ sa nahrádzajú slovami „ods. 6“.“.</w:t>
      </w:r>
    </w:p>
    <w:p w14:paraId="0B7A66FF" w14:textId="77777777" w:rsidR="005A44AA" w:rsidRPr="00101FAD" w:rsidRDefault="005A44AA" w:rsidP="005A44AA">
      <w:pPr>
        <w:pStyle w:val="Odsekzoznamu"/>
        <w:ind w:left="709"/>
        <w:jc w:val="both"/>
        <w:rPr>
          <w:rFonts w:eastAsiaTheme="minorHAnsi"/>
          <w:iCs/>
          <w:szCs w:val="24"/>
        </w:rPr>
      </w:pPr>
    </w:p>
    <w:p w14:paraId="71CDEB39" w14:textId="77777777" w:rsidR="005A44AA" w:rsidRPr="00101FAD" w:rsidRDefault="005A44AA" w:rsidP="005A44AA">
      <w:pPr>
        <w:pStyle w:val="Odsekzoznamu"/>
        <w:ind w:left="2835"/>
        <w:jc w:val="both"/>
        <w:rPr>
          <w:rFonts w:eastAsiaTheme="minorHAnsi"/>
          <w:iCs/>
          <w:szCs w:val="24"/>
        </w:rPr>
      </w:pPr>
      <w:r w:rsidRPr="00101FAD">
        <w:rPr>
          <w:iCs/>
          <w:szCs w:val="24"/>
        </w:rPr>
        <w:t>Ide o zosúladenie terminológie s navrhovaným znením § 34 ods. 6.</w:t>
      </w:r>
    </w:p>
    <w:p w14:paraId="2BCBA9B7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6DFCA38F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0E486A2E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16934ABC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spacing w:line="360" w:lineRule="auto"/>
        <w:jc w:val="both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lastRenderedPageBreak/>
        <w:t xml:space="preserve">V čl. I, bode 36 (§ 34 ods. 5 a 6) sa v § 34 ods. 5 nad slovom „predpisu“ odkaz 63d nahrádza odkazom 63b a v § 34 ods. 6 sa nad slovom „predpisu“ odkaz 63e nahrádza odkazom 63c. </w:t>
      </w:r>
    </w:p>
    <w:p w14:paraId="2BA6C66B" w14:textId="77777777" w:rsidR="005A44AA" w:rsidRPr="002B4AD0" w:rsidRDefault="005A44AA" w:rsidP="005A44AA">
      <w:pPr>
        <w:pStyle w:val="Odsekzoznamu"/>
        <w:shd w:val="clear" w:color="auto" w:fill="FFFFFF" w:themeFill="background1"/>
        <w:spacing w:line="360" w:lineRule="auto"/>
        <w:ind w:left="284"/>
        <w:rPr>
          <w:color w:val="000000" w:themeColor="text1"/>
          <w:szCs w:val="24"/>
        </w:rPr>
      </w:pPr>
    </w:p>
    <w:p w14:paraId="3816D296" w14:textId="77777777" w:rsidR="005A44AA" w:rsidRPr="002B4AD0" w:rsidRDefault="005A44AA" w:rsidP="005A44AA">
      <w:pPr>
        <w:pStyle w:val="Odsekzoznamu"/>
        <w:shd w:val="clear" w:color="auto" w:fill="FFFFFF" w:themeFill="background1"/>
        <w:spacing w:line="360" w:lineRule="auto"/>
        <w:ind w:left="284"/>
        <w:jc w:val="both"/>
        <w:rPr>
          <w:color w:val="000000" w:themeColor="text1"/>
          <w:szCs w:val="24"/>
        </w:rPr>
      </w:pPr>
      <w:r w:rsidRPr="002B4AD0">
        <w:rPr>
          <w:color w:val="000000" w:themeColor="text1"/>
          <w:szCs w:val="24"/>
        </w:rPr>
        <w:t>V nadväznosti na túto úpravu sa upraví úvodná veta k poznámkam pod čiarou a označenie poznámok pod čiarou.</w:t>
      </w:r>
    </w:p>
    <w:p w14:paraId="5E99848E" w14:textId="77777777" w:rsidR="005A44AA" w:rsidRPr="002B4AD0" w:rsidRDefault="005A44AA" w:rsidP="005A44AA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  <w:szCs w:val="24"/>
        </w:rPr>
      </w:pPr>
      <w:r w:rsidRPr="002B4AD0">
        <w:rPr>
          <w:color w:val="000000" w:themeColor="text1"/>
          <w:szCs w:val="24"/>
        </w:rPr>
        <w:t>Legislatívno - technická úprava; chronologické preznačenie odkazov a poznámok pod čiarou.</w:t>
      </w:r>
    </w:p>
    <w:p w14:paraId="1BFC5F54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1D3B6C60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spacing w:line="360" w:lineRule="auto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>V čl. I, bode 48 [(§ 52 ods. 6 písm. d)] sa slová „ods.6“ nahrádzajú slovami „ods. 7“.</w:t>
      </w:r>
    </w:p>
    <w:p w14:paraId="0BB94FA8" w14:textId="77777777" w:rsidR="005A44AA" w:rsidRPr="002B4AD0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Cs w:val="24"/>
          <w:lang w:eastAsia="sk-SK"/>
        </w:rPr>
      </w:pPr>
      <w:r w:rsidRPr="002B4AD0">
        <w:rPr>
          <w:color w:val="000000" w:themeColor="text1"/>
          <w:szCs w:val="24"/>
        </w:rPr>
        <w:t xml:space="preserve">Legislatívno - technická úprava; chronologické preznačenie odseku v nadväznosti na </w:t>
      </w:r>
      <w:r w:rsidRPr="002B4AD0">
        <w:rPr>
          <w:color w:val="000000" w:themeColor="text1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74EC448A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374C2DFA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spacing w:line="360" w:lineRule="auto"/>
        <w:jc w:val="both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>V čl. I, bode 49 (§ 52) sa slová „odsekom 7“ nahrádzajú slovami „odsekom 8“ a slová „odseku 6“ sa nahrádzajú slovami „odseku 7“.</w:t>
      </w:r>
    </w:p>
    <w:p w14:paraId="008CA2B2" w14:textId="77777777" w:rsidR="005A44AA" w:rsidRPr="002B4AD0" w:rsidRDefault="005A44AA" w:rsidP="005A44AA">
      <w:pPr>
        <w:pStyle w:val="Odsekzoznamu"/>
        <w:shd w:val="clear" w:color="auto" w:fill="FFFFFF" w:themeFill="background1"/>
        <w:spacing w:line="360" w:lineRule="auto"/>
        <w:ind w:left="284"/>
        <w:jc w:val="both"/>
        <w:rPr>
          <w:color w:val="000000" w:themeColor="text1"/>
          <w:szCs w:val="24"/>
        </w:rPr>
      </w:pPr>
      <w:r w:rsidRPr="002B4AD0">
        <w:rPr>
          <w:color w:val="000000" w:themeColor="text1"/>
          <w:szCs w:val="24"/>
        </w:rPr>
        <w:t>V súvislosti s navrhovanou úpravou sa odsek 7 označuje ako odsek 8.</w:t>
      </w:r>
    </w:p>
    <w:p w14:paraId="2E4A3618" w14:textId="77777777" w:rsidR="005A44AA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Cs w:val="24"/>
        </w:rPr>
      </w:pPr>
    </w:p>
    <w:p w14:paraId="700A0FBB" w14:textId="77777777" w:rsidR="005A44AA" w:rsidRPr="002B4AD0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Cs w:val="24"/>
          <w:lang w:eastAsia="sk-SK"/>
        </w:rPr>
      </w:pPr>
      <w:r w:rsidRPr="002B4AD0">
        <w:rPr>
          <w:color w:val="000000" w:themeColor="text1"/>
          <w:szCs w:val="24"/>
        </w:rPr>
        <w:t xml:space="preserve">Legislatívno - technická úprava; chronologické preznačenie odseku v nadväznosti na </w:t>
      </w:r>
      <w:r w:rsidRPr="002B4AD0">
        <w:rPr>
          <w:color w:val="000000" w:themeColor="text1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65A2EAE9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117A1234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spacing w:line="360" w:lineRule="auto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 xml:space="preserve">V čl. I, bode 52 [(§ 53 ods. 3 písm. d)] sa slová „ods. 6“ nahrádzajú slovami „ods. 7“. </w:t>
      </w:r>
    </w:p>
    <w:p w14:paraId="1319091E" w14:textId="77777777" w:rsidR="005A44AA" w:rsidRPr="002B4AD0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Cs w:val="24"/>
          <w:lang w:eastAsia="sk-SK"/>
        </w:rPr>
      </w:pPr>
      <w:r w:rsidRPr="002B4AD0">
        <w:rPr>
          <w:color w:val="000000" w:themeColor="text1"/>
          <w:szCs w:val="24"/>
        </w:rPr>
        <w:t xml:space="preserve">Legislatívno - technická úprava; chronologické preznačenie vnútorného odkazu v nadväznosti na </w:t>
      </w:r>
      <w:r w:rsidRPr="002B4AD0">
        <w:rPr>
          <w:color w:val="000000" w:themeColor="text1"/>
          <w:szCs w:val="24"/>
          <w:lang w:eastAsia="sk-SK"/>
        </w:rPr>
        <w:t>zákon č. 69/2026 Z. z. o medzinárodnej ochrane a o zmene a doplnení niektorých zákonov, ktorý v čl. XVII (bod 5) vkladá v § 52 nový odsek 4.</w:t>
      </w:r>
    </w:p>
    <w:p w14:paraId="2FDB6BA0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30DA3C62" w14:textId="77777777" w:rsidR="005A44AA" w:rsidRPr="005A44AA" w:rsidRDefault="005A44AA" w:rsidP="005A44A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5A44AA">
        <w:rPr>
          <w:szCs w:val="24"/>
        </w:rPr>
        <w:t xml:space="preserve">V čl. I, bode 60 (§ 73a ods. 4 a 6) sa za slovo „vnútra“ vkladajú slová „na svojom webovom sídle“. </w:t>
      </w:r>
    </w:p>
    <w:p w14:paraId="3F4B3A18" w14:textId="77777777" w:rsidR="005A44AA" w:rsidRDefault="005A44AA" w:rsidP="005A44AA">
      <w:pPr>
        <w:ind w:left="2835"/>
        <w:jc w:val="both"/>
        <w:rPr>
          <w:rFonts w:eastAsia="Calibri"/>
          <w:iCs/>
          <w:szCs w:val="24"/>
        </w:rPr>
      </w:pPr>
      <w:r w:rsidRPr="006D5C98">
        <w:rPr>
          <w:rFonts w:eastAsia="Calibri"/>
          <w:iCs/>
          <w:szCs w:val="24"/>
        </w:rPr>
        <w:t>Spresňuje sa, kde ministerstvo vnútra zverejní informácie pre cudzincov týkajúce sa zvolenia, odblokovania alebo zmeny bezpečnostného osobného kódu.</w:t>
      </w:r>
    </w:p>
    <w:p w14:paraId="79E27628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36435D41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033C36FE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3CF9FC0A" w14:textId="77777777" w:rsidR="005A44AA" w:rsidRPr="005A44AA" w:rsidRDefault="005A44AA" w:rsidP="005A44A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5A44AA">
        <w:rPr>
          <w:szCs w:val="24"/>
        </w:rPr>
        <w:lastRenderedPageBreak/>
        <w:t>V čl. I, bode 61 (§ 73a ods. 8) sa za slovo „vnútra“ vkladajú slová „na svojom webovom sídle“ a v odseku 9 sa na konci pripájajú tieto slová: „na svojom webovom sídle“.</w:t>
      </w:r>
    </w:p>
    <w:p w14:paraId="5D46D224" w14:textId="77777777" w:rsidR="005A44AA" w:rsidRDefault="005A44AA" w:rsidP="005A44AA">
      <w:pPr>
        <w:ind w:left="2835"/>
        <w:jc w:val="both"/>
        <w:rPr>
          <w:rFonts w:eastAsia="Calibri"/>
          <w:iCs/>
          <w:szCs w:val="24"/>
        </w:rPr>
      </w:pPr>
    </w:p>
    <w:p w14:paraId="00F88600" w14:textId="77777777" w:rsidR="005A44AA" w:rsidRDefault="005A44AA" w:rsidP="005A44AA">
      <w:pPr>
        <w:ind w:left="2835"/>
        <w:jc w:val="both"/>
        <w:rPr>
          <w:rFonts w:eastAsia="Calibri"/>
          <w:iCs/>
          <w:szCs w:val="24"/>
        </w:rPr>
      </w:pPr>
      <w:r w:rsidRPr="006D5C98">
        <w:rPr>
          <w:rFonts w:eastAsia="Calibri"/>
          <w:iCs/>
          <w:szCs w:val="24"/>
        </w:rPr>
        <w:t>Spresňuje sa, kde ministerstvo vnútra zverejní informácie pre cudzincov týkajúce sa zvolenia, odblokovania alebo zmeny bezpečnostného osobného kódu.</w:t>
      </w:r>
    </w:p>
    <w:p w14:paraId="4EE186B7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1F069998" w14:textId="77777777" w:rsidR="005A44AA" w:rsidRPr="005A44AA" w:rsidRDefault="005A44AA" w:rsidP="005A44A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5A44AA">
        <w:rPr>
          <w:szCs w:val="24"/>
        </w:rPr>
        <w:t>V čl. I sa za bod 61 vkladá nový bod 62, ktorý znie:</w:t>
      </w:r>
    </w:p>
    <w:p w14:paraId="5B3F14DD" w14:textId="30791713" w:rsidR="005A44AA" w:rsidRPr="00102B28" w:rsidRDefault="00B6005B" w:rsidP="005A44AA">
      <w:pPr>
        <w:ind w:firstLine="426"/>
        <w:jc w:val="both"/>
        <w:rPr>
          <w:rFonts w:eastAsia="Calibri"/>
          <w:kern w:val="3"/>
          <w:szCs w:val="24"/>
          <w:lang w:val="pl-PL"/>
        </w:rPr>
      </w:pPr>
      <w:r>
        <w:rPr>
          <w:szCs w:val="24"/>
        </w:rPr>
        <w:t xml:space="preserve">         </w:t>
      </w:r>
      <w:r w:rsidR="005A44AA" w:rsidRPr="00102B28">
        <w:rPr>
          <w:szCs w:val="24"/>
        </w:rPr>
        <w:t xml:space="preserve">„62. </w:t>
      </w:r>
      <w:r w:rsidR="005A44AA" w:rsidRPr="00102B28">
        <w:rPr>
          <w:rFonts w:eastAsia="Calibri"/>
          <w:kern w:val="3"/>
          <w:szCs w:val="24"/>
          <w:lang w:val="pl-PL"/>
        </w:rPr>
        <w:t>Za § 73a sa vkladá § 73b, ktorý vrátane nadpisu znie:</w:t>
      </w:r>
    </w:p>
    <w:p w14:paraId="1E10486A" w14:textId="77777777" w:rsidR="005A44AA" w:rsidRPr="00102B28" w:rsidRDefault="005A44AA" w:rsidP="005A44AA">
      <w:pPr>
        <w:suppressAutoHyphens/>
        <w:autoSpaceDN w:val="0"/>
        <w:ind w:left="993"/>
        <w:jc w:val="center"/>
        <w:rPr>
          <w:rFonts w:eastAsia="Calibri"/>
          <w:kern w:val="3"/>
          <w:szCs w:val="24"/>
          <w:lang w:val="pl-PL"/>
        </w:rPr>
      </w:pPr>
      <w:r w:rsidRPr="00102B28">
        <w:rPr>
          <w:rFonts w:eastAsia="Calibri"/>
          <w:kern w:val="3"/>
          <w:szCs w:val="24"/>
          <w:lang w:val="pl-PL"/>
        </w:rPr>
        <w:t>„§ 73b</w:t>
      </w:r>
    </w:p>
    <w:p w14:paraId="71B6D416" w14:textId="77777777" w:rsidR="005A44AA" w:rsidRPr="00102B28" w:rsidRDefault="005A44AA" w:rsidP="005A44AA">
      <w:pPr>
        <w:suppressAutoHyphens/>
        <w:autoSpaceDN w:val="0"/>
        <w:ind w:left="993"/>
        <w:jc w:val="center"/>
        <w:rPr>
          <w:rFonts w:eastAsia="Calibri"/>
          <w:bCs/>
          <w:kern w:val="3"/>
          <w:szCs w:val="24"/>
          <w:lang w:val="pl-PL"/>
        </w:rPr>
      </w:pPr>
      <w:r w:rsidRPr="00102B28">
        <w:rPr>
          <w:rFonts w:eastAsia="Calibri"/>
          <w:bCs/>
          <w:kern w:val="3"/>
          <w:szCs w:val="24"/>
          <w:lang w:val="pl-PL"/>
        </w:rPr>
        <w:t>Digitálny doklad o pobyte</w:t>
      </w:r>
    </w:p>
    <w:p w14:paraId="0DF33812" w14:textId="77777777" w:rsidR="005A44AA" w:rsidRPr="00102B28" w:rsidRDefault="005A44AA" w:rsidP="005A44AA">
      <w:pPr>
        <w:suppressAutoHyphens/>
        <w:autoSpaceDN w:val="0"/>
        <w:ind w:left="993"/>
        <w:jc w:val="both"/>
        <w:rPr>
          <w:rFonts w:eastAsia="Calibri"/>
          <w:kern w:val="3"/>
          <w:szCs w:val="24"/>
          <w:lang w:val="pl-PL"/>
        </w:rPr>
      </w:pPr>
    </w:p>
    <w:p w14:paraId="46BAC98E" w14:textId="77777777" w:rsidR="005A44AA" w:rsidRPr="00102B28" w:rsidRDefault="005A44AA" w:rsidP="005A44AA">
      <w:pPr>
        <w:suppressAutoHyphens/>
        <w:autoSpaceDN w:val="0"/>
        <w:ind w:left="993" w:firstLine="423"/>
        <w:jc w:val="both"/>
        <w:rPr>
          <w:rFonts w:eastAsia="Calibri"/>
          <w:kern w:val="3"/>
          <w:szCs w:val="24"/>
          <w:lang w:val="pl-PL"/>
        </w:rPr>
      </w:pPr>
      <w:r w:rsidRPr="00102B28">
        <w:rPr>
          <w:rFonts w:eastAsia="Calibri"/>
          <w:kern w:val="3"/>
          <w:szCs w:val="24"/>
          <w:lang w:val="pl-PL"/>
        </w:rPr>
        <w:t>(1) Cudzinec si môže vytvoriť digitálny rovnopis svojho dokladu o pobyte (ďalej len „digitálny doklad o pobyte”) prostredníctvom mobilnej aplikácie v správe ministerstva vnútra.</w:t>
      </w:r>
    </w:p>
    <w:p w14:paraId="06D31D36" w14:textId="77777777" w:rsidR="005A44AA" w:rsidRPr="00102B28" w:rsidRDefault="005A44AA" w:rsidP="005A44AA">
      <w:pPr>
        <w:suppressAutoHyphens/>
        <w:autoSpaceDN w:val="0"/>
        <w:ind w:left="993"/>
        <w:jc w:val="both"/>
        <w:rPr>
          <w:rFonts w:eastAsia="Calibri"/>
          <w:kern w:val="3"/>
          <w:szCs w:val="24"/>
          <w:lang w:val="pl-PL"/>
        </w:rPr>
      </w:pPr>
    </w:p>
    <w:p w14:paraId="6C14652D" w14:textId="77777777" w:rsidR="005A44AA" w:rsidRPr="00102B28" w:rsidRDefault="005A44AA" w:rsidP="005A44AA">
      <w:pPr>
        <w:suppressAutoHyphens/>
        <w:autoSpaceDN w:val="0"/>
        <w:ind w:left="993" w:firstLine="423"/>
        <w:jc w:val="both"/>
        <w:rPr>
          <w:rFonts w:eastAsia="Calibri"/>
          <w:kern w:val="3"/>
          <w:szCs w:val="24"/>
          <w:lang w:val="pl-PL"/>
        </w:rPr>
      </w:pPr>
      <w:r w:rsidRPr="00102B28">
        <w:rPr>
          <w:rFonts w:eastAsia="Calibri"/>
          <w:kern w:val="3"/>
          <w:szCs w:val="24"/>
          <w:lang w:val="pl-PL"/>
        </w:rPr>
        <w:t>(2) Údaje uvedené v digitálnom doklade o pobyte možno overiť len prostredníctvom overovacej mobilnej aplikácie v správe ministerstva vnútra alebo inej informačnej technológie overovania schválenej ministerstvom vnútra.</w:t>
      </w:r>
    </w:p>
    <w:p w14:paraId="657A50E7" w14:textId="77777777" w:rsidR="005A44AA" w:rsidRPr="00102B28" w:rsidRDefault="005A44AA" w:rsidP="005A44AA">
      <w:pPr>
        <w:suppressAutoHyphens/>
        <w:autoSpaceDN w:val="0"/>
        <w:ind w:left="993"/>
        <w:jc w:val="both"/>
        <w:rPr>
          <w:rFonts w:eastAsia="Calibri"/>
          <w:kern w:val="3"/>
          <w:szCs w:val="24"/>
          <w:lang w:val="pl-PL"/>
        </w:rPr>
      </w:pPr>
    </w:p>
    <w:p w14:paraId="207E9AF1" w14:textId="77777777" w:rsidR="005A44AA" w:rsidRPr="00102B28" w:rsidRDefault="005A44AA" w:rsidP="005A44AA">
      <w:pPr>
        <w:suppressAutoHyphens/>
        <w:autoSpaceDN w:val="0"/>
        <w:ind w:left="993" w:firstLine="423"/>
        <w:jc w:val="both"/>
        <w:rPr>
          <w:rFonts w:eastAsia="Calibri"/>
          <w:kern w:val="3"/>
          <w:szCs w:val="24"/>
          <w:lang w:val="pl-PL"/>
        </w:rPr>
      </w:pPr>
      <w:r w:rsidRPr="00102B28">
        <w:rPr>
          <w:rFonts w:eastAsia="Calibri"/>
          <w:kern w:val="3"/>
          <w:szCs w:val="24"/>
          <w:lang w:val="pl-PL"/>
        </w:rPr>
        <w:t>(3) Predloženie digitálneho dokladu o pobyte osobe, ktorá má k dispozícii overovaciu mobilnú aplikáciu alebo inú informačnú technológiu overovania podľa odseku 2 a sú u nej splnené technické podmienky ich používania, má rovnaké účinky ako predloženie dokladu o pobyte. Digitálny doklad o pobyte nemožno predložiť na účely hraničnej kontroly</w:t>
      </w:r>
      <w:r w:rsidRPr="00102B28">
        <w:rPr>
          <w:rFonts w:eastAsia="Calibri"/>
          <w:color w:val="FF0000"/>
          <w:kern w:val="3"/>
          <w:szCs w:val="24"/>
          <w:lang w:val="pl-PL"/>
        </w:rPr>
        <w:t xml:space="preserve"> </w:t>
      </w:r>
      <w:r w:rsidRPr="00102B28">
        <w:rPr>
          <w:rFonts w:eastAsia="Calibri"/>
          <w:kern w:val="3"/>
          <w:szCs w:val="24"/>
          <w:lang w:val="pl-PL"/>
        </w:rPr>
        <w:t>a na účely konania podľa tohto zákona.</w:t>
      </w:r>
    </w:p>
    <w:p w14:paraId="340ACE0B" w14:textId="77777777" w:rsidR="005A44AA" w:rsidRPr="00102B28" w:rsidRDefault="005A44AA" w:rsidP="005A44AA">
      <w:pPr>
        <w:suppressAutoHyphens/>
        <w:autoSpaceDN w:val="0"/>
        <w:ind w:left="993"/>
        <w:jc w:val="both"/>
        <w:rPr>
          <w:rFonts w:eastAsia="Calibri"/>
          <w:kern w:val="3"/>
          <w:szCs w:val="24"/>
          <w:lang w:val="pl-PL"/>
        </w:rPr>
      </w:pPr>
    </w:p>
    <w:p w14:paraId="1D8F4235" w14:textId="77777777" w:rsidR="005A44AA" w:rsidRPr="00102B28" w:rsidRDefault="005A44AA" w:rsidP="005A44AA">
      <w:pPr>
        <w:suppressAutoHyphens/>
        <w:autoSpaceDN w:val="0"/>
        <w:ind w:left="993" w:firstLine="423"/>
        <w:jc w:val="both"/>
        <w:rPr>
          <w:rFonts w:eastAsia="Calibri"/>
          <w:kern w:val="3"/>
          <w:szCs w:val="24"/>
          <w:lang w:val="pl-PL"/>
        </w:rPr>
      </w:pPr>
      <w:r w:rsidRPr="00102B28">
        <w:rPr>
          <w:rFonts w:eastAsia="Calibri"/>
          <w:kern w:val="3"/>
          <w:szCs w:val="24"/>
          <w:lang w:val="pl-PL"/>
        </w:rPr>
        <w:t>(4) Údaje uvedené v digitálnom doklade o pobyte môže overovať len ten, komu z tohto zákona alebo osobitného predpisu vyplýva povinnosť alebo oprávnenie vyžadovať predloženie dokladu o pobyte alebo zisťovať či overovať skutočnosti uvedené v doklade o pobyte alebo skutočnosti z neho vyplývajúce.“.“.</w:t>
      </w:r>
    </w:p>
    <w:p w14:paraId="1BEBA64D" w14:textId="77777777" w:rsidR="005A44AA" w:rsidRPr="00102B28" w:rsidRDefault="005A44AA" w:rsidP="005A44AA">
      <w:pPr>
        <w:suppressAutoHyphens/>
        <w:autoSpaceDN w:val="0"/>
        <w:ind w:firstLine="284"/>
        <w:jc w:val="both"/>
        <w:rPr>
          <w:rFonts w:eastAsia="Calibri"/>
          <w:kern w:val="3"/>
          <w:szCs w:val="24"/>
          <w:lang w:val="pl-PL"/>
        </w:rPr>
      </w:pPr>
    </w:p>
    <w:p w14:paraId="3A57908B" w14:textId="77777777" w:rsidR="005A44AA" w:rsidRPr="00102B28" w:rsidRDefault="005A44AA" w:rsidP="005A44AA">
      <w:pPr>
        <w:pStyle w:val="Odsekzoznamu"/>
        <w:rPr>
          <w:rFonts w:eastAsiaTheme="minorHAnsi"/>
          <w:szCs w:val="24"/>
        </w:rPr>
      </w:pPr>
      <w:r w:rsidRPr="00102B28">
        <w:rPr>
          <w:rFonts w:eastAsiaTheme="minorHAnsi"/>
          <w:szCs w:val="24"/>
        </w:rPr>
        <w:t>Nasledujúce body sa primerane prečíslujú.</w:t>
      </w:r>
    </w:p>
    <w:p w14:paraId="4C5103A8" w14:textId="77777777" w:rsidR="005A44AA" w:rsidRPr="00102B28" w:rsidRDefault="005A44AA" w:rsidP="005A44AA">
      <w:pPr>
        <w:pStyle w:val="Odsekzoznamu"/>
        <w:rPr>
          <w:rFonts w:eastAsiaTheme="minorHAnsi"/>
          <w:szCs w:val="24"/>
        </w:rPr>
      </w:pPr>
    </w:p>
    <w:p w14:paraId="5B0611BB" w14:textId="77777777" w:rsidR="005A44AA" w:rsidRPr="00102B28" w:rsidRDefault="005A44AA" w:rsidP="005A44AA">
      <w:pPr>
        <w:pStyle w:val="Odsekzoznamu"/>
        <w:rPr>
          <w:rFonts w:eastAsiaTheme="minorHAnsi"/>
          <w:szCs w:val="24"/>
        </w:rPr>
      </w:pPr>
      <w:r w:rsidRPr="00102B28">
        <w:rPr>
          <w:rFonts w:eastAsiaTheme="minorHAnsi"/>
          <w:szCs w:val="24"/>
        </w:rPr>
        <w:t>Tento bod nadobúda účinnosť 1. októbra 2026, čo sa premietne do článku o účinnosti.</w:t>
      </w:r>
    </w:p>
    <w:p w14:paraId="12E31AA3" w14:textId="77777777" w:rsidR="005A44AA" w:rsidRDefault="005A44AA" w:rsidP="005A44AA">
      <w:pPr>
        <w:ind w:left="2835"/>
        <w:jc w:val="both"/>
        <w:rPr>
          <w:rFonts w:eastAsia="Calibri"/>
          <w:iCs/>
          <w:szCs w:val="24"/>
          <w:lang w:val="pl-PL"/>
        </w:rPr>
      </w:pPr>
      <w:r w:rsidRPr="006D5C98">
        <w:rPr>
          <w:rFonts w:eastAsia="Calibri"/>
          <w:iCs/>
          <w:szCs w:val="24"/>
          <w:lang w:val="pl-PL"/>
        </w:rPr>
        <w:t xml:space="preserve">Navrhuje sa zaviesť možnosť vytvorenia digitálneho rovnopisu dokladu o pobyte cudzinca prostredníctvom mobilnej aplikácie v správe Ministerstva vnútra SR rovnako ako pri digitálnom občianskom preukaze. Návrh nadväzuje na koncepciu </w:t>
      </w:r>
      <w:r w:rsidRPr="006D5C98">
        <w:rPr>
          <w:rFonts w:eastAsia="Calibri"/>
          <w:iCs/>
          <w:szCs w:val="24"/>
          <w:lang w:val="pl-PL"/>
        </w:rPr>
        <w:lastRenderedPageBreak/>
        <w:t>eDokladov/digitalnych dokladov.</w:t>
      </w:r>
      <w:r w:rsidRPr="006D5C98">
        <w:rPr>
          <w:rFonts w:eastAsia="Calibri"/>
          <w:iCs/>
          <w:color w:val="FF0000"/>
          <w:kern w:val="3"/>
          <w:szCs w:val="24"/>
          <w:lang w:val="pl-PL"/>
        </w:rPr>
        <w:t xml:space="preserve"> </w:t>
      </w:r>
      <w:r w:rsidRPr="006D5C98">
        <w:rPr>
          <w:rFonts w:eastAsia="Calibri"/>
          <w:iCs/>
          <w:kern w:val="3"/>
          <w:szCs w:val="24"/>
          <w:lang w:val="pl-PL"/>
        </w:rPr>
        <w:t xml:space="preserve">Zároveň sa navrhuje </w:t>
      </w:r>
      <w:r w:rsidRPr="006D5C98">
        <w:rPr>
          <w:rFonts w:eastAsia="Calibri"/>
          <w:iCs/>
          <w:szCs w:val="24"/>
          <w:lang w:val="pl-PL"/>
        </w:rPr>
        <w:t xml:space="preserve">výnimka z možnosti jeho použitia v prípadoch hraničnej kontroly a konania podľa zákona o pobyte cudzincov, kedy je predloženie fyzickej podoby dokladu o pobyte nevyhnutné z dôvodu preverenia, či fyzicky vydaný doklad o pobyte cudzinec má k dispozícii a najmä, či nebol stratený, odcudzený, poškodený alebo zneužitý (napr. predaný alebo sfalšovaný). </w:t>
      </w:r>
    </w:p>
    <w:p w14:paraId="293733CA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2802DFC5" w14:textId="77777777" w:rsidR="005A44AA" w:rsidRPr="005A44AA" w:rsidRDefault="005A44AA" w:rsidP="005A44A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5A44AA">
        <w:rPr>
          <w:szCs w:val="24"/>
        </w:rPr>
        <w:t xml:space="preserve">V čl. I sa za bod 64 vkladá nový bod 65, ktorý znie: </w:t>
      </w:r>
    </w:p>
    <w:p w14:paraId="114F4077" w14:textId="1AB1A694" w:rsidR="005A44AA" w:rsidRPr="00102B28" w:rsidRDefault="0046392B" w:rsidP="005A44AA">
      <w:pPr>
        <w:pStyle w:val="Odsekzoznamu"/>
        <w:ind w:left="709" w:hanging="28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</w:t>
      </w:r>
      <w:r w:rsidR="005A44AA" w:rsidRPr="00102B28">
        <w:rPr>
          <w:rFonts w:eastAsiaTheme="minorHAnsi"/>
          <w:szCs w:val="24"/>
        </w:rPr>
        <w:t>„65. V § 83 ods. 12 sa za slovo „ak“ vkladajú slová „policajný útvar v rozhodnutí o administratívnom vyhostení neurčil lehotu na vycestovanie z dôvodu podľa odseku 2 alebo“.“.</w:t>
      </w:r>
    </w:p>
    <w:p w14:paraId="2868DC0A" w14:textId="77777777" w:rsidR="005A44AA" w:rsidRPr="00102B28" w:rsidRDefault="005A44AA" w:rsidP="005A44AA">
      <w:pPr>
        <w:pStyle w:val="Odsekzoznamu"/>
        <w:rPr>
          <w:rFonts w:eastAsiaTheme="minorHAnsi"/>
          <w:szCs w:val="24"/>
        </w:rPr>
      </w:pPr>
    </w:p>
    <w:p w14:paraId="59CE380F" w14:textId="77777777" w:rsidR="005A44AA" w:rsidRPr="00102B28" w:rsidRDefault="005A44AA" w:rsidP="005A44AA">
      <w:pPr>
        <w:pStyle w:val="Odsekzoznamu"/>
        <w:rPr>
          <w:rFonts w:eastAsiaTheme="minorHAnsi"/>
          <w:szCs w:val="24"/>
        </w:rPr>
      </w:pPr>
      <w:r w:rsidRPr="00102B28">
        <w:rPr>
          <w:rFonts w:eastAsiaTheme="minorHAnsi"/>
          <w:szCs w:val="24"/>
        </w:rPr>
        <w:t>Nasledujúce body sa primerane prečíslujú.</w:t>
      </w:r>
    </w:p>
    <w:p w14:paraId="57497BC7" w14:textId="77777777" w:rsidR="005A44AA" w:rsidRPr="00102B28" w:rsidRDefault="005A44AA" w:rsidP="005A44AA">
      <w:pPr>
        <w:pStyle w:val="Odsekzoznamu"/>
        <w:rPr>
          <w:rFonts w:eastAsiaTheme="minorHAnsi"/>
          <w:szCs w:val="24"/>
        </w:rPr>
      </w:pPr>
    </w:p>
    <w:p w14:paraId="391E6373" w14:textId="77777777" w:rsidR="005A44AA" w:rsidRPr="00102B28" w:rsidRDefault="005A44AA" w:rsidP="005A44AA">
      <w:pPr>
        <w:pStyle w:val="Odsekzoznamu"/>
        <w:rPr>
          <w:rFonts w:eastAsiaTheme="minorHAnsi"/>
          <w:szCs w:val="24"/>
        </w:rPr>
      </w:pPr>
      <w:r w:rsidRPr="00102B28">
        <w:rPr>
          <w:rFonts w:eastAsiaTheme="minorHAnsi"/>
          <w:szCs w:val="24"/>
        </w:rPr>
        <w:t>Tento bod nadobúda účinnosť 15. júla 2026, čo sa premietne do článku o účinnosti.</w:t>
      </w:r>
    </w:p>
    <w:p w14:paraId="5DDA0AAB" w14:textId="77777777" w:rsidR="005A44AA" w:rsidRDefault="005A44AA" w:rsidP="005A44AA">
      <w:pPr>
        <w:ind w:left="2835"/>
        <w:jc w:val="both"/>
        <w:rPr>
          <w:rFonts w:eastAsia="Calibri"/>
          <w:iCs/>
          <w:szCs w:val="24"/>
        </w:rPr>
      </w:pPr>
      <w:r w:rsidRPr="0008541B">
        <w:rPr>
          <w:rFonts w:eastAsia="Calibri"/>
          <w:iCs/>
          <w:szCs w:val="24"/>
        </w:rPr>
        <w:t xml:space="preserve">Rozširujú sa dôvody, kedy rozhodnutie o administratívnom vyhostení nadobudne vykonateľnosť skôr ako uplynutím lehoty 30 dní od jeho doručenia. Pôjde o prípady, ak štátny príslušník tretej krajiny bude predstavovať bezpečnostné riziko alebo bude možné predpokladať, že ujde alebo bude iným spôsobom mariť alebo sťažovať výkon administratívneho vyhostenia. V týchto individuálnych prípadoch nadobudne rozhodnutie o administratívnom vyhostení vykonateľnosť jeho doručením. </w:t>
      </w:r>
    </w:p>
    <w:p w14:paraId="33EFDCE3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5FFD5335" w14:textId="77777777" w:rsidR="005A44AA" w:rsidRPr="005A44AA" w:rsidRDefault="005A44AA" w:rsidP="005A44AA">
      <w:pPr>
        <w:pStyle w:val="Odsekzoznamu"/>
        <w:numPr>
          <w:ilvl w:val="0"/>
          <w:numId w:val="19"/>
        </w:numPr>
        <w:spacing w:after="0" w:line="240" w:lineRule="auto"/>
        <w:jc w:val="both"/>
        <w:rPr>
          <w:szCs w:val="24"/>
        </w:rPr>
      </w:pPr>
      <w:r w:rsidRPr="005A44AA">
        <w:rPr>
          <w:szCs w:val="24"/>
        </w:rPr>
        <w:t>V čl. I, bode 83 [§ 131o ods. 1 písm. a)] sa slová  „</w:t>
      </w:r>
      <w:r w:rsidRPr="005A44AA">
        <w:rPr>
          <w:rFonts w:eastAsia="Calibri"/>
          <w:bCs/>
          <w:szCs w:val="24"/>
        </w:rPr>
        <w:t>azylu alebo o poskytnutie doplnkovej</w:t>
      </w:r>
      <w:r w:rsidRPr="005A44AA">
        <w:rPr>
          <w:szCs w:val="24"/>
        </w:rPr>
        <w:t>“ nahrádzajú slovom „medzinárodnej“ a v § 131o ods. 1 písm. b) sa vypúšťa slovo „poskytol“.</w:t>
      </w:r>
    </w:p>
    <w:p w14:paraId="146DFB76" w14:textId="77777777" w:rsidR="005A44AA" w:rsidRPr="00102B28" w:rsidRDefault="005A44AA" w:rsidP="005A44AA">
      <w:pPr>
        <w:pStyle w:val="Odsekzoznamu"/>
        <w:ind w:left="709"/>
        <w:jc w:val="both"/>
        <w:rPr>
          <w:rFonts w:eastAsiaTheme="minorHAnsi"/>
          <w:szCs w:val="24"/>
        </w:rPr>
      </w:pPr>
    </w:p>
    <w:p w14:paraId="5A54A439" w14:textId="51F00DE1" w:rsidR="005A44AA" w:rsidRPr="00102B28" w:rsidRDefault="00FF3428" w:rsidP="005A44AA">
      <w:pPr>
        <w:pStyle w:val="Odsekzoznamu"/>
        <w:ind w:left="709" w:hanging="28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  </w:t>
      </w:r>
      <w:r w:rsidR="005A44AA" w:rsidRPr="00102B28">
        <w:rPr>
          <w:rFonts w:eastAsiaTheme="minorHAnsi"/>
          <w:szCs w:val="24"/>
        </w:rPr>
        <w:t xml:space="preserve">Poznámka pod čiarou k odkazu 107 znie: </w:t>
      </w:r>
    </w:p>
    <w:p w14:paraId="3E88529B" w14:textId="77777777" w:rsidR="00FF3428" w:rsidRDefault="00FF3428" w:rsidP="005A44AA">
      <w:pPr>
        <w:pStyle w:val="Odsekzoznamu"/>
        <w:ind w:left="709" w:hanging="28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</w:t>
      </w:r>
      <w:r w:rsidR="005A44AA" w:rsidRPr="00102B28">
        <w:rPr>
          <w:rFonts w:eastAsiaTheme="minorHAnsi"/>
          <w:szCs w:val="24"/>
        </w:rPr>
        <w:t>„</w:t>
      </w:r>
      <w:r w:rsidR="005A44AA" w:rsidRPr="00102B28">
        <w:rPr>
          <w:rFonts w:eastAsiaTheme="minorHAnsi"/>
          <w:szCs w:val="24"/>
          <w:vertAlign w:val="superscript"/>
        </w:rPr>
        <w:t>107</w:t>
      </w:r>
      <w:r w:rsidR="005A44AA" w:rsidRPr="00102B28">
        <w:rPr>
          <w:rFonts w:eastAsiaTheme="minorHAnsi"/>
          <w:szCs w:val="24"/>
        </w:rPr>
        <w:t xml:space="preserve">) § 64 ods. 1 písm. a) zákona č. 69/2026 Z. z. o medzinárodnej ochrane a o zmene </w:t>
      </w:r>
      <w:r>
        <w:rPr>
          <w:rFonts w:eastAsiaTheme="minorHAnsi"/>
          <w:szCs w:val="24"/>
        </w:rPr>
        <w:t xml:space="preserve">    </w:t>
      </w:r>
    </w:p>
    <w:p w14:paraId="7C2D0E0C" w14:textId="44F07664" w:rsidR="005A44AA" w:rsidRPr="00102B28" w:rsidRDefault="00FF3428" w:rsidP="005A44AA">
      <w:pPr>
        <w:pStyle w:val="Odsekzoznamu"/>
        <w:ind w:left="709" w:hanging="283"/>
        <w:jc w:val="both"/>
        <w:rPr>
          <w:rFonts w:eastAsiaTheme="minorHAnsi"/>
          <w:szCs w:val="24"/>
        </w:rPr>
      </w:pPr>
      <w:r>
        <w:rPr>
          <w:rFonts w:eastAsiaTheme="minorHAnsi"/>
          <w:szCs w:val="24"/>
        </w:rPr>
        <w:t xml:space="preserve">          </w:t>
      </w:r>
      <w:r w:rsidR="005A44AA" w:rsidRPr="00102B28">
        <w:rPr>
          <w:rFonts w:eastAsiaTheme="minorHAnsi"/>
          <w:szCs w:val="24"/>
        </w:rPr>
        <w:t>a doplnení niektorých zákonov.“.</w:t>
      </w:r>
    </w:p>
    <w:p w14:paraId="6780DF6A" w14:textId="77777777" w:rsidR="005A44AA" w:rsidRPr="0008541B" w:rsidRDefault="005A44AA" w:rsidP="005A44AA">
      <w:pPr>
        <w:ind w:left="2835"/>
        <w:jc w:val="both"/>
        <w:rPr>
          <w:iCs/>
          <w:szCs w:val="24"/>
        </w:rPr>
      </w:pPr>
      <w:r w:rsidRPr="0008541B">
        <w:rPr>
          <w:rFonts w:eastAsia="Calibri"/>
          <w:iCs/>
          <w:szCs w:val="24"/>
        </w:rPr>
        <w:t>Ide o zosúladenie terminológie s novým zákonom č. 69/2026 Z. z. o medzinárodnej ochrane a o zmene a doplnení niektorých zákonov, ktorým sa zrušil zákon č. 480/2002 Z. z. o azyle a o zmene a doplnení niektorých zákonov v znení neskorších predpisov.</w:t>
      </w:r>
    </w:p>
    <w:p w14:paraId="4B72E62B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67E31D34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spacing w:line="360" w:lineRule="auto"/>
        <w:jc w:val="both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>V čl. I, bode 84, prílohe č. 2, sa slová „devätnásty bod“ nahrádza slovami „dvadsiaty bod“ a slová „osemnásty bod“ sa nahrádzajú slovami „devätnásty bod“.</w:t>
      </w:r>
    </w:p>
    <w:p w14:paraId="0EE4300E" w14:textId="77777777" w:rsidR="005A44AA" w:rsidRPr="006C7159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Cs w:val="24"/>
        </w:rPr>
      </w:pPr>
    </w:p>
    <w:p w14:paraId="63144C98" w14:textId="77777777" w:rsidR="005A44AA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Cs w:val="24"/>
          <w:lang w:eastAsia="sk-SK"/>
        </w:rPr>
      </w:pPr>
      <w:r w:rsidRPr="006C7159">
        <w:rPr>
          <w:color w:val="000000" w:themeColor="text1"/>
          <w:szCs w:val="24"/>
        </w:rPr>
        <w:t xml:space="preserve">Legislatívno - technická úprava; zohľadnenie </w:t>
      </w:r>
      <w:r w:rsidRPr="006C7159">
        <w:rPr>
          <w:color w:val="000000" w:themeColor="text1"/>
          <w:szCs w:val="24"/>
          <w:lang w:eastAsia="sk-SK"/>
        </w:rPr>
        <w:t xml:space="preserve">zákona č. 69/2026 Z. z. o medzinárodnej ochrane </w:t>
      </w:r>
      <w:r w:rsidRPr="006C7159">
        <w:rPr>
          <w:color w:val="000000" w:themeColor="text1"/>
          <w:szCs w:val="24"/>
          <w:lang w:eastAsia="sk-SK"/>
        </w:rPr>
        <w:lastRenderedPageBreak/>
        <w:t>a o zmene a doplnení niektorých zákonov (čl. XVII bod 31), ktorý doplnil bod 20 prílohy o smernicu Európskeho parlamentu a Rady (EÚ) 2024/1346.</w:t>
      </w:r>
    </w:p>
    <w:p w14:paraId="5A9CBDF1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2F0EF050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spacing w:line="360" w:lineRule="auto"/>
        <w:jc w:val="both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>V čl. I, bode 85, prílohe č. 2, sa slová „devätnástym bodom“ nahrádzajú slovami „dvadsiatym bodom“.</w:t>
      </w:r>
    </w:p>
    <w:p w14:paraId="6B25F943" w14:textId="77777777" w:rsidR="005A44AA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Cs w:val="24"/>
          <w:lang w:eastAsia="sk-SK"/>
        </w:rPr>
      </w:pPr>
      <w:r w:rsidRPr="006C7159">
        <w:rPr>
          <w:color w:val="000000" w:themeColor="text1"/>
          <w:szCs w:val="24"/>
        </w:rPr>
        <w:t xml:space="preserve">Legislatívno - technická úprava; zohľadnenie </w:t>
      </w:r>
      <w:r w:rsidRPr="006C7159">
        <w:rPr>
          <w:color w:val="000000" w:themeColor="text1"/>
          <w:szCs w:val="24"/>
          <w:lang w:eastAsia="sk-SK"/>
        </w:rPr>
        <w:t>zákona č. 69/2026 Z. z. o medzinárodnej ochrane a o zmene a doplnení niektorých zákonov (čl. XVII bod 31), ktorý doplnil bod 20 prílohy o smernicu Európskeho parlamentu a Rady (EÚ) 2024/1346.</w:t>
      </w:r>
    </w:p>
    <w:p w14:paraId="728FF12E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06DFF2FE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spacing w:line="360" w:lineRule="auto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>V čl. I, bode 86, prílohe č. 5 sa slová „odseku 2“ nahrádzajú slovami „§17 ods. 2“.</w:t>
      </w:r>
    </w:p>
    <w:p w14:paraId="5879A548" w14:textId="77777777" w:rsidR="005A44AA" w:rsidRDefault="005A44AA" w:rsidP="005A44AA">
      <w:pPr>
        <w:shd w:val="clear" w:color="auto" w:fill="FFFFFF" w:themeFill="background1"/>
        <w:ind w:left="4248"/>
        <w:jc w:val="both"/>
        <w:rPr>
          <w:color w:val="000000" w:themeColor="text1"/>
          <w:szCs w:val="24"/>
        </w:rPr>
      </w:pPr>
      <w:r w:rsidRPr="006C7159">
        <w:rPr>
          <w:color w:val="000000" w:themeColor="text1"/>
          <w:szCs w:val="24"/>
        </w:rPr>
        <w:t>Legislatívno - technická úprava; spresnenie znenia  prílohy č. 5. uvedením príslušného paragrafu.</w:t>
      </w:r>
    </w:p>
    <w:p w14:paraId="4407BB25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421ACC6A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spacing w:line="360" w:lineRule="auto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>V čl. I, bode 86, prílohe č. 5 sa slová „ods. 12“ (6x) nahrádzajú slovami „ods. 10“ (6x).</w:t>
      </w:r>
    </w:p>
    <w:p w14:paraId="19472078" w14:textId="77777777" w:rsidR="005A44AA" w:rsidRDefault="005A44AA" w:rsidP="005A44AA">
      <w:pPr>
        <w:pStyle w:val="Odsekzoznamu"/>
        <w:shd w:val="clear" w:color="auto" w:fill="FFFFFF" w:themeFill="background1"/>
        <w:ind w:left="4248"/>
        <w:jc w:val="both"/>
        <w:rPr>
          <w:color w:val="000000" w:themeColor="text1"/>
          <w:szCs w:val="24"/>
        </w:rPr>
      </w:pPr>
      <w:r w:rsidRPr="006C7159">
        <w:rPr>
          <w:color w:val="000000" w:themeColor="text1"/>
          <w:szCs w:val="24"/>
        </w:rPr>
        <w:t>Legislatívno - technická úprava; spresnenie znenia  prílohy č. 5, keďže dôvody na zrušenie národného víza sú uvedené v § 17 ods. 10.</w:t>
      </w:r>
    </w:p>
    <w:p w14:paraId="7BC8898F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p w14:paraId="7B5CDDD6" w14:textId="77777777" w:rsidR="005A44AA" w:rsidRPr="005A44AA" w:rsidRDefault="005A44AA" w:rsidP="005A44AA">
      <w:pPr>
        <w:pStyle w:val="Odsekzoznamu"/>
        <w:numPr>
          <w:ilvl w:val="0"/>
          <w:numId w:val="19"/>
        </w:numPr>
        <w:shd w:val="clear" w:color="auto" w:fill="FFFFFF" w:themeFill="background1"/>
        <w:tabs>
          <w:tab w:val="left" w:pos="284"/>
        </w:tabs>
        <w:spacing w:after="0" w:line="360" w:lineRule="auto"/>
        <w:jc w:val="both"/>
        <w:rPr>
          <w:color w:val="000000" w:themeColor="text1"/>
          <w:szCs w:val="24"/>
        </w:rPr>
      </w:pPr>
      <w:r w:rsidRPr="005A44AA">
        <w:rPr>
          <w:color w:val="000000" w:themeColor="text1"/>
          <w:szCs w:val="24"/>
        </w:rPr>
        <w:t xml:space="preserve">Článok IV sa vypúšťa. </w:t>
      </w:r>
    </w:p>
    <w:p w14:paraId="34B74BBC" w14:textId="77777777" w:rsidR="005A44AA" w:rsidRPr="006C7159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color w:val="000000" w:themeColor="text1"/>
          <w:szCs w:val="24"/>
        </w:rPr>
      </w:pPr>
    </w:p>
    <w:p w14:paraId="76E141D6" w14:textId="7A696C6C" w:rsidR="005A44AA" w:rsidRPr="006C7159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color w:val="000000" w:themeColor="text1"/>
          <w:szCs w:val="24"/>
        </w:rPr>
      </w:pPr>
      <w:r w:rsidRPr="006C7159">
        <w:rPr>
          <w:color w:val="000000" w:themeColor="text1"/>
          <w:szCs w:val="24"/>
        </w:rPr>
        <w:t xml:space="preserve">     </w:t>
      </w:r>
      <w:r w:rsidR="00760E54">
        <w:rPr>
          <w:color w:val="000000" w:themeColor="text1"/>
          <w:szCs w:val="24"/>
        </w:rPr>
        <w:t xml:space="preserve">       </w:t>
      </w:r>
      <w:r w:rsidRPr="006C7159">
        <w:rPr>
          <w:color w:val="000000" w:themeColor="text1"/>
          <w:szCs w:val="24"/>
        </w:rPr>
        <w:t xml:space="preserve">Nasledujúce články sa primerane preznačia.   </w:t>
      </w:r>
    </w:p>
    <w:p w14:paraId="3AA7A714" w14:textId="77777777" w:rsidR="005A44AA" w:rsidRPr="006C7159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284"/>
        <w:jc w:val="both"/>
        <w:rPr>
          <w:color w:val="000000" w:themeColor="text1"/>
          <w:szCs w:val="24"/>
        </w:rPr>
      </w:pPr>
    </w:p>
    <w:p w14:paraId="4CC17951" w14:textId="77777777" w:rsidR="005A44AA" w:rsidRDefault="005A44AA" w:rsidP="005A44AA">
      <w:pPr>
        <w:pStyle w:val="Odsekzoznamu"/>
        <w:shd w:val="clear" w:color="auto" w:fill="FFFFFF" w:themeFill="background1"/>
        <w:tabs>
          <w:tab w:val="left" w:pos="284"/>
        </w:tabs>
        <w:spacing w:after="0" w:line="240" w:lineRule="auto"/>
        <w:ind w:left="4253"/>
        <w:jc w:val="both"/>
        <w:rPr>
          <w:color w:val="000000" w:themeColor="text1"/>
          <w:szCs w:val="24"/>
          <w:lang w:eastAsia="sk-SK"/>
        </w:rPr>
      </w:pPr>
      <w:r w:rsidRPr="006C7159">
        <w:rPr>
          <w:color w:val="000000" w:themeColor="text1"/>
          <w:szCs w:val="24"/>
          <w:lang w:eastAsia="sk-SK"/>
        </w:rPr>
        <w:t>Zákon č. 480/2002 Z. z. o azyle a o zmene a doplnení niektorých zákonov v znení neskorších predpisov sa navrhuje vypustiť z dôvodu, že uvedený zákon sa s účinnosťou 12. júna 2026 zrušuje v čl. I (§ 91, prvom bode) zákona č. 69/2026 Z. z. o medzinárodnej ochrane a o zmene a doplnení niektorých zákonov.</w:t>
      </w:r>
    </w:p>
    <w:p w14:paraId="1D203EB5" w14:textId="77777777" w:rsidR="005A44AA" w:rsidRDefault="005A44AA" w:rsidP="00124A08">
      <w:pPr>
        <w:spacing w:after="0" w:line="240" w:lineRule="auto"/>
        <w:rPr>
          <w:sz w:val="22"/>
          <w:lang w:eastAsia="sk-SK"/>
        </w:rPr>
      </w:pPr>
    </w:p>
    <w:sectPr w:rsidR="005A44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44AE"/>
    <w:multiLevelType w:val="hybridMultilevel"/>
    <w:tmpl w:val="4BE03D9A"/>
    <w:lvl w:ilvl="0" w:tplc="A538F3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92CB0"/>
    <w:multiLevelType w:val="hybridMultilevel"/>
    <w:tmpl w:val="4AE22E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A20CC"/>
    <w:multiLevelType w:val="hybridMultilevel"/>
    <w:tmpl w:val="ECE0F3EC"/>
    <w:lvl w:ilvl="0" w:tplc="1C820456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F5EF8"/>
    <w:multiLevelType w:val="hybridMultilevel"/>
    <w:tmpl w:val="D9448D86"/>
    <w:lvl w:ilvl="0" w:tplc="E4507C94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70548C0"/>
    <w:multiLevelType w:val="hybridMultilevel"/>
    <w:tmpl w:val="34341DC8"/>
    <w:lvl w:ilvl="0" w:tplc="D5FE01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2235CF"/>
    <w:multiLevelType w:val="hybridMultilevel"/>
    <w:tmpl w:val="EF8EA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7517F9"/>
    <w:multiLevelType w:val="hybridMultilevel"/>
    <w:tmpl w:val="E4BA707A"/>
    <w:lvl w:ilvl="0" w:tplc="631ED2A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75238"/>
    <w:multiLevelType w:val="hybridMultilevel"/>
    <w:tmpl w:val="935A52FC"/>
    <w:lvl w:ilvl="0" w:tplc="78A6EDA6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432345F0"/>
    <w:multiLevelType w:val="hybridMultilevel"/>
    <w:tmpl w:val="718444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4B1D86"/>
    <w:multiLevelType w:val="hybridMultilevel"/>
    <w:tmpl w:val="F0DCB932"/>
    <w:lvl w:ilvl="0" w:tplc="29808730">
      <w:start w:val="16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AC11BD"/>
    <w:multiLevelType w:val="hybridMultilevel"/>
    <w:tmpl w:val="5296DC10"/>
    <w:lvl w:ilvl="0" w:tplc="5F84E686">
      <w:start w:val="12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" w15:restartNumberingAfterBreak="0">
    <w:nsid w:val="62937482"/>
    <w:multiLevelType w:val="hybridMultilevel"/>
    <w:tmpl w:val="540010D4"/>
    <w:lvl w:ilvl="0" w:tplc="D188D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522182B"/>
    <w:multiLevelType w:val="hybridMultilevel"/>
    <w:tmpl w:val="96FCF178"/>
    <w:lvl w:ilvl="0" w:tplc="E50EEBE0">
      <w:start w:val="15"/>
      <w:numFmt w:val="decimal"/>
      <w:lvlText w:val="%1.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66300537"/>
    <w:multiLevelType w:val="hybridMultilevel"/>
    <w:tmpl w:val="8E5272DC"/>
    <w:lvl w:ilvl="0" w:tplc="C3A8C086">
      <w:start w:val="13"/>
      <w:numFmt w:val="decimal"/>
      <w:lvlText w:val="%1."/>
      <w:lvlJc w:val="left"/>
      <w:pPr>
        <w:ind w:left="785" w:hanging="360"/>
      </w:pPr>
      <w:rPr>
        <w:rFonts w:hint="default"/>
        <w:b/>
        <w:color w:val="auto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672F5189"/>
    <w:multiLevelType w:val="hybridMultilevel"/>
    <w:tmpl w:val="863ACD32"/>
    <w:lvl w:ilvl="0" w:tplc="E8801AD4">
      <w:start w:val="1"/>
      <w:numFmt w:val="upperLetter"/>
      <w:lvlText w:val="%1.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692A2F6B"/>
    <w:multiLevelType w:val="hybridMultilevel"/>
    <w:tmpl w:val="31308148"/>
    <w:lvl w:ilvl="0" w:tplc="46463A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B07AD"/>
    <w:multiLevelType w:val="hybridMultilevel"/>
    <w:tmpl w:val="0010A14E"/>
    <w:lvl w:ilvl="0" w:tplc="B158F0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883DB5"/>
    <w:multiLevelType w:val="hybridMultilevel"/>
    <w:tmpl w:val="45A2C928"/>
    <w:lvl w:ilvl="0" w:tplc="78A6EDA6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2507BE"/>
    <w:multiLevelType w:val="hybridMultilevel"/>
    <w:tmpl w:val="7BF283A2"/>
    <w:lvl w:ilvl="0" w:tplc="4B4AAC74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trike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 w16cid:durableId="4714850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06351806">
    <w:abstractNumId w:val="15"/>
  </w:num>
  <w:num w:numId="3" w16cid:durableId="1137144581">
    <w:abstractNumId w:val="0"/>
  </w:num>
  <w:num w:numId="4" w16cid:durableId="406654645">
    <w:abstractNumId w:val="13"/>
  </w:num>
  <w:num w:numId="5" w16cid:durableId="2074348009">
    <w:abstractNumId w:val="10"/>
  </w:num>
  <w:num w:numId="6" w16cid:durableId="1343584021">
    <w:abstractNumId w:val="9"/>
  </w:num>
  <w:num w:numId="7" w16cid:durableId="498540720">
    <w:abstractNumId w:val="12"/>
  </w:num>
  <w:num w:numId="8" w16cid:durableId="301621586">
    <w:abstractNumId w:val="16"/>
  </w:num>
  <w:num w:numId="9" w16cid:durableId="1776172103">
    <w:abstractNumId w:val="18"/>
  </w:num>
  <w:num w:numId="10" w16cid:durableId="140465526">
    <w:abstractNumId w:val="6"/>
  </w:num>
  <w:num w:numId="11" w16cid:durableId="1552111070">
    <w:abstractNumId w:val="11"/>
  </w:num>
  <w:num w:numId="12" w16cid:durableId="503398114">
    <w:abstractNumId w:val="3"/>
  </w:num>
  <w:num w:numId="13" w16cid:durableId="1003780475">
    <w:abstractNumId w:val="4"/>
  </w:num>
  <w:num w:numId="14" w16cid:durableId="1862893298">
    <w:abstractNumId w:val="2"/>
  </w:num>
  <w:num w:numId="15" w16cid:durableId="1376812967">
    <w:abstractNumId w:val="7"/>
  </w:num>
  <w:num w:numId="16" w16cid:durableId="1151483746">
    <w:abstractNumId w:val="8"/>
  </w:num>
  <w:num w:numId="17" w16cid:durableId="1620409753">
    <w:abstractNumId w:val="5"/>
  </w:num>
  <w:num w:numId="18" w16cid:durableId="1164472660">
    <w:abstractNumId w:val="1"/>
  </w:num>
  <w:num w:numId="19" w16cid:durableId="20565410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DAC"/>
    <w:rsid w:val="00004A65"/>
    <w:rsid w:val="00022AE4"/>
    <w:rsid w:val="000262C0"/>
    <w:rsid w:val="00040045"/>
    <w:rsid w:val="000415EB"/>
    <w:rsid w:val="00047773"/>
    <w:rsid w:val="00060C8B"/>
    <w:rsid w:val="00093929"/>
    <w:rsid w:val="000943D0"/>
    <w:rsid w:val="000A72A6"/>
    <w:rsid w:val="000C6E11"/>
    <w:rsid w:val="000D3CB3"/>
    <w:rsid w:val="000D6798"/>
    <w:rsid w:val="000E30E2"/>
    <w:rsid w:val="00100860"/>
    <w:rsid w:val="00113ED7"/>
    <w:rsid w:val="00124A08"/>
    <w:rsid w:val="0016254C"/>
    <w:rsid w:val="001B6164"/>
    <w:rsid w:val="00210C52"/>
    <w:rsid w:val="00210F86"/>
    <w:rsid w:val="00231090"/>
    <w:rsid w:val="0024461B"/>
    <w:rsid w:val="00251F1D"/>
    <w:rsid w:val="00267416"/>
    <w:rsid w:val="002770DF"/>
    <w:rsid w:val="002933CB"/>
    <w:rsid w:val="002D06BE"/>
    <w:rsid w:val="002D4BB7"/>
    <w:rsid w:val="002E206A"/>
    <w:rsid w:val="002E56D8"/>
    <w:rsid w:val="003238EC"/>
    <w:rsid w:val="00351DC0"/>
    <w:rsid w:val="003652DA"/>
    <w:rsid w:val="00365ACF"/>
    <w:rsid w:val="0037772C"/>
    <w:rsid w:val="003B610A"/>
    <w:rsid w:val="003C1BCC"/>
    <w:rsid w:val="003D7EF4"/>
    <w:rsid w:val="00407A53"/>
    <w:rsid w:val="004400F9"/>
    <w:rsid w:val="00446CD3"/>
    <w:rsid w:val="0046392B"/>
    <w:rsid w:val="0048576A"/>
    <w:rsid w:val="004865E3"/>
    <w:rsid w:val="004B714A"/>
    <w:rsid w:val="004C571B"/>
    <w:rsid w:val="004C6088"/>
    <w:rsid w:val="004D20EA"/>
    <w:rsid w:val="004F5C11"/>
    <w:rsid w:val="00501E53"/>
    <w:rsid w:val="00505D02"/>
    <w:rsid w:val="0051183A"/>
    <w:rsid w:val="00531796"/>
    <w:rsid w:val="0055586F"/>
    <w:rsid w:val="00562682"/>
    <w:rsid w:val="00562F37"/>
    <w:rsid w:val="0056461F"/>
    <w:rsid w:val="00586F4B"/>
    <w:rsid w:val="00596447"/>
    <w:rsid w:val="005964B7"/>
    <w:rsid w:val="005A300B"/>
    <w:rsid w:val="005A44AA"/>
    <w:rsid w:val="00645C9C"/>
    <w:rsid w:val="00684C89"/>
    <w:rsid w:val="00685D1C"/>
    <w:rsid w:val="006B6E3B"/>
    <w:rsid w:val="006C43F5"/>
    <w:rsid w:val="006C4A44"/>
    <w:rsid w:val="006D61CF"/>
    <w:rsid w:val="00736BA8"/>
    <w:rsid w:val="007455D8"/>
    <w:rsid w:val="0075059C"/>
    <w:rsid w:val="00760E54"/>
    <w:rsid w:val="007634B9"/>
    <w:rsid w:val="007A36B6"/>
    <w:rsid w:val="007F4D61"/>
    <w:rsid w:val="007F51A4"/>
    <w:rsid w:val="00820305"/>
    <w:rsid w:val="00820DF8"/>
    <w:rsid w:val="0082115B"/>
    <w:rsid w:val="00821C63"/>
    <w:rsid w:val="00824ABB"/>
    <w:rsid w:val="00853FF3"/>
    <w:rsid w:val="00857149"/>
    <w:rsid w:val="00873EB9"/>
    <w:rsid w:val="008A7F41"/>
    <w:rsid w:val="008B1F3F"/>
    <w:rsid w:val="008B53C6"/>
    <w:rsid w:val="008E1862"/>
    <w:rsid w:val="008F514A"/>
    <w:rsid w:val="009364E5"/>
    <w:rsid w:val="00997D05"/>
    <w:rsid w:val="009E24F1"/>
    <w:rsid w:val="00A05127"/>
    <w:rsid w:val="00A11DAC"/>
    <w:rsid w:val="00A41337"/>
    <w:rsid w:val="00A8177F"/>
    <w:rsid w:val="00AC2AEB"/>
    <w:rsid w:val="00AF1F4C"/>
    <w:rsid w:val="00B0282D"/>
    <w:rsid w:val="00B17964"/>
    <w:rsid w:val="00B22203"/>
    <w:rsid w:val="00B6005B"/>
    <w:rsid w:val="00B71DA9"/>
    <w:rsid w:val="00BA0B63"/>
    <w:rsid w:val="00C10451"/>
    <w:rsid w:val="00C17BC3"/>
    <w:rsid w:val="00CB17C2"/>
    <w:rsid w:val="00CB223A"/>
    <w:rsid w:val="00CC0843"/>
    <w:rsid w:val="00CD0178"/>
    <w:rsid w:val="00CE2DFF"/>
    <w:rsid w:val="00CE7146"/>
    <w:rsid w:val="00CE79B3"/>
    <w:rsid w:val="00CF3138"/>
    <w:rsid w:val="00D21A00"/>
    <w:rsid w:val="00D23454"/>
    <w:rsid w:val="00D401E9"/>
    <w:rsid w:val="00D64948"/>
    <w:rsid w:val="00D70F13"/>
    <w:rsid w:val="00D90559"/>
    <w:rsid w:val="00DD49B4"/>
    <w:rsid w:val="00DE3EBB"/>
    <w:rsid w:val="00DF3F7F"/>
    <w:rsid w:val="00E327B0"/>
    <w:rsid w:val="00E80831"/>
    <w:rsid w:val="00E85D68"/>
    <w:rsid w:val="00E879C6"/>
    <w:rsid w:val="00E970A9"/>
    <w:rsid w:val="00EA26B1"/>
    <w:rsid w:val="00ED5EB2"/>
    <w:rsid w:val="00EF1B09"/>
    <w:rsid w:val="00EF7736"/>
    <w:rsid w:val="00F211DC"/>
    <w:rsid w:val="00F54E47"/>
    <w:rsid w:val="00F55CC7"/>
    <w:rsid w:val="00F86FEF"/>
    <w:rsid w:val="00F93E52"/>
    <w:rsid w:val="00F94890"/>
    <w:rsid w:val="00FB3D7C"/>
    <w:rsid w:val="00FF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3AA4"/>
  <w15:chartTrackingRefBased/>
  <w15:docId w15:val="{038C749E-2D59-4A8F-B306-42C38C7B3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11DAC"/>
    <w:pPr>
      <w:spacing w:after="120" w:line="276" w:lineRule="auto"/>
    </w:pPr>
    <w:rPr>
      <w:rFonts w:ascii="Times New Roman" w:eastAsia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1,Odsek zoznamu2,tabulky,Conclusion de partie,Numbered Para 1,Dot pt,No Spacing1,List Paragraph Char Char Char,Indicator Text,Bullet 1,List Paragraph1,Bullet Points,MAIN CONTENT,List Paragraph12,F5 List Paragraph,Na"/>
    <w:basedOn w:val="Normlny"/>
    <w:link w:val="OdsekzoznamuChar"/>
    <w:uiPriority w:val="34"/>
    <w:qFormat/>
    <w:rsid w:val="00A11DAC"/>
    <w:pPr>
      <w:ind w:left="720"/>
      <w:contextualSpacing/>
    </w:pPr>
  </w:style>
  <w:style w:type="character" w:customStyle="1" w:styleId="OdsekzoznamuChar">
    <w:name w:val="Odsek zoznamu Char"/>
    <w:aliases w:val="body Char,Odsek Char,Odsek zoznamu1 Char,Odsek zoznamu2 Char,tabulky Char,Conclusion de partie Char,Numbered Para 1 Char,Dot pt Char,No Spacing1 Char,List Paragraph Char Char Char Char,Indicator Text Char,Bullet 1 Char,Na Char"/>
    <w:basedOn w:val="Predvolenpsmoodseku"/>
    <w:link w:val="Odsekzoznamu"/>
    <w:uiPriority w:val="34"/>
    <w:qFormat/>
    <w:locked/>
    <w:rsid w:val="00820DF8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basedOn w:val="Normlny"/>
    <w:uiPriority w:val="1"/>
    <w:qFormat/>
    <w:rsid w:val="00B17964"/>
    <w:pPr>
      <w:spacing w:after="0" w:line="240" w:lineRule="auto"/>
    </w:pPr>
    <w:rPr>
      <w:rFonts w:eastAsiaTheme="minorHAnsi"/>
      <w:szCs w:val="24"/>
      <w:lang w:eastAsia="sk-SK"/>
    </w:rPr>
  </w:style>
  <w:style w:type="character" w:customStyle="1" w:styleId="awspan">
    <w:name w:val="awspan"/>
    <w:basedOn w:val="Predvolenpsmoodseku"/>
    <w:rsid w:val="003D7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27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1556</Words>
  <Characters>8870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10406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Mazuráková, Vladislava</dc:creator>
  <cp:keywords/>
  <dc:description/>
  <cp:lastModifiedBy>Pirčová Zuzana, Mgr.</cp:lastModifiedBy>
  <cp:revision>41</cp:revision>
  <dcterms:created xsi:type="dcterms:W3CDTF">2024-11-21T13:50:00Z</dcterms:created>
  <dcterms:modified xsi:type="dcterms:W3CDTF">2026-05-27T12:43:00Z</dcterms:modified>
</cp:coreProperties>
</file>