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7758882" w:displacedByCustomXml="next"/>
    <w:sdt>
      <w:sdtPr>
        <w:rPr>
          <w:rFonts w:eastAsiaTheme="minorHAnsi" w:cstheme="minorBidi"/>
          <w:b w:val="0"/>
          <w:color w:val="auto"/>
          <w:sz w:val="22"/>
          <w:szCs w:val="22"/>
        </w:rPr>
        <w:id w:val="1871636600"/>
        <w:docPartObj>
          <w:docPartGallery w:val="Table of Contents"/>
          <w:docPartUnique/>
        </w:docPartObj>
      </w:sdtPr>
      <w:sdtEndPr>
        <w:rPr>
          <w:bCs/>
          <w:sz w:val="24"/>
        </w:rPr>
      </w:sdtEndPr>
      <w:sdtContent>
        <w:p w14:paraId="6B310174" w14:textId="70819F40" w:rsidR="006421D5" w:rsidRPr="006421D5" w:rsidRDefault="006421D5" w:rsidP="008B1431">
          <w:pPr>
            <w:pStyle w:val="Hlavikaobsahu1"/>
          </w:pPr>
          <w:r w:rsidRPr="006421D5">
            <w:t>Obsah</w:t>
          </w:r>
          <w:bookmarkEnd w:id="0"/>
        </w:p>
        <w:p w14:paraId="68DC4BA5" w14:textId="2B766403" w:rsidR="00A972FB" w:rsidRDefault="006421D5">
          <w:pPr>
            <w:pStyle w:val="Obsah1"/>
            <w:rPr>
              <w:rFonts w:asciiTheme="minorHAnsi" w:eastAsiaTheme="minorEastAsia" w:hAnsiTheme="minorHAnsi"/>
              <w:b w:val="0"/>
              <w:bCs w:val="0"/>
              <w:kern w:val="2"/>
              <w:szCs w:val="24"/>
              <w:lang w:eastAsia="sk-SK"/>
              <w14:ligatures w14:val="standardContextual"/>
            </w:rPr>
          </w:pPr>
          <w:r>
            <w:fldChar w:fldCharType="begin"/>
          </w:r>
          <w:r>
            <w:instrText xml:space="preserve"> TOC \o "1-3" \h \z \u </w:instrText>
          </w:r>
          <w:r>
            <w:fldChar w:fldCharType="separate"/>
          </w:r>
          <w:hyperlink w:anchor="_Toc227758882" w:history="1">
            <w:r w:rsidR="00A972FB" w:rsidRPr="0038090B">
              <w:rPr>
                <w:rStyle w:val="Hypertextovprepojenie"/>
              </w:rPr>
              <w:t>Obsah</w:t>
            </w:r>
            <w:r w:rsidR="00A972FB">
              <w:rPr>
                <w:webHidden/>
              </w:rPr>
              <w:tab/>
            </w:r>
            <w:r w:rsidR="00A972FB">
              <w:rPr>
                <w:webHidden/>
              </w:rPr>
              <w:fldChar w:fldCharType="begin"/>
            </w:r>
            <w:r w:rsidR="00A972FB">
              <w:rPr>
                <w:webHidden/>
              </w:rPr>
              <w:instrText xml:space="preserve"> PAGEREF _Toc227758882 \h </w:instrText>
            </w:r>
            <w:r w:rsidR="00A972FB">
              <w:rPr>
                <w:webHidden/>
              </w:rPr>
            </w:r>
            <w:r w:rsidR="00A972FB">
              <w:rPr>
                <w:webHidden/>
              </w:rPr>
              <w:fldChar w:fldCharType="separate"/>
            </w:r>
            <w:r w:rsidR="00865B7D">
              <w:rPr>
                <w:webHidden/>
              </w:rPr>
              <w:t>1</w:t>
            </w:r>
            <w:r w:rsidR="00A972FB">
              <w:rPr>
                <w:webHidden/>
              </w:rPr>
              <w:fldChar w:fldCharType="end"/>
            </w:r>
          </w:hyperlink>
        </w:p>
        <w:p w14:paraId="664EE789" w14:textId="6EF9F835" w:rsidR="00A972FB" w:rsidRDefault="00A972FB">
          <w:pPr>
            <w:pStyle w:val="Obsah1"/>
            <w:rPr>
              <w:rFonts w:asciiTheme="minorHAnsi" w:eastAsiaTheme="minorEastAsia" w:hAnsiTheme="minorHAnsi"/>
              <w:b w:val="0"/>
              <w:bCs w:val="0"/>
              <w:kern w:val="2"/>
              <w:szCs w:val="24"/>
              <w:lang w:eastAsia="sk-SK"/>
              <w14:ligatures w14:val="standardContextual"/>
            </w:rPr>
          </w:pPr>
          <w:hyperlink w:anchor="_Toc227758883" w:history="1">
            <w:r w:rsidRPr="0038090B">
              <w:rPr>
                <w:rStyle w:val="Hypertextovprepojenie"/>
              </w:rPr>
              <w:t>Zoznam tabuliek</w:t>
            </w:r>
            <w:r>
              <w:rPr>
                <w:webHidden/>
              </w:rPr>
              <w:tab/>
            </w:r>
            <w:r>
              <w:rPr>
                <w:webHidden/>
              </w:rPr>
              <w:fldChar w:fldCharType="begin"/>
            </w:r>
            <w:r>
              <w:rPr>
                <w:webHidden/>
              </w:rPr>
              <w:instrText xml:space="preserve"> PAGEREF _Toc227758883 \h </w:instrText>
            </w:r>
            <w:r>
              <w:rPr>
                <w:webHidden/>
              </w:rPr>
            </w:r>
            <w:r>
              <w:rPr>
                <w:webHidden/>
              </w:rPr>
              <w:fldChar w:fldCharType="separate"/>
            </w:r>
            <w:r w:rsidR="00865B7D">
              <w:rPr>
                <w:webHidden/>
              </w:rPr>
              <w:t>2</w:t>
            </w:r>
            <w:r>
              <w:rPr>
                <w:webHidden/>
              </w:rPr>
              <w:fldChar w:fldCharType="end"/>
            </w:r>
          </w:hyperlink>
        </w:p>
        <w:p w14:paraId="7C155080" w14:textId="06E327BB" w:rsidR="00A972FB" w:rsidRDefault="00A972FB">
          <w:pPr>
            <w:pStyle w:val="Obsah1"/>
            <w:rPr>
              <w:rFonts w:asciiTheme="minorHAnsi" w:eastAsiaTheme="minorEastAsia" w:hAnsiTheme="minorHAnsi"/>
              <w:b w:val="0"/>
              <w:bCs w:val="0"/>
              <w:kern w:val="2"/>
              <w:szCs w:val="24"/>
              <w:lang w:eastAsia="sk-SK"/>
              <w14:ligatures w14:val="standardContextual"/>
            </w:rPr>
          </w:pPr>
          <w:hyperlink w:anchor="_Toc227758884" w:history="1">
            <w:r w:rsidRPr="0038090B">
              <w:rPr>
                <w:rStyle w:val="Hypertextovprepojenie"/>
              </w:rPr>
              <w:t>Zoznam grafov</w:t>
            </w:r>
            <w:r>
              <w:rPr>
                <w:webHidden/>
              </w:rPr>
              <w:tab/>
            </w:r>
            <w:r>
              <w:rPr>
                <w:webHidden/>
              </w:rPr>
              <w:fldChar w:fldCharType="begin"/>
            </w:r>
            <w:r>
              <w:rPr>
                <w:webHidden/>
              </w:rPr>
              <w:instrText xml:space="preserve"> PAGEREF _Toc227758884 \h </w:instrText>
            </w:r>
            <w:r>
              <w:rPr>
                <w:webHidden/>
              </w:rPr>
            </w:r>
            <w:r>
              <w:rPr>
                <w:webHidden/>
              </w:rPr>
              <w:fldChar w:fldCharType="separate"/>
            </w:r>
            <w:r w:rsidR="00865B7D">
              <w:rPr>
                <w:webHidden/>
              </w:rPr>
              <w:t>2</w:t>
            </w:r>
            <w:r>
              <w:rPr>
                <w:webHidden/>
              </w:rPr>
              <w:fldChar w:fldCharType="end"/>
            </w:r>
          </w:hyperlink>
        </w:p>
        <w:p w14:paraId="58BE479E" w14:textId="3D834902" w:rsidR="00A972FB" w:rsidRDefault="00A972FB">
          <w:pPr>
            <w:pStyle w:val="Obsah1"/>
            <w:rPr>
              <w:rFonts w:asciiTheme="minorHAnsi" w:eastAsiaTheme="minorEastAsia" w:hAnsiTheme="minorHAnsi"/>
              <w:b w:val="0"/>
              <w:bCs w:val="0"/>
              <w:kern w:val="2"/>
              <w:szCs w:val="24"/>
              <w:lang w:eastAsia="sk-SK"/>
              <w14:ligatures w14:val="standardContextual"/>
            </w:rPr>
          </w:pPr>
          <w:hyperlink w:anchor="_Toc227758885" w:history="1">
            <w:r w:rsidRPr="0038090B">
              <w:rPr>
                <w:rStyle w:val="Hypertextovprepojenie"/>
              </w:rPr>
              <w:t>Zhrnutie</w:t>
            </w:r>
            <w:r>
              <w:rPr>
                <w:webHidden/>
              </w:rPr>
              <w:tab/>
            </w:r>
            <w:r>
              <w:rPr>
                <w:webHidden/>
              </w:rPr>
              <w:fldChar w:fldCharType="begin"/>
            </w:r>
            <w:r>
              <w:rPr>
                <w:webHidden/>
              </w:rPr>
              <w:instrText xml:space="preserve"> PAGEREF _Toc227758885 \h </w:instrText>
            </w:r>
            <w:r>
              <w:rPr>
                <w:webHidden/>
              </w:rPr>
            </w:r>
            <w:r>
              <w:rPr>
                <w:webHidden/>
              </w:rPr>
              <w:fldChar w:fldCharType="separate"/>
            </w:r>
            <w:r w:rsidR="00865B7D">
              <w:rPr>
                <w:webHidden/>
              </w:rPr>
              <w:t>3</w:t>
            </w:r>
            <w:r>
              <w:rPr>
                <w:webHidden/>
              </w:rPr>
              <w:fldChar w:fldCharType="end"/>
            </w:r>
          </w:hyperlink>
        </w:p>
        <w:p w14:paraId="16CE61D3" w14:textId="0638A059" w:rsidR="00A972FB" w:rsidRDefault="00A972FB">
          <w:pPr>
            <w:pStyle w:val="Obsah1"/>
            <w:rPr>
              <w:rFonts w:asciiTheme="minorHAnsi" w:eastAsiaTheme="minorEastAsia" w:hAnsiTheme="minorHAnsi"/>
              <w:b w:val="0"/>
              <w:bCs w:val="0"/>
              <w:kern w:val="2"/>
              <w:szCs w:val="24"/>
              <w:lang w:eastAsia="sk-SK"/>
              <w14:ligatures w14:val="standardContextual"/>
            </w:rPr>
          </w:pPr>
          <w:hyperlink w:anchor="_Toc227758886" w:history="1">
            <w:r w:rsidRPr="0038090B">
              <w:rPr>
                <w:rStyle w:val="Hypertextovprepojenie"/>
              </w:rPr>
              <w:t>1</w:t>
            </w:r>
            <w:r>
              <w:rPr>
                <w:rFonts w:asciiTheme="minorHAnsi" w:eastAsiaTheme="minorEastAsia" w:hAnsiTheme="minorHAnsi"/>
                <w:b w:val="0"/>
                <w:bCs w:val="0"/>
                <w:kern w:val="2"/>
                <w:szCs w:val="24"/>
                <w:lang w:eastAsia="sk-SK"/>
                <w14:ligatures w14:val="standardContextual"/>
              </w:rPr>
              <w:tab/>
            </w:r>
            <w:r w:rsidRPr="0038090B">
              <w:rPr>
                <w:rStyle w:val="Hypertextovprepojenie"/>
              </w:rPr>
              <w:t>Ekonomický rámec rozpočtového hospodárenia Slovenskej republiky</w:t>
            </w:r>
            <w:r>
              <w:rPr>
                <w:webHidden/>
              </w:rPr>
              <w:tab/>
            </w:r>
            <w:r>
              <w:rPr>
                <w:webHidden/>
              </w:rPr>
              <w:fldChar w:fldCharType="begin"/>
            </w:r>
            <w:r>
              <w:rPr>
                <w:webHidden/>
              </w:rPr>
              <w:instrText xml:space="preserve"> PAGEREF _Toc227758886 \h </w:instrText>
            </w:r>
            <w:r>
              <w:rPr>
                <w:webHidden/>
              </w:rPr>
            </w:r>
            <w:r>
              <w:rPr>
                <w:webHidden/>
              </w:rPr>
              <w:fldChar w:fldCharType="separate"/>
            </w:r>
            <w:r w:rsidR="00865B7D">
              <w:rPr>
                <w:webHidden/>
              </w:rPr>
              <w:t>4</w:t>
            </w:r>
            <w:r>
              <w:rPr>
                <w:webHidden/>
              </w:rPr>
              <w:fldChar w:fldCharType="end"/>
            </w:r>
          </w:hyperlink>
        </w:p>
        <w:p w14:paraId="068BA4F0" w14:textId="1301E02F"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887" w:history="1">
            <w:r w:rsidRPr="0038090B">
              <w:rPr>
                <w:rStyle w:val="Hypertextovprepojenie"/>
              </w:rPr>
              <w:t>1.1</w:t>
            </w:r>
            <w:r>
              <w:rPr>
                <w:rFonts w:asciiTheme="minorHAnsi" w:eastAsiaTheme="minorEastAsia" w:hAnsiTheme="minorHAnsi"/>
                <w:b w:val="0"/>
                <w:bCs w:val="0"/>
                <w:kern w:val="2"/>
                <w:szCs w:val="24"/>
                <w:lang w:eastAsia="sk-SK"/>
                <w14:ligatures w14:val="standardContextual"/>
              </w:rPr>
              <w:tab/>
            </w:r>
            <w:r w:rsidRPr="0038090B">
              <w:rPr>
                <w:rStyle w:val="Hypertextovprepojenie"/>
              </w:rPr>
              <w:t>Vonkajšie ekonomické prostredie</w:t>
            </w:r>
            <w:r>
              <w:rPr>
                <w:webHidden/>
              </w:rPr>
              <w:tab/>
            </w:r>
            <w:r>
              <w:rPr>
                <w:webHidden/>
              </w:rPr>
              <w:fldChar w:fldCharType="begin"/>
            </w:r>
            <w:r>
              <w:rPr>
                <w:webHidden/>
              </w:rPr>
              <w:instrText xml:space="preserve"> PAGEREF _Toc227758887 \h </w:instrText>
            </w:r>
            <w:r>
              <w:rPr>
                <w:webHidden/>
              </w:rPr>
            </w:r>
            <w:r>
              <w:rPr>
                <w:webHidden/>
              </w:rPr>
              <w:fldChar w:fldCharType="separate"/>
            </w:r>
            <w:r w:rsidR="00865B7D">
              <w:rPr>
                <w:webHidden/>
              </w:rPr>
              <w:t>4</w:t>
            </w:r>
            <w:r>
              <w:rPr>
                <w:webHidden/>
              </w:rPr>
              <w:fldChar w:fldCharType="end"/>
            </w:r>
          </w:hyperlink>
        </w:p>
        <w:p w14:paraId="36433107" w14:textId="0E76407D"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888" w:history="1">
            <w:r w:rsidRPr="0038090B">
              <w:rPr>
                <w:rStyle w:val="Hypertextovprepojenie"/>
              </w:rPr>
              <w:t>1.2</w:t>
            </w:r>
            <w:r>
              <w:rPr>
                <w:rFonts w:asciiTheme="minorHAnsi" w:eastAsiaTheme="minorEastAsia" w:hAnsiTheme="minorHAnsi"/>
                <w:b w:val="0"/>
                <w:bCs w:val="0"/>
                <w:kern w:val="2"/>
                <w:szCs w:val="24"/>
                <w:lang w:eastAsia="sk-SK"/>
                <w14:ligatures w14:val="standardContextual"/>
              </w:rPr>
              <w:tab/>
            </w:r>
            <w:r w:rsidRPr="0038090B">
              <w:rPr>
                <w:rStyle w:val="Hypertextovprepojenie"/>
              </w:rPr>
              <w:t>Makroekonomický vývoj SR</w:t>
            </w:r>
            <w:r>
              <w:rPr>
                <w:webHidden/>
              </w:rPr>
              <w:tab/>
            </w:r>
            <w:r>
              <w:rPr>
                <w:webHidden/>
              </w:rPr>
              <w:fldChar w:fldCharType="begin"/>
            </w:r>
            <w:r>
              <w:rPr>
                <w:webHidden/>
              </w:rPr>
              <w:instrText xml:space="preserve"> PAGEREF _Toc227758888 \h </w:instrText>
            </w:r>
            <w:r>
              <w:rPr>
                <w:webHidden/>
              </w:rPr>
            </w:r>
            <w:r>
              <w:rPr>
                <w:webHidden/>
              </w:rPr>
              <w:fldChar w:fldCharType="separate"/>
            </w:r>
            <w:r w:rsidR="00865B7D">
              <w:rPr>
                <w:webHidden/>
              </w:rPr>
              <w:t>5</w:t>
            </w:r>
            <w:r>
              <w:rPr>
                <w:webHidden/>
              </w:rPr>
              <w:fldChar w:fldCharType="end"/>
            </w:r>
          </w:hyperlink>
        </w:p>
        <w:p w14:paraId="4ABCA8F7" w14:textId="739D2822"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889" w:history="1">
            <w:r w:rsidRPr="0038090B">
              <w:rPr>
                <w:rStyle w:val="Hypertextovprepojenie"/>
              </w:rPr>
              <w:t>1.2.1</w:t>
            </w:r>
            <w:r>
              <w:rPr>
                <w:rFonts w:asciiTheme="minorHAnsi" w:eastAsiaTheme="minorEastAsia" w:hAnsiTheme="minorHAnsi" w:cstheme="minorBidi"/>
                <w:kern w:val="2"/>
                <w:szCs w:val="24"/>
                <w:lang w:eastAsia="sk-SK"/>
                <w14:ligatures w14:val="standardContextual"/>
              </w:rPr>
              <w:tab/>
            </w:r>
            <w:r w:rsidRPr="0038090B">
              <w:rPr>
                <w:rStyle w:val="Hypertextovprepojenie"/>
              </w:rPr>
              <w:t>Hrubý domáci produkt</w:t>
            </w:r>
            <w:r>
              <w:rPr>
                <w:webHidden/>
              </w:rPr>
              <w:tab/>
            </w:r>
            <w:r>
              <w:rPr>
                <w:webHidden/>
              </w:rPr>
              <w:fldChar w:fldCharType="begin"/>
            </w:r>
            <w:r>
              <w:rPr>
                <w:webHidden/>
              </w:rPr>
              <w:instrText xml:space="preserve"> PAGEREF _Toc227758889 \h </w:instrText>
            </w:r>
            <w:r>
              <w:rPr>
                <w:webHidden/>
              </w:rPr>
            </w:r>
            <w:r>
              <w:rPr>
                <w:webHidden/>
              </w:rPr>
              <w:fldChar w:fldCharType="separate"/>
            </w:r>
            <w:r w:rsidR="00865B7D">
              <w:rPr>
                <w:webHidden/>
              </w:rPr>
              <w:t>5</w:t>
            </w:r>
            <w:r>
              <w:rPr>
                <w:webHidden/>
              </w:rPr>
              <w:fldChar w:fldCharType="end"/>
            </w:r>
          </w:hyperlink>
        </w:p>
        <w:p w14:paraId="42AAFA40" w14:textId="7546E917"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890" w:history="1">
            <w:r w:rsidRPr="0038090B">
              <w:rPr>
                <w:rStyle w:val="Hypertextovprepojenie"/>
              </w:rPr>
              <w:t>1.2.2</w:t>
            </w:r>
            <w:r>
              <w:rPr>
                <w:rFonts w:asciiTheme="minorHAnsi" w:eastAsiaTheme="minorEastAsia" w:hAnsiTheme="minorHAnsi" w:cstheme="minorBidi"/>
                <w:kern w:val="2"/>
                <w:szCs w:val="24"/>
                <w:lang w:eastAsia="sk-SK"/>
                <w14:ligatures w14:val="standardContextual"/>
              </w:rPr>
              <w:tab/>
            </w:r>
            <w:r w:rsidRPr="0038090B">
              <w:rPr>
                <w:rStyle w:val="Hypertextovprepojenie"/>
              </w:rPr>
              <w:t>Trh práce</w:t>
            </w:r>
            <w:r>
              <w:rPr>
                <w:webHidden/>
              </w:rPr>
              <w:tab/>
            </w:r>
            <w:r>
              <w:rPr>
                <w:webHidden/>
              </w:rPr>
              <w:fldChar w:fldCharType="begin"/>
            </w:r>
            <w:r>
              <w:rPr>
                <w:webHidden/>
              </w:rPr>
              <w:instrText xml:space="preserve"> PAGEREF _Toc227758890 \h </w:instrText>
            </w:r>
            <w:r>
              <w:rPr>
                <w:webHidden/>
              </w:rPr>
            </w:r>
            <w:r>
              <w:rPr>
                <w:webHidden/>
              </w:rPr>
              <w:fldChar w:fldCharType="separate"/>
            </w:r>
            <w:r w:rsidR="00865B7D">
              <w:rPr>
                <w:webHidden/>
              </w:rPr>
              <w:t>6</w:t>
            </w:r>
            <w:r>
              <w:rPr>
                <w:webHidden/>
              </w:rPr>
              <w:fldChar w:fldCharType="end"/>
            </w:r>
          </w:hyperlink>
        </w:p>
        <w:p w14:paraId="344F4005" w14:textId="1022E1D9"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891" w:history="1">
            <w:r w:rsidRPr="0038090B">
              <w:rPr>
                <w:rStyle w:val="Hypertextovprepojenie"/>
              </w:rPr>
              <w:t>1.2.3</w:t>
            </w:r>
            <w:r>
              <w:rPr>
                <w:rFonts w:asciiTheme="minorHAnsi" w:eastAsiaTheme="minorEastAsia" w:hAnsiTheme="minorHAnsi" w:cstheme="minorBidi"/>
                <w:kern w:val="2"/>
                <w:szCs w:val="24"/>
                <w:lang w:eastAsia="sk-SK"/>
                <w14:ligatures w14:val="standardContextual"/>
              </w:rPr>
              <w:tab/>
            </w:r>
            <w:r w:rsidRPr="0038090B">
              <w:rPr>
                <w:rStyle w:val="Hypertextovprepojenie"/>
              </w:rPr>
              <w:t>Cenový vývoj</w:t>
            </w:r>
            <w:r>
              <w:rPr>
                <w:webHidden/>
              </w:rPr>
              <w:tab/>
            </w:r>
            <w:r>
              <w:rPr>
                <w:webHidden/>
              </w:rPr>
              <w:fldChar w:fldCharType="begin"/>
            </w:r>
            <w:r>
              <w:rPr>
                <w:webHidden/>
              </w:rPr>
              <w:instrText xml:space="preserve"> PAGEREF _Toc227758891 \h </w:instrText>
            </w:r>
            <w:r>
              <w:rPr>
                <w:webHidden/>
              </w:rPr>
            </w:r>
            <w:r>
              <w:rPr>
                <w:webHidden/>
              </w:rPr>
              <w:fldChar w:fldCharType="separate"/>
            </w:r>
            <w:r w:rsidR="00865B7D">
              <w:rPr>
                <w:webHidden/>
              </w:rPr>
              <w:t>6</w:t>
            </w:r>
            <w:r>
              <w:rPr>
                <w:webHidden/>
              </w:rPr>
              <w:fldChar w:fldCharType="end"/>
            </w:r>
          </w:hyperlink>
        </w:p>
        <w:p w14:paraId="5F57C054" w14:textId="2F24E5E8"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892" w:history="1">
            <w:r w:rsidRPr="0038090B">
              <w:rPr>
                <w:rStyle w:val="Hypertextovprepojenie"/>
              </w:rPr>
              <w:t>1.2.4</w:t>
            </w:r>
            <w:r>
              <w:rPr>
                <w:rFonts w:asciiTheme="minorHAnsi" w:eastAsiaTheme="minorEastAsia" w:hAnsiTheme="minorHAnsi" w:cstheme="minorBidi"/>
                <w:kern w:val="2"/>
                <w:szCs w:val="24"/>
                <w:lang w:eastAsia="sk-SK"/>
                <w14:ligatures w14:val="standardContextual"/>
              </w:rPr>
              <w:tab/>
            </w:r>
            <w:r w:rsidRPr="0038090B">
              <w:rPr>
                <w:rStyle w:val="Hypertextovprepojenie"/>
              </w:rPr>
              <w:t>Platobná bilancia</w:t>
            </w:r>
            <w:r>
              <w:rPr>
                <w:webHidden/>
              </w:rPr>
              <w:tab/>
            </w:r>
            <w:r>
              <w:rPr>
                <w:webHidden/>
              </w:rPr>
              <w:fldChar w:fldCharType="begin"/>
            </w:r>
            <w:r>
              <w:rPr>
                <w:webHidden/>
              </w:rPr>
              <w:instrText xml:space="preserve"> PAGEREF _Toc227758892 \h </w:instrText>
            </w:r>
            <w:r>
              <w:rPr>
                <w:webHidden/>
              </w:rPr>
            </w:r>
            <w:r>
              <w:rPr>
                <w:webHidden/>
              </w:rPr>
              <w:fldChar w:fldCharType="separate"/>
            </w:r>
            <w:r w:rsidR="00865B7D">
              <w:rPr>
                <w:webHidden/>
              </w:rPr>
              <w:t>7</w:t>
            </w:r>
            <w:r>
              <w:rPr>
                <w:webHidden/>
              </w:rPr>
              <w:fldChar w:fldCharType="end"/>
            </w:r>
          </w:hyperlink>
        </w:p>
        <w:p w14:paraId="447A3F6A" w14:textId="46246FBD"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893" w:history="1">
            <w:r w:rsidRPr="0038090B">
              <w:rPr>
                <w:rStyle w:val="Hypertextovprepojenie"/>
              </w:rPr>
              <w:t>1.2.5</w:t>
            </w:r>
            <w:r>
              <w:rPr>
                <w:rFonts w:asciiTheme="minorHAnsi" w:eastAsiaTheme="minorEastAsia" w:hAnsiTheme="minorHAnsi" w:cstheme="minorBidi"/>
                <w:kern w:val="2"/>
                <w:szCs w:val="24"/>
                <w:lang w:eastAsia="sk-SK"/>
                <w14:ligatures w14:val="standardContextual"/>
              </w:rPr>
              <w:tab/>
            </w:r>
            <w:r w:rsidRPr="0038090B">
              <w:rPr>
                <w:rStyle w:val="Hypertextovprepojenie"/>
              </w:rPr>
              <w:t>Porovnanie makroekonomických predpokladov rozpočtu a skutočnosti</w:t>
            </w:r>
            <w:r>
              <w:rPr>
                <w:webHidden/>
              </w:rPr>
              <w:tab/>
            </w:r>
            <w:r>
              <w:rPr>
                <w:webHidden/>
              </w:rPr>
              <w:fldChar w:fldCharType="begin"/>
            </w:r>
            <w:r>
              <w:rPr>
                <w:webHidden/>
              </w:rPr>
              <w:instrText xml:space="preserve"> PAGEREF _Toc227758893 \h </w:instrText>
            </w:r>
            <w:r>
              <w:rPr>
                <w:webHidden/>
              </w:rPr>
            </w:r>
            <w:r>
              <w:rPr>
                <w:webHidden/>
              </w:rPr>
              <w:fldChar w:fldCharType="separate"/>
            </w:r>
            <w:r w:rsidR="00865B7D">
              <w:rPr>
                <w:webHidden/>
              </w:rPr>
              <w:t>7</w:t>
            </w:r>
            <w:r>
              <w:rPr>
                <w:webHidden/>
              </w:rPr>
              <w:fldChar w:fldCharType="end"/>
            </w:r>
          </w:hyperlink>
        </w:p>
        <w:p w14:paraId="20DFAABD" w14:textId="6B682EE3" w:rsidR="00A972FB" w:rsidRDefault="00A972FB">
          <w:pPr>
            <w:pStyle w:val="Obsah1"/>
            <w:rPr>
              <w:rFonts w:asciiTheme="minorHAnsi" w:eastAsiaTheme="minorEastAsia" w:hAnsiTheme="minorHAnsi"/>
              <w:b w:val="0"/>
              <w:bCs w:val="0"/>
              <w:kern w:val="2"/>
              <w:szCs w:val="24"/>
              <w:lang w:eastAsia="sk-SK"/>
              <w14:ligatures w14:val="standardContextual"/>
            </w:rPr>
          </w:pPr>
          <w:hyperlink w:anchor="_Toc227758894" w:history="1">
            <w:r w:rsidRPr="0038090B">
              <w:rPr>
                <w:rStyle w:val="Hypertextovprepojenie"/>
              </w:rPr>
              <w:t>2</w:t>
            </w:r>
            <w:r>
              <w:rPr>
                <w:rFonts w:asciiTheme="minorHAnsi" w:eastAsiaTheme="minorEastAsia" w:hAnsiTheme="minorHAnsi"/>
                <w:b w:val="0"/>
                <w:bCs w:val="0"/>
                <w:kern w:val="2"/>
                <w:szCs w:val="24"/>
                <w:lang w:eastAsia="sk-SK"/>
                <w14:ligatures w14:val="standardContextual"/>
              </w:rPr>
              <w:tab/>
            </w:r>
            <w:r w:rsidRPr="0038090B">
              <w:rPr>
                <w:rStyle w:val="Hypertextovprepojenie"/>
              </w:rPr>
              <w:t>Hospodárenie verejnej správy v metodike ESA 2010</w:t>
            </w:r>
            <w:r>
              <w:rPr>
                <w:webHidden/>
              </w:rPr>
              <w:tab/>
            </w:r>
            <w:r>
              <w:rPr>
                <w:webHidden/>
              </w:rPr>
              <w:fldChar w:fldCharType="begin"/>
            </w:r>
            <w:r>
              <w:rPr>
                <w:webHidden/>
              </w:rPr>
              <w:instrText xml:space="preserve"> PAGEREF _Toc227758894 \h </w:instrText>
            </w:r>
            <w:r>
              <w:rPr>
                <w:webHidden/>
              </w:rPr>
            </w:r>
            <w:r>
              <w:rPr>
                <w:webHidden/>
              </w:rPr>
              <w:fldChar w:fldCharType="separate"/>
            </w:r>
            <w:r w:rsidR="00865B7D">
              <w:rPr>
                <w:webHidden/>
              </w:rPr>
              <w:t>9</w:t>
            </w:r>
            <w:r>
              <w:rPr>
                <w:webHidden/>
              </w:rPr>
              <w:fldChar w:fldCharType="end"/>
            </w:r>
          </w:hyperlink>
        </w:p>
        <w:p w14:paraId="3FA5D759" w14:textId="05BE2054"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895" w:history="1">
            <w:r w:rsidRPr="0038090B">
              <w:rPr>
                <w:rStyle w:val="Hypertextovprepojenie"/>
              </w:rPr>
              <w:t>2.1</w:t>
            </w:r>
            <w:r>
              <w:rPr>
                <w:rFonts w:asciiTheme="minorHAnsi" w:eastAsiaTheme="minorEastAsia" w:hAnsiTheme="minorHAnsi"/>
                <w:b w:val="0"/>
                <w:bCs w:val="0"/>
                <w:kern w:val="2"/>
                <w:szCs w:val="24"/>
                <w:lang w:eastAsia="sk-SK"/>
                <w14:ligatures w14:val="standardContextual"/>
              </w:rPr>
              <w:tab/>
            </w:r>
            <w:r w:rsidRPr="0038090B">
              <w:rPr>
                <w:rStyle w:val="Hypertextovprepojenie"/>
              </w:rPr>
              <w:t>Zámery, ciele a opatrenia rozpočtovej politiky v roku 2025</w:t>
            </w:r>
            <w:r>
              <w:rPr>
                <w:webHidden/>
              </w:rPr>
              <w:tab/>
            </w:r>
            <w:r>
              <w:rPr>
                <w:webHidden/>
              </w:rPr>
              <w:fldChar w:fldCharType="begin"/>
            </w:r>
            <w:r>
              <w:rPr>
                <w:webHidden/>
              </w:rPr>
              <w:instrText xml:space="preserve"> PAGEREF _Toc227758895 \h </w:instrText>
            </w:r>
            <w:r>
              <w:rPr>
                <w:webHidden/>
              </w:rPr>
            </w:r>
            <w:r>
              <w:rPr>
                <w:webHidden/>
              </w:rPr>
              <w:fldChar w:fldCharType="separate"/>
            </w:r>
            <w:r w:rsidR="00865B7D">
              <w:rPr>
                <w:webHidden/>
              </w:rPr>
              <w:t>9</w:t>
            </w:r>
            <w:r>
              <w:rPr>
                <w:webHidden/>
              </w:rPr>
              <w:fldChar w:fldCharType="end"/>
            </w:r>
          </w:hyperlink>
        </w:p>
        <w:p w14:paraId="58433E22" w14:textId="0494A223"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896" w:history="1">
            <w:r w:rsidRPr="0038090B">
              <w:rPr>
                <w:rStyle w:val="Hypertextovprepojenie"/>
              </w:rPr>
              <w:t>2.2</w:t>
            </w:r>
            <w:r>
              <w:rPr>
                <w:rFonts w:asciiTheme="minorHAnsi" w:eastAsiaTheme="minorEastAsia" w:hAnsiTheme="minorHAnsi"/>
                <w:b w:val="0"/>
                <w:bCs w:val="0"/>
                <w:kern w:val="2"/>
                <w:szCs w:val="24"/>
                <w:lang w:eastAsia="sk-SK"/>
                <w14:ligatures w14:val="standardContextual"/>
              </w:rPr>
              <w:tab/>
            </w:r>
            <w:r w:rsidRPr="0038090B">
              <w:rPr>
                <w:rStyle w:val="Hypertextovprepojenie"/>
              </w:rPr>
              <w:t>Saldo verejnej správy</w:t>
            </w:r>
            <w:r>
              <w:rPr>
                <w:webHidden/>
              </w:rPr>
              <w:tab/>
            </w:r>
            <w:r>
              <w:rPr>
                <w:webHidden/>
              </w:rPr>
              <w:fldChar w:fldCharType="begin"/>
            </w:r>
            <w:r>
              <w:rPr>
                <w:webHidden/>
              </w:rPr>
              <w:instrText xml:space="preserve"> PAGEREF _Toc227758896 \h </w:instrText>
            </w:r>
            <w:r>
              <w:rPr>
                <w:webHidden/>
              </w:rPr>
            </w:r>
            <w:r>
              <w:rPr>
                <w:webHidden/>
              </w:rPr>
              <w:fldChar w:fldCharType="separate"/>
            </w:r>
            <w:r w:rsidR="00865B7D">
              <w:rPr>
                <w:webHidden/>
              </w:rPr>
              <w:t>12</w:t>
            </w:r>
            <w:r>
              <w:rPr>
                <w:webHidden/>
              </w:rPr>
              <w:fldChar w:fldCharType="end"/>
            </w:r>
          </w:hyperlink>
        </w:p>
        <w:p w14:paraId="26B37F29" w14:textId="33B84A04"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897" w:history="1">
            <w:r w:rsidRPr="0038090B">
              <w:rPr>
                <w:rStyle w:val="Hypertextovprepojenie"/>
              </w:rPr>
              <w:t>2.3</w:t>
            </w:r>
            <w:r>
              <w:rPr>
                <w:rFonts w:asciiTheme="minorHAnsi" w:eastAsiaTheme="minorEastAsia" w:hAnsiTheme="minorHAnsi"/>
                <w:b w:val="0"/>
                <w:bCs w:val="0"/>
                <w:kern w:val="2"/>
                <w:szCs w:val="24"/>
                <w:lang w:eastAsia="sk-SK"/>
                <w14:ligatures w14:val="standardContextual"/>
              </w:rPr>
              <w:tab/>
            </w:r>
            <w:r w:rsidRPr="0038090B">
              <w:rPr>
                <w:rStyle w:val="Hypertextovprepojenie"/>
              </w:rPr>
              <w:t>Dlh verejnej správy</w:t>
            </w:r>
            <w:r>
              <w:rPr>
                <w:webHidden/>
              </w:rPr>
              <w:tab/>
            </w:r>
            <w:r>
              <w:rPr>
                <w:webHidden/>
              </w:rPr>
              <w:fldChar w:fldCharType="begin"/>
            </w:r>
            <w:r>
              <w:rPr>
                <w:webHidden/>
              </w:rPr>
              <w:instrText xml:space="preserve"> PAGEREF _Toc227758897 \h </w:instrText>
            </w:r>
            <w:r>
              <w:rPr>
                <w:webHidden/>
              </w:rPr>
            </w:r>
            <w:r>
              <w:rPr>
                <w:webHidden/>
              </w:rPr>
              <w:fldChar w:fldCharType="separate"/>
            </w:r>
            <w:r w:rsidR="00865B7D">
              <w:rPr>
                <w:webHidden/>
              </w:rPr>
              <w:t>34</w:t>
            </w:r>
            <w:r>
              <w:rPr>
                <w:webHidden/>
              </w:rPr>
              <w:fldChar w:fldCharType="end"/>
            </w:r>
          </w:hyperlink>
        </w:p>
        <w:p w14:paraId="4F221572" w14:textId="29493047"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898" w:history="1">
            <w:r w:rsidRPr="0038090B">
              <w:rPr>
                <w:rStyle w:val="Hypertextovprepojenie"/>
              </w:rPr>
              <w:t>2.3.1</w:t>
            </w:r>
            <w:r>
              <w:rPr>
                <w:rFonts w:asciiTheme="minorHAnsi" w:eastAsiaTheme="minorEastAsia" w:hAnsiTheme="minorHAnsi" w:cstheme="minorBidi"/>
                <w:kern w:val="2"/>
                <w:szCs w:val="24"/>
                <w:lang w:eastAsia="sk-SK"/>
                <w14:ligatures w14:val="standardContextual"/>
              </w:rPr>
              <w:tab/>
            </w:r>
            <w:r w:rsidRPr="0038090B">
              <w:rPr>
                <w:rStyle w:val="Hypertextovprepojenie"/>
              </w:rPr>
              <w:t>Štátny dlh</w:t>
            </w:r>
            <w:r>
              <w:rPr>
                <w:webHidden/>
              </w:rPr>
              <w:tab/>
            </w:r>
            <w:r>
              <w:rPr>
                <w:webHidden/>
              </w:rPr>
              <w:fldChar w:fldCharType="begin"/>
            </w:r>
            <w:r>
              <w:rPr>
                <w:webHidden/>
              </w:rPr>
              <w:instrText xml:space="preserve"> PAGEREF _Toc227758898 \h </w:instrText>
            </w:r>
            <w:r>
              <w:rPr>
                <w:webHidden/>
              </w:rPr>
            </w:r>
            <w:r>
              <w:rPr>
                <w:webHidden/>
              </w:rPr>
              <w:fldChar w:fldCharType="separate"/>
            </w:r>
            <w:r w:rsidR="00865B7D">
              <w:rPr>
                <w:webHidden/>
              </w:rPr>
              <w:t>37</w:t>
            </w:r>
            <w:r>
              <w:rPr>
                <w:webHidden/>
              </w:rPr>
              <w:fldChar w:fldCharType="end"/>
            </w:r>
          </w:hyperlink>
        </w:p>
        <w:p w14:paraId="699D902D" w14:textId="30512288"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899" w:history="1">
            <w:r w:rsidRPr="0038090B">
              <w:rPr>
                <w:rStyle w:val="Hypertextovprepojenie"/>
              </w:rPr>
              <w:t>2.3.2</w:t>
            </w:r>
            <w:r>
              <w:rPr>
                <w:rFonts w:asciiTheme="minorHAnsi" w:eastAsiaTheme="minorEastAsia" w:hAnsiTheme="minorHAnsi" w:cstheme="minorBidi"/>
                <w:kern w:val="2"/>
                <w:szCs w:val="24"/>
                <w:lang w:eastAsia="sk-SK"/>
                <w14:ligatures w14:val="standardContextual"/>
              </w:rPr>
              <w:tab/>
            </w:r>
            <w:r w:rsidRPr="0038090B">
              <w:rPr>
                <w:rStyle w:val="Hypertextovprepojenie"/>
              </w:rPr>
              <w:t>Maastrichtský dlh ostatných subjektov verejnej správy</w:t>
            </w:r>
            <w:r>
              <w:rPr>
                <w:webHidden/>
              </w:rPr>
              <w:tab/>
            </w:r>
            <w:r>
              <w:rPr>
                <w:webHidden/>
              </w:rPr>
              <w:fldChar w:fldCharType="begin"/>
            </w:r>
            <w:r>
              <w:rPr>
                <w:webHidden/>
              </w:rPr>
              <w:instrText xml:space="preserve"> PAGEREF _Toc227758899 \h </w:instrText>
            </w:r>
            <w:r>
              <w:rPr>
                <w:webHidden/>
              </w:rPr>
            </w:r>
            <w:r>
              <w:rPr>
                <w:webHidden/>
              </w:rPr>
              <w:fldChar w:fldCharType="separate"/>
            </w:r>
            <w:r w:rsidR="00865B7D">
              <w:rPr>
                <w:webHidden/>
              </w:rPr>
              <w:t>38</w:t>
            </w:r>
            <w:r>
              <w:rPr>
                <w:webHidden/>
              </w:rPr>
              <w:fldChar w:fldCharType="end"/>
            </w:r>
          </w:hyperlink>
        </w:p>
        <w:p w14:paraId="5CB0FF6A" w14:textId="4A0AF46E"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900" w:history="1">
            <w:r w:rsidRPr="0038090B">
              <w:rPr>
                <w:rStyle w:val="Hypertextovprepojenie"/>
              </w:rPr>
              <w:t>2.4</w:t>
            </w:r>
            <w:r>
              <w:rPr>
                <w:rFonts w:asciiTheme="minorHAnsi" w:eastAsiaTheme="minorEastAsia" w:hAnsiTheme="minorHAnsi"/>
                <w:b w:val="0"/>
                <w:bCs w:val="0"/>
                <w:kern w:val="2"/>
                <w:szCs w:val="24"/>
                <w:lang w:eastAsia="sk-SK"/>
                <w14:ligatures w14:val="standardContextual"/>
              </w:rPr>
              <w:tab/>
            </w:r>
            <w:r w:rsidRPr="0038090B">
              <w:rPr>
                <w:rStyle w:val="Hypertextovprepojenie"/>
              </w:rPr>
              <w:t>Limity verejných výdavkov</w:t>
            </w:r>
            <w:r>
              <w:rPr>
                <w:webHidden/>
              </w:rPr>
              <w:tab/>
            </w:r>
            <w:r>
              <w:rPr>
                <w:webHidden/>
              </w:rPr>
              <w:fldChar w:fldCharType="begin"/>
            </w:r>
            <w:r>
              <w:rPr>
                <w:webHidden/>
              </w:rPr>
              <w:instrText xml:space="preserve"> PAGEREF _Toc227758900 \h </w:instrText>
            </w:r>
            <w:r>
              <w:rPr>
                <w:webHidden/>
              </w:rPr>
            </w:r>
            <w:r>
              <w:rPr>
                <w:webHidden/>
              </w:rPr>
              <w:fldChar w:fldCharType="separate"/>
            </w:r>
            <w:r w:rsidR="00865B7D">
              <w:rPr>
                <w:webHidden/>
              </w:rPr>
              <w:t>42</w:t>
            </w:r>
            <w:r>
              <w:rPr>
                <w:webHidden/>
              </w:rPr>
              <w:fldChar w:fldCharType="end"/>
            </w:r>
          </w:hyperlink>
        </w:p>
        <w:p w14:paraId="0D436306" w14:textId="10FE566A"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901" w:history="1">
            <w:r w:rsidRPr="0038090B">
              <w:rPr>
                <w:rStyle w:val="Hypertextovprepojenie"/>
              </w:rPr>
              <w:t>2.5</w:t>
            </w:r>
            <w:r>
              <w:rPr>
                <w:rFonts w:asciiTheme="minorHAnsi" w:eastAsiaTheme="minorEastAsia" w:hAnsiTheme="minorHAnsi"/>
                <w:b w:val="0"/>
                <w:bCs w:val="0"/>
                <w:kern w:val="2"/>
                <w:szCs w:val="24"/>
                <w:lang w:eastAsia="sk-SK"/>
                <w14:ligatures w14:val="standardContextual"/>
              </w:rPr>
              <w:tab/>
            </w:r>
            <w:r w:rsidRPr="0038090B">
              <w:rPr>
                <w:rStyle w:val="Hypertextovprepojenie"/>
              </w:rPr>
              <w:t>Porovnanie salda a dlhu verejnej správy v Európskej únii</w:t>
            </w:r>
            <w:r>
              <w:rPr>
                <w:webHidden/>
              </w:rPr>
              <w:tab/>
            </w:r>
            <w:r>
              <w:rPr>
                <w:webHidden/>
              </w:rPr>
              <w:fldChar w:fldCharType="begin"/>
            </w:r>
            <w:r>
              <w:rPr>
                <w:webHidden/>
              </w:rPr>
              <w:instrText xml:space="preserve"> PAGEREF _Toc227758901 \h </w:instrText>
            </w:r>
            <w:r>
              <w:rPr>
                <w:webHidden/>
              </w:rPr>
            </w:r>
            <w:r>
              <w:rPr>
                <w:webHidden/>
              </w:rPr>
              <w:fldChar w:fldCharType="separate"/>
            </w:r>
            <w:r w:rsidR="00865B7D">
              <w:rPr>
                <w:webHidden/>
              </w:rPr>
              <w:t>43</w:t>
            </w:r>
            <w:r>
              <w:rPr>
                <w:webHidden/>
              </w:rPr>
              <w:fldChar w:fldCharType="end"/>
            </w:r>
          </w:hyperlink>
        </w:p>
        <w:p w14:paraId="6D3A84AA" w14:textId="78CCA5AD" w:rsidR="00A972FB" w:rsidRDefault="00A972FB">
          <w:pPr>
            <w:pStyle w:val="Obsah1"/>
            <w:rPr>
              <w:rFonts w:asciiTheme="minorHAnsi" w:eastAsiaTheme="minorEastAsia" w:hAnsiTheme="minorHAnsi"/>
              <w:b w:val="0"/>
              <w:bCs w:val="0"/>
              <w:kern w:val="2"/>
              <w:szCs w:val="24"/>
              <w:lang w:eastAsia="sk-SK"/>
              <w14:ligatures w14:val="standardContextual"/>
            </w:rPr>
          </w:pPr>
          <w:hyperlink w:anchor="_Toc227758902" w:history="1">
            <w:r w:rsidRPr="0038090B">
              <w:rPr>
                <w:rStyle w:val="Hypertextovprepojenie"/>
              </w:rPr>
              <w:t>3</w:t>
            </w:r>
            <w:r>
              <w:rPr>
                <w:rFonts w:asciiTheme="minorHAnsi" w:eastAsiaTheme="minorEastAsia" w:hAnsiTheme="minorHAnsi"/>
                <w:b w:val="0"/>
                <w:bCs w:val="0"/>
                <w:kern w:val="2"/>
                <w:szCs w:val="24"/>
                <w:lang w:eastAsia="sk-SK"/>
                <w14:ligatures w14:val="standardContextual"/>
              </w:rPr>
              <w:tab/>
            </w:r>
            <w:r w:rsidRPr="0038090B">
              <w:rPr>
                <w:rStyle w:val="Hypertextovprepojenie"/>
              </w:rPr>
              <w:t>Hospodárenie štátneho rozpočtu na hotovostnom princípe</w:t>
            </w:r>
            <w:r>
              <w:rPr>
                <w:webHidden/>
              </w:rPr>
              <w:tab/>
            </w:r>
            <w:r>
              <w:rPr>
                <w:webHidden/>
              </w:rPr>
              <w:fldChar w:fldCharType="begin"/>
            </w:r>
            <w:r>
              <w:rPr>
                <w:webHidden/>
              </w:rPr>
              <w:instrText xml:space="preserve"> PAGEREF _Toc227758902 \h </w:instrText>
            </w:r>
            <w:r>
              <w:rPr>
                <w:webHidden/>
              </w:rPr>
            </w:r>
            <w:r>
              <w:rPr>
                <w:webHidden/>
              </w:rPr>
              <w:fldChar w:fldCharType="separate"/>
            </w:r>
            <w:r w:rsidR="00865B7D">
              <w:rPr>
                <w:webHidden/>
              </w:rPr>
              <w:t>44</w:t>
            </w:r>
            <w:r>
              <w:rPr>
                <w:webHidden/>
              </w:rPr>
              <w:fldChar w:fldCharType="end"/>
            </w:r>
          </w:hyperlink>
        </w:p>
        <w:p w14:paraId="79006364" w14:textId="1D1943EC"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903" w:history="1">
            <w:r w:rsidRPr="0038090B">
              <w:rPr>
                <w:rStyle w:val="Hypertextovprepojenie"/>
              </w:rPr>
              <w:t>3.1</w:t>
            </w:r>
            <w:r>
              <w:rPr>
                <w:rFonts w:asciiTheme="minorHAnsi" w:eastAsiaTheme="minorEastAsia" w:hAnsiTheme="minorHAnsi"/>
                <w:b w:val="0"/>
                <w:bCs w:val="0"/>
                <w:kern w:val="2"/>
                <w:szCs w:val="24"/>
                <w:lang w:eastAsia="sk-SK"/>
                <w14:ligatures w14:val="standardContextual"/>
              </w:rPr>
              <w:tab/>
            </w:r>
            <w:r w:rsidRPr="0038090B">
              <w:rPr>
                <w:rStyle w:val="Hypertextovprepojenie"/>
              </w:rPr>
              <w:t>Príjmy štátneho rozpočtu</w:t>
            </w:r>
            <w:r>
              <w:rPr>
                <w:webHidden/>
              </w:rPr>
              <w:tab/>
            </w:r>
            <w:r>
              <w:rPr>
                <w:webHidden/>
              </w:rPr>
              <w:fldChar w:fldCharType="begin"/>
            </w:r>
            <w:r>
              <w:rPr>
                <w:webHidden/>
              </w:rPr>
              <w:instrText xml:space="preserve"> PAGEREF _Toc227758903 \h </w:instrText>
            </w:r>
            <w:r>
              <w:rPr>
                <w:webHidden/>
              </w:rPr>
            </w:r>
            <w:r>
              <w:rPr>
                <w:webHidden/>
              </w:rPr>
              <w:fldChar w:fldCharType="separate"/>
            </w:r>
            <w:r w:rsidR="00865B7D">
              <w:rPr>
                <w:webHidden/>
              </w:rPr>
              <w:t>47</w:t>
            </w:r>
            <w:r>
              <w:rPr>
                <w:webHidden/>
              </w:rPr>
              <w:fldChar w:fldCharType="end"/>
            </w:r>
          </w:hyperlink>
        </w:p>
        <w:p w14:paraId="1EF1FA6D" w14:textId="40C6B845"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04" w:history="1">
            <w:r w:rsidRPr="0038090B">
              <w:rPr>
                <w:rStyle w:val="Hypertextovprepojenie"/>
              </w:rPr>
              <w:t>3.1.1</w:t>
            </w:r>
            <w:r>
              <w:rPr>
                <w:rFonts w:asciiTheme="minorHAnsi" w:eastAsiaTheme="minorEastAsia" w:hAnsiTheme="minorHAnsi" w:cstheme="minorBidi"/>
                <w:kern w:val="2"/>
                <w:szCs w:val="24"/>
                <w:lang w:eastAsia="sk-SK"/>
                <w14:ligatures w14:val="standardContextual"/>
              </w:rPr>
              <w:tab/>
            </w:r>
            <w:r w:rsidRPr="0038090B">
              <w:rPr>
                <w:rStyle w:val="Hypertextovprepojenie"/>
              </w:rPr>
              <w:t>Daňové príjmy</w:t>
            </w:r>
            <w:r>
              <w:rPr>
                <w:webHidden/>
              </w:rPr>
              <w:tab/>
            </w:r>
            <w:r>
              <w:rPr>
                <w:webHidden/>
              </w:rPr>
              <w:fldChar w:fldCharType="begin"/>
            </w:r>
            <w:r>
              <w:rPr>
                <w:webHidden/>
              </w:rPr>
              <w:instrText xml:space="preserve"> PAGEREF _Toc227758904 \h </w:instrText>
            </w:r>
            <w:r>
              <w:rPr>
                <w:webHidden/>
              </w:rPr>
            </w:r>
            <w:r>
              <w:rPr>
                <w:webHidden/>
              </w:rPr>
              <w:fldChar w:fldCharType="separate"/>
            </w:r>
            <w:r w:rsidR="00865B7D">
              <w:rPr>
                <w:webHidden/>
              </w:rPr>
              <w:t>47</w:t>
            </w:r>
            <w:r>
              <w:rPr>
                <w:webHidden/>
              </w:rPr>
              <w:fldChar w:fldCharType="end"/>
            </w:r>
          </w:hyperlink>
        </w:p>
        <w:p w14:paraId="4420EE41" w14:textId="7AE54063"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05" w:history="1">
            <w:r w:rsidRPr="0038090B">
              <w:rPr>
                <w:rStyle w:val="Hypertextovprepojenie"/>
              </w:rPr>
              <w:t>3.1.2</w:t>
            </w:r>
            <w:r>
              <w:rPr>
                <w:rFonts w:asciiTheme="minorHAnsi" w:eastAsiaTheme="minorEastAsia" w:hAnsiTheme="minorHAnsi" w:cstheme="minorBidi"/>
                <w:kern w:val="2"/>
                <w:szCs w:val="24"/>
                <w:lang w:eastAsia="sk-SK"/>
                <w14:ligatures w14:val="standardContextual"/>
              </w:rPr>
              <w:tab/>
            </w:r>
            <w:r w:rsidRPr="0038090B">
              <w:rPr>
                <w:rStyle w:val="Hypertextovprepojenie"/>
              </w:rPr>
              <w:t>Nedaňové príjmy</w:t>
            </w:r>
            <w:r>
              <w:rPr>
                <w:webHidden/>
              </w:rPr>
              <w:tab/>
            </w:r>
            <w:r>
              <w:rPr>
                <w:webHidden/>
              </w:rPr>
              <w:fldChar w:fldCharType="begin"/>
            </w:r>
            <w:r>
              <w:rPr>
                <w:webHidden/>
              </w:rPr>
              <w:instrText xml:space="preserve"> PAGEREF _Toc227758905 \h </w:instrText>
            </w:r>
            <w:r>
              <w:rPr>
                <w:webHidden/>
              </w:rPr>
            </w:r>
            <w:r>
              <w:rPr>
                <w:webHidden/>
              </w:rPr>
              <w:fldChar w:fldCharType="separate"/>
            </w:r>
            <w:r w:rsidR="00865B7D">
              <w:rPr>
                <w:webHidden/>
              </w:rPr>
              <w:t>50</w:t>
            </w:r>
            <w:r>
              <w:rPr>
                <w:webHidden/>
              </w:rPr>
              <w:fldChar w:fldCharType="end"/>
            </w:r>
          </w:hyperlink>
        </w:p>
        <w:p w14:paraId="3E611878" w14:textId="2D6E8567"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06" w:history="1">
            <w:r w:rsidRPr="0038090B">
              <w:rPr>
                <w:rStyle w:val="Hypertextovprepojenie"/>
              </w:rPr>
              <w:t>3.1.3</w:t>
            </w:r>
            <w:r>
              <w:rPr>
                <w:rFonts w:asciiTheme="minorHAnsi" w:eastAsiaTheme="minorEastAsia" w:hAnsiTheme="minorHAnsi" w:cstheme="minorBidi"/>
                <w:kern w:val="2"/>
                <w:szCs w:val="24"/>
                <w:lang w:eastAsia="sk-SK"/>
                <w14:ligatures w14:val="standardContextual"/>
              </w:rPr>
              <w:tab/>
            </w:r>
            <w:r w:rsidRPr="0038090B">
              <w:rPr>
                <w:rStyle w:val="Hypertextovprepojenie"/>
              </w:rPr>
              <w:t>Granty a transfery</w:t>
            </w:r>
            <w:r>
              <w:rPr>
                <w:webHidden/>
              </w:rPr>
              <w:tab/>
            </w:r>
            <w:r>
              <w:rPr>
                <w:webHidden/>
              </w:rPr>
              <w:fldChar w:fldCharType="begin"/>
            </w:r>
            <w:r>
              <w:rPr>
                <w:webHidden/>
              </w:rPr>
              <w:instrText xml:space="preserve"> PAGEREF _Toc227758906 \h </w:instrText>
            </w:r>
            <w:r>
              <w:rPr>
                <w:webHidden/>
              </w:rPr>
            </w:r>
            <w:r>
              <w:rPr>
                <w:webHidden/>
              </w:rPr>
              <w:fldChar w:fldCharType="separate"/>
            </w:r>
            <w:r w:rsidR="00865B7D">
              <w:rPr>
                <w:webHidden/>
              </w:rPr>
              <w:t>55</w:t>
            </w:r>
            <w:r>
              <w:rPr>
                <w:webHidden/>
              </w:rPr>
              <w:fldChar w:fldCharType="end"/>
            </w:r>
          </w:hyperlink>
        </w:p>
        <w:p w14:paraId="2DF479CE" w14:textId="4A5052DA"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907" w:history="1">
            <w:r w:rsidRPr="0038090B">
              <w:rPr>
                <w:rStyle w:val="Hypertextovprepojenie"/>
              </w:rPr>
              <w:t>3.2</w:t>
            </w:r>
            <w:r>
              <w:rPr>
                <w:rFonts w:asciiTheme="minorHAnsi" w:eastAsiaTheme="minorEastAsia" w:hAnsiTheme="minorHAnsi"/>
                <w:b w:val="0"/>
                <w:bCs w:val="0"/>
                <w:kern w:val="2"/>
                <w:szCs w:val="24"/>
                <w:lang w:eastAsia="sk-SK"/>
                <w14:ligatures w14:val="standardContextual"/>
              </w:rPr>
              <w:tab/>
            </w:r>
            <w:r w:rsidRPr="0038090B">
              <w:rPr>
                <w:rStyle w:val="Hypertextovprepojenie"/>
              </w:rPr>
              <w:t>Výdavky štátneho rozpočtu</w:t>
            </w:r>
            <w:r>
              <w:rPr>
                <w:webHidden/>
              </w:rPr>
              <w:tab/>
            </w:r>
            <w:r>
              <w:rPr>
                <w:webHidden/>
              </w:rPr>
              <w:fldChar w:fldCharType="begin"/>
            </w:r>
            <w:r>
              <w:rPr>
                <w:webHidden/>
              </w:rPr>
              <w:instrText xml:space="preserve"> PAGEREF _Toc227758907 \h </w:instrText>
            </w:r>
            <w:r>
              <w:rPr>
                <w:webHidden/>
              </w:rPr>
            </w:r>
            <w:r>
              <w:rPr>
                <w:webHidden/>
              </w:rPr>
              <w:fldChar w:fldCharType="separate"/>
            </w:r>
            <w:r w:rsidR="00865B7D">
              <w:rPr>
                <w:webHidden/>
              </w:rPr>
              <w:t>57</w:t>
            </w:r>
            <w:r>
              <w:rPr>
                <w:webHidden/>
              </w:rPr>
              <w:fldChar w:fldCharType="end"/>
            </w:r>
          </w:hyperlink>
        </w:p>
        <w:p w14:paraId="16F18EE2" w14:textId="1CA0E4A9"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08" w:history="1">
            <w:r w:rsidRPr="0038090B">
              <w:rPr>
                <w:rStyle w:val="Hypertextovprepojenie"/>
              </w:rPr>
              <w:t>3.2.1</w:t>
            </w:r>
            <w:r>
              <w:rPr>
                <w:rFonts w:asciiTheme="minorHAnsi" w:eastAsiaTheme="minorEastAsia" w:hAnsiTheme="minorHAnsi" w:cstheme="minorBidi"/>
                <w:kern w:val="2"/>
                <w:szCs w:val="24"/>
                <w:lang w:eastAsia="sk-SK"/>
                <w14:ligatures w14:val="standardContextual"/>
              </w:rPr>
              <w:tab/>
            </w:r>
            <w:r w:rsidRPr="0038090B">
              <w:rPr>
                <w:rStyle w:val="Hypertextovprepojenie"/>
              </w:rPr>
              <w:t>Bežné výdavky</w:t>
            </w:r>
            <w:r>
              <w:rPr>
                <w:webHidden/>
              </w:rPr>
              <w:tab/>
            </w:r>
            <w:r>
              <w:rPr>
                <w:webHidden/>
              </w:rPr>
              <w:fldChar w:fldCharType="begin"/>
            </w:r>
            <w:r>
              <w:rPr>
                <w:webHidden/>
              </w:rPr>
              <w:instrText xml:space="preserve"> PAGEREF _Toc227758908 \h </w:instrText>
            </w:r>
            <w:r>
              <w:rPr>
                <w:webHidden/>
              </w:rPr>
            </w:r>
            <w:r>
              <w:rPr>
                <w:webHidden/>
              </w:rPr>
              <w:fldChar w:fldCharType="separate"/>
            </w:r>
            <w:r w:rsidR="00865B7D">
              <w:rPr>
                <w:webHidden/>
              </w:rPr>
              <w:t>57</w:t>
            </w:r>
            <w:r>
              <w:rPr>
                <w:webHidden/>
              </w:rPr>
              <w:fldChar w:fldCharType="end"/>
            </w:r>
          </w:hyperlink>
        </w:p>
        <w:p w14:paraId="4C032CAC" w14:textId="1E005732"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09" w:history="1">
            <w:r w:rsidRPr="0038090B">
              <w:rPr>
                <w:rStyle w:val="Hypertextovprepojenie"/>
              </w:rPr>
              <w:t>3.2.2</w:t>
            </w:r>
            <w:r>
              <w:rPr>
                <w:rFonts w:asciiTheme="minorHAnsi" w:eastAsiaTheme="minorEastAsia" w:hAnsiTheme="minorHAnsi" w:cstheme="minorBidi"/>
                <w:kern w:val="2"/>
                <w:szCs w:val="24"/>
                <w:lang w:eastAsia="sk-SK"/>
                <w14:ligatures w14:val="standardContextual"/>
              </w:rPr>
              <w:tab/>
            </w:r>
            <w:r w:rsidRPr="0038090B">
              <w:rPr>
                <w:rStyle w:val="Hypertextovprepojenie"/>
              </w:rPr>
              <w:t>Kapitálové výdavky</w:t>
            </w:r>
            <w:r>
              <w:rPr>
                <w:webHidden/>
              </w:rPr>
              <w:tab/>
            </w:r>
            <w:r>
              <w:rPr>
                <w:webHidden/>
              </w:rPr>
              <w:fldChar w:fldCharType="begin"/>
            </w:r>
            <w:r>
              <w:rPr>
                <w:webHidden/>
              </w:rPr>
              <w:instrText xml:space="preserve"> PAGEREF _Toc227758909 \h </w:instrText>
            </w:r>
            <w:r>
              <w:rPr>
                <w:webHidden/>
              </w:rPr>
            </w:r>
            <w:r>
              <w:rPr>
                <w:webHidden/>
              </w:rPr>
              <w:fldChar w:fldCharType="separate"/>
            </w:r>
            <w:r w:rsidR="00865B7D">
              <w:rPr>
                <w:webHidden/>
              </w:rPr>
              <w:t>72</w:t>
            </w:r>
            <w:r>
              <w:rPr>
                <w:webHidden/>
              </w:rPr>
              <w:fldChar w:fldCharType="end"/>
            </w:r>
          </w:hyperlink>
        </w:p>
        <w:p w14:paraId="30D5A1A5" w14:textId="68025524"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10" w:history="1">
            <w:r w:rsidRPr="0038090B">
              <w:rPr>
                <w:rStyle w:val="Hypertextovprepojenie"/>
              </w:rPr>
              <w:t>3.2.3</w:t>
            </w:r>
            <w:r>
              <w:rPr>
                <w:rFonts w:asciiTheme="minorHAnsi" w:eastAsiaTheme="minorEastAsia" w:hAnsiTheme="minorHAnsi" w:cstheme="minorBidi"/>
                <w:kern w:val="2"/>
                <w:szCs w:val="24"/>
                <w:lang w:eastAsia="sk-SK"/>
                <w14:ligatures w14:val="standardContextual"/>
              </w:rPr>
              <w:tab/>
            </w:r>
            <w:r w:rsidRPr="0038090B">
              <w:rPr>
                <w:rStyle w:val="Hypertextovprepojenie"/>
              </w:rPr>
              <w:t>Čerpanie rezerv štátneho rozpočtu</w:t>
            </w:r>
            <w:r>
              <w:rPr>
                <w:webHidden/>
              </w:rPr>
              <w:tab/>
            </w:r>
            <w:r>
              <w:rPr>
                <w:webHidden/>
              </w:rPr>
              <w:fldChar w:fldCharType="begin"/>
            </w:r>
            <w:r>
              <w:rPr>
                <w:webHidden/>
              </w:rPr>
              <w:instrText xml:space="preserve"> PAGEREF _Toc227758910 \h </w:instrText>
            </w:r>
            <w:r>
              <w:rPr>
                <w:webHidden/>
              </w:rPr>
            </w:r>
            <w:r>
              <w:rPr>
                <w:webHidden/>
              </w:rPr>
              <w:fldChar w:fldCharType="separate"/>
            </w:r>
            <w:r w:rsidR="00865B7D">
              <w:rPr>
                <w:webHidden/>
              </w:rPr>
              <w:t>78</w:t>
            </w:r>
            <w:r>
              <w:rPr>
                <w:webHidden/>
              </w:rPr>
              <w:fldChar w:fldCharType="end"/>
            </w:r>
          </w:hyperlink>
        </w:p>
        <w:p w14:paraId="0EA704A5" w14:textId="3EA805F0"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911" w:history="1">
            <w:r w:rsidRPr="0038090B">
              <w:rPr>
                <w:rStyle w:val="Hypertextovprepojenie"/>
              </w:rPr>
              <w:t>3.3</w:t>
            </w:r>
            <w:r>
              <w:rPr>
                <w:rFonts w:asciiTheme="minorHAnsi" w:eastAsiaTheme="minorEastAsia" w:hAnsiTheme="minorHAnsi"/>
                <w:b w:val="0"/>
                <w:bCs w:val="0"/>
                <w:kern w:val="2"/>
                <w:szCs w:val="24"/>
                <w:lang w:eastAsia="sk-SK"/>
                <w14:ligatures w14:val="standardContextual"/>
              </w:rPr>
              <w:tab/>
            </w:r>
            <w:r w:rsidRPr="0038090B">
              <w:rPr>
                <w:rStyle w:val="Hypertextovprepojenie"/>
              </w:rPr>
              <w:t>Štátne finančné aktíva</w:t>
            </w:r>
            <w:r>
              <w:rPr>
                <w:webHidden/>
              </w:rPr>
              <w:tab/>
            </w:r>
            <w:r>
              <w:rPr>
                <w:webHidden/>
              </w:rPr>
              <w:fldChar w:fldCharType="begin"/>
            </w:r>
            <w:r>
              <w:rPr>
                <w:webHidden/>
              </w:rPr>
              <w:instrText xml:space="preserve"> PAGEREF _Toc227758911 \h </w:instrText>
            </w:r>
            <w:r>
              <w:rPr>
                <w:webHidden/>
              </w:rPr>
            </w:r>
            <w:r>
              <w:rPr>
                <w:webHidden/>
              </w:rPr>
              <w:fldChar w:fldCharType="separate"/>
            </w:r>
            <w:r w:rsidR="00865B7D">
              <w:rPr>
                <w:webHidden/>
              </w:rPr>
              <w:t>79</w:t>
            </w:r>
            <w:r>
              <w:rPr>
                <w:webHidden/>
              </w:rPr>
              <w:fldChar w:fldCharType="end"/>
            </w:r>
          </w:hyperlink>
        </w:p>
        <w:p w14:paraId="3869EF48" w14:textId="055B463D"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912" w:history="1">
            <w:r w:rsidRPr="0038090B">
              <w:rPr>
                <w:rStyle w:val="Hypertextovprepojenie"/>
              </w:rPr>
              <w:t>3.4</w:t>
            </w:r>
            <w:r>
              <w:rPr>
                <w:rFonts w:asciiTheme="minorHAnsi" w:eastAsiaTheme="minorEastAsia" w:hAnsiTheme="minorHAnsi"/>
                <w:b w:val="0"/>
                <w:bCs w:val="0"/>
                <w:kern w:val="2"/>
                <w:szCs w:val="24"/>
                <w:lang w:eastAsia="sk-SK"/>
                <w14:ligatures w14:val="standardContextual"/>
              </w:rPr>
              <w:tab/>
            </w:r>
            <w:r w:rsidRPr="0038090B">
              <w:rPr>
                <w:rStyle w:val="Hypertextovprepojenie"/>
              </w:rPr>
              <w:t>Vzťahy štátneho rozpočtu k Európskej únii</w:t>
            </w:r>
            <w:r>
              <w:rPr>
                <w:webHidden/>
              </w:rPr>
              <w:tab/>
            </w:r>
            <w:r>
              <w:rPr>
                <w:webHidden/>
              </w:rPr>
              <w:fldChar w:fldCharType="begin"/>
            </w:r>
            <w:r>
              <w:rPr>
                <w:webHidden/>
              </w:rPr>
              <w:instrText xml:space="preserve"> PAGEREF _Toc227758912 \h </w:instrText>
            </w:r>
            <w:r>
              <w:rPr>
                <w:webHidden/>
              </w:rPr>
            </w:r>
            <w:r>
              <w:rPr>
                <w:webHidden/>
              </w:rPr>
              <w:fldChar w:fldCharType="separate"/>
            </w:r>
            <w:r w:rsidR="00865B7D">
              <w:rPr>
                <w:webHidden/>
              </w:rPr>
              <w:t>83</w:t>
            </w:r>
            <w:r>
              <w:rPr>
                <w:webHidden/>
              </w:rPr>
              <w:fldChar w:fldCharType="end"/>
            </w:r>
          </w:hyperlink>
        </w:p>
        <w:p w14:paraId="530D5F9E" w14:textId="5ADDF307"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13" w:history="1">
            <w:r w:rsidRPr="0038090B">
              <w:rPr>
                <w:rStyle w:val="Hypertextovprepojenie"/>
              </w:rPr>
              <w:t>3.4.1</w:t>
            </w:r>
            <w:r>
              <w:rPr>
                <w:rFonts w:asciiTheme="minorHAnsi" w:eastAsiaTheme="minorEastAsia" w:hAnsiTheme="minorHAnsi" w:cstheme="minorBidi"/>
                <w:kern w:val="2"/>
                <w:szCs w:val="24"/>
                <w:lang w:eastAsia="sk-SK"/>
                <w14:ligatures w14:val="standardContextual"/>
              </w:rPr>
              <w:tab/>
            </w:r>
            <w:r w:rsidRPr="0038090B">
              <w:rPr>
                <w:rStyle w:val="Hypertextovprepojenie"/>
              </w:rPr>
              <w:t>Čistá finančná pozícia</w:t>
            </w:r>
            <w:r>
              <w:rPr>
                <w:webHidden/>
              </w:rPr>
              <w:tab/>
            </w:r>
            <w:r>
              <w:rPr>
                <w:webHidden/>
              </w:rPr>
              <w:fldChar w:fldCharType="begin"/>
            </w:r>
            <w:r>
              <w:rPr>
                <w:webHidden/>
              </w:rPr>
              <w:instrText xml:space="preserve"> PAGEREF _Toc227758913 \h </w:instrText>
            </w:r>
            <w:r>
              <w:rPr>
                <w:webHidden/>
              </w:rPr>
            </w:r>
            <w:r>
              <w:rPr>
                <w:webHidden/>
              </w:rPr>
              <w:fldChar w:fldCharType="separate"/>
            </w:r>
            <w:r w:rsidR="00865B7D">
              <w:rPr>
                <w:webHidden/>
              </w:rPr>
              <w:t>84</w:t>
            </w:r>
            <w:r>
              <w:rPr>
                <w:webHidden/>
              </w:rPr>
              <w:fldChar w:fldCharType="end"/>
            </w:r>
          </w:hyperlink>
        </w:p>
        <w:p w14:paraId="431A0EA9" w14:textId="1DD3EE92"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14" w:history="1">
            <w:r w:rsidRPr="0038090B">
              <w:rPr>
                <w:rStyle w:val="Hypertextovprepojenie"/>
              </w:rPr>
              <w:t>3.4.2</w:t>
            </w:r>
            <w:r>
              <w:rPr>
                <w:rFonts w:asciiTheme="minorHAnsi" w:eastAsiaTheme="minorEastAsia" w:hAnsiTheme="minorHAnsi" w:cstheme="minorBidi"/>
                <w:kern w:val="2"/>
                <w:szCs w:val="24"/>
                <w:lang w:eastAsia="sk-SK"/>
                <w14:ligatures w14:val="standardContextual"/>
              </w:rPr>
              <w:tab/>
            </w:r>
            <w:r w:rsidRPr="0038090B">
              <w:rPr>
                <w:rStyle w:val="Hypertextovprepojenie"/>
              </w:rPr>
              <w:t>Príjmy z rozpočtu Európskej únie – prostriedky EÚ</w:t>
            </w:r>
            <w:r>
              <w:rPr>
                <w:webHidden/>
              </w:rPr>
              <w:tab/>
            </w:r>
            <w:r>
              <w:rPr>
                <w:webHidden/>
              </w:rPr>
              <w:fldChar w:fldCharType="begin"/>
            </w:r>
            <w:r>
              <w:rPr>
                <w:webHidden/>
              </w:rPr>
              <w:instrText xml:space="preserve"> PAGEREF _Toc227758914 \h </w:instrText>
            </w:r>
            <w:r>
              <w:rPr>
                <w:webHidden/>
              </w:rPr>
            </w:r>
            <w:r>
              <w:rPr>
                <w:webHidden/>
              </w:rPr>
              <w:fldChar w:fldCharType="separate"/>
            </w:r>
            <w:r w:rsidR="00865B7D">
              <w:rPr>
                <w:webHidden/>
              </w:rPr>
              <w:t>85</w:t>
            </w:r>
            <w:r>
              <w:rPr>
                <w:webHidden/>
              </w:rPr>
              <w:fldChar w:fldCharType="end"/>
            </w:r>
          </w:hyperlink>
        </w:p>
        <w:p w14:paraId="59B13033" w14:textId="224D3B39"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15" w:history="1">
            <w:r w:rsidRPr="0038090B">
              <w:rPr>
                <w:rStyle w:val="Hypertextovprepojenie"/>
              </w:rPr>
              <w:t>3.4.3</w:t>
            </w:r>
            <w:r>
              <w:rPr>
                <w:rFonts w:asciiTheme="minorHAnsi" w:eastAsiaTheme="minorEastAsia" w:hAnsiTheme="minorHAnsi" w:cstheme="minorBidi"/>
                <w:kern w:val="2"/>
                <w:szCs w:val="24"/>
                <w:lang w:eastAsia="sk-SK"/>
                <w14:ligatures w14:val="standardContextual"/>
              </w:rPr>
              <w:tab/>
            </w:r>
            <w:r w:rsidRPr="0038090B">
              <w:rPr>
                <w:rStyle w:val="Hypertextovprepojenie"/>
              </w:rPr>
              <w:t>Výdavky štátneho rozpočtu rozpočtované vo väzbe na príjmy z EÚ</w:t>
            </w:r>
            <w:r>
              <w:rPr>
                <w:webHidden/>
              </w:rPr>
              <w:tab/>
            </w:r>
            <w:r>
              <w:rPr>
                <w:webHidden/>
              </w:rPr>
              <w:fldChar w:fldCharType="begin"/>
            </w:r>
            <w:r>
              <w:rPr>
                <w:webHidden/>
              </w:rPr>
              <w:instrText xml:space="preserve"> PAGEREF _Toc227758915 \h </w:instrText>
            </w:r>
            <w:r>
              <w:rPr>
                <w:webHidden/>
              </w:rPr>
            </w:r>
            <w:r>
              <w:rPr>
                <w:webHidden/>
              </w:rPr>
              <w:fldChar w:fldCharType="separate"/>
            </w:r>
            <w:r w:rsidR="00865B7D">
              <w:rPr>
                <w:webHidden/>
              </w:rPr>
              <w:t>88</w:t>
            </w:r>
            <w:r>
              <w:rPr>
                <w:webHidden/>
              </w:rPr>
              <w:fldChar w:fldCharType="end"/>
            </w:r>
          </w:hyperlink>
        </w:p>
        <w:p w14:paraId="7D930750" w14:textId="1D3210B6"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16" w:history="1">
            <w:r w:rsidRPr="0038090B">
              <w:rPr>
                <w:rStyle w:val="Hypertextovprepojenie"/>
              </w:rPr>
              <w:t>3.4.4</w:t>
            </w:r>
            <w:r>
              <w:rPr>
                <w:rFonts w:asciiTheme="minorHAnsi" w:eastAsiaTheme="minorEastAsia" w:hAnsiTheme="minorHAnsi" w:cstheme="minorBidi"/>
                <w:kern w:val="2"/>
                <w:szCs w:val="24"/>
                <w:lang w:eastAsia="sk-SK"/>
                <w14:ligatures w14:val="standardContextual"/>
              </w:rPr>
              <w:tab/>
            </w:r>
            <w:r w:rsidRPr="0038090B">
              <w:rPr>
                <w:rStyle w:val="Hypertextovprepojenie"/>
              </w:rPr>
              <w:t>Zhrnutie čerpania záväzkov programových období po vstupe SR do EÚ</w:t>
            </w:r>
            <w:r>
              <w:rPr>
                <w:webHidden/>
              </w:rPr>
              <w:tab/>
            </w:r>
            <w:r>
              <w:rPr>
                <w:webHidden/>
              </w:rPr>
              <w:fldChar w:fldCharType="begin"/>
            </w:r>
            <w:r>
              <w:rPr>
                <w:webHidden/>
              </w:rPr>
              <w:instrText xml:space="preserve"> PAGEREF _Toc227758916 \h </w:instrText>
            </w:r>
            <w:r>
              <w:rPr>
                <w:webHidden/>
              </w:rPr>
            </w:r>
            <w:r>
              <w:rPr>
                <w:webHidden/>
              </w:rPr>
              <w:fldChar w:fldCharType="separate"/>
            </w:r>
            <w:r w:rsidR="00865B7D">
              <w:rPr>
                <w:webHidden/>
              </w:rPr>
              <w:t>94</w:t>
            </w:r>
            <w:r>
              <w:rPr>
                <w:webHidden/>
              </w:rPr>
              <w:fldChar w:fldCharType="end"/>
            </w:r>
          </w:hyperlink>
        </w:p>
        <w:p w14:paraId="0C8C92C2" w14:textId="76101415"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17" w:history="1">
            <w:r w:rsidRPr="0038090B">
              <w:rPr>
                <w:rStyle w:val="Hypertextovprepojenie"/>
              </w:rPr>
              <w:t>3.4.5</w:t>
            </w:r>
            <w:r>
              <w:rPr>
                <w:rFonts w:asciiTheme="minorHAnsi" w:eastAsiaTheme="minorEastAsia" w:hAnsiTheme="minorHAnsi" w:cstheme="minorBidi"/>
                <w:kern w:val="2"/>
                <w:szCs w:val="24"/>
                <w:lang w:eastAsia="sk-SK"/>
                <w14:ligatures w14:val="standardContextual"/>
              </w:rPr>
              <w:tab/>
            </w:r>
            <w:r w:rsidRPr="0038090B">
              <w:rPr>
                <w:rStyle w:val="Hypertextovprepojenie"/>
              </w:rPr>
              <w:t>Zhrnutie čerpania prostriedkov Plánu obnovy a odolnosti (POO)</w:t>
            </w:r>
            <w:r>
              <w:rPr>
                <w:webHidden/>
              </w:rPr>
              <w:tab/>
            </w:r>
            <w:r>
              <w:rPr>
                <w:webHidden/>
              </w:rPr>
              <w:fldChar w:fldCharType="begin"/>
            </w:r>
            <w:r>
              <w:rPr>
                <w:webHidden/>
              </w:rPr>
              <w:instrText xml:space="preserve"> PAGEREF _Toc227758917 \h </w:instrText>
            </w:r>
            <w:r>
              <w:rPr>
                <w:webHidden/>
              </w:rPr>
            </w:r>
            <w:r>
              <w:rPr>
                <w:webHidden/>
              </w:rPr>
              <w:fldChar w:fldCharType="separate"/>
            </w:r>
            <w:r w:rsidR="00865B7D">
              <w:rPr>
                <w:webHidden/>
              </w:rPr>
              <w:t>95</w:t>
            </w:r>
            <w:r>
              <w:rPr>
                <w:webHidden/>
              </w:rPr>
              <w:fldChar w:fldCharType="end"/>
            </w:r>
          </w:hyperlink>
        </w:p>
        <w:p w14:paraId="07E6D859" w14:textId="77126788" w:rsidR="00A972FB" w:rsidRDefault="00A972FB">
          <w:pPr>
            <w:pStyle w:val="Obsah3"/>
            <w:rPr>
              <w:rFonts w:asciiTheme="minorHAnsi" w:eastAsiaTheme="minorEastAsia" w:hAnsiTheme="minorHAnsi" w:cstheme="minorBidi"/>
              <w:kern w:val="2"/>
              <w:szCs w:val="24"/>
              <w:lang w:eastAsia="sk-SK"/>
              <w14:ligatures w14:val="standardContextual"/>
            </w:rPr>
          </w:pPr>
          <w:hyperlink w:anchor="_Toc227758918" w:history="1">
            <w:r w:rsidRPr="0038090B">
              <w:rPr>
                <w:rStyle w:val="Hypertextovprepojenie"/>
              </w:rPr>
              <w:t>3.4.6</w:t>
            </w:r>
            <w:r>
              <w:rPr>
                <w:rFonts w:asciiTheme="minorHAnsi" w:eastAsiaTheme="minorEastAsia" w:hAnsiTheme="minorHAnsi" w:cstheme="minorBidi"/>
                <w:kern w:val="2"/>
                <w:szCs w:val="24"/>
                <w:lang w:eastAsia="sk-SK"/>
                <w14:ligatures w14:val="standardContextual"/>
              </w:rPr>
              <w:tab/>
            </w:r>
            <w:r w:rsidRPr="0038090B">
              <w:rPr>
                <w:rStyle w:val="Hypertextovprepojenie"/>
              </w:rPr>
              <w:t>Stav implementácie Plánu obnovy vo väzbe na platby z EÚ</w:t>
            </w:r>
            <w:r>
              <w:rPr>
                <w:webHidden/>
              </w:rPr>
              <w:tab/>
            </w:r>
            <w:r>
              <w:rPr>
                <w:webHidden/>
              </w:rPr>
              <w:fldChar w:fldCharType="begin"/>
            </w:r>
            <w:r>
              <w:rPr>
                <w:webHidden/>
              </w:rPr>
              <w:instrText xml:space="preserve"> PAGEREF _Toc227758918 \h </w:instrText>
            </w:r>
            <w:r>
              <w:rPr>
                <w:webHidden/>
              </w:rPr>
            </w:r>
            <w:r>
              <w:rPr>
                <w:webHidden/>
              </w:rPr>
              <w:fldChar w:fldCharType="separate"/>
            </w:r>
            <w:r w:rsidR="00865B7D">
              <w:rPr>
                <w:webHidden/>
              </w:rPr>
              <w:t>99</w:t>
            </w:r>
            <w:r>
              <w:rPr>
                <w:webHidden/>
              </w:rPr>
              <w:fldChar w:fldCharType="end"/>
            </w:r>
          </w:hyperlink>
        </w:p>
        <w:p w14:paraId="3E0686D4" w14:textId="45132995" w:rsidR="00A972FB" w:rsidRDefault="00A972FB">
          <w:pPr>
            <w:pStyle w:val="Obsah2"/>
            <w:rPr>
              <w:rFonts w:asciiTheme="minorHAnsi" w:eastAsiaTheme="minorEastAsia" w:hAnsiTheme="minorHAnsi"/>
              <w:b w:val="0"/>
              <w:bCs w:val="0"/>
              <w:kern w:val="2"/>
              <w:szCs w:val="24"/>
              <w:lang w:eastAsia="sk-SK"/>
              <w14:ligatures w14:val="standardContextual"/>
            </w:rPr>
          </w:pPr>
          <w:hyperlink w:anchor="_Toc227758919" w:history="1">
            <w:r w:rsidRPr="0038090B">
              <w:rPr>
                <w:rStyle w:val="Hypertextovprepojenie"/>
                <w:rFonts w:eastAsiaTheme="majorEastAsia"/>
              </w:rPr>
              <w:t>Tabuľková príloha k hotovostnému plneniu ŠR</w:t>
            </w:r>
            <w:r>
              <w:rPr>
                <w:webHidden/>
              </w:rPr>
              <w:tab/>
            </w:r>
            <w:r>
              <w:rPr>
                <w:webHidden/>
              </w:rPr>
              <w:fldChar w:fldCharType="begin"/>
            </w:r>
            <w:r>
              <w:rPr>
                <w:webHidden/>
              </w:rPr>
              <w:instrText xml:space="preserve"> PAGEREF _Toc227758919 \h </w:instrText>
            </w:r>
            <w:r>
              <w:rPr>
                <w:webHidden/>
              </w:rPr>
            </w:r>
            <w:r>
              <w:rPr>
                <w:webHidden/>
              </w:rPr>
              <w:fldChar w:fldCharType="separate"/>
            </w:r>
            <w:r w:rsidR="00865B7D">
              <w:rPr>
                <w:webHidden/>
              </w:rPr>
              <w:t>101</w:t>
            </w:r>
            <w:r>
              <w:rPr>
                <w:webHidden/>
              </w:rPr>
              <w:fldChar w:fldCharType="end"/>
            </w:r>
          </w:hyperlink>
        </w:p>
        <w:p w14:paraId="5211ACD6" w14:textId="1B6F4B35" w:rsidR="006421D5" w:rsidRDefault="006421D5">
          <w:r>
            <w:rPr>
              <w:b/>
              <w:bCs/>
            </w:rPr>
            <w:fldChar w:fldCharType="end"/>
          </w:r>
        </w:p>
      </w:sdtContent>
    </w:sdt>
    <w:p w14:paraId="6A28D697" w14:textId="67806CE8" w:rsidR="00927B94" w:rsidRPr="001B0779" w:rsidRDefault="00BE44CB" w:rsidP="008B1431">
      <w:pPr>
        <w:pStyle w:val="Hlavikaobsahu1"/>
      </w:pPr>
      <w:r w:rsidRPr="0050710A">
        <w:rPr>
          <w:highlight w:val="yellow"/>
        </w:rPr>
        <w:br w:type="page"/>
      </w:r>
      <w:bookmarkStart w:id="1" w:name="_Toc227758883"/>
      <w:r w:rsidR="00927B94" w:rsidRPr="001B0779">
        <w:lastRenderedPageBreak/>
        <w:t>Zoznam tabuliek</w:t>
      </w:r>
      <w:bookmarkEnd w:id="1"/>
    </w:p>
    <w:p w14:paraId="2B0BE208" w14:textId="7D1B117B" w:rsidR="00907015" w:rsidRDefault="00927B94">
      <w:pPr>
        <w:pStyle w:val="Zoznamobrzkov"/>
        <w:rPr>
          <w:rFonts w:asciiTheme="minorHAnsi" w:eastAsiaTheme="minorEastAsia" w:hAnsiTheme="minorHAnsi"/>
          <w:bCs w:val="0"/>
          <w:kern w:val="2"/>
          <w:sz w:val="24"/>
          <w:szCs w:val="24"/>
          <w:lang w:eastAsia="sk-SK"/>
          <w14:ligatures w14:val="standardContextual"/>
        </w:rPr>
      </w:pPr>
      <w:r w:rsidRPr="00907015">
        <w:rPr>
          <w:rFonts w:cs="Times New Roman"/>
          <w:b/>
          <w:bCs w:val="0"/>
          <w:sz w:val="24"/>
          <w:szCs w:val="24"/>
        </w:rPr>
        <w:fldChar w:fldCharType="begin"/>
      </w:r>
      <w:r w:rsidRPr="00907015">
        <w:rPr>
          <w:rFonts w:cs="Times New Roman"/>
          <w:bCs w:val="0"/>
          <w:sz w:val="24"/>
          <w:szCs w:val="24"/>
        </w:rPr>
        <w:instrText xml:space="preserve"> TOC \h \z \c "Tabuľka" </w:instrText>
      </w:r>
      <w:r w:rsidRPr="00907015">
        <w:rPr>
          <w:rFonts w:cs="Times New Roman"/>
          <w:b/>
          <w:bCs w:val="0"/>
          <w:sz w:val="24"/>
          <w:szCs w:val="24"/>
        </w:rPr>
        <w:fldChar w:fldCharType="separate"/>
      </w:r>
      <w:hyperlink w:anchor="_Toc227670137" w:history="1">
        <w:r w:rsidR="00907015" w:rsidRPr="0071318D">
          <w:rPr>
            <w:rStyle w:val="Hypertextovprepojenie"/>
          </w:rPr>
          <w:t>Tabuľka 1 - Vývoj vybraných makroekonomických ukazovateľov eurozóny</w:t>
        </w:r>
        <w:r w:rsidR="00907015">
          <w:rPr>
            <w:webHidden/>
          </w:rPr>
          <w:tab/>
        </w:r>
        <w:r w:rsidR="00907015">
          <w:rPr>
            <w:webHidden/>
          </w:rPr>
          <w:fldChar w:fldCharType="begin"/>
        </w:r>
        <w:r w:rsidR="00907015">
          <w:rPr>
            <w:webHidden/>
          </w:rPr>
          <w:instrText xml:space="preserve"> PAGEREF _Toc227670137 \h </w:instrText>
        </w:r>
        <w:r w:rsidR="00907015">
          <w:rPr>
            <w:webHidden/>
          </w:rPr>
        </w:r>
        <w:r w:rsidR="00907015">
          <w:rPr>
            <w:webHidden/>
          </w:rPr>
          <w:fldChar w:fldCharType="separate"/>
        </w:r>
        <w:r w:rsidR="00865B7D">
          <w:rPr>
            <w:webHidden/>
          </w:rPr>
          <w:t>5</w:t>
        </w:r>
        <w:r w:rsidR="00907015">
          <w:rPr>
            <w:webHidden/>
          </w:rPr>
          <w:fldChar w:fldCharType="end"/>
        </w:r>
      </w:hyperlink>
    </w:p>
    <w:p w14:paraId="01EB2912" w14:textId="338F3B2D"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38" w:history="1">
        <w:r w:rsidRPr="0071318D">
          <w:rPr>
            <w:rStyle w:val="Hypertextovprepojenie"/>
          </w:rPr>
          <w:t>Tabuľka 2 - Vývoj HDP a jeho hlavných zložiek</w:t>
        </w:r>
        <w:r>
          <w:rPr>
            <w:webHidden/>
          </w:rPr>
          <w:tab/>
        </w:r>
        <w:r>
          <w:rPr>
            <w:webHidden/>
          </w:rPr>
          <w:fldChar w:fldCharType="begin"/>
        </w:r>
        <w:r>
          <w:rPr>
            <w:webHidden/>
          </w:rPr>
          <w:instrText xml:space="preserve"> PAGEREF _Toc227670138 \h </w:instrText>
        </w:r>
        <w:r>
          <w:rPr>
            <w:webHidden/>
          </w:rPr>
        </w:r>
        <w:r>
          <w:rPr>
            <w:webHidden/>
          </w:rPr>
          <w:fldChar w:fldCharType="separate"/>
        </w:r>
        <w:r w:rsidR="00865B7D">
          <w:rPr>
            <w:webHidden/>
          </w:rPr>
          <w:t>5</w:t>
        </w:r>
        <w:r>
          <w:rPr>
            <w:webHidden/>
          </w:rPr>
          <w:fldChar w:fldCharType="end"/>
        </w:r>
      </w:hyperlink>
    </w:p>
    <w:p w14:paraId="35935B0D" w14:textId="5F318F42"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39" w:history="1">
        <w:r w:rsidRPr="0071318D">
          <w:rPr>
            <w:rStyle w:val="Hypertextovprepojenie"/>
          </w:rPr>
          <w:t>Tabuľka 3 - Porovnanie skutočnosti za rok 2025 s predpokladmi pre tvorbu rozpočtu na roky 2025-2027</w:t>
        </w:r>
        <w:r>
          <w:rPr>
            <w:webHidden/>
          </w:rPr>
          <w:tab/>
        </w:r>
        <w:r>
          <w:rPr>
            <w:webHidden/>
          </w:rPr>
          <w:fldChar w:fldCharType="begin"/>
        </w:r>
        <w:r>
          <w:rPr>
            <w:webHidden/>
          </w:rPr>
          <w:instrText xml:space="preserve"> PAGEREF _Toc227670139 \h </w:instrText>
        </w:r>
        <w:r>
          <w:rPr>
            <w:webHidden/>
          </w:rPr>
        </w:r>
        <w:r>
          <w:rPr>
            <w:webHidden/>
          </w:rPr>
          <w:fldChar w:fldCharType="separate"/>
        </w:r>
        <w:r w:rsidR="00865B7D">
          <w:rPr>
            <w:webHidden/>
          </w:rPr>
          <w:t>7</w:t>
        </w:r>
        <w:r>
          <w:rPr>
            <w:webHidden/>
          </w:rPr>
          <w:fldChar w:fldCharType="end"/>
        </w:r>
      </w:hyperlink>
    </w:p>
    <w:p w14:paraId="7118CE73" w14:textId="3DF573B8"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0" w:history="1">
        <w:r w:rsidRPr="0071318D">
          <w:rPr>
            <w:rStyle w:val="Hypertextovprepojenie"/>
          </w:rPr>
          <w:t>Tabuľka 4 - Prognóza vybraných ukazovateľov ekonomiky (september 2024)</w:t>
        </w:r>
        <w:r>
          <w:rPr>
            <w:webHidden/>
          </w:rPr>
          <w:tab/>
        </w:r>
        <w:r>
          <w:rPr>
            <w:webHidden/>
          </w:rPr>
          <w:fldChar w:fldCharType="begin"/>
        </w:r>
        <w:r>
          <w:rPr>
            <w:webHidden/>
          </w:rPr>
          <w:instrText xml:space="preserve"> PAGEREF _Toc227670140 \h </w:instrText>
        </w:r>
        <w:r>
          <w:rPr>
            <w:webHidden/>
          </w:rPr>
        </w:r>
        <w:r>
          <w:rPr>
            <w:webHidden/>
          </w:rPr>
          <w:fldChar w:fldCharType="separate"/>
        </w:r>
        <w:r w:rsidR="00865B7D">
          <w:rPr>
            <w:webHidden/>
          </w:rPr>
          <w:t>8</w:t>
        </w:r>
        <w:r>
          <w:rPr>
            <w:webHidden/>
          </w:rPr>
          <w:fldChar w:fldCharType="end"/>
        </w:r>
      </w:hyperlink>
    </w:p>
    <w:p w14:paraId="5FB5029E" w14:textId="52AA7BB7"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1" w:history="1">
        <w:r w:rsidRPr="0071318D">
          <w:rPr>
            <w:rStyle w:val="Hypertextovprepojenie"/>
          </w:rPr>
          <w:t>Tabuľka 5 - Porovnanie prognóz Európskej komisie (EK) a MF SR</w:t>
        </w:r>
        <w:r>
          <w:rPr>
            <w:webHidden/>
          </w:rPr>
          <w:tab/>
        </w:r>
        <w:r>
          <w:rPr>
            <w:webHidden/>
          </w:rPr>
          <w:fldChar w:fldCharType="begin"/>
        </w:r>
        <w:r>
          <w:rPr>
            <w:webHidden/>
          </w:rPr>
          <w:instrText xml:space="preserve"> PAGEREF _Toc227670141 \h </w:instrText>
        </w:r>
        <w:r>
          <w:rPr>
            <w:webHidden/>
          </w:rPr>
        </w:r>
        <w:r>
          <w:rPr>
            <w:webHidden/>
          </w:rPr>
          <w:fldChar w:fldCharType="separate"/>
        </w:r>
        <w:r w:rsidR="00865B7D">
          <w:rPr>
            <w:webHidden/>
          </w:rPr>
          <w:t>8</w:t>
        </w:r>
        <w:r>
          <w:rPr>
            <w:webHidden/>
          </w:rPr>
          <w:fldChar w:fldCharType="end"/>
        </w:r>
      </w:hyperlink>
    </w:p>
    <w:p w14:paraId="3E325684" w14:textId="5740927A"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2" w:history="1">
        <w:r w:rsidRPr="0071318D">
          <w:rPr>
            <w:rStyle w:val="Hypertextovprepojenie"/>
          </w:rPr>
          <w:t>Tabuľka 6 - Bilancia rozpočtu verejnej správy v metodike ESA 2010</w:t>
        </w:r>
        <w:r>
          <w:rPr>
            <w:webHidden/>
          </w:rPr>
          <w:tab/>
        </w:r>
        <w:r>
          <w:rPr>
            <w:webHidden/>
          </w:rPr>
          <w:fldChar w:fldCharType="begin"/>
        </w:r>
        <w:r>
          <w:rPr>
            <w:webHidden/>
          </w:rPr>
          <w:instrText xml:space="preserve"> PAGEREF _Toc227670142 \h </w:instrText>
        </w:r>
        <w:r>
          <w:rPr>
            <w:webHidden/>
          </w:rPr>
        </w:r>
        <w:r>
          <w:rPr>
            <w:webHidden/>
          </w:rPr>
          <w:fldChar w:fldCharType="separate"/>
        </w:r>
        <w:r w:rsidR="00865B7D">
          <w:rPr>
            <w:webHidden/>
          </w:rPr>
          <w:t>12</w:t>
        </w:r>
        <w:r>
          <w:rPr>
            <w:webHidden/>
          </w:rPr>
          <w:fldChar w:fldCharType="end"/>
        </w:r>
      </w:hyperlink>
    </w:p>
    <w:p w14:paraId="2C2DEE1B" w14:textId="43072FDE"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3" w:history="1">
        <w:r w:rsidRPr="0071318D">
          <w:rPr>
            <w:rStyle w:val="Hypertextovprepojenie"/>
            <w:lang w:eastAsia="sk-SK"/>
          </w:rPr>
          <w:t xml:space="preserve">Tabuľka 7 - Saldo verejnej správy </w:t>
        </w:r>
        <w:r w:rsidRPr="0071318D">
          <w:rPr>
            <w:rStyle w:val="Hypertextovprepojenie"/>
          </w:rPr>
          <w:t xml:space="preserve">v metodike </w:t>
        </w:r>
        <w:r w:rsidRPr="0071318D">
          <w:rPr>
            <w:rStyle w:val="Hypertextovprepojenie"/>
            <w:lang w:eastAsia="sk-SK"/>
          </w:rPr>
          <w:t>ESA2010 - rozdiel oproti rozpočtu</w:t>
        </w:r>
        <w:r>
          <w:rPr>
            <w:webHidden/>
          </w:rPr>
          <w:tab/>
        </w:r>
        <w:r>
          <w:rPr>
            <w:webHidden/>
          </w:rPr>
          <w:fldChar w:fldCharType="begin"/>
        </w:r>
        <w:r>
          <w:rPr>
            <w:webHidden/>
          </w:rPr>
          <w:instrText xml:space="preserve"> PAGEREF _Toc227670143 \h </w:instrText>
        </w:r>
        <w:r>
          <w:rPr>
            <w:webHidden/>
          </w:rPr>
        </w:r>
        <w:r>
          <w:rPr>
            <w:webHidden/>
          </w:rPr>
          <w:fldChar w:fldCharType="separate"/>
        </w:r>
        <w:r w:rsidR="00865B7D">
          <w:rPr>
            <w:webHidden/>
          </w:rPr>
          <w:t>13</w:t>
        </w:r>
        <w:r>
          <w:rPr>
            <w:webHidden/>
          </w:rPr>
          <w:fldChar w:fldCharType="end"/>
        </w:r>
      </w:hyperlink>
    </w:p>
    <w:p w14:paraId="791447B7" w14:textId="377EE0B4"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4" w:history="1">
        <w:r w:rsidRPr="0071318D">
          <w:rPr>
            <w:rStyle w:val="Hypertextovprepojenie"/>
          </w:rPr>
          <w:t>Tabuľka 8 - Vybrané daňové a odvodové príjmy v metodike ESA2010</w:t>
        </w:r>
        <w:r>
          <w:rPr>
            <w:webHidden/>
          </w:rPr>
          <w:tab/>
        </w:r>
        <w:r>
          <w:rPr>
            <w:webHidden/>
          </w:rPr>
          <w:fldChar w:fldCharType="begin"/>
        </w:r>
        <w:r>
          <w:rPr>
            <w:webHidden/>
          </w:rPr>
          <w:instrText xml:space="preserve"> PAGEREF _Toc227670144 \h </w:instrText>
        </w:r>
        <w:r>
          <w:rPr>
            <w:webHidden/>
          </w:rPr>
        </w:r>
        <w:r>
          <w:rPr>
            <w:webHidden/>
          </w:rPr>
          <w:fldChar w:fldCharType="separate"/>
        </w:r>
        <w:r w:rsidR="00865B7D">
          <w:rPr>
            <w:webHidden/>
          </w:rPr>
          <w:t>15</w:t>
        </w:r>
        <w:r>
          <w:rPr>
            <w:webHidden/>
          </w:rPr>
          <w:fldChar w:fldCharType="end"/>
        </w:r>
      </w:hyperlink>
    </w:p>
    <w:p w14:paraId="1A102361" w14:textId="2DAE5C95"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5" w:history="1">
        <w:r w:rsidRPr="0071318D">
          <w:rPr>
            <w:rStyle w:val="Hypertextovprepojenie"/>
          </w:rPr>
          <w:t>Tabuľka 9 - Legislatívne zmeny nezapracované v rozpočte VS na roky 2025-2027 podľa ESA 2010</w:t>
        </w:r>
        <w:r>
          <w:rPr>
            <w:webHidden/>
          </w:rPr>
          <w:tab/>
        </w:r>
        <w:r>
          <w:rPr>
            <w:webHidden/>
          </w:rPr>
          <w:fldChar w:fldCharType="begin"/>
        </w:r>
        <w:r>
          <w:rPr>
            <w:webHidden/>
          </w:rPr>
          <w:instrText xml:space="preserve"> PAGEREF _Toc227670145 \h </w:instrText>
        </w:r>
        <w:r>
          <w:rPr>
            <w:webHidden/>
          </w:rPr>
        </w:r>
        <w:r>
          <w:rPr>
            <w:webHidden/>
          </w:rPr>
          <w:fldChar w:fldCharType="separate"/>
        </w:r>
        <w:r w:rsidR="00865B7D">
          <w:rPr>
            <w:webHidden/>
          </w:rPr>
          <w:t>16</w:t>
        </w:r>
        <w:r>
          <w:rPr>
            <w:webHidden/>
          </w:rPr>
          <w:fldChar w:fldCharType="end"/>
        </w:r>
      </w:hyperlink>
    </w:p>
    <w:p w14:paraId="782A094A" w14:textId="5B7CCE70"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6" w:history="1">
        <w:r w:rsidRPr="0071318D">
          <w:rPr>
            <w:rStyle w:val="Hypertextovprepojenie"/>
          </w:rPr>
          <w:t>Tabuľka 10 - Príjmy z dividend a odvodov zo zisku v metodike ESA2010</w:t>
        </w:r>
        <w:r>
          <w:rPr>
            <w:webHidden/>
          </w:rPr>
          <w:tab/>
        </w:r>
        <w:r>
          <w:rPr>
            <w:webHidden/>
          </w:rPr>
          <w:fldChar w:fldCharType="begin"/>
        </w:r>
        <w:r>
          <w:rPr>
            <w:webHidden/>
          </w:rPr>
          <w:instrText xml:space="preserve"> PAGEREF _Toc227670146 \h </w:instrText>
        </w:r>
        <w:r>
          <w:rPr>
            <w:webHidden/>
          </w:rPr>
        </w:r>
        <w:r>
          <w:rPr>
            <w:webHidden/>
          </w:rPr>
          <w:fldChar w:fldCharType="separate"/>
        </w:r>
        <w:r w:rsidR="00865B7D">
          <w:rPr>
            <w:webHidden/>
          </w:rPr>
          <w:t>18</w:t>
        </w:r>
        <w:r>
          <w:rPr>
            <w:webHidden/>
          </w:rPr>
          <w:fldChar w:fldCharType="end"/>
        </w:r>
      </w:hyperlink>
    </w:p>
    <w:p w14:paraId="7FB35FE7" w14:textId="44C25A71"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7" w:history="1">
        <w:r w:rsidRPr="0071318D">
          <w:rPr>
            <w:rStyle w:val="Hypertextovprepojenie"/>
          </w:rPr>
          <w:t>Tabuľka 11 – Časové rozlíšenie hotovostných výdavkov na energopomoc 2025</w:t>
        </w:r>
        <w:r>
          <w:rPr>
            <w:webHidden/>
          </w:rPr>
          <w:tab/>
        </w:r>
        <w:r>
          <w:rPr>
            <w:webHidden/>
          </w:rPr>
          <w:fldChar w:fldCharType="begin"/>
        </w:r>
        <w:r>
          <w:rPr>
            <w:webHidden/>
          </w:rPr>
          <w:instrText xml:space="preserve"> PAGEREF _Toc227670147 \h </w:instrText>
        </w:r>
        <w:r>
          <w:rPr>
            <w:webHidden/>
          </w:rPr>
        </w:r>
        <w:r>
          <w:rPr>
            <w:webHidden/>
          </w:rPr>
          <w:fldChar w:fldCharType="separate"/>
        </w:r>
        <w:r w:rsidR="00865B7D">
          <w:rPr>
            <w:webHidden/>
          </w:rPr>
          <w:t>22</w:t>
        </w:r>
        <w:r>
          <w:rPr>
            <w:webHidden/>
          </w:rPr>
          <w:fldChar w:fldCharType="end"/>
        </w:r>
      </w:hyperlink>
    </w:p>
    <w:p w14:paraId="1F732338" w14:textId="7BACFACA"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8" w:history="1">
        <w:r w:rsidRPr="0071318D">
          <w:rPr>
            <w:rStyle w:val="Hypertextovprepojenie"/>
            <w:lang w:eastAsia="sk-SK"/>
          </w:rPr>
          <w:t>Tabuľka 12 - Schodok verejnej správy podľa jednotlivých subjektov (zložiek)</w:t>
        </w:r>
        <w:r>
          <w:rPr>
            <w:webHidden/>
          </w:rPr>
          <w:tab/>
        </w:r>
        <w:r>
          <w:rPr>
            <w:webHidden/>
          </w:rPr>
          <w:fldChar w:fldCharType="begin"/>
        </w:r>
        <w:r>
          <w:rPr>
            <w:webHidden/>
          </w:rPr>
          <w:instrText xml:space="preserve"> PAGEREF _Toc227670148 \h </w:instrText>
        </w:r>
        <w:r>
          <w:rPr>
            <w:webHidden/>
          </w:rPr>
        </w:r>
        <w:r>
          <w:rPr>
            <w:webHidden/>
          </w:rPr>
          <w:fldChar w:fldCharType="separate"/>
        </w:r>
        <w:r w:rsidR="00865B7D">
          <w:rPr>
            <w:webHidden/>
          </w:rPr>
          <w:t>33</w:t>
        </w:r>
        <w:r>
          <w:rPr>
            <w:webHidden/>
          </w:rPr>
          <w:fldChar w:fldCharType="end"/>
        </w:r>
      </w:hyperlink>
    </w:p>
    <w:p w14:paraId="1F1AF064" w14:textId="3FD73E2D"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49" w:history="1">
        <w:r w:rsidRPr="0071318D">
          <w:rPr>
            <w:rStyle w:val="Hypertextovprepojenie"/>
          </w:rPr>
          <w:t>Tabuľka 13 - Štruktúra hrubého dlhu verejnej správy (% v HDP)</w:t>
        </w:r>
        <w:r>
          <w:rPr>
            <w:webHidden/>
          </w:rPr>
          <w:tab/>
        </w:r>
        <w:r>
          <w:rPr>
            <w:webHidden/>
          </w:rPr>
          <w:fldChar w:fldCharType="begin"/>
        </w:r>
        <w:r>
          <w:rPr>
            <w:webHidden/>
          </w:rPr>
          <w:instrText xml:space="preserve"> PAGEREF _Toc227670149 \h </w:instrText>
        </w:r>
        <w:r>
          <w:rPr>
            <w:webHidden/>
          </w:rPr>
        </w:r>
        <w:r>
          <w:rPr>
            <w:webHidden/>
          </w:rPr>
          <w:fldChar w:fldCharType="separate"/>
        </w:r>
        <w:r w:rsidR="00865B7D">
          <w:rPr>
            <w:webHidden/>
          </w:rPr>
          <w:t>34</w:t>
        </w:r>
        <w:r>
          <w:rPr>
            <w:webHidden/>
          </w:rPr>
          <w:fldChar w:fldCharType="end"/>
        </w:r>
      </w:hyperlink>
    </w:p>
    <w:p w14:paraId="6784E605" w14:textId="4753D910"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0" w:history="1">
        <w:r w:rsidRPr="0071318D">
          <w:rPr>
            <w:rStyle w:val="Hypertextovprepojenie"/>
            <w:lang w:eastAsia="sk-SK"/>
          </w:rPr>
          <w:t>Tabuľka 14 - Maastrichtský dlh VS podľa jednotlivých subjektov (zložiek)</w:t>
        </w:r>
        <w:r>
          <w:rPr>
            <w:webHidden/>
          </w:rPr>
          <w:tab/>
        </w:r>
        <w:r>
          <w:rPr>
            <w:webHidden/>
          </w:rPr>
          <w:fldChar w:fldCharType="begin"/>
        </w:r>
        <w:r>
          <w:rPr>
            <w:webHidden/>
          </w:rPr>
          <w:instrText xml:space="preserve"> PAGEREF _Toc227670150 \h </w:instrText>
        </w:r>
        <w:r>
          <w:rPr>
            <w:webHidden/>
          </w:rPr>
        </w:r>
        <w:r>
          <w:rPr>
            <w:webHidden/>
          </w:rPr>
          <w:fldChar w:fldCharType="separate"/>
        </w:r>
        <w:r w:rsidR="00865B7D">
          <w:rPr>
            <w:webHidden/>
          </w:rPr>
          <w:t>35</w:t>
        </w:r>
        <w:r>
          <w:rPr>
            <w:webHidden/>
          </w:rPr>
          <w:fldChar w:fldCharType="end"/>
        </w:r>
      </w:hyperlink>
    </w:p>
    <w:p w14:paraId="707948C5" w14:textId="6CD2CEBC"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1" w:history="1">
        <w:r w:rsidRPr="0071318D">
          <w:rPr>
            <w:rStyle w:val="Hypertextovprepojenie"/>
            <w:lang w:eastAsia="sk-SK"/>
          </w:rPr>
          <w:t>Tabuľka 15 - Štruktúra štátneho dlhu podľa dlhových nástrojov</w:t>
        </w:r>
        <w:r>
          <w:rPr>
            <w:webHidden/>
          </w:rPr>
          <w:tab/>
        </w:r>
        <w:r>
          <w:rPr>
            <w:webHidden/>
          </w:rPr>
          <w:fldChar w:fldCharType="begin"/>
        </w:r>
        <w:r>
          <w:rPr>
            <w:webHidden/>
          </w:rPr>
          <w:instrText xml:space="preserve"> PAGEREF _Toc227670151 \h </w:instrText>
        </w:r>
        <w:r>
          <w:rPr>
            <w:webHidden/>
          </w:rPr>
        </w:r>
        <w:r>
          <w:rPr>
            <w:webHidden/>
          </w:rPr>
          <w:fldChar w:fldCharType="separate"/>
        </w:r>
        <w:r w:rsidR="00865B7D">
          <w:rPr>
            <w:webHidden/>
          </w:rPr>
          <w:t>37</w:t>
        </w:r>
        <w:r>
          <w:rPr>
            <w:webHidden/>
          </w:rPr>
          <w:fldChar w:fldCharType="end"/>
        </w:r>
      </w:hyperlink>
    </w:p>
    <w:p w14:paraId="77E9B08A" w14:textId="15AFA8B1"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2" w:history="1">
        <w:r w:rsidRPr="0071318D">
          <w:rPr>
            <w:rStyle w:val="Hypertextovprepojenie"/>
            <w:lang w:eastAsia="sk-SK"/>
          </w:rPr>
          <w:t>Tabuľka 16 - Štátny dlh podľa pôvodnej splatnosti</w:t>
        </w:r>
        <w:r>
          <w:rPr>
            <w:webHidden/>
          </w:rPr>
          <w:tab/>
        </w:r>
        <w:r>
          <w:rPr>
            <w:webHidden/>
          </w:rPr>
          <w:fldChar w:fldCharType="begin"/>
        </w:r>
        <w:r>
          <w:rPr>
            <w:webHidden/>
          </w:rPr>
          <w:instrText xml:space="preserve"> PAGEREF _Toc227670152 \h </w:instrText>
        </w:r>
        <w:r>
          <w:rPr>
            <w:webHidden/>
          </w:rPr>
        </w:r>
        <w:r>
          <w:rPr>
            <w:webHidden/>
          </w:rPr>
          <w:fldChar w:fldCharType="separate"/>
        </w:r>
        <w:r w:rsidR="00865B7D">
          <w:rPr>
            <w:webHidden/>
          </w:rPr>
          <w:t>37</w:t>
        </w:r>
        <w:r>
          <w:rPr>
            <w:webHidden/>
          </w:rPr>
          <w:fldChar w:fldCharType="end"/>
        </w:r>
      </w:hyperlink>
    </w:p>
    <w:p w14:paraId="5B268B74" w14:textId="1F7DA849"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3" w:history="1">
        <w:r w:rsidRPr="0071318D">
          <w:rPr>
            <w:rStyle w:val="Hypertextovprepojenie"/>
            <w:lang w:eastAsia="sk-SK"/>
          </w:rPr>
          <w:t>Tabuľka 17 - Štruktúra dlh obcí podľa dlhového nástroja</w:t>
        </w:r>
        <w:r>
          <w:rPr>
            <w:webHidden/>
          </w:rPr>
          <w:tab/>
        </w:r>
        <w:r>
          <w:rPr>
            <w:webHidden/>
          </w:rPr>
          <w:fldChar w:fldCharType="begin"/>
        </w:r>
        <w:r>
          <w:rPr>
            <w:webHidden/>
          </w:rPr>
          <w:instrText xml:space="preserve"> PAGEREF _Toc227670153 \h </w:instrText>
        </w:r>
        <w:r>
          <w:rPr>
            <w:webHidden/>
          </w:rPr>
        </w:r>
        <w:r>
          <w:rPr>
            <w:webHidden/>
          </w:rPr>
          <w:fldChar w:fldCharType="separate"/>
        </w:r>
        <w:r w:rsidR="00865B7D">
          <w:rPr>
            <w:webHidden/>
          </w:rPr>
          <w:t>38</w:t>
        </w:r>
        <w:r>
          <w:rPr>
            <w:webHidden/>
          </w:rPr>
          <w:fldChar w:fldCharType="end"/>
        </w:r>
      </w:hyperlink>
    </w:p>
    <w:p w14:paraId="70C0BB94" w14:textId="07EEE320"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4" w:history="1">
        <w:r w:rsidRPr="0071318D">
          <w:rPr>
            <w:rStyle w:val="Hypertextovprepojenie"/>
            <w:lang w:eastAsia="sk-SK"/>
          </w:rPr>
          <w:t>Tabuľka 18 - Štruktúra dlhu VÚC podľa dlhového nástroja</w:t>
        </w:r>
        <w:r>
          <w:rPr>
            <w:webHidden/>
          </w:rPr>
          <w:tab/>
        </w:r>
        <w:r>
          <w:rPr>
            <w:webHidden/>
          </w:rPr>
          <w:fldChar w:fldCharType="begin"/>
        </w:r>
        <w:r>
          <w:rPr>
            <w:webHidden/>
          </w:rPr>
          <w:instrText xml:space="preserve"> PAGEREF _Toc227670154 \h </w:instrText>
        </w:r>
        <w:r>
          <w:rPr>
            <w:webHidden/>
          </w:rPr>
        </w:r>
        <w:r>
          <w:rPr>
            <w:webHidden/>
          </w:rPr>
          <w:fldChar w:fldCharType="separate"/>
        </w:r>
        <w:r w:rsidR="00865B7D">
          <w:rPr>
            <w:webHidden/>
          </w:rPr>
          <w:t>39</w:t>
        </w:r>
        <w:r>
          <w:rPr>
            <w:webHidden/>
          </w:rPr>
          <w:fldChar w:fldCharType="end"/>
        </w:r>
      </w:hyperlink>
    </w:p>
    <w:p w14:paraId="2CE8FFD3" w14:textId="3E030676"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5" w:history="1">
        <w:r w:rsidRPr="0071318D">
          <w:rPr>
            <w:rStyle w:val="Hypertextovprepojenie"/>
            <w:lang w:eastAsia="sk-SK"/>
          </w:rPr>
          <w:t>Tabuľka 19 - Nekonsolidovaný dlh VÚC podľa samosprávnych krajov k 31.12.2025</w:t>
        </w:r>
        <w:r>
          <w:rPr>
            <w:webHidden/>
          </w:rPr>
          <w:tab/>
        </w:r>
        <w:r>
          <w:rPr>
            <w:webHidden/>
          </w:rPr>
          <w:fldChar w:fldCharType="begin"/>
        </w:r>
        <w:r>
          <w:rPr>
            <w:webHidden/>
          </w:rPr>
          <w:instrText xml:space="preserve"> PAGEREF _Toc227670155 \h </w:instrText>
        </w:r>
        <w:r>
          <w:rPr>
            <w:webHidden/>
          </w:rPr>
        </w:r>
        <w:r>
          <w:rPr>
            <w:webHidden/>
          </w:rPr>
          <w:fldChar w:fldCharType="separate"/>
        </w:r>
        <w:r w:rsidR="00865B7D">
          <w:rPr>
            <w:webHidden/>
          </w:rPr>
          <w:t>40</w:t>
        </w:r>
        <w:r>
          <w:rPr>
            <w:webHidden/>
          </w:rPr>
          <w:fldChar w:fldCharType="end"/>
        </w:r>
      </w:hyperlink>
    </w:p>
    <w:p w14:paraId="01AAFA3A" w14:textId="18E9E81B"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6" w:history="1">
        <w:r w:rsidRPr="0071318D">
          <w:rPr>
            <w:rStyle w:val="Hypertextovprepojenie"/>
          </w:rPr>
          <w:t>Tabuľka 20 - Rast čistých výdavkov podľa ESA 2010</w:t>
        </w:r>
        <w:r>
          <w:rPr>
            <w:webHidden/>
          </w:rPr>
          <w:tab/>
        </w:r>
        <w:r>
          <w:rPr>
            <w:webHidden/>
          </w:rPr>
          <w:fldChar w:fldCharType="begin"/>
        </w:r>
        <w:r>
          <w:rPr>
            <w:webHidden/>
          </w:rPr>
          <w:instrText xml:space="preserve"> PAGEREF _Toc227670156 \h </w:instrText>
        </w:r>
        <w:r>
          <w:rPr>
            <w:webHidden/>
          </w:rPr>
        </w:r>
        <w:r>
          <w:rPr>
            <w:webHidden/>
          </w:rPr>
          <w:fldChar w:fldCharType="separate"/>
        </w:r>
        <w:r w:rsidR="00865B7D">
          <w:rPr>
            <w:webHidden/>
          </w:rPr>
          <w:t>42</w:t>
        </w:r>
        <w:r>
          <w:rPr>
            <w:webHidden/>
          </w:rPr>
          <w:fldChar w:fldCharType="end"/>
        </w:r>
      </w:hyperlink>
    </w:p>
    <w:p w14:paraId="174E3BDE" w14:textId="38A9B366"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7" w:history="1">
        <w:r w:rsidRPr="0071318D">
          <w:rPr>
            <w:rStyle w:val="Hypertextovprepojenie"/>
            <w:lang w:eastAsia="sk-SK"/>
          </w:rPr>
          <w:t>Tabuľka 22 - Saldo a dlh v EÚ 27 (% HDP)</w:t>
        </w:r>
        <w:r w:rsidRPr="0071318D">
          <w:rPr>
            <w:rStyle w:val="Hypertextovprepojenie"/>
            <w:vertAlign w:val="superscript"/>
            <w:lang w:eastAsia="sk-SK"/>
          </w:rPr>
          <w:t>1)</w:t>
        </w:r>
        <w:r>
          <w:rPr>
            <w:webHidden/>
          </w:rPr>
          <w:tab/>
        </w:r>
        <w:r>
          <w:rPr>
            <w:webHidden/>
          </w:rPr>
          <w:fldChar w:fldCharType="begin"/>
        </w:r>
        <w:r>
          <w:rPr>
            <w:webHidden/>
          </w:rPr>
          <w:instrText xml:space="preserve"> PAGEREF _Toc227670157 \h </w:instrText>
        </w:r>
        <w:r>
          <w:rPr>
            <w:webHidden/>
          </w:rPr>
        </w:r>
        <w:r>
          <w:rPr>
            <w:webHidden/>
          </w:rPr>
          <w:fldChar w:fldCharType="separate"/>
        </w:r>
        <w:r w:rsidR="00865B7D">
          <w:rPr>
            <w:webHidden/>
          </w:rPr>
          <w:t>43</w:t>
        </w:r>
        <w:r>
          <w:rPr>
            <w:webHidden/>
          </w:rPr>
          <w:fldChar w:fldCharType="end"/>
        </w:r>
      </w:hyperlink>
    </w:p>
    <w:p w14:paraId="2F5B815A" w14:textId="56F67E03"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8" w:history="1">
        <w:r w:rsidRPr="0071318D">
          <w:rPr>
            <w:rStyle w:val="Hypertextovprepojenie"/>
            <w:lang w:eastAsia="sk-SK"/>
          </w:rPr>
          <w:t>Tabuľka 23 - Štátny rozpočet na hotovostnej báze</w:t>
        </w:r>
        <w:r>
          <w:rPr>
            <w:webHidden/>
          </w:rPr>
          <w:tab/>
        </w:r>
        <w:r>
          <w:rPr>
            <w:webHidden/>
          </w:rPr>
          <w:fldChar w:fldCharType="begin"/>
        </w:r>
        <w:r>
          <w:rPr>
            <w:webHidden/>
          </w:rPr>
          <w:instrText xml:space="preserve"> PAGEREF _Toc227670158 \h </w:instrText>
        </w:r>
        <w:r>
          <w:rPr>
            <w:webHidden/>
          </w:rPr>
        </w:r>
        <w:r>
          <w:rPr>
            <w:webHidden/>
          </w:rPr>
          <w:fldChar w:fldCharType="separate"/>
        </w:r>
        <w:r w:rsidR="00865B7D">
          <w:rPr>
            <w:webHidden/>
          </w:rPr>
          <w:t>45</w:t>
        </w:r>
        <w:r>
          <w:rPr>
            <w:webHidden/>
          </w:rPr>
          <w:fldChar w:fldCharType="end"/>
        </w:r>
      </w:hyperlink>
    </w:p>
    <w:p w14:paraId="647E3209" w14:textId="7ECD5DBB"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59" w:history="1">
        <w:r w:rsidRPr="0071318D">
          <w:rPr>
            <w:rStyle w:val="Hypertextovprepojenie"/>
            <w:lang w:eastAsia="sk-SK"/>
          </w:rPr>
          <w:t>Tabuľka 24 - Základný rámec štátneho rozpočtu</w:t>
        </w:r>
        <w:r>
          <w:rPr>
            <w:webHidden/>
          </w:rPr>
          <w:tab/>
        </w:r>
        <w:r>
          <w:rPr>
            <w:webHidden/>
          </w:rPr>
          <w:fldChar w:fldCharType="begin"/>
        </w:r>
        <w:r>
          <w:rPr>
            <w:webHidden/>
          </w:rPr>
          <w:instrText xml:space="preserve"> PAGEREF _Toc227670159 \h </w:instrText>
        </w:r>
        <w:r>
          <w:rPr>
            <w:webHidden/>
          </w:rPr>
        </w:r>
        <w:r>
          <w:rPr>
            <w:webHidden/>
          </w:rPr>
          <w:fldChar w:fldCharType="separate"/>
        </w:r>
        <w:r w:rsidR="00865B7D">
          <w:rPr>
            <w:webHidden/>
          </w:rPr>
          <w:t>46</w:t>
        </w:r>
        <w:r>
          <w:rPr>
            <w:webHidden/>
          </w:rPr>
          <w:fldChar w:fldCharType="end"/>
        </w:r>
      </w:hyperlink>
    </w:p>
    <w:p w14:paraId="58526307" w14:textId="7C641C90"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0" w:history="1">
        <w:r w:rsidRPr="0071318D">
          <w:rPr>
            <w:rStyle w:val="Hypertextovprepojenie"/>
            <w:lang w:eastAsia="sk-SK"/>
          </w:rPr>
          <w:t>Tabuľka 25 - Daňové príjmy štátneho rozpočtu na hotovostnej báze</w:t>
        </w:r>
        <w:r>
          <w:rPr>
            <w:webHidden/>
          </w:rPr>
          <w:tab/>
        </w:r>
        <w:r>
          <w:rPr>
            <w:webHidden/>
          </w:rPr>
          <w:fldChar w:fldCharType="begin"/>
        </w:r>
        <w:r>
          <w:rPr>
            <w:webHidden/>
          </w:rPr>
          <w:instrText xml:space="preserve"> PAGEREF _Toc227670160 \h </w:instrText>
        </w:r>
        <w:r>
          <w:rPr>
            <w:webHidden/>
          </w:rPr>
        </w:r>
        <w:r>
          <w:rPr>
            <w:webHidden/>
          </w:rPr>
          <w:fldChar w:fldCharType="separate"/>
        </w:r>
        <w:r w:rsidR="00865B7D">
          <w:rPr>
            <w:webHidden/>
          </w:rPr>
          <w:t>47</w:t>
        </w:r>
        <w:r>
          <w:rPr>
            <w:webHidden/>
          </w:rPr>
          <w:fldChar w:fldCharType="end"/>
        </w:r>
      </w:hyperlink>
    </w:p>
    <w:p w14:paraId="6BADE2A0" w14:textId="6AA583AC"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1" w:history="1">
        <w:r w:rsidRPr="0071318D">
          <w:rPr>
            <w:rStyle w:val="Hypertextovprepojenie"/>
            <w:lang w:eastAsia="sk-SK"/>
          </w:rPr>
          <w:t>Tabuľka 26 - Prevod podielu dane na osobitný účel</w:t>
        </w:r>
        <w:r>
          <w:rPr>
            <w:webHidden/>
          </w:rPr>
          <w:tab/>
        </w:r>
        <w:r>
          <w:rPr>
            <w:webHidden/>
          </w:rPr>
          <w:fldChar w:fldCharType="begin"/>
        </w:r>
        <w:r>
          <w:rPr>
            <w:webHidden/>
          </w:rPr>
          <w:instrText xml:space="preserve"> PAGEREF _Toc227670161 \h </w:instrText>
        </w:r>
        <w:r>
          <w:rPr>
            <w:webHidden/>
          </w:rPr>
        </w:r>
        <w:r>
          <w:rPr>
            <w:webHidden/>
          </w:rPr>
          <w:fldChar w:fldCharType="separate"/>
        </w:r>
        <w:r w:rsidR="00865B7D">
          <w:rPr>
            <w:webHidden/>
          </w:rPr>
          <w:t>49</w:t>
        </w:r>
        <w:r>
          <w:rPr>
            <w:webHidden/>
          </w:rPr>
          <w:fldChar w:fldCharType="end"/>
        </w:r>
      </w:hyperlink>
    </w:p>
    <w:p w14:paraId="08DC0139" w14:textId="5312D330"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2" w:history="1">
        <w:r w:rsidRPr="0071318D">
          <w:rPr>
            <w:rStyle w:val="Hypertextovprepojenie"/>
            <w:lang w:eastAsia="sk-SK"/>
          </w:rPr>
          <w:t>Tabuľka 27 - Povolené úľavy na dani a odpustenia nedoplatku / sankcie v roku 2025</w:t>
        </w:r>
        <w:r>
          <w:rPr>
            <w:webHidden/>
          </w:rPr>
          <w:tab/>
        </w:r>
        <w:r>
          <w:rPr>
            <w:webHidden/>
          </w:rPr>
          <w:fldChar w:fldCharType="begin"/>
        </w:r>
        <w:r>
          <w:rPr>
            <w:webHidden/>
          </w:rPr>
          <w:instrText xml:space="preserve"> PAGEREF _Toc227670162 \h </w:instrText>
        </w:r>
        <w:r>
          <w:rPr>
            <w:webHidden/>
          </w:rPr>
        </w:r>
        <w:r>
          <w:rPr>
            <w:webHidden/>
          </w:rPr>
          <w:fldChar w:fldCharType="separate"/>
        </w:r>
        <w:r w:rsidR="00865B7D">
          <w:rPr>
            <w:webHidden/>
          </w:rPr>
          <w:t>50</w:t>
        </w:r>
        <w:r>
          <w:rPr>
            <w:webHidden/>
          </w:rPr>
          <w:fldChar w:fldCharType="end"/>
        </w:r>
      </w:hyperlink>
    </w:p>
    <w:p w14:paraId="7B27AD2A" w14:textId="36D92B23"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3" w:history="1">
        <w:r w:rsidRPr="0071318D">
          <w:rPr>
            <w:rStyle w:val="Hypertextovprepojenie"/>
            <w:lang w:eastAsia="sk-SK"/>
          </w:rPr>
          <w:t>Tabuľka 28 - Nedaňové príjmy štátneho rozpočtu na hotovostnej báze</w:t>
        </w:r>
        <w:r>
          <w:rPr>
            <w:webHidden/>
          </w:rPr>
          <w:tab/>
        </w:r>
        <w:r>
          <w:rPr>
            <w:webHidden/>
          </w:rPr>
          <w:fldChar w:fldCharType="begin"/>
        </w:r>
        <w:r>
          <w:rPr>
            <w:webHidden/>
          </w:rPr>
          <w:instrText xml:space="preserve"> PAGEREF _Toc227670163 \h </w:instrText>
        </w:r>
        <w:r>
          <w:rPr>
            <w:webHidden/>
          </w:rPr>
        </w:r>
        <w:r>
          <w:rPr>
            <w:webHidden/>
          </w:rPr>
          <w:fldChar w:fldCharType="separate"/>
        </w:r>
        <w:r w:rsidR="00865B7D">
          <w:rPr>
            <w:webHidden/>
          </w:rPr>
          <w:t>51</w:t>
        </w:r>
        <w:r>
          <w:rPr>
            <w:webHidden/>
          </w:rPr>
          <w:fldChar w:fldCharType="end"/>
        </w:r>
      </w:hyperlink>
    </w:p>
    <w:p w14:paraId="3C2B0CB5" w14:textId="6DF9F947"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4" w:history="1">
        <w:r w:rsidRPr="0071318D">
          <w:rPr>
            <w:rStyle w:val="Hypertextovprepojenie"/>
            <w:lang w:eastAsia="sk-SK"/>
          </w:rPr>
          <w:t>Tabuľka 29 - Hotovostné dividendy podľa kapitol ŠR</w:t>
        </w:r>
        <w:r>
          <w:rPr>
            <w:webHidden/>
          </w:rPr>
          <w:tab/>
        </w:r>
        <w:r>
          <w:rPr>
            <w:webHidden/>
          </w:rPr>
          <w:fldChar w:fldCharType="begin"/>
        </w:r>
        <w:r>
          <w:rPr>
            <w:webHidden/>
          </w:rPr>
          <w:instrText xml:space="preserve"> PAGEREF _Toc227670164 \h </w:instrText>
        </w:r>
        <w:r>
          <w:rPr>
            <w:webHidden/>
          </w:rPr>
        </w:r>
        <w:r>
          <w:rPr>
            <w:webHidden/>
          </w:rPr>
          <w:fldChar w:fldCharType="separate"/>
        </w:r>
        <w:r w:rsidR="00865B7D">
          <w:rPr>
            <w:webHidden/>
          </w:rPr>
          <w:t>52</w:t>
        </w:r>
        <w:r>
          <w:rPr>
            <w:webHidden/>
          </w:rPr>
          <w:fldChar w:fldCharType="end"/>
        </w:r>
      </w:hyperlink>
    </w:p>
    <w:p w14:paraId="5A935DAF" w14:textId="26CC39D7"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5" w:history="1">
        <w:r w:rsidRPr="0071318D">
          <w:rPr>
            <w:rStyle w:val="Hypertextovprepojenie"/>
            <w:lang w:eastAsia="sk-SK"/>
          </w:rPr>
          <w:t>Tabuľka 30 - Granty a transfery štátneho rozpočtu na hotovostnej báze</w:t>
        </w:r>
        <w:r>
          <w:rPr>
            <w:webHidden/>
          </w:rPr>
          <w:tab/>
        </w:r>
        <w:r>
          <w:rPr>
            <w:webHidden/>
          </w:rPr>
          <w:fldChar w:fldCharType="begin"/>
        </w:r>
        <w:r>
          <w:rPr>
            <w:webHidden/>
          </w:rPr>
          <w:instrText xml:space="preserve"> PAGEREF _Toc227670165 \h </w:instrText>
        </w:r>
        <w:r>
          <w:rPr>
            <w:webHidden/>
          </w:rPr>
        </w:r>
        <w:r>
          <w:rPr>
            <w:webHidden/>
          </w:rPr>
          <w:fldChar w:fldCharType="separate"/>
        </w:r>
        <w:r w:rsidR="00865B7D">
          <w:rPr>
            <w:webHidden/>
          </w:rPr>
          <w:t>56</w:t>
        </w:r>
        <w:r>
          <w:rPr>
            <w:webHidden/>
          </w:rPr>
          <w:fldChar w:fldCharType="end"/>
        </w:r>
      </w:hyperlink>
    </w:p>
    <w:p w14:paraId="627DEBEC" w14:textId="3B1AA88F"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6" w:history="1">
        <w:r w:rsidRPr="0071318D">
          <w:rPr>
            <w:rStyle w:val="Hypertextovprepojenie"/>
            <w:lang w:eastAsia="sk-SK"/>
          </w:rPr>
          <w:t>Tabuľka 31 - Bežné výdavky štátneho rozpočtu</w:t>
        </w:r>
        <w:r>
          <w:rPr>
            <w:webHidden/>
          </w:rPr>
          <w:tab/>
        </w:r>
        <w:r>
          <w:rPr>
            <w:webHidden/>
          </w:rPr>
          <w:fldChar w:fldCharType="begin"/>
        </w:r>
        <w:r>
          <w:rPr>
            <w:webHidden/>
          </w:rPr>
          <w:instrText xml:space="preserve"> PAGEREF _Toc227670166 \h </w:instrText>
        </w:r>
        <w:r>
          <w:rPr>
            <w:webHidden/>
          </w:rPr>
        </w:r>
        <w:r>
          <w:rPr>
            <w:webHidden/>
          </w:rPr>
          <w:fldChar w:fldCharType="separate"/>
        </w:r>
        <w:r w:rsidR="00865B7D">
          <w:rPr>
            <w:webHidden/>
          </w:rPr>
          <w:t>58</w:t>
        </w:r>
        <w:r>
          <w:rPr>
            <w:webHidden/>
          </w:rPr>
          <w:fldChar w:fldCharType="end"/>
        </w:r>
      </w:hyperlink>
    </w:p>
    <w:p w14:paraId="13D0A56A" w14:textId="38CD72EF"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7" w:history="1">
        <w:r w:rsidRPr="0071318D">
          <w:rPr>
            <w:rStyle w:val="Hypertextovprepojenie"/>
            <w:lang w:eastAsia="sk-SK"/>
          </w:rPr>
          <w:t>Tabuľka 32 - Bežné transfery štátneho rozpočtu</w:t>
        </w:r>
        <w:r>
          <w:rPr>
            <w:webHidden/>
          </w:rPr>
          <w:tab/>
        </w:r>
        <w:r>
          <w:rPr>
            <w:webHidden/>
          </w:rPr>
          <w:fldChar w:fldCharType="begin"/>
        </w:r>
        <w:r>
          <w:rPr>
            <w:webHidden/>
          </w:rPr>
          <w:instrText xml:space="preserve"> PAGEREF _Toc227670167 \h </w:instrText>
        </w:r>
        <w:r>
          <w:rPr>
            <w:webHidden/>
          </w:rPr>
        </w:r>
        <w:r>
          <w:rPr>
            <w:webHidden/>
          </w:rPr>
          <w:fldChar w:fldCharType="separate"/>
        </w:r>
        <w:r w:rsidR="00865B7D">
          <w:rPr>
            <w:webHidden/>
          </w:rPr>
          <w:t>66</w:t>
        </w:r>
        <w:r>
          <w:rPr>
            <w:webHidden/>
          </w:rPr>
          <w:fldChar w:fldCharType="end"/>
        </w:r>
      </w:hyperlink>
    </w:p>
    <w:p w14:paraId="46667D78" w14:textId="67224C10"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8" w:history="1">
        <w:r w:rsidRPr="0071318D">
          <w:rPr>
            <w:rStyle w:val="Hypertextovprepojenie"/>
            <w:rFonts w:eastAsia="Times New Roman" w:cs="Times New Roman"/>
            <w:lang w:eastAsia="sk-SK"/>
          </w:rPr>
          <w:t>Tabuľka 33 - Výdavky na dlhovú službu</w:t>
        </w:r>
        <w:r>
          <w:rPr>
            <w:webHidden/>
          </w:rPr>
          <w:tab/>
        </w:r>
        <w:r>
          <w:rPr>
            <w:webHidden/>
          </w:rPr>
          <w:fldChar w:fldCharType="begin"/>
        </w:r>
        <w:r>
          <w:rPr>
            <w:webHidden/>
          </w:rPr>
          <w:instrText xml:space="preserve"> PAGEREF _Toc227670168 \h </w:instrText>
        </w:r>
        <w:r>
          <w:rPr>
            <w:webHidden/>
          </w:rPr>
        </w:r>
        <w:r>
          <w:rPr>
            <w:webHidden/>
          </w:rPr>
          <w:fldChar w:fldCharType="separate"/>
        </w:r>
        <w:r w:rsidR="00865B7D">
          <w:rPr>
            <w:webHidden/>
          </w:rPr>
          <w:t>68</w:t>
        </w:r>
        <w:r>
          <w:rPr>
            <w:webHidden/>
          </w:rPr>
          <w:fldChar w:fldCharType="end"/>
        </w:r>
      </w:hyperlink>
    </w:p>
    <w:p w14:paraId="64E833A4" w14:textId="379517D1"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69" w:history="1">
        <w:r w:rsidRPr="0071318D">
          <w:rPr>
            <w:rStyle w:val="Hypertextovprepojenie"/>
            <w:lang w:eastAsia="sk-SK"/>
          </w:rPr>
          <w:t>Tabuľka 34 - Prehľad príjmov a výdavkov na saldo účte Štátneho dlhu</w:t>
        </w:r>
        <w:r>
          <w:rPr>
            <w:webHidden/>
          </w:rPr>
          <w:tab/>
        </w:r>
        <w:r>
          <w:rPr>
            <w:webHidden/>
          </w:rPr>
          <w:fldChar w:fldCharType="begin"/>
        </w:r>
        <w:r>
          <w:rPr>
            <w:webHidden/>
          </w:rPr>
          <w:instrText xml:space="preserve"> PAGEREF _Toc227670169 \h </w:instrText>
        </w:r>
        <w:r>
          <w:rPr>
            <w:webHidden/>
          </w:rPr>
        </w:r>
        <w:r>
          <w:rPr>
            <w:webHidden/>
          </w:rPr>
          <w:fldChar w:fldCharType="separate"/>
        </w:r>
        <w:r w:rsidR="00865B7D">
          <w:rPr>
            <w:webHidden/>
          </w:rPr>
          <w:t>68</w:t>
        </w:r>
        <w:r>
          <w:rPr>
            <w:webHidden/>
          </w:rPr>
          <w:fldChar w:fldCharType="end"/>
        </w:r>
      </w:hyperlink>
    </w:p>
    <w:p w14:paraId="3B120C9F" w14:textId="19E2F102"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70" w:history="1">
        <w:r w:rsidRPr="0071318D">
          <w:rPr>
            <w:rStyle w:val="Hypertextovprepojenie"/>
            <w:lang w:eastAsia="sk-SK"/>
          </w:rPr>
          <w:t>Tabuľka 35 - Kapitálové výdavky štátneho rozpočtu</w:t>
        </w:r>
        <w:r>
          <w:rPr>
            <w:webHidden/>
          </w:rPr>
          <w:tab/>
        </w:r>
        <w:r>
          <w:rPr>
            <w:webHidden/>
          </w:rPr>
          <w:fldChar w:fldCharType="begin"/>
        </w:r>
        <w:r>
          <w:rPr>
            <w:webHidden/>
          </w:rPr>
          <w:instrText xml:space="preserve"> PAGEREF _Toc227670170 \h </w:instrText>
        </w:r>
        <w:r>
          <w:rPr>
            <w:webHidden/>
          </w:rPr>
        </w:r>
        <w:r>
          <w:rPr>
            <w:webHidden/>
          </w:rPr>
          <w:fldChar w:fldCharType="separate"/>
        </w:r>
        <w:r w:rsidR="00865B7D">
          <w:rPr>
            <w:webHidden/>
          </w:rPr>
          <w:t>73</w:t>
        </w:r>
        <w:r>
          <w:rPr>
            <w:webHidden/>
          </w:rPr>
          <w:fldChar w:fldCharType="end"/>
        </w:r>
      </w:hyperlink>
    </w:p>
    <w:p w14:paraId="3E7AF4C5" w14:textId="3AF55651"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71" w:history="1">
        <w:r w:rsidRPr="0071318D">
          <w:rPr>
            <w:rStyle w:val="Hypertextovprepojenie"/>
            <w:lang w:eastAsia="sk-SK"/>
          </w:rPr>
          <w:t>Tabuľka 36 - Kapitálové transfery štátneho rozpočtu</w:t>
        </w:r>
        <w:r>
          <w:rPr>
            <w:webHidden/>
          </w:rPr>
          <w:tab/>
        </w:r>
        <w:r>
          <w:rPr>
            <w:webHidden/>
          </w:rPr>
          <w:fldChar w:fldCharType="begin"/>
        </w:r>
        <w:r>
          <w:rPr>
            <w:webHidden/>
          </w:rPr>
          <w:instrText xml:space="preserve"> PAGEREF _Toc227670171 \h </w:instrText>
        </w:r>
        <w:r>
          <w:rPr>
            <w:webHidden/>
          </w:rPr>
        </w:r>
        <w:r>
          <w:rPr>
            <w:webHidden/>
          </w:rPr>
          <w:fldChar w:fldCharType="separate"/>
        </w:r>
        <w:r w:rsidR="00865B7D">
          <w:rPr>
            <w:webHidden/>
          </w:rPr>
          <w:t>76</w:t>
        </w:r>
        <w:r>
          <w:rPr>
            <w:webHidden/>
          </w:rPr>
          <w:fldChar w:fldCharType="end"/>
        </w:r>
      </w:hyperlink>
    </w:p>
    <w:p w14:paraId="0E0D0E93" w14:textId="00F43D2F" w:rsidR="00907015" w:rsidRPr="00907015" w:rsidRDefault="00907015">
      <w:pPr>
        <w:pStyle w:val="Zoznamobrzkov"/>
        <w:rPr>
          <w:rFonts w:asciiTheme="minorHAnsi" w:eastAsiaTheme="minorEastAsia" w:hAnsiTheme="minorHAnsi"/>
          <w:kern w:val="2"/>
          <w:sz w:val="24"/>
          <w:szCs w:val="24"/>
          <w:lang w:eastAsia="sk-SK"/>
          <w14:ligatures w14:val="standardContextual"/>
        </w:rPr>
      </w:pPr>
      <w:hyperlink w:anchor="_Toc227670172" w:history="1">
        <w:r w:rsidRPr="00907015">
          <w:rPr>
            <w:rStyle w:val="Hypertextovprepojenie"/>
          </w:rPr>
          <w:t>Tabuľka 37 - Prehľad hospodárenia s rezervami v roku 2025</w:t>
        </w:r>
        <w:r w:rsidRPr="00907015">
          <w:rPr>
            <w:webHidden/>
          </w:rPr>
          <w:tab/>
        </w:r>
        <w:r w:rsidRPr="00907015">
          <w:rPr>
            <w:webHidden/>
          </w:rPr>
          <w:fldChar w:fldCharType="begin"/>
        </w:r>
        <w:r w:rsidRPr="00907015">
          <w:rPr>
            <w:webHidden/>
          </w:rPr>
          <w:instrText xml:space="preserve"> PAGEREF _Toc227670172 \h </w:instrText>
        </w:r>
        <w:r w:rsidRPr="00907015">
          <w:rPr>
            <w:webHidden/>
          </w:rPr>
        </w:r>
        <w:r w:rsidRPr="00907015">
          <w:rPr>
            <w:webHidden/>
          </w:rPr>
          <w:fldChar w:fldCharType="separate"/>
        </w:r>
        <w:r w:rsidR="00865B7D">
          <w:rPr>
            <w:webHidden/>
          </w:rPr>
          <w:t>78</w:t>
        </w:r>
        <w:r w:rsidRPr="00907015">
          <w:rPr>
            <w:webHidden/>
          </w:rPr>
          <w:fldChar w:fldCharType="end"/>
        </w:r>
      </w:hyperlink>
    </w:p>
    <w:p w14:paraId="25F4CB2F" w14:textId="7A902A84" w:rsidR="00907015" w:rsidRPr="00907015" w:rsidRDefault="00907015">
      <w:pPr>
        <w:pStyle w:val="Zoznamobrzkov"/>
        <w:rPr>
          <w:rFonts w:asciiTheme="minorHAnsi" w:eastAsiaTheme="minorEastAsia" w:hAnsiTheme="minorHAnsi"/>
          <w:kern w:val="2"/>
          <w:sz w:val="24"/>
          <w:szCs w:val="24"/>
          <w:lang w:eastAsia="sk-SK"/>
          <w14:ligatures w14:val="standardContextual"/>
        </w:rPr>
      </w:pPr>
      <w:hyperlink w:anchor="_Toc227670173" w:history="1">
        <w:r w:rsidRPr="00907015">
          <w:rPr>
            <w:rStyle w:val="Hypertextovprepojenie"/>
            <w:lang w:eastAsia="sk-SK"/>
          </w:rPr>
          <w:t>Tabuľka 38 - Pohyb na vybraných účtoch štátnych finančných aktív</w:t>
        </w:r>
        <w:r w:rsidRPr="00907015">
          <w:rPr>
            <w:webHidden/>
          </w:rPr>
          <w:tab/>
        </w:r>
        <w:r w:rsidRPr="00907015">
          <w:rPr>
            <w:webHidden/>
          </w:rPr>
          <w:fldChar w:fldCharType="begin"/>
        </w:r>
        <w:r w:rsidRPr="00907015">
          <w:rPr>
            <w:webHidden/>
          </w:rPr>
          <w:instrText xml:space="preserve"> PAGEREF _Toc227670173 \h </w:instrText>
        </w:r>
        <w:r w:rsidRPr="00907015">
          <w:rPr>
            <w:webHidden/>
          </w:rPr>
        </w:r>
        <w:r w:rsidRPr="00907015">
          <w:rPr>
            <w:webHidden/>
          </w:rPr>
          <w:fldChar w:fldCharType="separate"/>
        </w:r>
        <w:r w:rsidR="00865B7D">
          <w:rPr>
            <w:webHidden/>
          </w:rPr>
          <w:t>80</w:t>
        </w:r>
        <w:r w:rsidRPr="00907015">
          <w:rPr>
            <w:webHidden/>
          </w:rPr>
          <w:fldChar w:fldCharType="end"/>
        </w:r>
      </w:hyperlink>
    </w:p>
    <w:p w14:paraId="3B23A33D" w14:textId="14E2D3F4" w:rsidR="00907015" w:rsidRPr="00907015" w:rsidRDefault="00907015">
      <w:pPr>
        <w:pStyle w:val="Zoznamobrzkov"/>
        <w:rPr>
          <w:rFonts w:asciiTheme="minorHAnsi" w:eastAsiaTheme="minorEastAsia" w:hAnsiTheme="minorHAnsi"/>
          <w:kern w:val="2"/>
          <w:sz w:val="24"/>
          <w:szCs w:val="24"/>
          <w:lang w:eastAsia="sk-SK"/>
          <w14:ligatures w14:val="standardContextual"/>
        </w:rPr>
      </w:pPr>
      <w:hyperlink w:anchor="_Toc227670174" w:history="1">
        <w:r w:rsidRPr="00907015">
          <w:rPr>
            <w:rStyle w:val="Hypertextovprepojenie"/>
          </w:rPr>
          <w:t>Tabuľka 39 - Príjmy z rozpočtu EÚ, odvody a príspevky do všeobecného rozpočtu EÚ</w:t>
        </w:r>
        <w:r w:rsidRPr="00907015">
          <w:rPr>
            <w:webHidden/>
          </w:rPr>
          <w:tab/>
        </w:r>
        <w:r w:rsidRPr="00907015">
          <w:rPr>
            <w:webHidden/>
          </w:rPr>
          <w:fldChar w:fldCharType="begin"/>
        </w:r>
        <w:r w:rsidRPr="00907015">
          <w:rPr>
            <w:webHidden/>
          </w:rPr>
          <w:instrText xml:space="preserve"> PAGEREF _Toc227670174 \h </w:instrText>
        </w:r>
        <w:r w:rsidRPr="00907015">
          <w:rPr>
            <w:webHidden/>
          </w:rPr>
        </w:r>
        <w:r w:rsidRPr="00907015">
          <w:rPr>
            <w:webHidden/>
          </w:rPr>
          <w:fldChar w:fldCharType="separate"/>
        </w:r>
        <w:r w:rsidR="00865B7D">
          <w:rPr>
            <w:webHidden/>
          </w:rPr>
          <w:t>84</w:t>
        </w:r>
        <w:r w:rsidRPr="00907015">
          <w:rPr>
            <w:webHidden/>
          </w:rPr>
          <w:fldChar w:fldCharType="end"/>
        </w:r>
      </w:hyperlink>
    </w:p>
    <w:p w14:paraId="613A3AD8" w14:textId="45893574" w:rsidR="00907015" w:rsidRPr="00907015" w:rsidRDefault="00907015">
      <w:pPr>
        <w:pStyle w:val="Zoznamobrzkov"/>
        <w:rPr>
          <w:rFonts w:asciiTheme="minorHAnsi" w:eastAsiaTheme="minorEastAsia" w:hAnsiTheme="minorHAnsi"/>
          <w:kern w:val="2"/>
          <w:sz w:val="24"/>
          <w:szCs w:val="24"/>
          <w:lang w:eastAsia="sk-SK"/>
          <w14:ligatures w14:val="standardContextual"/>
        </w:rPr>
      </w:pPr>
      <w:hyperlink w:anchor="_Toc227670175" w:history="1">
        <w:r w:rsidRPr="00907015">
          <w:rPr>
            <w:rStyle w:val="Hypertextovprepojenie"/>
          </w:rPr>
          <w:t>Tabuľka 40 - Prehľad o roč. príjmoch z rozp. EÚ a odvodoch a príspevkoch SR do všeob. rozpočtu EÚ</w:t>
        </w:r>
        <w:r w:rsidRPr="00907015">
          <w:rPr>
            <w:webHidden/>
          </w:rPr>
          <w:tab/>
        </w:r>
        <w:r w:rsidRPr="00907015">
          <w:rPr>
            <w:webHidden/>
          </w:rPr>
          <w:fldChar w:fldCharType="begin"/>
        </w:r>
        <w:r w:rsidRPr="00907015">
          <w:rPr>
            <w:webHidden/>
          </w:rPr>
          <w:instrText xml:space="preserve"> PAGEREF _Toc227670175 \h </w:instrText>
        </w:r>
        <w:r w:rsidRPr="00907015">
          <w:rPr>
            <w:webHidden/>
          </w:rPr>
        </w:r>
        <w:r w:rsidRPr="00907015">
          <w:rPr>
            <w:webHidden/>
          </w:rPr>
          <w:fldChar w:fldCharType="separate"/>
        </w:r>
        <w:r w:rsidR="00865B7D">
          <w:rPr>
            <w:webHidden/>
          </w:rPr>
          <w:t>84</w:t>
        </w:r>
        <w:r w:rsidRPr="00907015">
          <w:rPr>
            <w:webHidden/>
          </w:rPr>
          <w:fldChar w:fldCharType="end"/>
        </w:r>
      </w:hyperlink>
    </w:p>
    <w:p w14:paraId="11F04896" w14:textId="1307E0E0"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76" w:history="1">
        <w:r w:rsidRPr="00907015">
          <w:rPr>
            <w:rStyle w:val="Hypertextovprepojenie"/>
          </w:rPr>
          <w:t>Tabuľka 41 - Plnenie príjmov z rozpočtu EÚ (prostriedky EÚ, zahraničné granty)</w:t>
        </w:r>
        <w:r w:rsidRPr="00907015">
          <w:rPr>
            <w:webHidden/>
          </w:rPr>
          <w:tab/>
        </w:r>
        <w:r w:rsidRPr="00907015">
          <w:rPr>
            <w:webHidden/>
          </w:rPr>
          <w:fldChar w:fldCharType="begin"/>
        </w:r>
        <w:r w:rsidRPr="00907015">
          <w:rPr>
            <w:webHidden/>
          </w:rPr>
          <w:instrText xml:space="preserve"> PAGEREF _Toc227670176 \h </w:instrText>
        </w:r>
        <w:r w:rsidRPr="00907015">
          <w:rPr>
            <w:webHidden/>
          </w:rPr>
        </w:r>
        <w:r w:rsidRPr="00907015">
          <w:rPr>
            <w:webHidden/>
          </w:rPr>
          <w:fldChar w:fldCharType="separate"/>
        </w:r>
        <w:r w:rsidR="00865B7D">
          <w:rPr>
            <w:webHidden/>
          </w:rPr>
          <w:t>86</w:t>
        </w:r>
        <w:r w:rsidRPr="00907015">
          <w:rPr>
            <w:webHidden/>
          </w:rPr>
          <w:fldChar w:fldCharType="end"/>
        </w:r>
      </w:hyperlink>
    </w:p>
    <w:p w14:paraId="4A1D6D58" w14:textId="682C174E"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77" w:history="1">
        <w:r w:rsidRPr="0071318D">
          <w:rPr>
            <w:rStyle w:val="Hypertextovprepojenie"/>
          </w:rPr>
          <w:t>Tabuľka 42 - Výdavky za prostriedky EÚ</w:t>
        </w:r>
        <w:r>
          <w:rPr>
            <w:webHidden/>
          </w:rPr>
          <w:tab/>
        </w:r>
        <w:r>
          <w:rPr>
            <w:webHidden/>
          </w:rPr>
          <w:fldChar w:fldCharType="begin"/>
        </w:r>
        <w:r>
          <w:rPr>
            <w:webHidden/>
          </w:rPr>
          <w:instrText xml:space="preserve"> PAGEREF _Toc227670177 \h </w:instrText>
        </w:r>
        <w:r>
          <w:rPr>
            <w:webHidden/>
          </w:rPr>
        </w:r>
        <w:r>
          <w:rPr>
            <w:webHidden/>
          </w:rPr>
          <w:fldChar w:fldCharType="separate"/>
        </w:r>
        <w:r w:rsidR="00865B7D">
          <w:rPr>
            <w:webHidden/>
          </w:rPr>
          <w:t>88</w:t>
        </w:r>
        <w:r>
          <w:rPr>
            <w:webHidden/>
          </w:rPr>
          <w:fldChar w:fldCharType="end"/>
        </w:r>
      </w:hyperlink>
    </w:p>
    <w:p w14:paraId="65F8B46A" w14:textId="2F45C52F"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78" w:history="1">
        <w:r w:rsidRPr="0071318D">
          <w:rPr>
            <w:rStyle w:val="Hypertextovprepojenie"/>
          </w:rPr>
          <w:t>Tabuľka 43 – Výdavky na spolufin. zo ŠR vrátane vnútorných politík EÚ</w:t>
        </w:r>
        <w:r>
          <w:rPr>
            <w:webHidden/>
          </w:rPr>
          <w:tab/>
        </w:r>
        <w:r>
          <w:rPr>
            <w:webHidden/>
          </w:rPr>
          <w:fldChar w:fldCharType="begin"/>
        </w:r>
        <w:r>
          <w:rPr>
            <w:webHidden/>
          </w:rPr>
          <w:instrText xml:space="preserve"> PAGEREF _Toc227670178 \h </w:instrText>
        </w:r>
        <w:r>
          <w:rPr>
            <w:webHidden/>
          </w:rPr>
        </w:r>
        <w:r>
          <w:rPr>
            <w:webHidden/>
          </w:rPr>
          <w:fldChar w:fldCharType="separate"/>
        </w:r>
        <w:r w:rsidR="00865B7D">
          <w:rPr>
            <w:webHidden/>
          </w:rPr>
          <w:t>91</w:t>
        </w:r>
        <w:r>
          <w:rPr>
            <w:webHidden/>
          </w:rPr>
          <w:fldChar w:fldCharType="end"/>
        </w:r>
      </w:hyperlink>
    </w:p>
    <w:p w14:paraId="112E327C" w14:textId="6AC60664"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79" w:history="1">
        <w:r w:rsidRPr="0071318D">
          <w:rPr>
            <w:rStyle w:val="Hypertextovprepojenie"/>
          </w:rPr>
          <w:t>Tabuľka 44 – Prehľad komponentov Plánu obnovy</w:t>
        </w:r>
        <w:r>
          <w:rPr>
            <w:webHidden/>
          </w:rPr>
          <w:tab/>
        </w:r>
        <w:r>
          <w:rPr>
            <w:webHidden/>
          </w:rPr>
          <w:fldChar w:fldCharType="begin"/>
        </w:r>
        <w:r>
          <w:rPr>
            <w:webHidden/>
          </w:rPr>
          <w:instrText xml:space="preserve"> PAGEREF _Toc227670179 \h </w:instrText>
        </w:r>
        <w:r>
          <w:rPr>
            <w:webHidden/>
          </w:rPr>
        </w:r>
        <w:r>
          <w:rPr>
            <w:webHidden/>
          </w:rPr>
          <w:fldChar w:fldCharType="separate"/>
        </w:r>
        <w:r w:rsidR="00865B7D">
          <w:rPr>
            <w:webHidden/>
          </w:rPr>
          <w:t>95</w:t>
        </w:r>
        <w:r>
          <w:rPr>
            <w:webHidden/>
          </w:rPr>
          <w:fldChar w:fldCharType="end"/>
        </w:r>
      </w:hyperlink>
    </w:p>
    <w:p w14:paraId="5EC9B26B" w14:textId="345368B5" w:rsidR="00927B94" w:rsidRPr="001B0779" w:rsidRDefault="00927B94" w:rsidP="008B1431">
      <w:pPr>
        <w:pStyle w:val="Hlavikaobsahu1"/>
      </w:pPr>
      <w:r w:rsidRPr="00907015">
        <w:fldChar w:fldCharType="end"/>
      </w:r>
      <w:bookmarkStart w:id="2" w:name="_Toc227758884"/>
      <w:r w:rsidRPr="001B0779">
        <w:t>Zoznam grafov</w:t>
      </w:r>
      <w:bookmarkEnd w:id="2"/>
    </w:p>
    <w:p w14:paraId="15F8D0C0" w14:textId="51972E86" w:rsidR="00907015" w:rsidRDefault="00927B94">
      <w:pPr>
        <w:pStyle w:val="Zoznamobrzkov"/>
        <w:rPr>
          <w:rFonts w:asciiTheme="minorHAnsi" w:eastAsiaTheme="minorEastAsia" w:hAnsiTheme="minorHAnsi"/>
          <w:bCs w:val="0"/>
          <w:kern w:val="2"/>
          <w:sz w:val="24"/>
          <w:szCs w:val="24"/>
          <w:lang w:eastAsia="sk-SK"/>
          <w14:ligatures w14:val="standardContextual"/>
        </w:rPr>
      </w:pPr>
      <w:r w:rsidRPr="00290521">
        <w:rPr>
          <w:rFonts w:cs="Times New Roman"/>
          <w:bCs w:val="0"/>
          <w:sz w:val="24"/>
          <w:szCs w:val="24"/>
        </w:rPr>
        <w:fldChar w:fldCharType="begin"/>
      </w:r>
      <w:r w:rsidRPr="00290521">
        <w:rPr>
          <w:rFonts w:cs="Times New Roman"/>
          <w:bCs w:val="0"/>
          <w:sz w:val="24"/>
          <w:szCs w:val="24"/>
        </w:rPr>
        <w:instrText xml:space="preserve"> TOC \h \z \c "Graf" </w:instrText>
      </w:r>
      <w:r w:rsidRPr="00290521">
        <w:rPr>
          <w:rFonts w:cs="Times New Roman"/>
          <w:bCs w:val="0"/>
          <w:sz w:val="24"/>
          <w:szCs w:val="24"/>
        </w:rPr>
        <w:fldChar w:fldCharType="separate"/>
      </w:r>
      <w:hyperlink w:anchor="_Toc227670123" w:history="1">
        <w:r w:rsidR="00907015" w:rsidRPr="00BF7CCF">
          <w:rPr>
            <w:rStyle w:val="Hypertextovprepojenie"/>
          </w:rPr>
          <w:t>Graf 1 - Vývoj HDP a jeho hlavných zložiek</w:t>
        </w:r>
        <w:r w:rsidR="00907015">
          <w:rPr>
            <w:webHidden/>
          </w:rPr>
          <w:tab/>
        </w:r>
        <w:r w:rsidR="00907015">
          <w:rPr>
            <w:webHidden/>
          </w:rPr>
          <w:fldChar w:fldCharType="begin"/>
        </w:r>
        <w:r w:rsidR="00907015">
          <w:rPr>
            <w:webHidden/>
          </w:rPr>
          <w:instrText xml:space="preserve"> PAGEREF _Toc227670123 \h </w:instrText>
        </w:r>
        <w:r w:rsidR="00907015">
          <w:rPr>
            <w:webHidden/>
          </w:rPr>
        </w:r>
        <w:r w:rsidR="00907015">
          <w:rPr>
            <w:webHidden/>
          </w:rPr>
          <w:fldChar w:fldCharType="separate"/>
        </w:r>
        <w:r w:rsidR="00865B7D">
          <w:rPr>
            <w:webHidden/>
          </w:rPr>
          <w:t>5</w:t>
        </w:r>
        <w:r w:rsidR="00907015">
          <w:rPr>
            <w:webHidden/>
          </w:rPr>
          <w:fldChar w:fldCharType="end"/>
        </w:r>
      </w:hyperlink>
    </w:p>
    <w:p w14:paraId="056D1DAF" w14:textId="4B992C19"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24" w:history="1">
        <w:r w:rsidRPr="00BF7CCF">
          <w:rPr>
            <w:rStyle w:val="Hypertextovprepojenie"/>
          </w:rPr>
          <w:t>Graf 2 - Príspevky sektorov k vývoju medzi-kvartálneho rastu zamestnanosti (ESA, v p. b.)</w:t>
        </w:r>
        <w:r>
          <w:rPr>
            <w:webHidden/>
          </w:rPr>
          <w:tab/>
        </w:r>
        <w:r>
          <w:rPr>
            <w:webHidden/>
          </w:rPr>
          <w:fldChar w:fldCharType="begin"/>
        </w:r>
        <w:r>
          <w:rPr>
            <w:webHidden/>
          </w:rPr>
          <w:instrText xml:space="preserve"> PAGEREF _Toc227670124 \h </w:instrText>
        </w:r>
        <w:r>
          <w:rPr>
            <w:webHidden/>
          </w:rPr>
        </w:r>
        <w:r>
          <w:rPr>
            <w:webHidden/>
          </w:rPr>
          <w:fldChar w:fldCharType="separate"/>
        </w:r>
        <w:r w:rsidR="00865B7D">
          <w:rPr>
            <w:webHidden/>
          </w:rPr>
          <w:t>6</w:t>
        </w:r>
        <w:r>
          <w:rPr>
            <w:webHidden/>
          </w:rPr>
          <w:fldChar w:fldCharType="end"/>
        </w:r>
      </w:hyperlink>
    </w:p>
    <w:p w14:paraId="46188470" w14:textId="74893F52"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25" w:history="1">
        <w:r w:rsidRPr="00BF7CCF">
          <w:rPr>
            <w:rStyle w:val="Hypertextovprepojenie"/>
          </w:rPr>
          <w:t>Graf 3 - Rast reálnej a nominálnej mzdy (medziročný rast v %)</w:t>
        </w:r>
        <w:r>
          <w:rPr>
            <w:webHidden/>
          </w:rPr>
          <w:tab/>
        </w:r>
        <w:r>
          <w:rPr>
            <w:webHidden/>
          </w:rPr>
          <w:fldChar w:fldCharType="begin"/>
        </w:r>
        <w:r>
          <w:rPr>
            <w:webHidden/>
          </w:rPr>
          <w:instrText xml:space="preserve"> PAGEREF _Toc227670125 \h </w:instrText>
        </w:r>
        <w:r>
          <w:rPr>
            <w:webHidden/>
          </w:rPr>
        </w:r>
        <w:r>
          <w:rPr>
            <w:webHidden/>
          </w:rPr>
          <w:fldChar w:fldCharType="separate"/>
        </w:r>
        <w:r w:rsidR="00865B7D">
          <w:rPr>
            <w:webHidden/>
          </w:rPr>
          <w:t>6</w:t>
        </w:r>
        <w:r>
          <w:rPr>
            <w:webHidden/>
          </w:rPr>
          <w:fldChar w:fldCharType="end"/>
        </w:r>
      </w:hyperlink>
    </w:p>
    <w:p w14:paraId="359D8991" w14:textId="54A3A5AF"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26" w:history="1">
        <w:r w:rsidRPr="00BF7CCF">
          <w:rPr>
            <w:rStyle w:val="Hypertextovprepojenie"/>
          </w:rPr>
          <w:t>Graf 4 - Štruktúra spotrebiteľskej inflácie–medziročné príspevky zložiek CPI (p. b.)</w:t>
        </w:r>
        <w:r>
          <w:rPr>
            <w:webHidden/>
          </w:rPr>
          <w:tab/>
        </w:r>
        <w:r>
          <w:rPr>
            <w:webHidden/>
          </w:rPr>
          <w:fldChar w:fldCharType="begin"/>
        </w:r>
        <w:r>
          <w:rPr>
            <w:webHidden/>
          </w:rPr>
          <w:instrText xml:space="preserve"> PAGEREF _Toc227670126 \h </w:instrText>
        </w:r>
        <w:r>
          <w:rPr>
            <w:webHidden/>
          </w:rPr>
        </w:r>
        <w:r>
          <w:rPr>
            <w:webHidden/>
          </w:rPr>
          <w:fldChar w:fldCharType="separate"/>
        </w:r>
        <w:r w:rsidR="00865B7D">
          <w:rPr>
            <w:webHidden/>
          </w:rPr>
          <w:t>7</w:t>
        </w:r>
        <w:r>
          <w:rPr>
            <w:webHidden/>
          </w:rPr>
          <w:fldChar w:fldCharType="end"/>
        </w:r>
      </w:hyperlink>
    </w:p>
    <w:p w14:paraId="77B34116" w14:textId="3E12A5C8"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27" w:history="1">
        <w:r w:rsidRPr="00BF7CCF">
          <w:rPr>
            <w:rStyle w:val="Hypertextovprepojenie"/>
          </w:rPr>
          <w:t>Graf 5 - Vývoj bežného účtu platobnej bilancie podľa jeho zložiek (% HDP)</w:t>
        </w:r>
        <w:r>
          <w:rPr>
            <w:webHidden/>
          </w:rPr>
          <w:tab/>
        </w:r>
        <w:r>
          <w:rPr>
            <w:webHidden/>
          </w:rPr>
          <w:fldChar w:fldCharType="begin"/>
        </w:r>
        <w:r>
          <w:rPr>
            <w:webHidden/>
          </w:rPr>
          <w:instrText xml:space="preserve"> PAGEREF _Toc227670127 \h </w:instrText>
        </w:r>
        <w:r>
          <w:rPr>
            <w:webHidden/>
          </w:rPr>
        </w:r>
        <w:r>
          <w:rPr>
            <w:webHidden/>
          </w:rPr>
          <w:fldChar w:fldCharType="separate"/>
        </w:r>
        <w:r w:rsidR="00865B7D">
          <w:rPr>
            <w:webHidden/>
          </w:rPr>
          <w:t>7</w:t>
        </w:r>
        <w:r>
          <w:rPr>
            <w:webHidden/>
          </w:rPr>
          <w:fldChar w:fldCharType="end"/>
        </w:r>
      </w:hyperlink>
    </w:p>
    <w:p w14:paraId="32D4D8C9" w14:textId="5804B948"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28" w:history="1">
        <w:r w:rsidRPr="00BF7CCF">
          <w:rPr>
            <w:rStyle w:val="Hypertextovprepojenie"/>
            <w:lang w:eastAsia="sk-SK"/>
          </w:rPr>
          <w:t>Graf 6 - Rozdiely vysvetľujúce skutočnú a rozpočtovanú úroveň hrubého dlhu VS (% HDP)</w:t>
        </w:r>
        <w:r>
          <w:rPr>
            <w:webHidden/>
          </w:rPr>
          <w:tab/>
        </w:r>
        <w:r>
          <w:rPr>
            <w:webHidden/>
          </w:rPr>
          <w:fldChar w:fldCharType="begin"/>
        </w:r>
        <w:r>
          <w:rPr>
            <w:webHidden/>
          </w:rPr>
          <w:instrText xml:space="preserve"> PAGEREF _Toc227670128 \h </w:instrText>
        </w:r>
        <w:r>
          <w:rPr>
            <w:webHidden/>
          </w:rPr>
        </w:r>
        <w:r>
          <w:rPr>
            <w:webHidden/>
          </w:rPr>
          <w:fldChar w:fldCharType="separate"/>
        </w:r>
        <w:r w:rsidR="00865B7D">
          <w:rPr>
            <w:webHidden/>
          </w:rPr>
          <w:t>34</w:t>
        </w:r>
        <w:r>
          <w:rPr>
            <w:webHidden/>
          </w:rPr>
          <w:fldChar w:fldCharType="end"/>
        </w:r>
      </w:hyperlink>
    </w:p>
    <w:p w14:paraId="2A8D7129" w14:textId="7B2AB17B"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29" w:history="1">
        <w:r w:rsidRPr="00BF7CCF">
          <w:rPr>
            <w:rStyle w:val="Hypertextovprepojenie"/>
          </w:rPr>
          <w:t>Graf 7 – Vývoj výdavkov ŠR na Plán obnovy po zohľadnení príjmov z EÚ</w:t>
        </w:r>
        <w:r>
          <w:rPr>
            <w:webHidden/>
          </w:rPr>
          <w:tab/>
        </w:r>
        <w:r>
          <w:rPr>
            <w:webHidden/>
          </w:rPr>
          <w:fldChar w:fldCharType="begin"/>
        </w:r>
        <w:r>
          <w:rPr>
            <w:webHidden/>
          </w:rPr>
          <w:instrText xml:space="preserve"> PAGEREF _Toc227670129 \h </w:instrText>
        </w:r>
        <w:r>
          <w:rPr>
            <w:webHidden/>
          </w:rPr>
        </w:r>
        <w:r>
          <w:rPr>
            <w:webHidden/>
          </w:rPr>
          <w:fldChar w:fldCharType="separate"/>
        </w:r>
        <w:r w:rsidR="00865B7D">
          <w:rPr>
            <w:webHidden/>
          </w:rPr>
          <w:t>98</w:t>
        </w:r>
        <w:r>
          <w:rPr>
            <w:webHidden/>
          </w:rPr>
          <w:fldChar w:fldCharType="end"/>
        </w:r>
      </w:hyperlink>
    </w:p>
    <w:p w14:paraId="0F3AF914" w14:textId="3708036D" w:rsidR="00907015" w:rsidRDefault="00907015">
      <w:pPr>
        <w:pStyle w:val="Zoznamobrzkov"/>
        <w:rPr>
          <w:rFonts w:asciiTheme="minorHAnsi" w:eastAsiaTheme="minorEastAsia" w:hAnsiTheme="minorHAnsi"/>
          <w:bCs w:val="0"/>
          <w:kern w:val="2"/>
          <w:sz w:val="24"/>
          <w:szCs w:val="24"/>
          <w:lang w:eastAsia="sk-SK"/>
          <w14:ligatures w14:val="standardContextual"/>
        </w:rPr>
      </w:pPr>
      <w:hyperlink w:anchor="_Toc227670130" w:history="1">
        <w:r w:rsidRPr="00BF7CCF">
          <w:rPr>
            <w:rStyle w:val="Hypertextovprepojenie"/>
          </w:rPr>
          <w:t>Graf 8 – Čerpanie prostriedkov POO podľa komponentov</w:t>
        </w:r>
        <w:r>
          <w:rPr>
            <w:webHidden/>
          </w:rPr>
          <w:tab/>
        </w:r>
        <w:r>
          <w:rPr>
            <w:webHidden/>
          </w:rPr>
          <w:fldChar w:fldCharType="begin"/>
        </w:r>
        <w:r>
          <w:rPr>
            <w:webHidden/>
          </w:rPr>
          <w:instrText xml:space="preserve"> PAGEREF _Toc227670130 \h </w:instrText>
        </w:r>
        <w:r>
          <w:rPr>
            <w:webHidden/>
          </w:rPr>
        </w:r>
        <w:r>
          <w:rPr>
            <w:webHidden/>
          </w:rPr>
          <w:fldChar w:fldCharType="separate"/>
        </w:r>
        <w:r w:rsidR="00865B7D">
          <w:rPr>
            <w:webHidden/>
          </w:rPr>
          <w:t>98</w:t>
        </w:r>
        <w:r>
          <w:rPr>
            <w:webHidden/>
          </w:rPr>
          <w:fldChar w:fldCharType="end"/>
        </w:r>
      </w:hyperlink>
    </w:p>
    <w:p w14:paraId="258D44A7" w14:textId="64723D2B" w:rsidR="004E668B" w:rsidRPr="00F36C41" w:rsidRDefault="00927B94" w:rsidP="008B1431">
      <w:pPr>
        <w:pStyle w:val="Nadpis1"/>
        <w:numPr>
          <w:ilvl w:val="0"/>
          <w:numId w:val="0"/>
        </w:numPr>
      </w:pPr>
      <w:r w:rsidRPr="00290521">
        <w:lastRenderedPageBreak/>
        <w:fldChar w:fldCharType="end"/>
      </w:r>
      <w:bookmarkStart w:id="3" w:name="_Toc227758885"/>
      <w:r w:rsidR="004E668B" w:rsidRPr="00F36C41">
        <w:t>Zhrnutie</w:t>
      </w:r>
      <w:bookmarkEnd w:id="3"/>
    </w:p>
    <w:p w14:paraId="72A689FC" w14:textId="77777777" w:rsidR="00AC1D94" w:rsidRPr="000F4537" w:rsidRDefault="00AC1D94" w:rsidP="00532D85">
      <w:pPr>
        <w:spacing w:line="240" w:lineRule="auto"/>
        <w:jc w:val="both"/>
        <w:rPr>
          <w:szCs w:val="24"/>
        </w:rPr>
      </w:pPr>
    </w:p>
    <w:p w14:paraId="0F79E32A" w14:textId="0FE6DF01" w:rsidR="009A05C7" w:rsidRDefault="009A05C7" w:rsidP="008B1431">
      <w:pPr>
        <w:numPr>
          <w:ilvl w:val="0"/>
          <w:numId w:val="4"/>
        </w:numPr>
        <w:spacing w:after="120" w:line="240" w:lineRule="auto"/>
        <w:ind w:left="357" w:right="-284" w:hanging="357"/>
        <w:jc w:val="both"/>
        <w:rPr>
          <w:szCs w:val="24"/>
        </w:rPr>
      </w:pPr>
      <w:r w:rsidRPr="00F36C41">
        <w:rPr>
          <w:b/>
          <w:szCs w:val="24"/>
        </w:rPr>
        <w:t>Verejná správa v roku 202</w:t>
      </w:r>
      <w:r w:rsidR="00F36C41" w:rsidRPr="00F36C41">
        <w:rPr>
          <w:b/>
          <w:szCs w:val="24"/>
        </w:rPr>
        <w:t>5</w:t>
      </w:r>
      <w:r w:rsidRPr="00F36C41">
        <w:rPr>
          <w:b/>
          <w:szCs w:val="24"/>
        </w:rPr>
        <w:t xml:space="preserve"> na základe predbežných výsledkov notifikovaných </w:t>
      </w:r>
      <w:r w:rsidRPr="003F2153">
        <w:rPr>
          <w:b/>
          <w:szCs w:val="24"/>
        </w:rPr>
        <w:t>v metodike ESA 2010</w:t>
      </w:r>
      <w:r w:rsidRPr="003F2153">
        <w:rPr>
          <w:rStyle w:val="Odkaznapoznmkupodiarou"/>
          <w:b/>
          <w:szCs w:val="24"/>
        </w:rPr>
        <w:footnoteReference w:id="1"/>
      </w:r>
      <w:r w:rsidRPr="003F2153">
        <w:rPr>
          <w:b/>
          <w:szCs w:val="24"/>
        </w:rPr>
        <w:t xml:space="preserve"> hospodárila so schodkom 6 </w:t>
      </w:r>
      <w:r w:rsidR="00F36C41" w:rsidRPr="003F2153">
        <w:rPr>
          <w:b/>
          <w:szCs w:val="24"/>
        </w:rPr>
        <w:t>08</w:t>
      </w:r>
      <w:r w:rsidR="00E431F5" w:rsidRPr="003F2153">
        <w:rPr>
          <w:b/>
          <w:szCs w:val="24"/>
        </w:rPr>
        <w:t>6</w:t>
      </w:r>
      <w:r w:rsidRPr="003F2153">
        <w:rPr>
          <w:b/>
          <w:szCs w:val="24"/>
        </w:rPr>
        <w:t> </w:t>
      </w:r>
      <w:r w:rsidR="00E431F5" w:rsidRPr="003F2153">
        <w:rPr>
          <w:b/>
          <w:szCs w:val="24"/>
        </w:rPr>
        <w:t>305</w:t>
      </w:r>
      <w:r w:rsidRPr="003F2153">
        <w:rPr>
          <w:b/>
          <w:szCs w:val="24"/>
        </w:rPr>
        <w:t> tis. eur, čo predstavuje</w:t>
      </w:r>
      <w:r w:rsidR="007232E9" w:rsidRPr="003F2153">
        <w:rPr>
          <w:b/>
          <w:szCs w:val="24"/>
        </w:rPr>
        <w:t xml:space="preserve"> </w:t>
      </w:r>
      <w:r w:rsidRPr="003F2153">
        <w:rPr>
          <w:b/>
          <w:szCs w:val="24"/>
        </w:rPr>
        <w:t>-</w:t>
      </w:r>
      <w:r w:rsidR="00F6250D" w:rsidRPr="003F2153">
        <w:rPr>
          <w:b/>
          <w:szCs w:val="24"/>
        </w:rPr>
        <w:t> </w:t>
      </w:r>
      <w:r w:rsidR="00F36C41" w:rsidRPr="003F2153">
        <w:rPr>
          <w:b/>
          <w:szCs w:val="24"/>
        </w:rPr>
        <w:t>4</w:t>
      </w:r>
      <w:r w:rsidRPr="003F2153">
        <w:rPr>
          <w:b/>
          <w:szCs w:val="24"/>
        </w:rPr>
        <w:t>,</w:t>
      </w:r>
      <w:r w:rsidR="00F36C41" w:rsidRPr="003F2153">
        <w:rPr>
          <w:b/>
          <w:szCs w:val="24"/>
        </w:rPr>
        <w:t>45</w:t>
      </w:r>
      <w:r w:rsidRPr="003F2153">
        <w:rPr>
          <w:b/>
          <w:szCs w:val="24"/>
        </w:rPr>
        <w:t> % HDP.</w:t>
      </w:r>
      <w:r w:rsidRPr="003F2153">
        <w:rPr>
          <w:szCs w:val="24"/>
        </w:rPr>
        <w:t xml:space="preserve"> Rozpočet verejnej správy na rok 202</w:t>
      </w:r>
      <w:r w:rsidR="00F36C41" w:rsidRPr="003F2153">
        <w:rPr>
          <w:szCs w:val="24"/>
        </w:rPr>
        <w:t>5</w:t>
      </w:r>
      <w:r w:rsidRPr="003F2153">
        <w:rPr>
          <w:szCs w:val="24"/>
        </w:rPr>
        <w:t xml:space="preserve"> predpokladal deficitné hospodárenie na</w:t>
      </w:r>
      <w:r w:rsidR="00F36C41" w:rsidRPr="003F2153">
        <w:rPr>
          <w:szCs w:val="24"/>
        </w:rPr>
        <w:t> </w:t>
      </w:r>
      <w:r w:rsidRPr="003F2153">
        <w:rPr>
          <w:szCs w:val="24"/>
        </w:rPr>
        <w:t>úrovni -</w:t>
      </w:r>
      <w:r w:rsidR="00F6250D" w:rsidRPr="003F2153">
        <w:rPr>
          <w:szCs w:val="24"/>
        </w:rPr>
        <w:t> </w:t>
      </w:r>
      <w:r w:rsidR="00F36C41" w:rsidRPr="003F2153">
        <w:rPr>
          <w:szCs w:val="24"/>
        </w:rPr>
        <w:t>4</w:t>
      </w:r>
      <w:r w:rsidRPr="003F2153">
        <w:rPr>
          <w:szCs w:val="24"/>
        </w:rPr>
        <w:t>,</w:t>
      </w:r>
      <w:r w:rsidR="00F36C41" w:rsidRPr="003F2153">
        <w:rPr>
          <w:szCs w:val="24"/>
        </w:rPr>
        <w:t>72</w:t>
      </w:r>
      <w:r w:rsidRPr="003F2153">
        <w:rPr>
          <w:szCs w:val="24"/>
        </w:rPr>
        <w:t> % HDP.</w:t>
      </w:r>
    </w:p>
    <w:p w14:paraId="61DF4521" w14:textId="7A3691EA" w:rsidR="00CA23BE" w:rsidRPr="003F2153" w:rsidRDefault="00CA23BE" w:rsidP="008B1431">
      <w:pPr>
        <w:numPr>
          <w:ilvl w:val="0"/>
          <w:numId w:val="4"/>
        </w:numPr>
        <w:spacing w:after="120" w:line="240" w:lineRule="auto"/>
        <w:ind w:left="357" w:right="-284" w:hanging="357"/>
        <w:jc w:val="both"/>
        <w:rPr>
          <w:szCs w:val="24"/>
        </w:rPr>
      </w:pPr>
      <w:r>
        <w:rPr>
          <w:b/>
          <w:szCs w:val="24"/>
        </w:rPr>
        <w:t>Predbežný deficit verejnej správy je oproti rozpočtu nižší o</w:t>
      </w:r>
      <w:r w:rsidR="002F32E3">
        <w:rPr>
          <w:b/>
          <w:szCs w:val="24"/>
        </w:rPr>
        <w:t> </w:t>
      </w:r>
      <w:r>
        <w:rPr>
          <w:b/>
          <w:szCs w:val="24"/>
        </w:rPr>
        <w:t>517</w:t>
      </w:r>
      <w:r w:rsidR="002F32E3">
        <w:rPr>
          <w:b/>
          <w:szCs w:val="24"/>
        </w:rPr>
        <w:t> </w:t>
      </w:r>
      <w:r>
        <w:rPr>
          <w:b/>
          <w:szCs w:val="24"/>
        </w:rPr>
        <w:t>mil.</w:t>
      </w:r>
      <w:r w:rsidR="002F32E3">
        <w:rPr>
          <w:b/>
          <w:szCs w:val="24"/>
        </w:rPr>
        <w:t> </w:t>
      </w:r>
      <w:r>
        <w:rPr>
          <w:szCs w:val="24"/>
        </w:rPr>
        <w:t>eur, čo predstavuje 0,27</w:t>
      </w:r>
      <w:r w:rsidR="002F32E3">
        <w:rPr>
          <w:szCs w:val="24"/>
        </w:rPr>
        <w:t> </w:t>
      </w:r>
      <w:r>
        <w:rPr>
          <w:szCs w:val="24"/>
        </w:rPr>
        <w:t>p.</w:t>
      </w:r>
      <w:r w:rsidR="002F32E3">
        <w:rPr>
          <w:szCs w:val="24"/>
        </w:rPr>
        <w:t> </w:t>
      </w:r>
      <w:r>
        <w:rPr>
          <w:szCs w:val="24"/>
        </w:rPr>
        <w:t>b. V medziročnom porovnaní schodok verejných financií celej verejnej správy klesol o 876,4</w:t>
      </w:r>
      <w:r w:rsidR="002F32E3">
        <w:rPr>
          <w:szCs w:val="24"/>
        </w:rPr>
        <w:t> </w:t>
      </w:r>
      <w:r>
        <w:rPr>
          <w:szCs w:val="24"/>
        </w:rPr>
        <w:t>mil.</w:t>
      </w:r>
      <w:r w:rsidR="002F32E3">
        <w:rPr>
          <w:szCs w:val="24"/>
        </w:rPr>
        <w:t> </w:t>
      </w:r>
      <w:r>
        <w:rPr>
          <w:szCs w:val="24"/>
        </w:rPr>
        <w:t>eur.</w:t>
      </w:r>
    </w:p>
    <w:p w14:paraId="520C7309" w14:textId="28B53B16" w:rsidR="009A05C7" w:rsidRDefault="009A05C7" w:rsidP="008B1431">
      <w:pPr>
        <w:numPr>
          <w:ilvl w:val="0"/>
          <w:numId w:val="4"/>
        </w:numPr>
        <w:spacing w:after="120" w:line="240" w:lineRule="auto"/>
        <w:ind w:left="357" w:right="-284" w:hanging="357"/>
        <w:jc w:val="both"/>
        <w:rPr>
          <w:szCs w:val="24"/>
        </w:rPr>
      </w:pPr>
      <w:r w:rsidRPr="003F2153">
        <w:rPr>
          <w:b/>
          <w:szCs w:val="24"/>
        </w:rPr>
        <w:t>Dlh verejnej správy</w:t>
      </w:r>
      <w:r w:rsidRPr="003F2153">
        <w:rPr>
          <w:szCs w:val="24"/>
        </w:rPr>
        <w:t xml:space="preserve"> </w:t>
      </w:r>
      <w:r w:rsidRPr="003F2153">
        <w:rPr>
          <w:b/>
          <w:szCs w:val="24"/>
        </w:rPr>
        <w:t>k 31. 12. 202</w:t>
      </w:r>
      <w:r w:rsidR="00023E31" w:rsidRPr="003F2153">
        <w:rPr>
          <w:b/>
          <w:szCs w:val="24"/>
        </w:rPr>
        <w:t>5</w:t>
      </w:r>
      <w:r w:rsidRPr="003F2153">
        <w:rPr>
          <w:b/>
          <w:szCs w:val="24"/>
        </w:rPr>
        <w:t xml:space="preserve"> </w:t>
      </w:r>
      <w:r w:rsidRPr="003F2153">
        <w:rPr>
          <w:szCs w:val="24"/>
        </w:rPr>
        <w:t xml:space="preserve">na základe </w:t>
      </w:r>
      <w:r w:rsidR="005845DB">
        <w:rPr>
          <w:szCs w:val="24"/>
        </w:rPr>
        <w:t>predbežných</w:t>
      </w:r>
      <w:r w:rsidRPr="003F2153">
        <w:rPr>
          <w:szCs w:val="24"/>
        </w:rPr>
        <w:t xml:space="preserve"> výsledkov</w:t>
      </w:r>
      <w:r w:rsidR="005845DB">
        <w:rPr>
          <w:szCs w:val="24"/>
        </w:rPr>
        <w:t xml:space="preserve"> </w:t>
      </w:r>
      <w:r w:rsidR="005845DB" w:rsidRPr="003F2153">
        <w:rPr>
          <w:szCs w:val="24"/>
        </w:rPr>
        <w:t>notifikácie</w:t>
      </w:r>
      <w:r w:rsidRPr="003F2153">
        <w:rPr>
          <w:szCs w:val="24"/>
        </w:rPr>
        <w:t xml:space="preserve"> v metodike ESA 2010 </w:t>
      </w:r>
      <w:r w:rsidRPr="003F2153">
        <w:rPr>
          <w:b/>
          <w:szCs w:val="24"/>
        </w:rPr>
        <w:t xml:space="preserve">dosiahol výšku </w:t>
      </w:r>
      <w:r w:rsidR="00023E31" w:rsidRPr="003F2153">
        <w:rPr>
          <w:b/>
          <w:szCs w:val="24"/>
        </w:rPr>
        <w:t>83 956 806</w:t>
      </w:r>
      <w:r w:rsidRPr="003F2153">
        <w:rPr>
          <w:b/>
          <w:szCs w:val="24"/>
        </w:rPr>
        <w:t xml:space="preserve"> tis. eur a v pomere k vyčíslenému HDP dosiahol </w:t>
      </w:r>
      <w:r w:rsidR="00023E31" w:rsidRPr="003F2153">
        <w:rPr>
          <w:b/>
          <w:szCs w:val="24"/>
        </w:rPr>
        <w:t>61,39</w:t>
      </w:r>
      <w:r w:rsidRPr="003F2153">
        <w:rPr>
          <w:b/>
          <w:szCs w:val="24"/>
        </w:rPr>
        <w:t> %.</w:t>
      </w:r>
    </w:p>
    <w:p w14:paraId="789CFEEB" w14:textId="0EA2570E" w:rsidR="00BF23A1" w:rsidRPr="00BF23A1" w:rsidRDefault="00BF23A1" w:rsidP="008B1431">
      <w:pPr>
        <w:numPr>
          <w:ilvl w:val="0"/>
          <w:numId w:val="4"/>
        </w:numPr>
        <w:spacing w:after="120" w:line="240" w:lineRule="auto"/>
        <w:ind w:left="357" w:right="-284" w:hanging="357"/>
        <w:jc w:val="both"/>
        <w:rPr>
          <w:szCs w:val="24"/>
        </w:rPr>
      </w:pPr>
      <w:r w:rsidRPr="003675DD">
        <w:rPr>
          <w:b/>
          <w:bCs/>
          <w:szCs w:val="24"/>
        </w:rPr>
        <w:t xml:space="preserve">Na </w:t>
      </w:r>
      <w:r w:rsidR="003675DD" w:rsidRPr="003675DD">
        <w:rPr>
          <w:b/>
          <w:bCs/>
          <w:szCs w:val="24"/>
        </w:rPr>
        <w:t>nárast</w:t>
      </w:r>
      <w:r w:rsidRPr="003675DD">
        <w:rPr>
          <w:b/>
          <w:bCs/>
          <w:szCs w:val="24"/>
        </w:rPr>
        <w:t xml:space="preserve"> </w:t>
      </w:r>
      <w:r w:rsidR="003675DD" w:rsidRPr="003675DD">
        <w:rPr>
          <w:b/>
          <w:bCs/>
          <w:szCs w:val="24"/>
        </w:rPr>
        <w:t>dlhu</w:t>
      </w:r>
      <w:r w:rsidRPr="003675DD">
        <w:rPr>
          <w:b/>
          <w:bCs/>
          <w:szCs w:val="24"/>
        </w:rPr>
        <w:t xml:space="preserve"> pôsobil najmä slabší vývoj reálneho HDP v</w:t>
      </w:r>
      <w:r w:rsidR="003675DD" w:rsidRPr="003675DD">
        <w:rPr>
          <w:b/>
          <w:bCs/>
          <w:szCs w:val="24"/>
        </w:rPr>
        <w:t xml:space="preserve"> roku </w:t>
      </w:r>
      <w:r w:rsidRPr="003675DD">
        <w:rPr>
          <w:b/>
          <w:bCs/>
          <w:szCs w:val="24"/>
        </w:rPr>
        <w:t>2025</w:t>
      </w:r>
      <w:r w:rsidRPr="00BF23A1">
        <w:rPr>
          <w:szCs w:val="24"/>
        </w:rPr>
        <w:t>. Hlavným dôvodom bol nepriaznivý vývoj externého prostredia. Nižší dopyt po slovenských výrobkoch v</w:t>
      </w:r>
      <w:r w:rsidR="002F32E3">
        <w:rPr>
          <w:szCs w:val="24"/>
        </w:rPr>
        <w:t> </w:t>
      </w:r>
      <w:r w:rsidRPr="00BF23A1">
        <w:rPr>
          <w:szCs w:val="24"/>
        </w:rPr>
        <w:t>krajinách EÚ spolu so zníženým vývozom automobilov do USA v dôsledku novozavedených ciel</w:t>
      </w:r>
      <w:r w:rsidR="003675DD">
        <w:rPr>
          <w:szCs w:val="24"/>
        </w:rPr>
        <w:t>, ktoré</w:t>
      </w:r>
      <w:r w:rsidRPr="00BF23A1">
        <w:rPr>
          <w:szCs w:val="24"/>
        </w:rPr>
        <w:t xml:space="preserve"> oslabili čistý export. </w:t>
      </w:r>
      <w:r w:rsidRPr="006F5295">
        <w:rPr>
          <w:b/>
          <w:bCs/>
          <w:szCs w:val="24"/>
        </w:rPr>
        <w:t>Hotovostný deficit štátneho rozpočtu oproti predpokladom sa na</w:t>
      </w:r>
      <w:r w:rsidR="002F32E3">
        <w:rPr>
          <w:b/>
          <w:bCs/>
          <w:szCs w:val="24"/>
        </w:rPr>
        <w:t> </w:t>
      </w:r>
      <w:r w:rsidRPr="006F5295">
        <w:rPr>
          <w:b/>
          <w:bCs/>
          <w:szCs w:val="24"/>
        </w:rPr>
        <w:t>zvýšení dlhu podieľal iba mierne.</w:t>
      </w:r>
    </w:p>
    <w:p w14:paraId="42A603A0" w14:textId="793FAFE6" w:rsidR="009A05C7" w:rsidRPr="00993411" w:rsidRDefault="00993411" w:rsidP="008B1431">
      <w:pPr>
        <w:numPr>
          <w:ilvl w:val="0"/>
          <w:numId w:val="4"/>
        </w:numPr>
        <w:spacing w:after="120" w:line="240" w:lineRule="auto"/>
        <w:ind w:left="357" w:right="-284" w:hanging="357"/>
        <w:jc w:val="both"/>
        <w:rPr>
          <w:b/>
          <w:bCs/>
          <w:szCs w:val="24"/>
        </w:rPr>
      </w:pPr>
      <w:r w:rsidRPr="00C00919">
        <w:rPr>
          <w:b/>
          <w:bCs/>
          <w:szCs w:val="24"/>
        </w:rPr>
        <w:t>Kumulatívny rast čistých výdavkov do roku 202</w:t>
      </w:r>
      <w:r>
        <w:rPr>
          <w:b/>
          <w:bCs/>
          <w:szCs w:val="24"/>
        </w:rPr>
        <w:t>5</w:t>
      </w:r>
      <w:r w:rsidRPr="00C00919">
        <w:rPr>
          <w:b/>
          <w:bCs/>
          <w:szCs w:val="24"/>
        </w:rPr>
        <w:t xml:space="preserve"> dosiahol </w:t>
      </w:r>
      <w:r>
        <w:rPr>
          <w:b/>
          <w:bCs/>
          <w:szCs w:val="24"/>
        </w:rPr>
        <w:t>5,</w:t>
      </w:r>
      <w:r w:rsidRPr="00993411">
        <w:rPr>
          <w:b/>
          <w:bCs/>
          <w:szCs w:val="24"/>
        </w:rPr>
        <w:t>3 % a bol</w:t>
      </w:r>
      <w:r w:rsidRPr="00993411">
        <w:rPr>
          <w:szCs w:val="24"/>
        </w:rPr>
        <w:t xml:space="preserve"> tak po zarátaní nových príjmových opatrení a obrannej výnimky </w:t>
      </w:r>
      <w:r w:rsidRPr="00993411">
        <w:rPr>
          <w:b/>
          <w:bCs/>
          <w:szCs w:val="24"/>
        </w:rPr>
        <w:t>bezpečne pod maximálnym povoleným rastom.</w:t>
      </w:r>
    </w:p>
    <w:p w14:paraId="75E5E56B" w14:textId="5063AF2B" w:rsidR="009A05C7" w:rsidRDefault="009A05C7" w:rsidP="008B1431">
      <w:pPr>
        <w:numPr>
          <w:ilvl w:val="0"/>
          <w:numId w:val="4"/>
        </w:numPr>
        <w:spacing w:after="120" w:line="240" w:lineRule="auto"/>
        <w:ind w:left="357" w:right="-284" w:hanging="357"/>
        <w:jc w:val="both"/>
        <w:rPr>
          <w:szCs w:val="24"/>
        </w:rPr>
      </w:pPr>
      <w:r w:rsidRPr="0095767C">
        <w:rPr>
          <w:b/>
          <w:szCs w:val="24"/>
        </w:rPr>
        <w:t xml:space="preserve">Rast reálnej ekonomiky podľa jarnej notifikácie dosiahol </w:t>
      </w:r>
      <w:r w:rsidR="00F36C41" w:rsidRPr="0095767C">
        <w:rPr>
          <w:b/>
          <w:szCs w:val="24"/>
        </w:rPr>
        <w:t>0,8</w:t>
      </w:r>
      <w:r w:rsidRPr="0095767C">
        <w:rPr>
          <w:b/>
          <w:szCs w:val="24"/>
        </w:rPr>
        <w:t> % (rast HDP v stálych cenách).</w:t>
      </w:r>
      <w:r w:rsidRPr="0095767C">
        <w:rPr>
          <w:szCs w:val="24"/>
        </w:rPr>
        <w:t xml:space="preserve"> Predpokladaný scenár ekonomického vývoja pri tvorbe rozpočtu na</w:t>
      </w:r>
      <w:r w:rsidR="0095767C" w:rsidRPr="0095767C">
        <w:rPr>
          <w:szCs w:val="24"/>
        </w:rPr>
        <w:t> </w:t>
      </w:r>
      <w:r w:rsidRPr="0095767C">
        <w:rPr>
          <w:szCs w:val="24"/>
        </w:rPr>
        <w:t>rok 202</w:t>
      </w:r>
      <w:r w:rsidR="0095767C" w:rsidRPr="0095767C">
        <w:rPr>
          <w:szCs w:val="24"/>
        </w:rPr>
        <w:t>5</w:t>
      </w:r>
      <w:r w:rsidRPr="0095767C">
        <w:rPr>
          <w:szCs w:val="24"/>
        </w:rPr>
        <w:t xml:space="preserve"> </w:t>
      </w:r>
      <w:r w:rsidRPr="00D50203">
        <w:rPr>
          <w:szCs w:val="24"/>
        </w:rPr>
        <w:t>odhadoval rast HDP na úrovni 2,</w:t>
      </w:r>
      <w:r w:rsidR="0095767C" w:rsidRPr="00D50203">
        <w:rPr>
          <w:szCs w:val="24"/>
        </w:rPr>
        <w:t>2</w:t>
      </w:r>
      <w:r w:rsidRPr="00D50203">
        <w:rPr>
          <w:szCs w:val="24"/>
        </w:rPr>
        <w:t> %. Nominálne HDP dosiahlo 13</w:t>
      </w:r>
      <w:r w:rsidR="0095767C" w:rsidRPr="00D50203">
        <w:rPr>
          <w:szCs w:val="24"/>
        </w:rPr>
        <w:t>6</w:t>
      </w:r>
      <w:r w:rsidRPr="00D50203">
        <w:rPr>
          <w:szCs w:val="24"/>
        </w:rPr>
        <w:t> </w:t>
      </w:r>
      <w:r w:rsidR="0095767C" w:rsidRPr="00D50203">
        <w:rPr>
          <w:szCs w:val="24"/>
        </w:rPr>
        <w:t>754</w:t>
      </w:r>
      <w:r w:rsidRPr="00D50203">
        <w:rPr>
          <w:szCs w:val="24"/>
        </w:rPr>
        <w:t> </w:t>
      </w:r>
      <w:r w:rsidR="0095767C" w:rsidRPr="00D50203">
        <w:rPr>
          <w:szCs w:val="24"/>
        </w:rPr>
        <w:t>312</w:t>
      </w:r>
      <w:r w:rsidRPr="00D50203">
        <w:rPr>
          <w:szCs w:val="24"/>
        </w:rPr>
        <w:t xml:space="preserve"> tis. eur </w:t>
      </w:r>
      <w:r w:rsidRPr="00BB35D1">
        <w:rPr>
          <w:szCs w:val="24"/>
        </w:rPr>
        <w:t>(v bežných cenách).</w:t>
      </w:r>
    </w:p>
    <w:p w14:paraId="5184B2F4" w14:textId="6AD2154D" w:rsidR="00CB56A0" w:rsidRPr="00BB35D1" w:rsidRDefault="00CB56A0" w:rsidP="008B1431">
      <w:pPr>
        <w:numPr>
          <w:ilvl w:val="0"/>
          <w:numId w:val="4"/>
        </w:numPr>
        <w:spacing w:after="120" w:line="240" w:lineRule="auto"/>
        <w:ind w:left="357" w:right="-284" w:hanging="357"/>
        <w:jc w:val="both"/>
        <w:rPr>
          <w:szCs w:val="24"/>
        </w:rPr>
      </w:pPr>
      <w:r w:rsidRPr="007F3F98">
        <w:rPr>
          <w:rFonts w:cs="Times New Roman"/>
          <w:szCs w:val="24"/>
        </w:rPr>
        <w:t xml:space="preserve">V roku 2025 sa </w:t>
      </w:r>
      <w:r w:rsidRPr="00CB56A0">
        <w:rPr>
          <w:rFonts w:cs="Times New Roman"/>
          <w:b/>
          <w:bCs/>
          <w:szCs w:val="24"/>
        </w:rPr>
        <w:t>deficit platobnej bilancie zmiernil na úroveň -3,6 % HDP</w:t>
      </w:r>
      <w:r w:rsidRPr="007F3F98">
        <w:rPr>
          <w:rFonts w:cs="Times New Roman"/>
          <w:szCs w:val="24"/>
        </w:rPr>
        <w:t>. Export tovarov v nominálnom vyjadrení rástol rýchlejšie ako import, čo viedlo k zníženiu deficitu bilancie obchodu s tovarmi.</w:t>
      </w:r>
    </w:p>
    <w:p w14:paraId="0CC19B6C" w14:textId="08685BF8" w:rsidR="009A05C7" w:rsidRPr="00BB35D1" w:rsidRDefault="009A05C7" w:rsidP="008B1431">
      <w:pPr>
        <w:numPr>
          <w:ilvl w:val="0"/>
          <w:numId w:val="4"/>
        </w:numPr>
        <w:spacing w:after="120" w:line="240" w:lineRule="auto"/>
        <w:ind w:left="357" w:right="-284" w:hanging="357"/>
        <w:jc w:val="both"/>
        <w:rPr>
          <w:szCs w:val="24"/>
        </w:rPr>
      </w:pPr>
      <w:r w:rsidRPr="00BB35D1">
        <w:rPr>
          <w:b/>
          <w:szCs w:val="24"/>
        </w:rPr>
        <w:t>Hotovostný schodok štátneho rozpočtu</w:t>
      </w:r>
      <w:r w:rsidRPr="00BB35D1">
        <w:rPr>
          <w:szCs w:val="24"/>
        </w:rPr>
        <w:t xml:space="preserve"> dosiahol 6</w:t>
      </w:r>
      <w:r w:rsidR="002F32E3">
        <w:rPr>
          <w:szCs w:val="24"/>
        </w:rPr>
        <w:t> </w:t>
      </w:r>
      <w:r w:rsidR="00BB35D1" w:rsidRPr="00BB35D1">
        <w:rPr>
          <w:szCs w:val="24"/>
        </w:rPr>
        <w:t>108</w:t>
      </w:r>
      <w:r w:rsidR="002F32E3">
        <w:rPr>
          <w:szCs w:val="24"/>
        </w:rPr>
        <w:t> </w:t>
      </w:r>
      <w:r w:rsidR="00BB35D1" w:rsidRPr="00BB35D1">
        <w:rPr>
          <w:szCs w:val="24"/>
        </w:rPr>
        <w:t>623</w:t>
      </w:r>
      <w:r w:rsidRPr="00BB35D1">
        <w:rPr>
          <w:szCs w:val="24"/>
        </w:rPr>
        <w:t> tis. eur a oproti rozpočtu je nižší o</w:t>
      </w:r>
      <w:r w:rsidR="00BB35D1" w:rsidRPr="00BB35D1">
        <w:rPr>
          <w:szCs w:val="24"/>
        </w:rPr>
        <w:t> 170 088</w:t>
      </w:r>
      <w:r w:rsidRPr="00BB35D1">
        <w:rPr>
          <w:szCs w:val="24"/>
        </w:rPr>
        <w:t> tis. eur. V porovnaní s deficitom za rok 202</w:t>
      </w:r>
      <w:r w:rsidR="00BB35D1" w:rsidRPr="00BB35D1">
        <w:rPr>
          <w:szCs w:val="24"/>
        </w:rPr>
        <w:t>4</w:t>
      </w:r>
      <w:r w:rsidRPr="00BB35D1">
        <w:rPr>
          <w:szCs w:val="24"/>
        </w:rPr>
        <w:t>, je</w:t>
      </w:r>
      <w:r w:rsidR="0018600F" w:rsidRPr="00BB35D1">
        <w:rPr>
          <w:szCs w:val="24"/>
        </w:rPr>
        <w:t xml:space="preserve"> dosiahnutý deficit za </w:t>
      </w:r>
      <w:r w:rsidRPr="00BB35D1">
        <w:rPr>
          <w:szCs w:val="24"/>
        </w:rPr>
        <w:t>rok 202</w:t>
      </w:r>
      <w:r w:rsidR="00BB35D1" w:rsidRPr="00BB35D1">
        <w:rPr>
          <w:szCs w:val="24"/>
        </w:rPr>
        <w:t>5</w:t>
      </w:r>
      <w:r w:rsidRPr="00BB35D1">
        <w:rPr>
          <w:szCs w:val="24"/>
        </w:rPr>
        <w:t xml:space="preserve"> nižší o</w:t>
      </w:r>
      <w:r w:rsidR="00BB35D1" w:rsidRPr="00BB35D1">
        <w:rPr>
          <w:szCs w:val="24"/>
        </w:rPr>
        <w:t> 257</w:t>
      </w:r>
      <w:r w:rsidR="002F32E3">
        <w:rPr>
          <w:szCs w:val="24"/>
        </w:rPr>
        <w:t> </w:t>
      </w:r>
      <w:r w:rsidR="00BB35D1" w:rsidRPr="00BB35D1">
        <w:rPr>
          <w:szCs w:val="24"/>
        </w:rPr>
        <w:t>497</w:t>
      </w:r>
      <w:r w:rsidR="002F32E3">
        <w:rPr>
          <w:szCs w:val="24"/>
        </w:rPr>
        <w:t> </w:t>
      </w:r>
      <w:r w:rsidRPr="00BB35D1">
        <w:rPr>
          <w:szCs w:val="24"/>
        </w:rPr>
        <w:t xml:space="preserve">tis. eur. Hotovostné príjmy štátneho rozpočtu dosiahli </w:t>
      </w:r>
      <w:r w:rsidR="00BB35D1" w:rsidRPr="00BB35D1">
        <w:rPr>
          <w:szCs w:val="24"/>
        </w:rPr>
        <w:t>27</w:t>
      </w:r>
      <w:r w:rsidR="002F32E3">
        <w:rPr>
          <w:szCs w:val="24"/>
        </w:rPr>
        <w:t> </w:t>
      </w:r>
      <w:r w:rsidR="00BB35D1" w:rsidRPr="00BB35D1">
        <w:rPr>
          <w:szCs w:val="24"/>
        </w:rPr>
        <w:t>257</w:t>
      </w:r>
      <w:r w:rsidR="002F32E3">
        <w:rPr>
          <w:szCs w:val="24"/>
        </w:rPr>
        <w:t> </w:t>
      </w:r>
      <w:r w:rsidR="00BB35D1" w:rsidRPr="00BB35D1">
        <w:rPr>
          <w:szCs w:val="24"/>
        </w:rPr>
        <w:t>244</w:t>
      </w:r>
      <w:r w:rsidRPr="00BB35D1">
        <w:rPr>
          <w:szCs w:val="24"/>
        </w:rPr>
        <w:t> tis. eur (</w:t>
      </w:r>
      <w:r w:rsidR="00BB35D1" w:rsidRPr="00BB35D1">
        <w:rPr>
          <w:szCs w:val="24"/>
        </w:rPr>
        <w:t>rast 11,4</w:t>
      </w:r>
      <w:r w:rsidR="002F32E3">
        <w:rPr>
          <w:szCs w:val="24"/>
        </w:rPr>
        <w:t> </w:t>
      </w:r>
      <w:r w:rsidR="00BB35D1" w:rsidRPr="00BB35D1">
        <w:rPr>
          <w:szCs w:val="24"/>
        </w:rPr>
        <w:t>%</w:t>
      </w:r>
      <w:r w:rsidRPr="00BB35D1">
        <w:rPr>
          <w:szCs w:val="24"/>
        </w:rPr>
        <w:t xml:space="preserve">). Hotovostné výdavky boli </w:t>
      </w:r>
      <w:r w:rsidR="00BB35D1" w:rsidRPr="00BB35D1">
        <w:rPr>
          <w:szCs w:val="24"/>
        </w:rPr>
        <w:t>33</w:t>
      </w:r>
      <w:r w:rsidR="002F32E3">
        <w:rPr>
          <w:szCs w:val="24"/>
        </w:rPr>
        <w:t> </w:t>
      </w:r>
      <w:r w:rsidR="00BB35D1" w:rsidRPr="00BB35D1">
        <w:rPr>
          <w:szCs w:val="24"/>
        </w:rPr>
        <w:t>362</w:t>
      </w:r>
      <w:r w:rsidR="002F32E3">
        <w:rPr>
          <w:szCs w:val="24"/>
        </w:rPr>
        <w:t> </w:t>
      </w:r>
      <w:r w:rsidR="00BB35D1" w:rsidRPr="00BB35D1">
        <w:rPr>
          <w:szCs w:val="24"/>
        </w:rPr>
        <w:t>867</w:t>
      </w:r>
      <w:r w:rsidRPr="00BB35D1">
        <w:rPr>
          <w:szCs w:val="24"/>
        </w:rPr>
        <w:t> tis. eur (</w:t>
      </w:r>
      <w:r w:rsidR="00BB35D1" w:rsidRPr="00BB35D1">
        <w:rPr>
          <w:szCs w:val="24"/>
        </w:rPr>
        <w:t>rast 8,2</w:t>
      </w:r>
      <w:r w:rsidRPr="00BB35D1">
        <w:rPr>
          <w:szCs w:val="24"/>
        </w:rPr>
        <w:t> %).</w:t>
      </w:r>
    </w:p>
    <w:p w14:paraId="02114686" w14:textId="0D19FE06" w:rsidR="006E67F8" w:rsidRDefault="009A05C7" w:rsidP="008B1431">
      <w:pPr>
        <w:numPr>
          <w:ilvl w:val="0"/>
          <w:numId w:val="4"/>
        </w:numPr>
        <w:spacing w:after="120" w:line="240" w:lineRule="auto"/>
        <w:ind w:left="357" w:right="-284" w:hanging="357"/>
        <w:jc w:val="both"/>
        <w:rPr>
          <w:szCs w:val="24"/>
        </w:rPr>
      </w:pPr>
      <w:r w:rsidRPr="00D50203">
        <w:rPr>
          <w:b/>
          <w:szCs w:val="24"/>
        </w:rPr>
        <w:t>Hotovostný schodok bol krytý štátnymi dlhopismi</w:t>
      </w:r>
      <w:r w:rsidRPr="00D50203">
        <w:rPr>
          <w:szCs w:val="24"/>
        </w:rPr>
        <w:t xml:space="preserve"> v sume  </w:t>
      </w:r>
      <w:r w:rsidR="00F34713" w:rsidRPr="005119D9">
        <w:rPr>
          <w:szCs w:val="24"/>
        </w:rPr>
        <w:t>5 718</w:t>
      </w:r>
      <w:r w:rsidR="002F32E3" w:rsidRPr="005119D9">
        <w:rPr>
          <w:szCs w:val="24"/>
        </w:rPr>
        <w:t> </w:t>
      </w:r>
      <w:r w:rsidR="005119D9" w:rsidRPr="005119D9">
        <w:rPr>
          <w:szCs w:val="24"/>
        </w:rPr>
        <w:t>623</w:t>
      </w:r>
      <w:r w:rsidR="002F32E3" w:rsidRPr="005119D9">
        <w:rPr>
          <w:szCs w:val="24"/>
        </w:rPr>
        <w:t> </w:t>
      </w:r>
      <w:r w:rsidRPr="005119D9">
        <w:rPr>
          <w:szCs w:val="24"/>
        </w:rPr>
        <w:t>tis. eur a prijatým</w:t>
      </w:r>
      <w:r w:rsidR="00F76577" w:rsidRPr="005119D9">
        <w:rPr>
          <w:szCs w:val="24"/>
        </w:rPr>
        <w:t>i</w:t>
      </w:r>
      <w:r w:rsidRPr="005119D9">
        <w:rPr>
          <w:szCs w:val="24"/>
        </w:rPr>
        <w:t xml:space="preserve"> zahraničným</w:t>
      </w:r>
      <w:r w:rsidR="00F76577" w:rsidRPr="005119D9">
        <w:rPr>
          <w:szCs w:val="24"/>
        </w:rPr>
        <w:t>i</w:t>
      </w:r>
      <w:r w:rsidRPr="005119D9">
        <w:rPr>
          <w:szCs w:val="24"/>
        </w:rPr>
        <w:t xml:space="preserve"> bankovým</w:t>
      </w:r>
      <w:r w:rsidR="00F76577" w:rsidRPr="005119D9">
        <w:rPr>
          <w:szCs w:val="24"/>
        </w:rPr>
        <w:t>i</w:t>
      </w:r>
      <w:r w:rsidRPr="005119D9">
        <w:rPr>
          <w:szCs w:val="24"/>
        </w:rPr>
        <w:t xml:space="preserve"> úverm</w:t>
      </w:r>
      <w:r w:rsidR="00F76577" w:rsidRPr="005119D9">
        <w:rPr>
          <w:szCs w:val="24"/>
        </w:rPr>
        <w:t>i</w:t>
      </w:r>
      <w:r w:rsidRPr="005119D9">
        <w:rPr>
          <w:szCs w:val="24"/>
        </w:rPr>
        <w:t xml:space="preserve"> v</w:t>
      </w:r>
      <w:r w:rsidR="00F76577" w:rsidRPr="005119D9">
        <w:rPr>
          <w:szCs w:val="24"/>
        </w:rPr>
        <w:t xml:space="preserve"> celkovej </w:t>
      </w:r>
      <w:r w:rsidRPr="005119D9">
        <w:rPr>
          <w:szCs w:val="24"/>
        </w:rPr>
        <w:t xml:space="preserve">hodnote </w:t>
      </w:r>
      <w:r w:rsidR="00D50203" w:rsidRPr="005119D9">
        <w:rPr>
          <w:szCs w:val="24"/>
        </w:rPr>
        <w:t>390 0</w:t>
      </w:r>
      <w:r w:rsidR="000B56AD" w:rsidRPr="005119D9">
        <w:rPr>
          <w:szCs w:val="24"/>
        </w:rPr>
        <w:t>00</w:t>
      </w:r>
      <w:r w:rsidRPr="005119D9">
        <w:rPr>
          <w:szCs w:val="24"/>
        </w:rPr>
        <w:t> tis. eur.</w:t>
      </w:r>
    </w:p>
    <w:p w14:paraId="1CB08F54" w14:textId="38A1C2B0" w:rsidR="00F702B3" w:rsidRDefault="0023263A" w:rsidP="008B1431">
      <w:pPr>
        <w:numPr>
          <w:ilvl w:val="0"/>
          <w:numId w:val="4"/>
        </w:numPr>
        <w:spacing w:after="120" w:line="240" w:lineRule="auto"/>
        <w:ind w:left="357" w:right="-284" w:hanging="357"/>
        <w:jc w:val="both"/>
        <w:rPr>
          <w:szCs w:val="24"/>
        </w:rPr>
      </w:pPr>
      <w:r w:rsidRPr="0023263A">
        <w:rPr>
          <w:b/>
          <w:bCs/>
          <w:szCs w:val="24"/>
        </w:rPr>
        <w:t>Príjmy z rozpočtu EÚ dosiahli úhrnom 4 377</w:t>
      </w:r>
      <w:r w:rsidR="00754E73">
        <w:rPr>
          <w:b/>
          <w:bCs/>
          <w:szCs w:val="24"/>
        </w:rPr>
        <w:t> </w:t>
      </w:r>
      <w:r w:rsidRPr="0023263A">
        <w:rPr>
          <w:b/>
          <w:bCs/>
          <w:szCs w:val="24"/>
        </w:rPr>
        <w:t>310</w:t>
      </w:r>
      <w:r w:rsidR="00754E73">
        <w:rPr>
          <w:b/>
          <w:bCs/>
          <w:szCs w:val="24"/>
        </w:rPr>
        <w:t> </w:t>
      </w:r>
      <w:r w:rsidRPr="0023263A">
        <w:rPr>
          <w:b/>
          <w:bCs/>
          <w:szCs w:val="24"/>
        </w:rPr>
        <w:t>tis.</w:t>
      </w:r>
      <w:r w:rsidR="00754E73">
        <w:rPr>
          <w:b/>
          <w:bCs/>
          <w:szCs w:val="24"/>
        </w:rPr>
        <w:t> </w:t>
      </w:r>
      <w:r w:rsidRPr="0023263A">
        <w:rPr>
          <w:b/>
          <w:bCs/>
          <w:szCs w:val="24"/>
        </w:rPr>
        <w:t>eur</w:t>
      </w:r>
      <w:r>
        <w:rPr>
          <w:szCs w:val="24"/>
        </w:rPr>
        <w:t>, z toho štrukturálne a investičné fondy 2 407</w:t>
      </w:r>
      <w:r w:rsidR="00754E73">
        <w:rPr>
          <w:szCs w:val="24"/>
        </w:rPr>
        <w:t> </w:t>
      </w:r>
      <w:r>
        <w:rPr>
          <w:szCs w:val="24"/>
        </w:rPr>
        <w:t>529</w:t>
      </w:r>
      <w:r w:rsidR="00754E73">
        <w:rPr>
          <w:szCs w:val="24"/>
        </w:rPr>
        <w:t> </w:t>
      </w:r>
      <w:r>
        <w:rPr>
          <w:szCs w:val="24"/>
        </w:rPr>
        <w:t>tis.</w:t>
      </w:r>
      <w:r w:rsidR="00754E73">
        <w:rPr>
          <w:szCs w:val="24"/>
        </w:rPr>
        <w:t> </w:t>
      </w:r>
      <w:r>
        <w:rPr>
          <w:szCs w:val="24"/>
        </w:rPr>
        <w:t>eur a prostriedky Plánu obnovy a </w:t>
      </w:r>
      <w:r w:rsidRPr="000F4E53">
        <w:rPr>
          <w:szCs w:val="24"/>
        </w:rPr>
        <w:t>odolnosti 1 969 78</w:t>
      </w:r>
      <w:r w:rsidR="000F4E53" w:rsidRPr="000F4E53">
        <w:rPr>
          <w:szCs w:val="24"/>
        </w:rPr>
        <w:t>0</w:t>
      </w:r>
      <w:r w:rsidR="00754E73" w:rsidRPr="000F4E53">
        <w:rPr>
          <w:szCs w:val="24"/>
        </w:rPr>
        <w:t> </w:t>
      </w:r>
      <w:r w:rsidRPr="000F4E53">
        <w:rPr>
          <w:szCs w:val="24"/>
        </w:rPr>
        <w:t>tis.</w:t>
      </w:r>
      <w:r w:rsidR="00754E73" w:rsidRPr="000F4E53">
        <w:rPr>
          <w:szCs w:val="24"/>
        </w:rPr>
        <w:t> </w:t>
      </w:r>
      <w:r w:rsidRPr="000F4E53">
        <w:rPr>
          <w:szCs w:val="24"/>
        </w:rPr>
        <w:t>eur.</w:t>
      </w:r>
      <w:r>
        <w:rPr>
          <w:szCs w:val="24"/>
        </w:rPr>
        <w:t xml:space="preserve"> Medziročne Slovenská republiky prijala o 244</w:t>
      </w:r>
      <w:r w:rsidR="00754E73">
        <w:rPr>
          <w:szCs w:val="24"/>
        </w:rPr>
        <w:t> </w:t>
      </w:r>
      <w:r>
        <w:rPr>
          <w:szCs w:val="24"/>
        </w:rPr>
        <w:t>619</w:t>
      </w:r>
      <w:r w:rsidR="00754E73">
        <w:rPr>
          <w:szCs w:val="24"/>
        </w:rPr>
        <w:t> </w:t>
      </w:r>
      <w:r>
        <w:rPr>
          <w:szCs w:val="24"/>
        </w:rPr>
        <w:t>tis.</w:t>
      </w:r>
      <w:r w:rsidR="00754E73">
        <w:rPr>
          <w:szCs w:val="24"/>
        </w:rPr>
        <w:t> </w:t>
      </w:r>
      <w:r>
        <w:rPr>
          <w:szCs w:val="24"/>
        </w:rPr>
        <w:t>eur viac ako v roku 2024.</w:t>
      </w:r>
    </w:p>
    <w:p w14:paraId="44EEA107" w14:textId="0027686C" w:rsidR="0023263A" w:rsidRPr="0023263A" w:rsidRDefault="0023263A" w:rsidP="008B1431">
      <w:pPr>
        <w:numPr>
          <w:ilvl w:val="0"/>
          <w:numId w:val="4"/>
        </w:numPr>
        <w:spacing w:after="120" w:line="240" w:lineRule="auto"/>
        <w:ind w:left="357" w:right="-284" w:hanging="357"/>
        <w:jc w:val="both"/>
        <w:rPr>
          <w:szCs w:val="24"/>
        </w:rPr>
      </w:pPr>
      <w:r>
        <w:rPr>
          <w:b/>
          <w:bCs/>
          <w:szCs w:val="24"/>
        </w:rPr>
        <w:t>Čistá finančná pozícia SR dosiahla 3 245</w:t>
      </w:r>
      <w:r w:rsidR="00754E73">
        <w:rPr>
          <w:b/>
          <w:bCs/>
          <w:szCs w:val="24"/>
        </w:rPr>
        <w:t> </w:t>
      </w:r>
      <w:r>
        <w:rPr>
          <w:b/>
          <w:bCs/>
          <w:szCs w:val="24"/>
        </w:rPr>
        <w:t>055</w:t>
      </w:r>
      <w:r w:rsidR="00754E73">
        <w:rPr>
          <w:b/>
          <w:bCs/>
          <w:szCs w:val="24"/>
        </w:rPr>
        <w:t> </w:t>
      </w:r>
      <w:r>
        <w:rPr>
          <w:b/>
          <w:bCs/>
          <w:szCs w:val="24"/>
        </w:rPr>
        <w:t>tis.</w:t>
      </w:r>
      <w:r w:rsidR="00754E73">
        <w:rPr>
          <w:b/>
          <w:bCs/>
          <w:szCs w:val="24"/>
        </w:rPr>
        <w:t> </w:t>
      </w:r>
      <w:r>
        <w:rPr>
          <w:b/>
          <w:bCs/>
          <w:szCs w:val="24"/>
        </w:rPr>
        <w:t xml:space="preserve">eur, </w:t>
      </w:r>
      <w:r>
        <w:rPr>
          <w:szCs w:val="24"/>
        </w:rPr>
        <w:t>ako rozdiel medzi príjmami z rozpočtu EÚ 4 377</w:t>
      </w:r>
      <w:r w:rsidR="00754E73">
        <w:rPr>
          <w:szCs w:val="24"/>
        </w:rPr>
        <w:t> </w:t>
      </w:r>
      <w:r>
        <w:rPr>
          <w:szCs w:val="24"/>
        </w:rPr>
        <w:t>310</w:t>
      </w:r>
      <w:r w:rsidR="00754E73">
        <w:rPr>
          <w:szCs w:val="24"/>
        </w:rPr>
        <w:t> </w:t>
      </w:r>
      <w:r>
        <w:rPr>
          <w:szCs w:val="24"/>
        </w:rPr>
        <w:t>tis.</w:t>
      </w:r>
      <w:r w:rsidR="00754E73">
        <w:rPr>
          <w:szCs w:val="24"/>
        </w:rPr>
        <w:t> </w:t>
      </w:r>
      <w:r>
        <w:rPr>
          <w:szCs w:val="24"/>
        </w:rPr>
        <w:t>eur a výdavkov v podobe odvodu do</w:t>
      </w:r>
      <w:r w:rsidR="00754E73">
        <w:rPr>
          <w:szCs w:val="24"/>
        </w:rPr>
        <w:t> </w:t>
      </w:r>
      <w:r>
        <w:rPr>
          <w:szCs w:val="24"/>
        </w:rPr>
        <w:t>rozpočtu EÚ 1 132</w:t>
      </w:r>
      <w:r w:rsidR="00754E73">
        <w:rPr>
          <w:szCs w:val="24"/>
        </w:rPr>
        <w:t> </w:t>
      </w:r>
      <w:r>
        <w:rPr>
          <w:szCs w:val="24"/>
        </w:rPr>
        <w:t>305</w:t>
      </w:r>
      <w:r w:rsidR="00754E73">
        <w:rPr>
          <w:szCs w:val="24"/>
        </w:rPr>
        <w:t> </w:t>
      </w:r>
      <w:r>
        <w:rPr>
          <w:szCs w:val="24"/>
        </w:rPr>
        <w:t>tis.</w:t>
      </w:r>
      <w:r w:rsidR="00754E73">
        <w:rPr>
          <w:szCs w:val="24"/>
        </w:rPr>
        <w:t> </w:t>
      </w:r>
      <w:r>
        <w:rPr>
          <w:szCs w:val="24"/>
        </w:rPr>
        <w:t>eur.</w:t>
      </w:r>
    </w:p>
    <w:p w14:paraId="4D18810A" w14:textId="77777777" w:rsidR="00CB3C45" w:rsidRPr="00D50203" w:rsidRDefault="00CB3C45" w:rsidP="00532D85">
      <w:pPr>
        <w:spacing w:line="240" w:lineRule="auto"/>
        <w:jc w:val="both"/>
        <w:rPr>
          <w:bCs/>
        </w:rPr>
      </w:pPr>
      <w:r w:rsidRPr="00D50203">
        <w:rPr>
          <w:bCs/>
        </w:rPr>
        <w:br w:type="page"/>
      </w:r>
    </w:p>
    <w:p w14:paraId="5589EFC1" w14:textId="77777777" w:rsidR="008B1431" w:rsidRPr="00E2381A" w:rsidRDefault="008B1431" w:rsidP="008B1431">
      <w:pPr>
        <w:pStyle w:val="Nadpis1"/>
      </w:pPr>
      <w:bookmarkStart w:id="4" w:name="_Toc6415626"/>
      <w:bookmarkStart w:id="5" w:name="_Toc227577654"/>
      <w:bookmarkStart w:id="6" w:name="_Toc227758886"/>
      <w:r w:rsidRPr="008B1431">
        <w:lastRenderedPageBreak/>
        <w:t>Ekonomický</w:t>
      </w:r>
      <w:r w:rsidRPr="00E2381A">
        <w:t xml:space="preserve"> rámec rozpočtového hospodárenia Slovenskej republiky</w:t>
      </w:r>
      <w:bookmarkEnd w:id="4"/>
      <w:bookmarkEnd w:id="5"/>
      <w:bookmarkEnd w:id="6"/>
    </w:p>
    <w:p w14:paraId="1AC0A541" w14:textId="77777777" w:rsidR="00AC1D94" w:rsidRPr="0050710A" w:rsidRDefault="00AC1D94" w:rsidP="00532D85">
      <w:pPr>
        <w:jc w:val="both"/>
        <w:rPr>
          <w:highlight w:val="yellow"/>
        </w:rPr>
      </w:pPr>
    </w:p>
    <w:p w14:paraId="795187C5" w14:textId="46C702F7" w:rsidR="00E2381A" w:rsidRPr="00E2381A" w:rsidRDefault="00E2381A" w:rsidP="004019D4">
      <w:pPr>
        <w:spacing w:line="240" w:lineRule="auto"/>
        <w:jc w:val="both"/>
        <w:rPr>
          <w:rFonts w:cs="Times New Roman"/>
          <w:szCs w:val="24"/>
        </w:rPr>
      </w:pPr>
      <w:bookmarkStart w:id="7" w:name="_Toc6415634"/>
      <w:r w:rsidRPr="00E2381A">
        <w:rPr>
          <w:rFonts w:cs="Times New Roman"/>
          <w:szCs w:val="24"/>
        </w:rPr>
        <w:t>V roku 2025 dosiahol rast HDP 0,8</w:t>
      </w:r>
      <w:r>
        <w:rPr>
          <w:rFonts w:cs="Times New Roman"/>
          <w:szCs w:val="24"/>
        </w:rPr>
        <w:t> </w:t>
      </w:r>
      <w:r w:rsidRPr="00E2381A">
        <w:rPr>
          <w:rFonts w:cs="Times New Roman"/>
          <w:szCs w:val="24"/>
        </w:rPr>
        <w:t>%. Tempo rastu zostalo utlmené, najmä v</w:t>
      </w:r>
      <w:r>
        <w:rPr>
          <w:rFonts w:cs="Times New Roman"/>
          <w:szCs w:val="24"/>
        </w:rPr>
        <w:t> </w:t>
      </w:r>
      <w:r w:rsidRPr="00E2381A">
        <w:rPr>
          <w:rFonts w:cs="Times New Roman"/>
          <w:szCs w:val="24"/>
        </w:rPr>
        <w:t>dôsledku nepriaznivého externého prostredia, rastúcich globálnych obchodných bariér, nižšieho výkonu hlavných obchodných partnerov SR a ozdravovania verejných financií. Na</w:t>
      </w:r>
      <w:r>
        <w:rPr>
          <w:rFonts w:cs="Times New Roman"/>
          <w:szCs w:val="24"/>
        </w:rPr>
        <w:t> </w:t>
      </w:r>
      <w:r w:rsidRPr="00E2381A">
        <w:rPr>
          <w:rFonts w:cs="Times New Roman"/>
          <w:szCs w:val="24"/>
        </w:rPr>
        <w:t>druhej strane ekonomiku podporil domáci dopyt, avšak jeho štruktúra bola menej priaznivá a</w:t>
      </w:r>
      <w:r>
        <w:rPr>
          <w:rFonts w:cs="Times New Roman"/>
          <w:szCs w:val="24"/>
        </w:rPr>
        <w:t> </w:t>
      </w:r>
      <w:r w:rsidRPr="00E2381A">
        <w:rPr>
          <w:rFonts w:cs="Times New Roman"/>
          <w:szCs w:val="24"/>
        </w:rPr>
        <w:t>neprejavila sa plnohodnotne v tvorbe HDP. Spotreba domácností rástla len mierne, keď ju tlmila pretrvávajúca neistota, opatrné správanie domácností a vplyv fiškálnej konsolidácie. Investičná aktivita bola podporená čerpaním zdrojov z Plánu obnovy a</w:t>
      </w:r>
      <w:r w:rsidR="00C4036E">
        <w:rPr>
          <w:rFonts w:cs="Times New Roman"/>
          <w:szCs w:val="24"/>
        </w:rPr>
        <w:t> </w:t>
      </w:r>
      <w:r w:rsidRPr="00E2381A">
        <w:rPr>
          <w:rFonts w:cs="Times New Roman"/>
          <w:szCs w:val="24"/>
        </w:rPr>
        <w:t>odolnosti</w:t>
      </w:r>
      <w:r w:rsidR="00C4036E">
        <w:rPr>
          <w:rFonts w:cs="Times New Roman"/>
          <w:szCs w:val="24"/>
        </w:rPr>
        <w:t xml:space="preserve"> (POO)</w:t>
      </w:r>
      <w:r w:rsidRPr="00E2381A">
        <w:rPr>
          <w:rFonts w:cs="Times New Roman"/>
          <w:szCs w:val="24"/>
        </w:rPr>
        <w:t>. Nepriaznivý vývoj v</w:t>
      </w:r>
      <w:r>
        <w:rPr>
          <w:rFonts w:cs="Times New Roman"/>
          <w:szCs w:val="24"/>
        </w:rPr>
        <w:t> </w:t>
      </w:r>
      <w:r w:rsidRPr="00E2381A">
        <w:rPr>
          <w:rFonts w:cs="Times New Roman"/>
          <w:szCs w:val="24"/>
        </w:rPr>
        <w:t>globálnom obchode zároveň negatívne ovplyvnili tvorbu kapitálu a exportnú výkonnosť. Trh práce začal postupne ochladzovať, pričom zamestnanosť mierne klesla a miera nezamestnanosti vzrástla na</w:t>
      </w:r>
      <w:r>
        <w:rPr>
          <w:rFonts w:cs="Times New Roman"/>
          <w:szCs w:val="24"/>
        </w:rPr>
        <w:t> </w:t>
      </w:r>
      <w:r w:rsidRPr="00E2381A">
        <w:rPr>
          <w:rFonts w:cs="Times New Roman"/>
          <w:szCs w:val="24"/>
        </w:rPr>
        <w:t>približne 5,4</w:t>
      </w:r>
      <w:r>
        <w:rPr>
          <w:rFonts w:cs="Times New Roman"/>
          <w:szCs w:val="24"/>
        </w:rPr>
        <w:t> </w:t>
      </w:r>
      <w:r w:rsidRPr="00E2381A">
        <w:rPr>
          <w:rFonts w:cs="Times New Roman"/>
          <w:szCs w:val="24"/>
        </w:rPr>
        <w:t>%.</w:t>
      </w:r>
    </w:p>
    <w:p w14:paraId="1A605A46" w14:textId="77777777" w:rsidR="00AC1D94" w:rsidRPr="0050710A" w:rsidRDefault="00AC1D94" w:rsidP="004019D4">
      <w:pPr>
        <w:spacing w:line="240" w:lineRule="auto"/>
        <w:jc w:val="both"/>
        <w:rPr>
          <w:szCs w:val="24"/>
          <w:highlight w:val="yellow"/>
        </w:rPr>
      </w:pPr>
    </w:p>
    <w:p w14:paraId="0A25B629" w14:textId="77777777" w:rsidR="009A05C7" w:rsidRPr="00E2381A" w:rsidRDefault="009A05C7" w:rsidP="004019D4">
      <w:pPr>
        <w:pStyle w:val="Nadpis2"/>
        <w:spacing w:after="0"/>
      </w:pPr>
      <w:bookmarkStart w:id="8" w:name="_Toc6415627"/>
      <w:bookmarkStart w:id="9" w:name="_Toc227758887"/>
      <w:r w:rsidRPr="00E2381A">
        <w:t>Vonkajšie ekonomické prostredie</w:t>
      </w:r>
      <w:bookmarkEnd w:id="8"/>
      <w:bookmarkEnd w:id="9"/>
    </w:p>
    <w:p w14:paraId="637E1CD0" w14:textId="77777777" w:rsidR="00AC1D94" w:rsidRPr="0050710A" w:rsidRDefault="00AC1D94" w:rsidP="004019D4">
      <w:pPr>
        <w:spacing w:line="240" w:lineRule="auto"/>
        <w:jc w:val="both"/>
        <w:rPr>
          <w:highlight w:val="yellow"/>
        </w:rPr>
      </w:pPr>
    </w:p>
    <w:p w14:paraId="7EDB9095" w14:textId="355316ED" w:rsidR="00C6394B" w:rsidRDefault="00C6394B" w:rsidP="004019D4">
      <w:pPr>
        <w:spacing w:line="240" w:lineRule="auto"/>
        <w:jc w:val="both"/>
        <w:rPr>
          <w:rFonts w:cs="Times New Roman"/>
          <w:szCs w:val="24"/>
        </w:rPr>
      </w:pPr>
      <w:r w:rsidRPr="00C6394B">
        <w:rPr>
          <w:rFonts w:cs="Times New Roman"/>
          <w:szCs w:val="24"/>
        </w:rPr>
        <w:t>Rok 2025 patril k ďalším obdobiam charakterizovaným zvýšenou mierou neistoty a</w:t>
      </w:r>
      <w:r>
        <w:rPr>
          <w:rFonts w:cs="Times New Roman"/>
          <w:szCs w:val="24"/>
        </w:rPr>
        <w:t> </w:t>
      </w:r>
      <w:r w:rsidRPr="00C6394B">
        <w:rPr>
          <w:rFonts w:cs="Times New Roman"/>
          <w:szCs w:val="24"/>
        </w:rPr>
        <w:t>výskytom nepredvídateľných udalostí s významným dopadom na globálnu ekonomiku. Kľúčovým momentom sa stala inaugurácia prezidenta Spojených štátov Donalda Trumpa, ktorá priniesla zásadný obrat v obchodnej politike USA. Už v úvodných týždňoch svojho mandátu pristúpila americká administratíva k výraznému zvýšeniu dovozných ciel voči vybraným obchodným partnerom. Tento krok viedol k oslabeniu dynamiky svetového obchodu, najmä v</w:t>
      </w:r>
      <w:r>
        <w:rPr>
          <w:rFonts w:cs="Times New Roman"/>
          <w:szCs w:val="24"/>
        </w:rPr>
        <w:t> </w:t>
      </w:r>
      <w:r w:rsidRPr="00C6394B">
        <w:rPr>
          <w:rFonts w:cs="Times New Roman"/>
          <w:szCs w:val="24"/>
        </w:rPr>
        <w:t>rámci bilaterálnych vzťahov medzi USA, Čínou a Európskou úniou, a prispel k</w:t>
      </w:r>
      <w:r>
        <w:rPr>
          <w:rFonts w:cs="Times New Roman"/>
          <w:szCs w:val="24"/>
        </w:rPr>
        <w:t> </w:t>
      </w:r>
      <w:r w:rsidRPr="00C6394B">
        <w:rPr>
          <w:rFonts w:cs="Times New Roman"/>
          <w:szCs w:val="24"/>
        </w:rPr>
        <w:t>ďalšiemu prehlbovaniu fragmentácie globálneho obchodného systému.</w:t>
      </w:r>
    </w:p>
    <w:p w14:paraId="4F468C78" w14:textId="77777777" w:rsidR="00C6394B" w:rsidRPr="00C6394B" w:rsidRDefault="00C6394B" w:rsidP="00C6394B">
      <w:pPr>
        <w:spacing w:line="240" w:lineRule="auto"/>
        <w:jc w:val="both"/>
        <w:rPr>
          <w:rFonts w:cs="Times New Roman"/>
          <w:szCs w:val="24"/>
        </w:rPr>
      </w:pPr>
    </w:p>
    <w:p w14:paraId="48468D41" w14:textId="6723E13F" w:rsidR="00C6394B" w:rsidRDefault="00C6394B" w:rsidP="00C6394B">
      <w:pPr>
        <w:spacing w:line="240" w:lineRule="auto"/>
        <w:jc w:val="both"/>
        <w:rPr>
          <w:rFonts w:cs="Times New Roman"/>
          <w:szCs w:val="24"/>
        </w:rPr>
      </w:pPr>
      <w:r w:rsidRPr="00C6394B">
        <w:rPr>
          <w:rFonts w:cs="Times New Roman"/>
          <w:szCs w:val="24"/>
        </w:rPr>
        <w:t>Napriek týmto nepriaznivým faktorom globálna ekonomika preukázala relatívne vysokú mieru odolnosti. Hospodársky rast sa podľa odhadov udržal na úrovni približne 3,3</w:t>
      </w:r>
      <w:r>
        <w:rPr>
          <w:rFonts w:cs="Times New Roman"/>
          <w:szCs w:val="24"/>
        </w:rPr>
        <w:t> </w:t>
      </w:r>
      <w:r w:rsidRPr="00C6394B">
        <w:rPr>
          <w:rFonts w:cs="Times New Roman"/>
          <w:szCs w:val="24"/>
        </w:rPr>
        <w:t>%, teda na</w:t>
      </w:r>
      <w:r>
        <w:rPr>
          <w:rFonts w:cs="Times New Roman"/>
          <w:szCs w:val="24"/>
        </w:rPr>
        <w:t> </w:t>
      </w:r>
      <w:r w:rsidRPr="00C6394B">
        <w:rPr>
          <w:rFonts w:cs="Times New Roman"/>
          <w:szCs w:val="24"/>
        </w:rPr>
        <w:t>rovnakej úrovni ako v predchádzajúcom roku. Negatívne vplyvy obchodných bariér sa tak prejavili skôr v štruktúre a geografickom preskupovaní obchodných tokov než v</w:t>
      </w:r>
      <w:r>
        <w:rPr>
          <w:rFonts w:cs="Times New Roman"/>
          <w:szCs w:val="24"/>
        </w:rPr>
        <w:t> </w:t>
      </w:r>
      <w:r w:rsidRPr="00C6394B">
        <w:rPr>
          <w:rFonts w:cs="Times New Roman"/>
          <w:szCs w:val="24"/>
        </w:rPr>
        <w:t>ich celkovom objeme.</w:t>
      </w:r>
    </w:p>
    <w:p w14:paraId="1CE469F0" w14:textId="77777777" w:rsidR="00C6394B" w:rsidRPr="00C6394B" w:rsidRDefault="00C6394B" w:rsidP="00C6394B">
      <w:pPr>
        <w:spacing w:line="240" w:lineRule="auto"/>
        <w:jc w:val="both"/>
        <w:rPr>
          <w:rFonts w:cs="Times New Roman"/>
          <w:szCs w:val="24"/>
        </w:rPr>
      </w:pPr>
    </w:p>
    <w:p w14:paraId="55A5CA75" w14:textId="7EA37293" w:rsidR="00C6394B" w:rsidRDefault="00C6394B" w:rsidP="00C6394B">
      <w:pPr>
        <w:spacing w:line="240" w:lineRule="auto"/>
        <w:jc w:val="both"/>
        <w:rPr>
          <w:rFonts w:cs="Times New Roman"/>
          <w:szCs w:val="24"/>
        </w:rPr>
      </w:pPr>
      <w:r w:rsidRPr="00C6394B">
        <w:rPr>
          <w:rFonts w:cs="Times New Roman"/>
          <w:szCs w:val="24"/>
        </w:rPr>
        <w:t>V európskom kontexte došlo k postupnej stabilizácii ekonomického vývoja. Ekonomika eurozóny pokračovala v oživení, pričom tempo rastu sa zrýchlilo z</w:t>
      </w:r>
      <w:r w:rsidR="00293566">
        <w:rPr>
          <w:rFonts w:cs="Times New Roman"/>
          <w:szCs w:val="24"/>
        </w:rPr>
        <w:t> </w:t>
      </w:r>
      <w:r w:rsidRPr="00C6394B">
        <w:rPr>
          <w:rFonts w:cs="Times New Roman"/>
          <w:szCs w:val="24"/>
        </w:rPr>
        <w:t>0,9</w:t>
      </w:r>
      <w:r w:rsidR="00293566">
        <w:rPr>
          <w:rFonts w:cs="Times New Roman"/>
          <w:szCs w:val="24"/>
        </w:rPr>
        <w:t> </w:t>
      </w:r>
      <w:r w:rsidRPr="00C6394B">
        <w:rPr>
          <w:rFonts w:cs="Times New Roman"/>
          <w:szCs w:val="24"/>
        </w:rPr>
        <w:t>% v</w:t>
      </w:r>
      <w:r w:rsidR="00293566">
        <w:rPr>
          <w:rFonts w:cs="Times New Roman"/>
          <w:szCs w:val="24"/>
        </w:rPr>
        <w:t> </w:t>
      </w:r>
      <w:r w:rsidRPr="00C6394B">
        <w:rPr>
          <w:rFonts w:cs="Times New Roman"/>
          <w:szCs w:val="24"/>
        </w:rPr>
        <w:t>roku 2024 na</w:t>
      </w:r>
      <w:r w:rsidR="00293566">
        <w:rPr>
          <w:rFonts w:cs="Times New Roman"/>
          <w:szCs w:val="24"/>
        </w:rPr>
        <w:t> </w:t>
      </w:r>
      <w:r w:rsidRPr="00C6394B">
        <w:rPr>
          <w:rFonts w:cs="Times New Roman"/>
          <w:szCs w:val="24"/>
        </w:rPr>
        <w:t>približne 1,4</w:t>
      </w:r>
      <w:r w:rsidR="00293566">
        <w:rPr>
          <w:rFonts w:cs="Times New Roman"/>
          <w:szCs w:val="24"/>
        </w:rPr>
        <w:t> </w:t>
      </w:r>
      <w:r w:rsidRPr="00C6394B">
        <w:rPr>
          <w:rFonts w:cs="Times New Roman"/>
          <w:szCs w:val="24"/>
        </w:rPr>
        <w:t>% v roku 2025. Tento vývoj bol podporený aj pokračujúcim uvoľňovaním menovej politiky – depozitná sadzba Európskej centrálnej banky sa v druhej polovici roka stabilizovala na úrovni okolo 2</w:t>
      </w:r>
      <w:r w:rsidR="00293566">
        <w:rPr>
          <w:rFonts w:cs="Times New Roman"/>
          <w:szCs w:val="24"/>
        </w:rPr>
        <w:t> </w:t>
      </w:r>
      <w:r w:rsidRPr="00C6394B">
        <w:rPr>
          <w:rFonts w:cs="Times New Roman"/>
          <w:szCs w:val="24"/>
        </w:rPr>
        <w:t>% a inflácia sa postupne vrátila k inflačnému cieľu. Uvoľnené finančné podmienky tak podporili domácu spotrebu aj investičnú aktivitu.</w:t>
      </w:r>
    </w:p>
    <w:p w14:paraId="518B774C" w14:textId="77777777" w:rsidR="00293566" w:rsidRPr="00C6394B" w:rsidRDefault="00293566" w:rsidP="00C6394B">
      <w:pPr>
        <w:spacing w:line="240" w:lineRule="auto"/>
        <w:jc w:val="both"/>
        <w:rPr>
          <w:rFonts w:cs="Times New Roman"/>
          <w:szCs w:val="24"/>
        </w:rPr>
      </w:pPr>
    </w:p>
    <w:p w14:paraId="5454CE28" w14:textId="77777777" w:rsidR="00C6394B" w:rsidRDefault="00C6394B" w:rsidP="00C6394B">
      <w:pPr>
        <w:spacing w:line="240" w:lineRule="auto"/>
        <w:jc w:val="both"/>
        <w:rPr>
          <w:rFonts w:cs="Times New Roman"/>
          <w:szCs w:val="24"/>
        </w:rPr>
      </w:pPr>
      <w:r w:rsidRPr="00C6394B">
        <w:rPr>
          <w:rFonts w:cs="Times New Roman"/>
          <w:szCs w:val="24"/>
        </w:rPr>
        <w:t>Napriek celkovému vyššiemu výkonu, ekonomiky s vysokým podielom priemyslu naďalej čelili výrazným výzvam. Nižší výkon priemyslu sa odrazil najmä na nízkom hospodárskom raste Nemecka a Maďarska. Počas roka sa však začali objavovať náznaky stabilizácie, keď priemyselná produkcia postupne dosahovala svoje dno a podnikateľský sentiment sa mierne zlepšoval, čiastočne aj v reakcii na fiškálne stimuly prijaté v Nemecku.</w:t>
      </w:r>
    </w:p>
    <w:p w14:paraId="55BC9E43" w14:textId="77777777" w:rsidR="00293566" w:rsidRPr="00C6394B" w:rsidRDefault="00293566" w:rsidP="00C6394B">
      <w:pPr>
        <w:spacing w:line="240" w:lineRule="auto"/>
        <w:jc w:val="both"/>
        <w:rPr>
          <w:rFonts w:cs="Times New Roman"/>
          <w:szCs w:val="24"/>
        </w:rPr>
      </w:pPr>
    </w:p>
    <w:p w14:paraId="5475C4B3" w14:textId="77777777" w:rsidR="00C6394B" w:rsidRDefault="00C6394B" w:rsidP="00C6394B">
      <w:pPr>
        <w:spacing w:line="240" w:lineRule="auto"/>
        <w:jc w:val="both"/>
        <w:rPr>
          <w:rFonts w:cs="Times New Roman"/>
          <w:szCs w:val="24"/>
        </w:rPr>
      </w:pPr>
      <w:r w:rsidRPr="00C6394B">
        <w:rPr>
          <w:rFonts w:cs="Times New Roman"/>
          <w:szCs w:val="24"/>
        </w:rPr>
        <w:t>Významným protivetrom pre európske ekonomiky sa stala obchodná politika Spojených štátov. Po ustálení nového režimu ciel sa zvýraznili rozdiely v ich dopadoch naprieč členskými štátmi Európskej únie. Slovensko sa pritom zaradilo medzi krajiny s relatívne vysokou efektívnou mierou zaťaženia vývozu americkými clami, najmä vzhľadom na svoju expozíciu voči automobilovému priemyslu a napojenie na nemecké výrobné reťazce.</w:t>
      </w:r>
    </w:p>
    <w:p w14:paraId="4E843B28" w14:textId="77777777" w:rsidR="00293566" w:rsidRPr="00C6394B" w:rsidRDefault="00293566" w:rsidP="00C6394B">
      <w:pPr>
        <w:spacing w:line="240" w:lineRule="auto"/>
        <w:jc w:val="both"/>
        <w:rPr>
          <w:rFonts w:cs="Times New Roman"/>
          <w:szCs w:val="24"/>
        </w:rPr>
      </w:pPr>
    </w:p>
    <w:p w14:paraId="59FA67AC" w14:textId="05BB6C54" w:rsidR="00402102" w:rsidRPr="00C6394B" w:rsidRDefault="00C6394B" w:rsidP="00C6394B">
      <w:pPr>
        <w:spacing w:line="240" w:lineRule="auto"/>
        <w:jc w:val="both"/>
        <w:rPr>
          <w:rFonts w:cs="Times New Roman"/>
          <w:szCs w:val="24"/>
        </w:rPr>
      </w:pPr>
      <w:r w:rsidRPr="00C6394B">
        <w:rPr>
          <w:rFonts w:cs="Times New Roman"/>
          <w:szCs w:val="24"/>
        </w:rPr>
        <w:lastRenderedPageBreak/>
        <w:t>Z globálneho pohľadu zostávalo ekonomické prostredie aj naďalej ovplyvnené geopolitickými rizikami. Vojna na Ukrajine pokračovala bez zásadného posunu a sankčný režim voči Rusku zostal v platnosti. Napätie na Blízkom východe síce naďalej predstavovalo riziko pre</w:t>
      </w:r>
      <w:r w:rsidR="00293566">
        <w:rPr>
          <w:rFonts w:cs="Times New Roman"/>
          <w:szCs w:val="24"/>
        </w:rPr>
        <w:t> </w:t>
      </w:r>
      <w:r w:rsidRPr="00C6394B">
        <w:rPr>
          <w:rFonts w:cs="Times New Roman"/>
          <w:szCs w:val="24"/>
        </w:rPr>
        <w:t>medzinárodný obchod, avšak jeho dopady na globálne dodávateľské reťazce sa nepremietli do obnovenia inflačných tlakov.</w:t>
      </w:r>
    </w:p>
    <w:p w14:paraId="61626C79" w14:textId="77777777" w:rsidR="00C6394B" w:rsidRPr="00293566" w:rsidRDefault="00C6394B" w:rsidP="00C6394B">
      <w:pPr>
        <w:spacing w:line="240" w:lineRule="auto"/>
        <w:jc w:val="both"/>
        <w:rPr>
          <w:rFonts w:cs="Times New Roman"/>
          <w:szCs w:val="24"/>
        </w:rPr>
      </w:pPr>
    </w:p>
    <w:p w14:paraId="5F75DD8E" w14:textId="4B626658" w:rsidR="003B7AF0" w:rsidRPr="00293566" w:rsidRDefault="003B7AF0" w:rsidP="00532D85">
      <w:pPr>
        <w:pStyle w:val="Popis"/>
        <w:jc w:val="both"/>
      </w:pPr>
      <w:bookmarkStart w:id="10" w:name="_Toc196313627"/>
      <w:bookmarkStart w:id="11" w:name="_Toc227670137"/>
      <w:r w:rsidRPr="00293566">
        <w:t xml:space="preserve">Tabuľka </w:t>
      </w:r>
      <w:r w:rsidR="00995280">
        <w:fldChar w:fldCharType="begin"/>
      </w:r>
      <w:r w:rsidR="00995280">
        <w:instrText xml:space="preserve"> SEQ Tabuľka \* ARABIC </w:instrText>
      </w:r>
      <w:r w:rsidR="00995280">
        <w:fldChar w:fldCharType="separate"/>
      </w:r>
      <w:r w:rsidR="00396BE8">
        <w:rPr>
          <w:noProof/>
        </w:rPr>
        <w:t>1</w:t>
      </w:r>
      <w:r w:rsidR="00995280">
        <w:rPr>
          <w:noProof/>
        </w:rPr>
        <w:fldChar w:fldCharType="end"/>
      </w:r>
      <w:r w:rsidRPr="00293566">
        <w:t xml:space="preserve"> - Vývoj vybraných makroekonomických ukazovateľov eurozóny</w:t>
      </w:r>
      <w:bookmarkEnd w:id="10"/>
      <w:bookmarkEnd w:id="11"/>
    </w:p>
    <w:tbl>
      <w:tblPr>
        <w:tblW w:w="5000" w:type="pct"/>
        <w:tblCellMar>
          <w:left w:w="70" w:type="dxa"/>
          <w:right w:w="70" w:type="dxa"/>
        </w:tblCellMar>
        <w:tblLook w:val="04A0" w:firstRow="1" w:lastRow="0" w:firstColumn="1" w:lastColumn="0" w:noHBand="0" w:noVBand="1"/>
      </w:tblPr>
      <w:tblGrid>
        <w:gridCol w:w="5386"/>
        <w:gridCol w:w="1228"/>
        <w:gridCol w:w="1228"/>
        <w:gridCol w:w="1228"/>
      </w:tblGrid>
      <w:tr w:rsidR="00293566" w:rsidRPr="00293566" w14:paraId="78C288EB" w14:textId="77777777" w:rsidTr="00D61C05">
        <w:trPr>
          <w:trHeight w:val="300"/>
          <w:tblHeader/>
        </w:trPr>
        <w:tc>
          <w:tcPr>
            <w:tcW w:w="2968" w:type="pct"/>
            <w:tcBorders>
              <w:top w:val="single" w:sz="4" w:space="0" w:color="auto"/>
              <w:left w:val="nil"/>
              <w:bottom w:val="single" w:sz="4" w:space="0" w:color="auto"/>
              <w:right w:val="nil"/>
            </w:tcBorders>
            <w:noWrap/>
            <w:vAlign w:val="center"/>
            <w:hideMark/>
          </w:tcPr>
          <w:p w14:paraId="6732348B" w14:textId="77777777" w:rsidR="00293566" w:rsidRPr="00293566" w:rsidRDefault="00293566" w:rsidP="00293566">
            <w:pPr>
              <w:spacing w:line="240" w:lineRule="auto"/>
              <w:jc w:val="both"/>
              <w:rPr>
                <w:rFonts w:ascii="Calibri" w:eastAsia="Times New Roman" w:hAnsi="Calibri" w:cs="Calibri"/>
                <w:color w:val="000000"/>
                <w:lang w:eastAsia="sk-SK"/>
              </w:rPr>
            </w:pPr>
            <w:r w:rsidRPr="00293566">
              <w:rPr>
                <w:rFonts w:ascii="Calibri" w:eastAsia="Times New Roman" w:hAnsi="Calibri" w:cs="Calibri"/>
                <w:color w:val="000000"/>
                <w:lang w:eastAsia="sk-SK"/>
              </w:rPr>
              <w:t> </w:t>
            </w:r>
          </w:p>
        </w:tc>
        <w:tc>
          <w:tcPr>
            <w:tcW w:w="677" w:type="pct"/>
            <w:tcBorders>
              <w:top w:val="single" w:sz="4" w:space="0" w:color="auto"/>
              <w:left w:val="nil"/>
              <w:bottom w:val="single" w:sz="4" w:space="0" w:color="auto"/>
              <w:right w:val="nil"/>
            </w:tcBorders>
            <w:noWrap/>
            <w:vAlign w:val="center"/>
            <w:hideMark/>
          </w:tcPr>
          <w:p w14:paraId="0C1698DB" w14:textId="77777777" w:rsidR="00293566" w:rsidRPr="00293566" w:rsidRDefault="00293566" w:rsidP="00293566">
            <w:pPr>
              <w:spacing w:line="240" w:lineRule="auto"/>
              <w:jc w:val="center"/>
              <w:rPr>
                <w:rFonts w:eastAsia="Times New Roman" w:cs="Times New Roman"/>
                <w:b/>
                <w:bCs/>
                <w:color w:val="000000"/>
                <w:sz w:val="18"/>
                <w:szCs w:val="18"/>
                <w:lang w:eastAsia="sk-SK"/>
              </w:rPr>
            </w:pPr>
            <w:r w:rsidRPr="00293566">
              <w:rPr>
                <w:rFonts w:eastAsia="Times New Roman" w:cs="Times New Roman"/>
                <w:b/>
                <w:bCs/>
                <w:color w:val="000000"/>
                <w:sz w:val="18"/>
                <w:szCs w:val="18"/>
                <w:lang w:eastAsia="sk-SK"/>
              </w:rPr>
              <w:t>2023</w:t>
            </w:r>
          </w:p>
        </w:tc>
        <w:tc>
          <w:tcPr>
            <w:tcW w:w="677" w:type="pct"/>
            <w:tcBorders>
              <w:top w:val="single" w:sz="4" w:space="0" w:color="auto"/>
              <w:left w:val="nil"/>
              <w:bottom w:val="single" w:sz="4" w:space="0" w:color="auto"/>
              <w:right w:val="nil"/>
            </w:tcBorders>
            <w:noWrap/>
            <w:vAlign w:val="center"/>
            <w:hideMark/>
          </w:tcPr>
          <w:p w14:paraId="59F2D3A9" w14:textId="77777777" w:rsidR="00293566" w:rsidRPr="00293566" w:rsidRDefault="00293566" w:rsidP="00293566">
            <w:pPr>
              <w:spacing w:line="240" w:lineRule="auto"/>
              <w:jc w:val="center"/>
              <w:rPr>
                <w:rFonts w:eastAsia="Times New Roman" w:cs="Times New Roman"/>
                <w:b/>
                <w:bCs/>
                <w:color w:val="000000"/>
                <w:sz w:val="18"/>
                <w:szCs w:val="18"/>
                <w:lang w:eastAsia="sk-SK"/>
              </w:rPr>
            </w:pPr>
            <w:r w:rsidRPr="00293566">
              <w:rPr>
                <w:rFonts w:eastAsia="Times New Roman" w:cs="Times New Roman"/>
                <w:b/>
                <w:bCs/>
                <w:color w:val="000000"/>
                <w:sz w:val="18"/>
                <w:szCs w:val="18"/>
                <w:lang w:eastAsia="sk-SK"/>
              </w:rPr>
              <w:t>2024</w:t>
            </w:r>
          </w:p>
        </w:tc>
        <w:tc>
          <w:tcPr>
            <w:tcW w:w="677" w:type="pct"/>
            <w:tcBorders>
              <w:top w:val="single" w:sz="4" w:space="0" w:color="auto"/>
              <w:left w:val="nil"/>
              <w:bottom w:val="single" w:sz="4" w:space="0" w:color="auto"/>
              <w:right w:val="nil"/>
            </w:tcBorders>
            <w:noWrap/>
            <w:vAlign w:val="center"/>
            <w:hideMark/>
          </w:tcPr>
          <w:p w14:paraId="53AEECE2" w14:textId="77777777" w:rsidR="00293566" w:rsidRPr="00293566" w:rsidRDefault="00293566" w:rsidP="00293566">
            <w:pPr>
              <w:spacing w:line="240" w:lineRule="auto"/>
              <w:jc w:val="center"/>
              <w:rPr>
                <w:rFonts w:eastAsia="Times New Roman" w:cs="Times New Roman"/>
                <w:b/>
                <w:bCs/>
                <w:color w:val="000000"/>
                <w:sz w:val="18"/>
                <w:szCs w:val="18"/>
                <w:lang w:eastAsia="sk-SK"/>
              </w:rPr>
            </w:pPr>
            <w:r w:rsidRPr="00293566">
              <w:rPr>
                <w:rFonts w:eastAsia="Times New Roman" w:cs="Times New Roman"/>
                <w:b/>
                <w:bCs/>
                <w:color w:val="000000"/>
                <w:sz w:val="18"/>
                <w:szCs w:val="18"/>
                <w:lang w:eastAsia="sk-SK"/>
              </w:rPr>
              <w:t>2025</w:t>
            </w:r>
          </w:p>
        </w:tc>
      </w:tr>
      <w:tr w:rsidR="00293566" w:rsidRPr="00293566" w14:paraId="2BC61554" w14:textId="77777777" w:rsidTr="00D61C05">
        <w:trPr>
          <w:trHeight w:val="290"/>
        </w:trPr>
        <w:tc>
          <w:tcPr>
            <w:tcW w:w="2968" w:type="pct"/>
            <w:tcBorders>
              <w:top w:val="single" w:sz="4" w:space="0" w:color="auto"/>
              <w:left w:val="nil"/>
              <w:bottom w:val="nil"/>
              <w:right w:val="nil"/>
            </w:tcBorders>
            <w:noWrap/>
            <w:vAlign w:val="center"/>
            <w:hideMark/>
          </w:tcPr>
          <w:p w14:paraId="5A0B9203"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Hrubý domáci produkt (% rast)</w:t>
            </w:r>
          </w:p>
        </w:tc>
        <w:tc>
          <w:tcPr>
            <w:tcW w:w="677" w:type="pct"/>
            <w:tcBorders>
              <w:top w:val="single" w:sz="4" w:space="0" w:color="auto"/>
              <w:left w:val="nil"/>
              <w:bottom w:val="nil"/>
              <w:right w:val="nil"/>
            </w:tcBorders>
            <w:noWrap/>
            <w:vAlign w:val="center"/>
            <w:hideMark/>
          </w:tcPr>
          <w:p w14:paraId="08ED53A3"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0,4</w:t>
            </w:r>
          </w:p>
        </w:tc>
        <w:tc>
          <w:tcPr>
            <w:tcW w:w="677" w:type="pct"/>
            <w:tcBorders>
              <w:top w:val="single" w:sz="4" w:space="0" w:color="auto"/>
              <w:left w:val="nil"/>
              <w:bottom w:val="nil"/>
              <w:right w:val="nil"/>
            </w:tcBorders>
            <w:noWrap/>
            <w:vAlign w:val="center"/>
            <w:hideMark/>
          </w:tcPr>
          <w:p w14:paraId="13AE3FD3"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0,9</w:t>
            </w:r>
          </w:p>
        </w:tc>
        <w:tc>
          <w:tcPr>
            <w:tcW w:w="677" w:type="pct"/>
            <w:tcBorders>
              <w:top w:val="single" w:sz="4" w:space="0" w:color="auto"/>
              <w:left w:val="nil"/>
              <w:bottom w:val="nil"/>
              <w:right w:val="nil"/>
            </w:tcBorders>
            <w:noWrap/>
            <w:vAlign w:val="center"/>
            <w:hideMark/>
          </w:tcPr>
          <w:p w14:paraId="1ED3508E"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1,4</w:t>
            </w:r>
          </w:p>
        </w:tc>
      </w:tr>
      <w:tr w:rsidR="00293566" w:rsidRPr="00293566" w14:paraId="2770A0DF" w14:textId="77777777" w:rsidTr="00293566">
        <w:trPr>
          <w:trHeight w:val="290"/>
        </w:trPr>
        <w:tc>
          <w:tcPr>
            <w:tcW w:w="2968" w:type="pct"/>
            <w:tcBorders>
              <w:top w:val="nil"/>
              <w:left w:val="nil"/>
              <w:bottom w:val="nil"/>
              <w:right w:val="nil"/>
            </w:tcBorders>
            <w:noWrap/>
            <w:vAlign w:val="center"/>
            <w:hideMark/>
          </w:tcPr>
          <w:p w14:paraId="692D04C4"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Zamestnanosť (ESA, % rast)</w:t>
            </w:r>
          </w:p>
        </w:tc>
        <w:tc>
          <w:tcPr>
            <w:tcW w:w="677" w:type="pct"/>
            <w:tcBorders>
              <w:top w:val="nil"/>
              <w:left w:val="nil"/>
              <w:bottom w:val="nil"/>
              <w:right w:val="nil"/>
            </w:tcBorders>
            <w:noWrap/>
            <w:vAlign w:val="center"/>
            <w:hideMark/>
          </w:tcPr>
          <w:p w14:paraId="7F1CB774"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1,5</w:t>
            </w:r>
          </w:p>
        </w:tc>
        <w:tc>
          <w:tcPr>
            <w:tcW w:w="677" w:type="pct"/>
            <w:tcBorders>
              <w:top w:val="nil"/>
              <w:left w:val="nil"/>
              <w:bottom w:val="nil"/>
              <w:right w:val="nil"/>
            </w:tcBorders>
            <w:noWrap/>
            <w:vAlign w:val="center"/>
            <w:hideMark/>
          </w:tcPr>
          <w:p w14:paraId="0BB6DEB2"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1</w:t>
            </w:r>
          </w:p>
        </w:tc>
        <w:tc>
          <w:tcPr>
            <w:tcW w:w="677" w:type="pct"/>
            <w:tcBorders>
              <w:top w:val="nil"/>
              <w:left w:val="nil"/>
              <w:bottom w:val="nil"/>
              <w:right w:val="nil"/>
            </w:tcBorders>
            <w:noWrap/>
            <w:vAlign w:val="center"/>
            <w:hideMark/>
          </w:tcPr>
          <w:p w14:paraId="018A0864"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0,7</w:t>
            </w:r>
          </w:p>
        </w:tc>
      </w:tr>
      <w:tr w:rsidR="00293566" w:rsidRPr="00293566" w14:paraId="7EB0ED74" w14:textId="77777777" w:rsidTr="00293566">
        <w:trPr>
          <w:trHeight w:val="290"/>
        </w:trPr>
        <w:tc>
          <w:tcPr>
            <w:tcW w:w="2968" w:type="pct"/>
            <w:tcBorders>
              <w:top w:val="nil"/>
              <w:left w:val="nil"/>
              <w:bottom w:val="nil"/>
              <w:right w:val="nil"/>
            </w:tcBorders>
            <w:noWrap/>
            <w:vAlign w:val="center"/>
            <w:hideMark/>
          </w:tcPr>
          <w:p w14:paraId="26D85BDD"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Miera nezamestnanosti (VZPS, %)</w:t>
            </w:r>
          </w:p>
        </w:tc>
        <w:tc>
          <w:tcPr>
            <w:tcW w:w="677" w:type="pct"/>
            <w:tcBorders>
              <w:top w:val="nil"/>
              <w:left w:val="nil"/>
              <w:bottom w:val="nil"/>
              <w:right w:val="nil"/>
            </w:tcBorders>
            <w:noWrap/>
            <w:vAlign w:val="center"/>
            <w:hideMark/>
          </w:tcPr>
          <w:p w14:paraId="5548EBE3"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6,6</w:t>
            </w:r>
          </w:p>
        </w:tc>
        <w:tc>
          <w:tcPr>
            <w:tcW w:w="677" w:type="pct"/>
            <w:tcBorders>
              <w:top w:val="nil"/>
              <w:left w:val="nil"/>
              <w:bottom w:val="nil"/>
              <w:right w:val="nil"/>
            </w:tcBorders>
            <w:noWrap/>
            <w:vAlign w:val="center"/>
            <w:hideMark/>
          </w:tcPr>
          <w:p w14:paraId="698E474E"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6,4</w:t>
            </w:r>
          </w:p>
        </w:tc>
        <w:tc>
          <w:tcPr>
            <w:tcW w:w="677" w:type="pct"/>
            <w:tcBorders>
              <w:top w:val="nil"/>
              <w:left w:val="nil"/>
              <w:bottom w:val="nil"/>
              <w:right w:val="nil"/>
            </w:tcBorders>
            <w:noWrap/>
            <w:vAlign w:val="center"/>
            <w:hideMark/>
          </w:tcPr>
          <w:p w14:paraId="125269C9"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6,4</w:t>
            </w:r>
          </w:p>
        </w:tc>
      </w:tr>
      <w:tr w:rsidR="00293566" w:rsidRPr="00293566" w14:paraId="2EBD541E" w14:textId="77777777" w:rsidTr="00293566">
        <w:trPr>
          <w:trHeight w:val="290"/>
        </w:trPr>
        <w:tc>
          <w:tcPr>
            <w:tcW w:w="2968" w:type="pct"/>
            <w:tcBorders>
              <w:top w:val="nil"/>
              <w:left w:val="nil"/>
              <w:bottom w:val="nil"/>
              <w:right w:val="nil"/>
            </w:tcBorders>
            <w:noWrap/>
            <w:vAlign w:val="center"/>
            <w:hideMark/>
          </w:tcPr>
          <w:p w14:paraId="64926623"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Kompenzácie na zamestnanca* (% rast)</w:t>
            </w:r>
          </w:p>
        </w:tc>
        <w:tc>
          <w:tcPr>
            <w:tcW w:w="677" w:type="pct"/>
            <w:tcBorders>
              <w:top w:val="nil"/>
              <w:left w:val="nil"/>
              <w:bottom w:val="nil"/>
              <w:right w:val="nil"/>
            </w:tcBorders>
            <w:noWrap/>
            <w:vAlign w:val="center"/>
            <w:hideMark/>
          </w:tcPr>
          <w:p w14:paraId="5F65353D"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4,8</w:t>
            </w:r>
          </w:p>
        </w:tc>
        <w:tc>
          <w:tcPr>
            <w:tcW w:w="677" w:type="pct"/>
            <w:tcBorders>
              <w:top w:val="nil"/>
              <w:left w:val="nil"/>
              <w:bottom w:val="nil"/>
              <w:right w:val="nil"/>
            </w:tcBorders>
            <w:noWrap/>
            <w:vAlign w:val="center"/>
            <w:hideMark/>
          </w:tcPr>
          <w:p w14:paraId="48B84DE9"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4,5</w:t>
            </w:r>
          </w:p>
        </w:tc>
        <w:tc>
          <w:tcPr>
            <w:tcW w:w="677" w:type="pct"/>
            <w:tcBorders>
              <w:top w:val="nil"/>
              <w:left w:val="nil"/>
              <w:bottom w:val="nil"/>
              <w:right w:val="nil"/>
            </w:tcBorders>
            <w:noWrap/>
            <w:vAlign w:val="center"/>
            <w:hideMark/>
          </w:tcPr>
          <w:p w14:paraId="6191BAEF"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3,9</w:t>
            </w:r>
          </w:p>
        </w:tc>
      </w:tr>
      <w:tr w:rsidR="00293566" w:rsidRPr="00293566" w14:paraId="05ADC41B" w14:textId="77777777" w:rsidTr="00293566">
        <w:trPr>
          <w:trHeight w:val="290"/>
        </w:trPr>
        <w:tc>
          <w:tcPr>
            <w:tcW w:w="2968" w:type="pct"/>
            <w:tcBorders>
              <w:top w:val="nil"/>
              <w:left w:val="nil"/>
              <w:bottom w:val="nil"/>
              <w:right w:val="nil"/>
            </w:tcBorders>
            <w:noWrap/>
            <w:vAlign w:val="center"/>
            <w:hideMark/>
          </w:tcPr>
          <w:p w14:paraId="3050CEF4"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Miera inflácie (HICP, %)</w:t>
            </w:r>
          </w:p>
        </w:tc>
        <w:tc>
          <w:tcPr>
            <w:tcW w:w="677" w:type="pct"/>
            <w:tcBorders>
              <w:top w:val="nil"/>
              <w:left w:val="nil"/>
              <w:bottom w:val="nil"/>
              <w:right w:val="nil"/>
            </w:tcBorders>
            <w:noWrap/>
            <w:vAlign w:val="center"/>
            <w:hideMark/>
          </w:tcPr>
          <w:p w14:paraId="27202821"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5,4</w:t>
            </w:r>
          </w:p>
        </w:tc>
        <w:tc>
          <w:tcPr>
            <w:tcW w:w="677" w:type="pct"/>
            <w:tcBorders>
              <w:top w:val="nil"/>
              <w:left w:val="nil"/>
              <w:bottom w:val="nil"/>
              <w:right w:val="nil"/>
            </w:tcBorders>
            <w:noWrap/>
            <w:vAlign w:val="center"/>
            <w:hideMark/>
          </w:tcPr>
          <w:p w14:paraId="17B04A64"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2,4</w:t>
            </w:r>
          </w:p>
        </w:tc>
        <w:tc>
          <w:tcPr>
            <w:tcW w:w="677" w:type="pct"/>
            <w:tcBorders>
              <w:top w:val="nil"/>
              <w:left w:val="nil"/>
              <w:bottom w:val="nil"/>
              <w:right w:val="nil"/>
            </w:tcBorders>
            <w:noWrap/>
            <w:vAlign w:val="center"/>
            <w:hideMark/>
          </w:tcPr>
          <w:p w14:paraId="61228DFB"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2,1</w:t>
            </w:r>
          </w:p>
        </w:tc>
      </w:tr>
      <w:tr w:rsidR="00293566" w:rsidRPr="00293566" w14:paraId="0FD4C761" w14:textId="77777777" w:rsidTr="00293566">
        <w:trPr>
          <w:trHeight w:val="290"/>
        </w:trPr>
        <w:tc>
          <w:tcPr>
            <w:tcW w:w="2968" w:type="pct"/>
            <w:tcBorders>
              <w:top w:val="nil"/>
              <w:left w:val="nil"/>
              <w:bottom w:val="nil"/>
              <w:right w:val="nil"/>
            </w:tcBorders>
            <w:noWrap/>
            <w:vAlign w:val="center"/>
            <w:hideMark/>
          </w:tcPr>
          <w:p w14:paraId="76490530"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10-ročný nemecký dlhopis (% výnos)</w:t>
            </w:r>
          </w:p>
        </w:tc>
        <w:tc>
          <w:tcPr>
            <w:tcW w:w="677" w:type="pct"/>
            <w:tcBorders>
              <w:top w:val="nil"/>
              <w:left w:val="nil"/>
              <w:bottom w:val="nil"/>
              <w:right w:val="nil"/>
            </w:tcBorders>
            <w:noWrap/>
            <w:vAlign w:val="center"/>
            <w:hideMark/>
          </w:tcPr>
          <w:p w14:paraId="6A590A48"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2,45</w:t>
            </w:r>
          </w:p>
        </w:tc>
        <w:tc>
          <w:tcPr>
            <w:tcW w:w="677" w:type="pct"/>
            <w:tcBorders>
              <w:top w:val="nil"/>
              <w:left w:val="nil"/>
              <w:bottom w:val="nil"/>
              <w:right w:val="nil"/>
            </w:tcBorders>
            <w:noWrap/>
            <w:vAlign w:val="center"/>
            <w:hideMark/>
          </w:tcPr>
          <w:p w14:paraId="74EC5221"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2,34</w:t>
            </w:r>
          </w:p>
        </w:tc>
        <w:tc>
          <w:tcPr>
            <w:tcW w:w="677" w:type="pct"/>
            <w:tcBorders>
              <w:top w:val="nil"/>
              <w:left w:val="nil"/>
              <w:bottom w:val="nil"/>
              <w:right w:val="nil"/>
            </w:tcBorders>
            <w:noWrap/>
            <w:vAlign w:val="center"/>
            <w:hideMark/>
          </w:tcPr>
          <w:p w14:paraId="2917C45C"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2,66</w:t>
            </w:r>
          </w:p>
        </w:tc>
      </w:tr>
      <w:tr w:rsidR="00293566" w:rsidRPr="00293566" w14:paraId="1FA053A1" w14:textId="77777777" w:rsidTr="00D61C05">
        <w:trPr>
          <w:trHeight w:val="290"/>
        </w:trPr>
        <w:tc>
          <w:tcPr>
            <w:tcW w:w="2968" w:type="pct"/>
            <w:tcBorders>
              <w:top w:val="nil"/>
              <w:left w:val="nil"/>
              <w:right w:val="nil"/>
            </w:tcBorders>
            <w:noWrap/>
            <w:vAlign w:val="center"/>
            <w:hideMark/>
          </w:tcPr>
          <w:p w14:paraId="70F1926D"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Kurz USD/EUR (priemer roka)</w:t>
            </w:r>
          </w:p>
        </w:tc>
        <w:tc>
          <w:tcPr>
            <w:tcW w:w="677" w:type="pct"/>
            <w:tcBorders>
              <w:top w:val="nil"/>
              <w:left w:val="nil"/>
              <w:right w:val="nil"/>
            </w:tcBorders>
            <w:noWrap/>
            <w:vAlign w:val="center"/>
            <w:hideMark/>
          </w:tcPr>
          <w:p w14:paraId="7E8B56A8"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1,08</w:t>
            </w:r>
          </w:p>
        </w:tc>
        <w:tc>
          <w:tcPr>
            <w:tcW w:w="677" w:type="pct"/>
            <w:tcBorders>
              <w:top w:val="nil"/>
              <w:left w:val="nil"/>
              <w:right w:val="nil"/>
            </w:tcBorders>
            <w:noWrap/>
            <w:vAlign w:val="center"/>
            <w:hideMark/>
          </w:tcPr>
          <w:p w14:paraId="42885CFF"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1,08</w:t>
            </w:r>
          </w:p>
        </w:tc>
        <w:tc>
          <w:tcPr>
            <w:tcW w:w="677" w:type="pct"/>
            <w:tcBorders>
              <w:top w:val="nil"/>
              <w:left w:val="nil"/>
              <w:right w:val="nil"/>
            </w:tcBorders>
            <w:noWrap/>
            <w:vAlign w:val="center"/>
            <w:hideMark/>
          </w:tcPr>
          <w:p w14:paraId="0464871F"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1,13</w:t>
            </w:r>
          </w:p>
        </w:tc>
      </w:tr>
      <w:tr w:rsidR="00293566" w:rsidRPr="00293566" w14:paraId="67AAE617" w14:textId="77777777" w:rsidTr="00D61C05">
        <w:trPr>
          <w:trHeight w:val="300"/>
        </w:trPr>
        <w:tc>
          <w:tcPr>
            <w:tcW w:w="2968" w:type="pct"/>
            <w:tcBorders>
              <w:top w:val="nil"/>
              <w:left w:val="nil"/>
              <w:bottom w:val="single" w:sz="4" w:space="0" w:color="auto"/>
              <w:right w:val="nil"/>
            </w:tcBorders>
            <w:noWrap/>
            <w:vAlign w:val="center"/>
            <w:hideMark/>
          </w:tcPr>
          <w:p w14:paraId="64B51723" w14:textId="77777777" w:rsidR="00293566" w:rsidRPr="00293566" w:rsidRDefault="00293566" w:rsidP="00293566">
            <w:pPr>
              <w:spacing w:line="240" w:lineRule="auto"/>
              <w:jc w:val="both"/>
              <w:rPr>
                <w:rFonts w:eastAsia="Times New Roman" w:cs="Times New Roman"/>
                <w:color w:val="000000"/>
                <w:sz w:val="18"/>
                <w:szCs w:val="18"/>
                <w:lang w:eastAsia="sk-SK"/>
              </w:rPr>
            </w:pPr>
            <w:r w:rsidRPr="00293566">
              <w:rPr>
                <w:rFonts w:eastAsia="Times New Roman" w:cs="Times New Roman"/>
                <w:color w:val="000000"/>
                <w:sz w:val="18"/>
                <w:szCs w:val="18"/>
                <w:lang w:eastAsia="sk-SK"/>
              </w:rPr>
              <w:t>Cena ropy Brent (USD/bl)</w:t>
            </w:r>
          </w:p>
        </w:tc>
        <w:tc>
          <w:tcPr>
            <w:tcW w:w="677" w:type="pct"/>
            <w:tcBorders>
              <w:top w:val="nil"/>
              <w:left w:val="nil"/>
              <w:bottom w:val="single" w:sz="4" w:space="0" w:color="auto"/>
              <w:right w:val="nil"/>
            </w:tcBorders>
            <w:noWrap/>
            <w:vAlign w:val="center"/>
            <w:hideMark/>
          </w:tcPr>
          <w:p w14:paraId="124576C7"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82,2</w:t>
            </w:r>
          </w:p>
        </w:tc>
        <w:tc>
          <w:tcPr>
            <w:tcW w:w="677" w:type="pct"/>
            <w:tcBorders>
              <w:top w:val="nil"/>
              <w:left w:val="nil"/>
              <w:bottom w:val="single" w:sz="4" w:space="0" w:color="auto"/>
              <w:right w:val="nil"/>
            </w:tcBorders>
            <w:noWrap/>
            <w:vAlign w:val="center"/>
            <w:hideMark/>
          </w:tcPr>
          <w:p w14:paraId="0DEA7AB3"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79,8</w:t>
            </w:r>
          </w:p>
        </w:tc>
        <w:tc>
          <w:tcPr>
            <w:tcW w:w="677" w:type="pct"/>
            <w:tcBorders>
              <w:top w:val="nil"/>
              <w:left w:val="nil"/>
              <w:bottom w:val="single" w:sz="4" w:space="0" w:color="auto"/>
              <w:right w:val="nil"/>
            </w:tcBorders>
            <w:noWrap/>
            <w:vAlign w:val="center"/>
            <w:hideMark/>
          </w:tcPr>
          <w:p w14:paraId="7771E6A9" w14:textId="77777777" w:rsidR="00293566" w:rsidRPr="00293566" w:rsidRDefault="00293566" w:rsidP="00293566">
            <w:pPr>
              <w:spacing w:line="240" w:lineRule="auto"/>
              <w:jc w:val="right"/>
              <w:rPr>
                <w:rFonts w:eastAsia="Times New Roman" w:cs="Times New Roman"/>
                <w:color w:val="000000"/>
                <w:sz w:val="18"/>
                <w:szCs w:val="18"/>
                <w:lang w:eastAsia="sk-SK"/>
              </w:rPr>
            </w:pPr>
            <w:r w:rsidRPr="00293566">
              <w:rPr>
                <w:rFonts w:eastAsia="Times New Roman" w:cs="Times New Roman"/>
                <w:color w:val="000000"/>
                <w:sz w:val="18"/>
                <w:szCs w:val="18"/>
                <w:lang w:eastAsia="sk-SK"/>
              </w:rPr>
              <w:t>68,2</w:t>
            </w:r>
          </w:p>
        </w:tc>
      </w:tr>
    </w:tbl>
    <w:p w14:paraId="324AAB3A" w14:textId="68503BCA" w:rsidR="00032A8E" w:rsidRPr="00293566" w:rsidRDefault="00032A8E" w:rsidP="004019D4">
      <w:pPr>
        <w:pStyle w:val="Zdroj"/>
        <w:tabs>
          <w:tab w:val="clear" w:pos="8930"/>
          <w:tab w:val="right" w:pos="9070"/>
        </w:tabs>
        <w:jc w:val="both"/>
      </w:pPr>
      <w:r w:rsidRPr="00293566">
        <w:t>* suma všetkých miezd a odvodov na jedného zamestnanca („superhrubá“ mzda</w:t>
      </w:r>
      <w:r w:rsidRPr="00293566">
        <w:rPr>
          <w:color w:val="1F497D"/>
        </w:rPr>
        <w:t>)</w:t>
      </w:r>
      <w:r w:rsidRPr="00293566">
        <w:tab/>
        <w:t>Zdroj: Eurostat, Bloomberg</w:t>
      </w:r>
    </w:p>
    <w:p w14:paraId="3F9EBFC2" w14:textId="77777777" w:rsidR="00AC1D94" w:rsidRPr="0050710A" w:rsidRDefault="00AC1D94" w:rsidP="004019D4">
      <w:pPr>
        <w:pStyle w:val="Zdroj"/>
        <w:jc w:val="both"/>
        <w:rPr>
          <w:sz w:val="24"/>
          <w:szCs w:val="24"/>
          <w:highlight w:val="yellow"/>
        </w:rPr>
      </w:pPr>
    </w:p>
    <w:p w14:paraId="5DA4D402" w14:textId="77777777" w:rsidR="009A05C7" w:rsidRPr="00293566" w:rsidRDefault="009A05C7" w:rsidP="004019D4">
      <w:pPr>
        <w:pStyle w:val="Nadpis2"/>
        <w:spacing w:after="0"/>
      </w:pPr>
      <w:bookmarkStart w:id="12" w:name="_Toc6415628"/>
      <w:bookmarkStart w:id="13" w:name="_Toc227758888"/>
      <w:r w:rsidRPr="00293566">
        <w:t>Makroekonomický vývoj SR</w:t>
      </w:r>
      <w:bookmarkEnd w:id="12"/>
      <w:bookmarkEnd w:id="13"/>
    </w:p>
    <w:p w14:paraId="54BF229A" w14:textId="77777777" w:rsidR="00AC1D94" w:rsidRPr="00293566" w:rsidRDefault="00AC1D94" w:rsidP="004019D4">
      <w:pPr>
        <w:spacing w:line="240" w:lineRule="auto"/>
        <w:jc w:val="both"/>
        <w:rPr>
          <w:szCs w:val="24"/>
        </w:rPr>
      </w:pPr>
    </w:p>
    <w:p w14:paraId="17662FF7" w14:textId="77777777" w:rsidR="009A05C7" w:rsidRPr="00293566" w:rsidRDefault="009A05C7" w:rsidP="004019D4">
      <w:pPr>
        <w:pStyle w:val="Nadpis3"/>
        <w:spacing w:before="0"/>
        <w:jc w:val="both"/>
      </w:pPr>
      <w:bookmarkStart w:id="14" w:name="_Toc6415629"/>
      <w:bookmarkStart w:id="15" w:name="_Toc227758889"/>
      <w:r w:rsidRPr="00293566">
        <w:t>Hrubý domáci produkt</w:t>
      </w:r>
      <w:bookmarkEnd w:id="14"/>
      <w:bookmarkEnd w:id="15"/>
    </w:p>
    <w:p w14:paraId="21189846" w14:textId="77777777" w:rsidR="00AC1D94" w:rsidRPr="0050710A" w:rsidRDefault="00AC1D94" w:rsidP="004019D4">
      <w:pPr>
        <w:spacing w:line="240" w:lineRule="auto"/>
        <w:jc w:val="both"/>
        <w:rPr>
          <w:highlight w:val="yellow"/>
        </w:rPr>
      </w:pPr>
    </w:p>
    <w:p w14:paraId="20780546" w14:textId="684F0D1B" w:rsidR="002265B7" w:rsidRPr="002265B7" w:rsidRDefault="002265B7" w:rsidP="00A972FB">
      <w:pPr>
        <w:spacing w:line="240" w:lineRule="auto"/>
        <w:jc w:val="both"/>
        <w:rPr>
          <w:rFonts w:cs="Times New Roman"/>
          <w:szCs w:val="24"/>
        </w:rPr>
      </w:pPr>
      <w:r w:rsidRPr="002265B7">
        <w:rPr>
          <w:rFonts w:cs="Times New Roman"/>
          <w:szCs w:val="24"/>
        </w:rPr>
        <w:t>Hospodársky rast Slovenskej republiky v roku 2025 bol na úrovni 0,8</w:t>
      </w:r>
      <w:r>
        <w:rPr>
          <w:rFonts w:cs="Times New Roman"/>
          <w:szCs w:val="24"/>
        </w:rPr>
        <w:t> </w:t>
      </w:r>
      <w:r w:rsidRPr="002265B7">
        <w:rPr>
          <w:rFonts w:cs="Times New Roman"/>
          <w:szCs w:val="24"/>
        </w:rPr>
        <w:t>% a</w:t>
      </w:r>
      <w:r>
        <w:rPr>
          <w:rFonts w:cs="Times New Roman"/>
          <w:szCs w:val="24"/>
        </w:rPr>
        <w:t> </w:t>
      </w:r>
      <w:r w:rsidRPr="002265B7">
        <w:rPr>
          <w:rFonts w:cs="Times New Roman"/>
          <w:szCs w:val="24"/>
        </w:rPr>
        <w:t>bol primárne podporený domácim dopytom. Spotreba domácností stúpla len mierne v</w:t>
      </w:r>
      <w:r>
        <w:rPr>
          <w:rFonts w:cs="Times New Roman"/>
          <w:szCs w:val="24"/>
        </w:rPr>
        <w:t> </w:t>
      </w:r>
      <w:r w:rsidRPr="002265B7">
        <w:rPr>
          <w:rFonts w:cs="Times New Roman"/>
          <w:szCs w:val="24"/>
        </w:rPr>
        <w:t>dôsledku vyššej inflácie, pretrvávajúcej neistoty a z obáv vývoja na trhu práce. Investičná aktivita bola podporená najmä postupným zvyšovaním čerpania zdrojov z</w:t>
      </w:r>
      <w:r w:rsidR="00E67125">
        <w:rPr>
          <w:rFonts w:cs="Times New Roman"/>
          <w:szCs w:val="24"/>
        </w:rPr>
        <w:t> </w:t>
      </w:r>
      <w:r w:rsidR="00C4036E">
        <w:rPr>
          <w:rFonts w:cs="Times New Roman"/>
          <w:szCs w:val="24"/>
        </w:rPr>
        <w:t>POO</w:t>
      </w:r>
      <w:r w:rsidRPr="002265B7">
        <w:rPr>
          <w:rFonts w:cs="Times New Roman"/>
          <w:szCs w:val="24"/>
        </w:rPr>
        <w:t>.</w:t>
      </w:r>
    </w:p>
    <w:p w14:paraId="376F1E4E" w14:textId="77777777" w:rsidR="002265B7" w:rsidRPr="002265B7" w:rsidRDefault="002265B7" w:rsidP="002265B7">
      <w:pPr>
        <w:spacing w:line="240" w:lineRule="auto"/>
        <w:jc w:val="both"/>
        <w:rPr>
          <w:rFonts w:cs="Times New Roman"/>
          <w:szCs w:val="24"/>
        </w:rPr>
      </w:pPr>
    </w:p>
    <w:p w14:paraId="3CEA61F0" w14:textId="3E2A261A" w:rsidR="002265B7" w:rsidRPr="002265B7" w:rsidRDefault="002265B7" w:rsidP="002265B7">
      <w:pPr>
        <w:spacing w:line="240" w:lineRule="auto"/>
        <w:jc w:val="both"/>
        <w:rPr>
          <w:rFonts w:cs="Times New Roman"/>
          <w:szCs w:val="24"/>
        </w:rPr>
      </w:pPr>
      <w:r w:rsidRPr="002265B7">
        <w:rPr>
          <w:rFonts w:cs="Times New Roman"/>
          <w:szCs w:val="24"/>
        </w:rPr>
        <w:t>Oživenie exportnej výkonnosti bolo v roku 2025 nízke. Vývoj bol negatívne ovplyvnený rastúcou neistotou v globálnom obchode, zavádzaním protekcionistických opatrení a</w:t>
      </w:r>
      <w:r>
        <w:rPr>
          <w:rFonts w:cs="Times New Roman"/>
          <w:szCs w:val="24"/>
        </w:rPr>
        <w:t> </w:t>
      </w:r>
      <w:r w:rsidRPr="002265B7">
        <w:rPr>
          <w:rFonts w:cs="Times New Roman"/>
          <w:szCs w:val="24"/>
        </w:rPr>
        <w:t>nízkym rastom ekonomík hlavných obchodných partnerov. Export začal v priebehu roka strácať dynamiku najmä na americkom a čínskom trhu. Priemysel, najmä exportne orientované odvetvia, čelil pretrvávajúcim problémom, zatiaľ čo domáce odvetvia vykazovali len mierne známky oživenia.</w:t>
      </w:r>
    </w:p>
    <w:p w14:paraId="14E8A816" w14:textId="77777777" w:rsidR="00AC1D94" w:rsidRPr="0050710A" w:rsidRDefault="00AC1D94" w:rsidP="00532D85">
      <w:pPr>
        <w:spacing w:line="240" w:lineRule="auto"/>
        <w:jc w:val="both"/>
        <w:rPr>
          <w:rFonts w:cs="Times New Roman"/>
          <w:szCs w:val="24"/>
          <w:highlight w:val="yellow"/>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673"/>
      </w:tblGrid>
      <w:tr w:rsidR="00BB7AE9" w:rsidRPr="0050710A" w14:paraId="4CC16C83" w14:textId="77777777" w:rsidTr="00BB7AE9">
        <w:tc>
          <w:tcPr>
            <w:tcW w:w="4460" w:type="dxa"/>
            <w:tcBorders>
              <w:bottom w:val="single" w:sz="4" w:space="0" w:color="auto"/>
            </w:tcBorders>
          </w:tcPr>
          <w:p w14:paraId="341E5E59" w14:textId="455C07E1" w:rsidR="00BB7AE9" w:rsidRPr="002265B7" w:rsidRDefault="00BB7AE9" w:rsidP="00532D85">
            <w:pPr>
              <w:pStyle w:val="Popis"/>
              <w:jc w:val="both"/>
            </w:pPr>
            <w:bookmarkStart w:id="16" w:name="_Toc227670138"/>
            <w:r w:rsidRPr="002265B7">
              <w:t xml:space="preserve">Tabuľka </w:t>
            </w:r>
            <w:r w:rsidR="00995280">
              <w:fldChar w:fldCharType="begin"/>
            </w:r>
            <w:r w:rsidR="00995280">
              <w:instrText xml:space="preserve"> SEQ Tabuľka \* ARABIC </w:instrText>
            </w:r>
            <w:r w:rsidR="00995280">
              <w:fldChar w:fldCharType="separate"/>
            </w:r>
            <w:r w:rsidR="00396BE8">
              <w:rPr>
                <w:noProof/>
              </w:rPr>
              <w:t>2</w:t>
            </w:r>
            <w:r w:rsidR="00995280">
              <w:rPr>
                <w:noProof/>
              </w:rPr>
              <w:fldChar w:fldCharType="end"/>
            </w:r>
            <w:r w:rsidRPr="002265B7">
              <w:t xml:space="preserve"> - Vývoj HDP a jeho hlavných zložiek</w:t>
            </w:r>
            <w:bookmarkEnd w:id="16"/>
          </w:p>
        </w:tc>
        <w:tc>
          <w:tcPr>
            <w:tcW w:w="4460" w:type="dxa"/>
            <w:tcBorders>
              <w:bottom w:val="single" w:sz="4" w:space="0" w:color="auto"/>
            </w:tcBorders>
          </w:tcPr>
          <w:p w14:paraId="0C1640D2" w14:textId="1C0A012B" w:rsidR="00BB7AE9" w:rsidRPr="002265B7" w:rsidRDefault="00176953" w:rsidP="00532D85">
            <w:pPr>
              <w:pStyle w:val="Popis"/>
              <w:jc w:val="both"/>
            </w:pPr>
            <w:r>
              <w:t xml:space="preserve">  </w:t>
            </w:r>
            <w:bookmarkStart w:id="17" w:name="_Toc227670123"/>
            <w:r w:rsidR="00BB7AE9" w:rsidRPr="002265B7">
              <w:t xml:space="preserve">Graf </w:t>
            </w:r>
            <w:r w:rsidR="00995280">
              <w:fldChar w:fldCharType="begin"/>
            </w:r>
            <w:r w:rsidR="00995280">
              <w:instrText xml:space="preserve"> SEQ Graf \* ARABIC </w:instrText>
            </w:r>
            <w:r w:rsidR="00995280">
              <w:fldChar w:fldCharType="separate"/>
            </w:r>
            <w:r w:rsidR="00396BE8">
              <w:rPr>
                <w:noProof/>
              </w:rPr>
              <w:t>1</w:t>
            </w:r>
            <w:r w:rsidR="00995280">
              <w:rPr>
                <w:noProof/>
              </w:rPr>
              <w:fldChar w:fldCharType="end"/>
            </w:r>
            <w:r w:rsidR="00BB7AE9" w:rsidRPr="002265B7">
              <w:t xml:space="preserve"> - Vývoj HDP a jeho hlavných zložiek</w:t>
            </w:r>
            <w:bookmarkEnd w:id="17"/>
          </w:p>
        </w:tc>
      </w:tr>
      <w:tr w:rsidR="00BB7AE9" w:rsidRPr="0050710A" w14:paraId="15AC9875" w14:textId="77777777" w:rsidTr="00BB7AE9">
        <w:tc>
          <w:tcPr>
            <w:tcW w:w="4460" w:type="dxa"/>
            <w:tcBorders>
              <w:top w:val="single" w:sz="4" w:space="0" w:color="auto"/>
              <w:bottom w:val="single" w:sz="4" w:space="0" w:color="auto"/>
            </w:tcBorders>
          </w:tcPr>
          <w:tbl>
            <w:tblPr>
              <w:tblW w:w="4285" w:type="dxa"/>
              <w:tblCellMar>
                <w:left w:w="70" w:type="dxa"/>
                <w:right w:w="70" w:type="dxa"/>
              </w:tblCellMar>
              <w:tblLook w:val="04A0" w:firstRow="1" w:lastRow="0" w:firstColumn="1" w:lastColumn="0" w:noHBand="0" w:noVBand="1"/>
            </w:tblPr>
            <w:tblGrid>
              <w:gridCol w:w="1937"/>
              <w:gridCol w:w="647"/>
              <w:gridCol w:w="567"/>
              <w:gridCol w:w="567"/>
              <w:gridCol w:w="567"/>
            </w:tblGrid>
            <w:tr w:rsidR="00BB7AE9" w:rsidRPr="00DC6707" w14:paraId="4E7FA73B" w14:textId="77777777" w:rsidTr="00BB7AE9">
              <w:trPr>
                <w:trHeight w:val="325"/>
              </w:trPr>
              <w:tc>
                <w:tcPr>
                  <w:tcW w:w="2584" w:type="dxa"/>
                  <w:gridSpan w:val="2"/>
                  <w:tcBorders>
                    <w:left w:val="nil"/>
                    <w:bottom w:val="single" w:sz="4" w:space="0" w:color="auto"/>
                    <w:right w:val="nil"/>
                  </w:tcBorders>
                  <w:vAlign w:val="center"/>
                  <w:hideMark/>
                </w:tcPr>
                <w:p w14:paraId="7273C71D" w14:textId="77777777" w:rsidR="00BB7AE9" w:rsidRPr="00DC6707" w:rsidRDefault="00BB7AE9" w:rsidP="00532D85">
                  <w:pPr>
                    <w:spacing w:line="240" w:lineRule="auto"/>
                    <w:jc w:val="both"/>
                    <w:rPr>
                      <w:rFonts w:eastAsia="Times New Roman" w:cs="Times New Roman"/>
                      <w:b/>
                      <w:bCs/>
                      <w:color w:val="000000"/>
                      <w:sz w:val="18"/>
                      <w:szCs w:val="18"/>
                      <w:lang w:eastAsia="sk-SK"/>
                    </w:rPr>
                  </w:pPr>
                  <w:r w:rsidRPr="00DC6707">
                    <w:rPr>
                      <w:rFonts w:eastAsia="Times New Roman" w:cs="Times New Roman"/>
                      <w:b/>
                      <w:bCs/>
                      <w:color w:val="000000"/>
                      <w:sz w:val="18"/>
                      <w:szCs w:val="18"/>
                      <w:lang w:eastAsia="sk-SK"/>
                    </w:rPr>
                    <w:t>reálny rast v %</w:t>
                  </w:r>
                </w:p>
              </w:tc>
              <w:tc>
                <w:tcPr>
                  <w:tcW w:w="567" w:type="dxa"/>
                  <w:tcBorders>
                    <w:left w:val="nil"/>
                    <w:bottom w:val="single" w:sz="4" w:space="0" w:color="auto"/>
                    <w:right w:val="nil"/>
                  </w:tcBorders>
                  <w:vAlign w:val="center"/>
                  <w:hideMark/>
                </w:tcPr>
                <w:p w14:paraId="5EAA8C6F" w14:textId="5CF8A54D" w:rsidR="00BB7AE9" w:rsidRPr="00DC6707" w:rsidRDefault="00BB7AE9" w:rsidP="00532D85">
                  <w:pPr>
                    <w:spacing w:line="240" w:lineRule="auto"/>
                    <w:jc w:val="both"/>
                    <w:rPr>
                      <w:rFonts w:eastAsia="Times New Roman" w:cs="Times New Roman"/>
                      <w:b/>
                      <w:bCs/>
                      <w:color w:val="000000"/>
                      <w:sz w:val="18"/>
                      <w:szCs w:val="18"/>
                      <w:lang w:eastAsia="sk-SK"/>
                    </w:rPr>
                  </w:pPr>
                  <w:r w:rsidRPr="00DC6707">
                    <w:rPr>
                      <w:rFonts w:eastAsia="Times New Roman" w:cs="Times New Roman"/>
                      <w:b/>
                      <w:bCs/>
                      <w:color w:val="000000"/>
                      <w:sz w:val="18"/>
                      <w:szCs w:val="18"/>
                      <w:lang w:eastAsia="sk-SK"/>
                    </w:rPr>
                    <w:t>202</w:t>
                  </w:r>
                  <w:r w:rsidR="00DC6707" w:rsidRPr="00DC6707">
                    <w:rPr>
                      <w:rFonts w:eastAsia="Times New Roman" w:cs="Times New Roman"/>
                      <w:b/>
                      <w:bCs/>
                      <w:color w:val="000000"/>
                      <w:sz w:val="18"/>
                      <w:szCs w:val="18"/>
                      <w:lang w:eastAsia="sk-SK"/>
                    </w:rPr>
                    <w:t>3</w:t>
                  </w:r>
                </w:p>
              </w:tc>
              <w:tc>
                <w:tcPr>
                  <w:tcW w:w="567" w:type="dxa"/>
                  <w:tcBorders>
                    <w:left w:val="nil"/>
                    <w:bottom w:val="single" w:sz="4" w:space="0" w:color="auto"/>
                    <w:right w:val="nil"/>
                  </w:tcBorders>
                  <w:vAlign w:val="center"/>
                  <w:hideMark/>
                </w:tcPr>
                <w:p w14:paraId="4FDA638D" w14:textId="421A0F51" w:rsidR="00BB7AE9" w:rsidRPr="00DC6707" w:rsidRDefault="00BB7AE9" w:rsidP="00532D85">
                  <w:pPr>
                    <w:spacing w:line="240" w:lineRule="auto"/>
                    <w:jc w:val="both"/>
                    <w:rPr>
                      <w:rFonts w:eastAsia="Times New Roman" w:cs="Times New Roman"/>
                      <w:b/>
                      <w:bCs/>
                      <w:color w:val="000000"/>
                      <w:sz w:val="18"/>
                      <w:szCs w:val="18"/>
                      <w:lang w:eastAsia="sk-SK"/>
                    </w:rPr>
                  </w:pPr>
                  <w:r w:rsidRPr="00DC6707">
                    <w:rPr>
                      <w:rFonts w:eastAsia="Times New Roman" w:cs="Times New Roman"/>
                      <w:b/>
                      <w:bCs/>
                      <w:color w:val="000000"/>
                      <w:sz w:val="18"/>
                      <w:szCs w:val="18"/>
                      <w:lang w:eastAsia="sk-SK"/>
                    </w:rPr>
                    <w:t>202</w:t>
                  </w:r>
                  <w:r w:rsidR="00DC6707" w:rsidRPr="00DC6707">
                    <w:rPr>
                      <w:rFonts w:eastAsia="Times New Roman" w:cs="Times New Roman"/>
                      <w:b/>
                      <w:bCs/>
                      <w:color w:val="000000"/>
                      <w:sz w:val="18"/>
                      <w:szCs w:val="18"/>
                      <w:lang w:eastAsia="sk-SK"/>
                    </w:rPr>
                    <w:t>4</w:t>
                  </w:r>
                </w:p>
              </w:tc>
              <w:tc>
                <w:tcPr>
                  <w:tcW w:w="567" w:type="dxa"/>
                  <w:tcBorders>
                    <w:left w:val="nil"/>
                    <w:bottom w:val="single" w:sz="4" w:space="0" w:color="auto"/>
                    <w:right w:val="nil"/>
                  </w:tcBorders>
                  <w:vAlign w:val="center"/>
                  <w:hideMark/>
                </w:tcPr>
                <w:p w14:paraId="082A0147" w14:textId="7A8451ED" w:rsidR="00BB7AE9" w:rsidRPr="00DC6707" w:rsidRDefault="00BB7AE9" w:rsidP="00532D85">
                  <w:pPr>
                    <w:spacing w:line="240" w:lineRule="auto"/>
                    <w:jc w:val="both"/>
                    <w:rPr>
                      <w:rFonts w:eastAsia="Times New Roman" w:cs="Times New Roman"/>
                      <w:b/>
                      <w:bCs/>
                      <w:color w:val="000000"/>
                      <w:sz w:val="18"/>
                      <w:szCs w:val="18"/>
                      <w:lang w:eastAsia="sk-SK"/>
                    </w:rPr>
                  </w:pPr>
                  <w:r w:rsidRPr="00DC6707">
                    <w:rPr>
                      <w:rFonts w:eastAsia="Times New Roman" w:cs="Times New Roman"/>
                      <w:b/>
                      <w:bCs/>
                      <w:color w:val="000000"/>
                      <w:sz w:val="18"/>
                      <w:szCs w:val="18"/>
                      <w:lang w:eastAsia="sk-SK"/>
                    </w:rPr>
                    <w:t>202</w:t>
                  </w:r>
                  <w:r w:rsidR="00DC6707" w:rsidRPr="00DC6707">
                    <w:rPr>
                      <w:rFonts w:eastAsia="Times New Roman" w:cs="Times New Roman"/>
                      <w:b/>
                      <w:bCs/>
                      <w:color w:val="000000"/>
                      <w:sz w:val="18"/>
                      <w:szCs w:val="18"/>
                      <w:lang w:eastAsia="sk-SK"/>
                    </w:rPr>
                    <w:t>5</w:t>
                  </w:r>
                </w:p>
              </w:tc>
            </w:tr>
            <w:tr w:rsidR="00DC6707" w:rsidRPr="00DC6707" w14:paraId="285D0B2A" w14:textId="77777777" w:rsidTr="00BB7AE9">
              <w:trPr>
                <w:trHeight w:val="314"/>
              </w:trPr>
              <w:tc>
                <w:tcPr>
                  <w:tcW w:w="2584" w:type="dxa"/>
                  <w:gridSpan w:val="2"/>
                  <w:tcBorders>
                    <w:top w:val="single" w:sz="4" w:space="0" w:color="auto"/>
                    <w:left w:val="nil"/>
                    <w:bottom w:val="nil"/>
                    <w:right w:val="nil"/>
                  </w:tcBorders>
                  <w:vAlign w:val="center"/>
                  <w:hideMark/>
                </w:tcPr>
                <w:p w14:paraId="123F633E" w14:textId="77777777" w:rsidR="00DC6707" w:rsidRPr="00DC6707" w:rsidRDefault="00DC6707" w:rsidP="00DC6707">
                  <w:pPr>
                    <w:spacing w:line="240" w:lineRule="auto"/>
                    <w:jc w:val="both"/>
                    <w:rPr>
                      <w:rFonts w:eastAsia="Times New Roman" w:cs="Times New Roman"/>
                      <w:b/>
                      <w:bCs/>
                      <w:color w:val="000000"/>
                      <w:sz w:val="18"/>
                      <w:szCs w:val="18"/>
                      <w:lang w:eastAsia="sk-SK"/>
                    </w:rPr>
                  </w:pPr>
                  <w:r w:rsidRPr="00DC6707">
                    <w:rPr>
                      <w:rFonts w:eastAsia="Times New Roman" w:cs="Times New Roman"/>
                      <w:b/>
                      <w:bCs/>
                      <w:color w:val="000000"/>
                      <w:sz w:val="18"/>
                      <w:szCs w:val="18"/>
                      <w:lang w:eastAsia="sk-SK"/>
                    </w:rPr>
                    <w:t>HDP</w:t>
                  </w:r>
                </w:p>
              </w:tc>
              <w:tc>
                <w:tcPr>
                  <w:tcW w:w="567" w:type="dxa"/>
                  <w:tcBorders>
                    <w:top w:val="single" w:sz="4" w:space="0" w:color="auto"/>
                    <w:left w:val="nil"/>
                    <w:bottom w:val="nil"/>
                    <w:right w:val="nil"/>
                  </w:tcBorders>
                  <w:vAlign w:val="center"/>
                  <w:hideMark/>
                </w:tcPr>
                <w:p w14:paraId="24CF0F14" w14:textId="7699D98D"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2.1</w:t>
                  </w:r>
                </w:p>
              </w:tc>
              <w:tc>
                <w:tcPr>
                  <w:tcW w:w="567" w:type="dxa"/>
                  <w:tcBorders>
                    <w:top w:val="single" w:sz="4" w:space="0" w:color="auto"/>
                    <w:left w:val="nil"/>
                    <w:bottom w:val="nil"/>
                    <w:right w:val="nil"/>
                  </w:tcBorders>
                  <w:vAlign w:val="center"/>
                  <w:hideMark/>
                </w:tcPr>
                <w:p w14:paraId="368225AB" w14:textId="087004D5"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1.9</w:t>
                  </w:r>
                </w:p>
              </w:tc>
              <w:tc>
                <w:tcPr>
                  <w:tcW w:w="567" w:type="dxa"/>
                  <w:tcBorders>
                    <w:top w:val="single" w:sz="4" w:space="0" w:color="auto"/>
                    <w:left w:val="nil"/>
                    <w:bottom w:val="nil"/>
                    <w:right w:val="nil"/>
                  </w:tcBorders>
                  <w:vAlign w:val="center"/>
                  <w:hideMark/>
                </w:tcPr>
                <w:p w14:paraId="39EBDBD3" w14:textId="6AFA337E"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0.8</w:t>
                  </w:r>
                </w:p>
              </w:tc>
            </w:tr>
            <w:tr w:rsidR="00DC6707" w:rsidRPr="00DC6707" w14:paraId="7E333B11" w14:textId="77777777" w:rsidTr="00BB7AE9">
              <w:trPr>
                <w:trHeight w:val="325"/>
              </w:trPr>
              <w:tc>
                <w:tcPr>
                  <w:tcW w:w="1937" w:type="dxa"/>
                  <w:tcBorders>
                    <w:top w:val="nil"/>
                    <w:left w:val="nil"/>
                    <w:bottom w:val="nil"/>
                    <w:right w:val="nil"/>
                  </w:tcBorders>
                  <w:vAlign w:val="center"/>
                  <w:hideMark/>
                </w:tcPr>
                <w:p w14:paraId="1482181C" w14:textId="77777777" w:rsidR="00DC6707" w:rsidRPr="00DC6707" w:rsidRDefault="00DC6707" w:rsidP="00DC6707">
                  <w:pPr>
                    <w:spacing w:line="240" w:lineRule="auto"/>
                    <w:jc w:val="both"/>
                    <w:rPr>
                      <w:rFonts w:eastAsia="Times New Roman" w:cs="Times New Roman"/>
                      <w:color w:val="000000"/>
                      <w:sz w:val="18"/>
                      <w:szCs w:val="18"/>
                      <w:lang w:eastAsia="sk-SK"/>
                    </w:rPr>
                  </w:pPr>
                  <w:r w:rsidRPr="00DC6707">
                    <w:rPr>
                      <w:rFonts w:eastAsia="Times New Roman" w:cs="Times New Roman"/>
                      <w:color w:val="000000"/>
                      <w:sz w:val="18"/>
                      <w:szCs w:val="18"/>
                      <w:lang w:eastAsia="sk-SK"/>
                    </w:rPr>
                    <w:t>z toho:</w:t>
                  </w:r>
                </w:p>
              </w:tc>
              <w:tc>
                <w:tcPr>
                  <w:tcW w:w="1214" w:type="dxa"/>
                  <w:gridSpan w:val="2"/>
                  <w:tcBorders>
                    <w:top w:val="nil"/>
                    <w:left w:val="nil"/>
                    <w:bottom w:val="nil"/>
                    <w:right w:val="nil"/>
                  </w:tcBorders>
                  <w:vAlign w:val="center"/>
                  <w:hideMark/>
                </w:tcPr>
                <w:p w14:paraId="5DE3B972" w14:textId="77777777" w:rsidR="00DC6707" w:rsidRPr="00DC6707" w:rsidRDefault="00DC6707" w:rsidP="00CF6DD2">
                  <w:pPr>
                    <w:spacing w:line="240" w:lineRule="auto"/>
                    <w:jc w:val="right"/>
                    <w:rPr>
                      <w:rFonts w:eastAsia="Times New Roman" w:cs="Times New Roman"/>
                      <w:color w:val="000000"/>
                      <w:sz w:val="18"/>
                      <w:szCs w:val="18"/>
                      <w:lang w:eastAsia="sk-SK"/>
                    </w:rPr>
                  </w:pPr>
                </w:p>
              </w:tc>
              <w:tc>
                <w:tcPr>
                  <w:tcW w:w="567" w:type="dxa"/>
                  <w:tcBorders>
                    <w:top w:val="nil"/>
                    <w:left w:val="nil"/>
                    <w:bottom w:val="nil"/>
                    <w:right w:val="nil"/>
                  </w:tcBorders>
                  <w:vAlign w:val="center"/>
                  <w:hideMark/>
                </w:tcPr>
                <w:p w14:paraId="044E2B00" w14:textId="77777777" w:rsidR="00DC6707" w:rsidRPr="00DC6707" w:rsidRDefault="00DC6707" w:rsidP="00CF6DD2">
                  <w:pPr>
                    <w:spacing w:line="240" w:lineRule="auto"/>
                    <w:jc w:val="right"/>
                    <w:rPr>
                      <w:rFonts w:eastAsia="Times New Roman" w:cs="Times New Roman"/>
                      <w:color w:val="000000"/>
                      <w:sz w:val="18"/>
                      <w:szCs w:val="18"/>
                      <w:lang w:eastAsia="sk-SK"/>
                    </w:rPr>
                  </w:pPr>
                </w:p>
              </w:tc>
              <w:tc>
                <w:tcPr>
                  <w:tcW w:w="567" w:type="dxa"/>
                  <w:tcBorders>
                    <w:top w:val="nil"/>
                    <w:left w:val="nil"/>
                    <w:bottom w:val="nil"/>
                    <w:right w:val="nil"/>
                  </w:tcBorders>
                  <w:vAlign w:val="center"/>
                  <w:hideMark/>
                </w:tcPr>
                <w:p w14:paraId="45D457A5" w14:textId="77777777" w:rsidR="00DC6707" w:rsidRPr="00DC6707" w:rsidRDefault="00DC6707" w:rsidP="00CF6DD2">
                  <w:pPr>
                    <w:spacing w:line="240" w:lineRule="auto"/>
                    <w:jc w:val="right"/>
                    <w:rPr>
                      <w:rFonts w:eastAsia="Times New Roman" w:cs="Times New Roman"/>
                      <w:color w:val="000000"/>
                      <w:sz w:val="18"/>
                      <w:szCs w:val="18"/>
                      <w:lang w:eastAsia="sk-SK"/>
                    </w:rPr>
                  </w:pPr>
                </w:p>
              </w:tc>
            </w:tr>
            <w:tr w:rsidR="00DC6707" w:rsidRPr="00DC6707" w14:paraId="4524A139" w14:textId="77777777" w:rsidTr="00BB7AE9">
              <w:trPr>
                <w:trHeight w:val="404"/>
              </w:trPr>
              <w:tc>
                <w:tcPr>
                  <w:tcW w:w="2584" w:type="dxa"/>
                  <w:gridSpan w:val="2"/>
                  <w:tcBorders>
                    <w:top w:val="nil"/>
                    <w:left w:val="nil"/>
                    <w:bottom w:val="nil"/>
                    <w:right w:val="nil"/>
                  </w:tcBorders>
                  <w:vAlign w:val="center"/>
                  <w:hideMark/>
                </w:tcPr>
                <w:p w14:paraId="0E6DEB1F" w14:textId="77777777" w:rsidR="00DC6707" w:rsidRPr="00DC6707" w:rsidRDefault="00DC6707" w:rsidP="00DC6707">
                  <w:pPr>
                    <w:spacing w:line="240" w:lineRule="auto"/>
                    <w:jc w:val="both"/>
                    <w:rPr>
                      <w:rFonts w:eastAsia="Times New Roman" w:cs="Times New Roman"/>
                      <w:color w:val="000000"/>
                      <w:sz w:val="18"/>
                      <w:szCs w:val="18"/>
                      <w:lang w:eastAsia="sk-SK"/>
                    </w:rPr>
                  </w:pPr>
                  <w:r w:rsidRPr="00DC6707">
                    <w:rPr>
                      <w:rFonts w:eastAsia="Times New Roman" w:cs="Times New Roman"/>
                      <w:color w:val="000000"/>
                      <w:sz w:val="18"/>
                      <w:szCs w:val="18"/>
                      <w:lang w:eastAsia="sk-SK"/>
                    </w:rPr>
                    <w:t xml:space="preserve">  Konečná spotreba domácností</w:t>
                  </w:r>
                </w:p>
              </w:tc>
              <w:tc>
                <w:tcPr>
                  <w:tcW w:w="567" w:type="dxa"/>
                  <w:tcBorders>
                    <w:top w:val="nil"/>
                    <w:left w:val="nil"/>
                    <w:bottom w:val="nil"/>
                    <w:right w:val="nil"/>
                  </w:tcBorders>
                  <w:vAlign w:val="center"/>
                  <w:hideMark/>
                </w:tcPr>
                <w:p w14:paraId="29E1C620" w14:textId="1FDA22D5"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-2.9</w:t>
                  </w:r>
                </w:p>
              </w:tc>
              <w:tc>
                <w:tcPr>
                  <w:tcW w:w="567" w:type="dxa"/>
                  <w:tcBorders>
                    <w:top w:val="nil"/>
                    <w:left w:val="nil"/>
                    <w:bottom w:val="nil"/>
                    <w:right w:val="nil"/>
                  </w:tcBorders>
                  <w:vAlign w:val="center"/>
                  <w:hideMark/>
                </w:tcPr>
                <w:p w14:paraId="557A8680" w14:textId="720A0A3A"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3.5</w:t>
                  </w:r>
                </w:p>
              </w:tc>
              <w:tc>
                <w:tcPr>
                  <w:tcW w:w="567" w:type="dxa"/>
                  <w:tcBorders>
                    <w:top w:val="nil"/>
                    <w:left w:val="nil"/>
                    <w:bottom w:val="nil"/>
                    <w:right w:val="nil"/>
                  </w:tcBorders>
                  <w:vAlign w:val="center"/>
                  <w:hideMark/>
                </w:tcPr>
                <w:p w14:paraId="5886C446" w14:textId="0FDC4049"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0.2</w:t>
                  </w:r>
                </w:p>
              </w:tc>
            </w:tr>
            <w:tr w:rsidR="00DC6707" w:rsidRPr="00DC6707" w14:paraId="41682379" w14:textId="77777777" w:rsidTr="00BB7AE9">
              <w:trPr>
                <w:trHeight w:val="404"/>
              </w:trPr>
              <w:tc>
                <w:tcPr>
                  <w:tcW w:w="2584" w:type="dxa"/>
                  <w:gridSpan w:val="2"/>
                  <w:tcBorders>
                    <w:top w:val="nil"/>
                    <w:left w:val="nil"/>
                    <w:bottom w:val="nil"/>
                    <w:right w:val="nil"/>
                  </w:tcBorders>
                  <w:vAlign w:val="center"/>
                  <w:hideMark/>
                </w:tcPr>
                <w:p w14:paraId="2949E1D9" w14:textId="77777777" w:rsidR="00DC6707" w:rsidRPr="00DC6707" w:rsidRDefault="00DC6707" w:rsidP="00DC6707">
                  <w:pPr>
                    <w:spacing w:line="240" w:lineRule="auto"/>
                    <w:jc w:val="both"/>
                    <w:rPr>
                      <w:rFonts w:eastAsia="Times New Roman" w:cs="Times New Roman"/>
                      <w:color w:val="000000"/>
                      <w:sz w:val="18"/>
                      <w:szCs w:val="18"/>
                      <w:lang w:eastAsia="sk-SK"/>
                    </w:rPr>
                  </w:pPr>
                  <w:r w:rsidRPr="00DC6707">
                    <w:rPr>
                      <w:rFonts w:eastAsia="Times New Roman" w:cs="Times New Roman"/>
                      <w:color w:val="000000"/>
                      <w:sz w:val="18"/>
                      <w:szCs w:val="18"/>
                      <w:lang w:eastAsia="sk-SK"/>
                    </w:rPr>
                    <w:t xml:space="preserve">  Konečná spotreba ver. správy</w:t>
                  </w:r>
                </w:p>
              </w:tc>
              <w:tc>
                <w:tcPr>
                  <w:tcW w:w="567" w:type="dxa"/>
                  <w:tcBorders>
                    <w:top w:val="nil"/>
                    <w:left w:val="nil"/>
                    <w:bottom w:val="nil"/>
                    <w:right w:val="nil"/>
                  </w:tcBorders>
                  <w:vAlign w:val="center"/>
                  <w:hideMark/>
                </w:tcPr>
                <w:p w14:paraId="126A0904" w14:textId="09042F65"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-2.5</w:t>
                  </w:r>
                </w:p>
              </w:tc>
              <w:tc>
                <w:tcPr>
                  <w:tcW w:w="567" w:type="dxa"/>
                  <w:tcBorders>
                    <w:top w:val="nil"/>
                    <w:left w:val="nil"/>
                    <w:bottom w:val="nil"/>
                    <w:right w:val="nil"/>
                  </w:tcBorders>
                  <w:vAlign w:val="center"/>
                  <w:hideMark/>
                </w:tcPr>
                <w:p w14:paraId="08E8A75D" w14:textId="45AD8DD9"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4.0</w:t>
                  </w:r>
                </w:p>
              </w:tc>
              <w:tc>
                <w:tcPr>
                  <w:tcW w:w="567" w:type="dxa"/>
                  <w:tcBorders>
                    <w:top w:val="nil"/>
                    <w:left w:val="nil"/>
                    <w:bottom w:val="nil"/>
                    <w:right w:val="nil"/>
                  </w:tcBorders>
                  <w:vAlign w:val="center"/>
                  <w:hideMark/>
                </w:tcPr>
                <w:p w14:paraId="60694425" w14:textId="42BE32F4"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1.1</w:t>
                  </w:r>
                </w:p>
              </w:tc>
            </w:tr>
            <w:tr w:rsidR="00DC6707" w:rsidRPr="00DC6707" w14:paraId="4A8FC7F0" w14:textId="77777777" w:rsidTr="00BB7AE9">
              <w:trPr>
                <w:trHeight w:val="404"/>
              </w:trPr>
              <w:tc>
                <w:tcPr>
                  <w:tcW w:w="2584" w:type="dxa"/>
                  <w:gridSpan w:val="2"/>
                  <w:tcBorders>
                    <w:top w:val="nil"/>
                    <w:left w:val="nil"/>
                    <w:bottom w:val="nil"/>
                    <w:right w:val="nil"/>
                  </w:tcBorders>
                  <w:vAlign w:val="center"/>
                  <w:hideMark/>
                </w:tcPr>
                <w:p w14:paraId="53259F3D" w14:textId="77777777" w:rsidR="00DC6707" w:rsidRPr="00DC6707" w:rsidRDefault="00DC6707" w:rsidP="00DC6707">
                  <w:pPr>
                    <w:spacing w:line="240" w:lineRule="auto"/>
                    <w:jc w:val="both"/>
                    <w:rPr>
                      <w:rFonts w:eastAsia="Times New Roman" w:cs="Times New Roman"/>
                      <w:color w:val="000000"/>
                      <w:sz w:val="18"/>
                      <w:szCs w:val="18"/>
                      <w:lang w:eastAsia="sk-SK"/>
                    </w:rPr>
                  </w:pPr>
                  <w:r w:rsidRPr="00DC6707">
                    <w:rPr>
                      <w:rFonts w:eastAsia="Times New Roman" w:cs="Times New Roman"/>
                      <w:color w:val="000000"/>
                      <w:sz w:val="18"/>
                      <w:szCs w:val="18"/>
                      <w:lang w:eastAsia="sk-SK"/>
                    </w:rPr>
                    <w:t xml:space="preserve">  Tvorba hrubého fixného kapitálu</w:t>
                  </w:r>
                </w:p>
              </w:tc>
              <w:tc>
                <w:tcPr>
                  <w:tcW w:w="567" w:type="dxa"/>
                  <w:tcBorders>
                    <w:top w:val="nil"/>
                    <w:left w:val="nil"/>
                    <w:bottom w:val="nil"/>
                    <w:right w:val="nil"/>
                  </w:tcBorders>
                  <w:vAlign w:val="center"/>
                  <w:hideMark/>
                </w:tcPr>
                <w:p w14:paraId="655ACF89" w14:textId="4F7A649D"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4.0</w:t>
                  </w:r>
                </w:p>
              </w:tc>
              <w:tc>
                <w:tcPr>
                  <w:tcW w:w="567" w:type="dxa"/>
                  <w:tcBorders>
                    <w:top w:val="nil"/>
                    <w:left w:val="nil"/>
                    <w:bottom w:val="nil"/>
                    <w:right w:val="nil"/>
                  </w:tcBorders>
                  <w:vAlign w:val="center"/>
                  <w:hideMark/>
                </w:tcPr>
                <w:p w14:paraId="67D89595" w14:textId="736F9472"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1.6</w:t>
                  </w:r>
                </w:p>
              </w:tc>
              <w:tc>
                <w:tcPr>
                  <w:tcW w:w="567" w:type="dxa"/>
                  <w:tcBorders>
                    <w:top w:val="nil"/>
                    <w:left w:val="nil"/>
                    <w:bottom w:val="nil"/>
                    <w:right w:val="nil"/>
                  </w:tcBorders>
                  <w:vAlign w:val="center"/>
                  <w:hideMark/>
                </w:tcPr>
                <w:p w14:paraId="7AEF54A9" w14:textId="59C4C2F1"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2.2</w:t>
                  </w:r>
                </w:p>
              </w:tc>
            </w:tr>
            <w:tr w:rsidR="00DC6707" w:rsidRPr="00DC6707" w14:paraId="5B9DF8F1" w14:textId="77777777" w:rsidTr="00BB7AE9">
              <w:trPr>
                <w:trHeight w:val="404"/>
              </w:trPr>
              <w:tc>
                <w:tcPr>
                  <w:tcW w:w="2584" w:type="dxa"/>
                  <w:gridSpan w:val="2"/>
                  <w:tcBorders>
                    <w:top w:val="nil"/>
                    <w:left w:val="nil"/>
                    <w:right w:val="nil"/>
                  </w:tcBorders>
                  <w:vAlign w:val="center"/>
                  <w:hideMark/>
                </w:tcPr>
                <w:p w14:paraId="08F61570" w14:textId="77777777" w:rsidR="00DC6707" w:rsidRPr="00DC6707" w:rsidRDefault="00DC6707" w:rsidP="00DC6707">
                  <w:pPr>
                    <w:spacing w:line="240" w:lineRule="auto"/>
                    <w:jc w:val="both"/>
                    <w:rPr>
                      <w:rFonts w:eastAsia="Times New Roman" w:cs="Times New Roman"/>
                      <w:color w:val="000000"/>
                      <w:sz w:val="18"/>
                      <w:szCs w:val="18"/>
                      <w:lang w:eastAsia="sk-SK"/>
                    </w:rPr>
                  </w:pPr>
                  <w:r w:rsidRPr="00DC6707">
                    <w:rPr>
                      <w:rFonts w:eastAsia="Times New Roman" w:cs="Times New Roman"/>
                      <w:color w:val="000000"/>
                      <w:sz w:val="18"/>
                      <w:szCs w:val="18"/>
                      <w:lang w:eastAsia="sk-SK"/>
                    </w:rPr>
                    <w:t xml:space="preserve">  Vývoz výrobkov a služieb</w:t>
                  </w:r>
                </w:p>
              </w:tc>
              <w:tc>
                <w:tcPr>
                  <w:tcW w:w="567" w:type="dxa"/>
                  <w:tcBorders>
                    <w:top w:val="nil"/>
                    <w:left w:val="nil"/>
                    <w:right w:val="nil"/>
                  </w:tcBorders>
                  <w:vAlign w:val="center"/>
                  <w:hideMark/>
                </w:tcPr>
                <w:p w14:paraId="63A11598" w14:textId="3F85D080"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-0.7</w:t>
                  </w:r>
                </w:p>
              </w:tc>
              <w:tc>
                <w:tcPr>
                  <w:tcW w:w="567" w:type="dxa"/>
                  <w:tcBorders>
                    <w:top w:val="nil"/>
                    <w:left w:val="nil"/>
                    <w:right w:val="nil"/>
                  </w:tcBorders>
                  <w:vAlign w:val="center"/>
                  <w:hideMark/>
                </w:tcPr>
                <w:p w14:paraId="35C652FE" w14:textId="3F3CE45E"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0.0</w:t>
                  </w:r>
                </w:p>
              </w:tc>
              <w:tc>
                <w:tcPr>
                  <w:tcW w:w="567" w:type="dxa"/>
                  <w:tcBorders>
                    <w:top w:val="nil"/>
                    <w:left w:val="nil"/>
                    <w:right w:val="nil"/>
                  </w:tcBorders>
                  <w:vAlign w:val="center"/>
                  <w:hideMark/>
                </w:tcPr>
                <w:p w14:paraId="146AADE5" w14:textId="2BB245E9"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4.0</w:t>
                  </w:r>
                </w:p>
              </w:tc>
            </w:tr>
            <w:tr w:rsidR="00DC6707" w:rsidRPr="0050710A" w14:paraId="23ECE242" w14:textId="77777777" w:rsidTr="00BB7AE9">
              <w:trPr>
                <w:trHeight w:val="404"/>
              </w:trPr>
              <w:tc>
                <w:tcPr>
                  <w:tcW w:w="2584" w:type="dxa"/>
                  <w:gridSpan w:val="2"/>
                  <w:tcBorders>
                    <w:top w:val="nil"/>
                    <w:left w:val="nil"/>
                    <w:right w:val="nil"/>
                  </w:tcBorders>
                  <w:vAlign w:val="center"/>
                  <w:hideMark/>
                </w:tcPr>
                <w:p w14:paraId="56640BB8" w14:textId="77777777" w:rsidR="00DC6707" w:rsidRPr="00DC6707" w:rsidRDefault="00DC6707" w:rsidP="00DC6707">
                  <w:pPr>
                    <w:spacing w:line="240" w:lineRule="auto"/>
                    <w:jc w:val="both"/>
                    <w:rPr>
                      <w:rFonts w:eastAsia="Times New Roman" w:cs="Times New Roman"/>
                      <w:color w:val="000000"/>
                      <w:sz w:val="18"/>
                      <w:szCs w:val="18"/>
                      <w:lang w:eastAsia="sk-SK"/>
                    </w:rPr>
                  </w:pPr>
                  <w:r w:rsidRPr="00DC6707">
                    <w:rPr>
                      <w:rFonts w:eastAsia="Times New Roman" w:cs="Times New Roman"/>
                      <w:color w:val="000000"/>
                      <w:sz w:val="18"/>
                      <w:szCs w:val="18"/>
                      <w:lang w:eastAsia="sk-SK"/>
                    </w:rPr>
                    <w:t xml:space="preserve">  Dovoz výrobkov a služieb</w:t>
                  </w:r>
                </w:p>
              </w:tc>
              <w:tc>
                <w:tcPr>
                  <w:tcW w:w="567" w:type="dxa"/>
                  <w:tcBorders>
                    <w:top w:val="nil"/>
                    <w:left w:val="nil"/>
                    <w:right w:val="nil"/>
                  </w:tcBorders>
                  <w:vAlign w:val="center"/>
                  <w:hideMark/>
                </w:tcPr>
                <w:p w14:paraId="57226756" w14:textId="0ED57294"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-7.7</w:t>
                  </w:r>
                </w:p>
              </w:tc>
              <w:tc>
                <w:tcPr>
                  <w:tcW w:w="567" w:type="dxa"/>
                  <w:tcBorders>
                    <w:top w:val="nil"/>
                    <w:left w:val="nil"/>
                    <w:right w:val="nil"/>
                  </w:tcBorders>
                  <w:vAlign w:val="center"/>
                  <w:hideMark/>
                </w:tcPr>
                <w:p w14:paraId="5DE331BF" w14:textId="76616B69"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2.6</w:t>
                  </w:r>
                </w:p>
              </w:tc>
              <w:tc>
                <w:tcPr>
                  <w:tcW w:w="567" w:type="dxa"/>
                  <w:tcBorders>
                    <w:top w:val="nil"/>
                    <w:left w:val="nil"/>
                    <w:right w:val="nil"/>
                  </w:tcBorders>
                  <w:vAlign w:val="center"/>
                  <w:hideMark/>
                </w:tcPr>
                <w:p w14:paraId="6FF84E9D" w14:textId="69DD8EDF" w:rsidR="00DC6707" w:rsidRPr="00DC6707" w:rsidRDefault="00DC6707" w:rsidP="00CF6DD2">
                  <w:pPr>
                    <w:spacing w:line="240" w:lineRule="auto"/>
                    <w:jc w:val="right"/>
                    <w:rPr>
                      <w:rFonts w:eastAsia="Times New Roman" w:cs="Times New Roman"/>
                      <w:color w:val="000000"/>
                      <w:sz w:val="18"/>
                      <w:szCs w:val="18"/>
                      <w:lang w:eastAsia="sk-SK"/>
                    </w:rPr>
                  </w:pPr>
                  <w:r w:rsidRPr="00DC6707">
                    <w:rPr>
                      <w:rFonts w:eastAsia="Times New Roman" w:cs="Times New Roman"/>
                      <w:color w:val="000000"/>
                      <w:sz w:val="18"/>
                      <w:szCs w:val="18"/>
                      <w:lang w:eastAsia="sk-SK"/>
                    </w:rPr>
                    <w:t>3.7</w:t>
                  </w:r>
                </w:p>
              </w:tc>
            </w:tr>
          </w:tbl>
          <w:p w14:paraId="336CCE95" w14:textId="77777777" w:rsidR="00BB7AE9" w:rsidRPr="0050710A" w:rsidRDefault="00BB7AE9" w:rsidP="00532D85">
            <w:pPr>
              <w:jc w:val="both"/>
              <w:rPr>
                <w:szCs w:val="24"/>
                <w:highlight w:val="yellow"/>
              </w:rPr>
            </w:pPr>
          </w:p>
        </w:tc>
        <w:tc>
          <w:tcPr>
            <w:tcW w:w="4460" w:type="dxa"/>
            <w:tcBorders>
              <w:top w:val="single" w:sz="4" w:space="0" w:color="auto"/>
              <w:bottom w:val="single" w:sz="4" w:space="0" w:color="auto"/>
            </w:tcBorders>
          </w:tcPr>
          <w:p w14:paraId="703E00AB" w14:textId="7313D512" w:rsidR="00BB7AE9" w:rsidRPr="0050710A" w:rsidRDefault="00176953" w:rsidP="00532D85">
            <w:pPr>
              <w:jc w:val="both"/>
              <w:rPr>
                <w:szCs w:val="24"/>
                <w:highlight w:val="yellow"/>
              </w:rPr>
            </w:pPr>
            <w:r>
              <w:rPr>
                <w:noProof/>
              </w:rPr>
              <w:drawing>
                <wp:inline distT="0" distB="0" distL="0" distR="0" wp14:anchorId="5AE1F937" wp14:editId="7559E25C">
                  <wp:extent cx="2914362" cy="2034020"/>
                  <wp:effectExtent l="0" t="0" r="635" b="4445"/>
                  <wp:docPr id="2123723728" name="Graf 1">
                    <a:extLst xmlns:a="http://schemas.openxmlformats.org/drawingml/2006/main">
                      <a:ext uri="{FF2B5EF4-FFF2-40B4-BE49-F238E27FC236}">
                        <a16:creationId xmlns:a16="http://schemas.microsoft.com/office/drawing/2014/main" id="{81D42072-39C3-4784-B19A-6E0D25F6F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20D2DF2D" w14:textId="77777777" w:rsidR="004C043F" w:rsidRPr="00DC6707" w:rsidRDefault="00BB7AE9" w:rsidP="002E56EB">
      <w:pPr>
        <w:tabs>
          <w:tab w:val="right" w:pos="4395"/>
          <w:tab w:val="right" w:pos="9070"/>
        </w:tabs>
        <w:spacing w:line="240" w:lineRule="auto"/>
        <w:jc w:val="both"/>
        <w:rPr>
          <w:rFonts w:cs="Times New Roman"/>
          <w:sz w:val="18"/>
          <w:szCs w:val="18"/>
        </w:rPr>
      </w:pPr>
      <w:r w:rsidRPr="00DC6707">
        <w:rPr>
          <w:rFonts w:cs="Times New Roman"/>
          <w:szCs w:val="24"/>
        </w:rPr>
        <w:tab/>
      </w:r>
      <w:r w:rsidRPr="00DC6707">
        <w:rPr>
          <w:rFonts w:cs="Times New Roman"/>
          <w:sz w:val="18"/>
          <w:szCs w:val="18"/>
        </w:rPr>
        <w:t>Zdroj: ŠÚ SR</w:t>
      </w:r>
      <w:r w:rsidRPr="00DC6707">
        <w:rPr>
          <w:rFonts w:cs="Times New Roman"/>
          <w:sz w:val="18"/>
          <w:szCs w:val="18"/>
        </w:rPr>
        <w:tab/>
        <w:t>Zdroj: ŠÚ SR</w:t>
      </w:r>
    </w:p>
    <w:p w14:paraId="0D20435F" w14:textId="77777777" w:rsidR="0034220F" w:rsidRPr="0050710A" w:rsidRDefault="0034220F" w:rsidP="00532D85">
      <w:pPr>
        <w:spacing w:line="240" w:lineRule="auto"/>
        <w:jc w:val="both"/>
        <w:rPr>
          <w:rFonts w:cs="Times New Roman"/>
          <w:szCs w:val="24"/>
          <w:highlight w:val="yellow"/>
        </w:rPr>
      </w:pPr>
    </w:p>
    <w:p w14:paraId="57F599B2" w14:textId="62CC73C7" w:rsidR="009A05C7" w:rsidRPr="00BE2226" w:rsidRDefault="009A05C7" w:rsidP="00532D85">
      <w:pPr>
        <w:pStyle w:val="Nadpis3"/>
        <w:spacing w:before="0"/>
        <w:jc w:val="both"/>
      </w:pPr>
      <w:bookmarkStart w:id="18" w:name="_Toc6415630"/>
      <w:bookmarkStart w:id="19" w:name="_Toc227758890"/>
      <w:r w:rsidRPr="00BE2226">
        <w:rPr>
          <w:rFonts w:eastAsiaTheme="minorHAnsi"/>
        </w:rPr>
        <w:lastRenderedPageBreak/>
        <w:t xml:space="preserve">Trh </w:t>
      </w:r>
      <w:r w:rsidRPr="00BE2226">
        <w:t>práce</w:t>
      </w:r>
      <w:bookmarkEnd w:id="18"/>
      <w:bookmarkEnd w:id="19"/>
    </w:p>
    <w:p w14:paraId="19ACAE75" w14:textId="77777777" w:rsidR="00AC1D94" w:rsidRPr="0050710A" w:rsidRDefault="00AC1D94" w:rsidP="00532D85">
      <w:pPr>
        <w:spacing w:line="240" w:lineRule="auto"/>
        <w:jc w:val="both"/>
        <w:rPr>
          <w:szCs w:val="24"/>
          <w:highlight w:val="yellow"/>
        </w:rPr>
      </w:pPr>
    </w:p>
    <w:p w14:paraId="517689A8" w14:textId="1677BA3F" w:rsidR="00675DC3" w:rsidRPr="00675DC3" w:rsidRDefault="00675DC3" w:rsidP="00675DC3">
      <w:pPr>
        <w:spacing w:line="240" w:lineRule="auto"/>
        <w:jc w:val="both"/>
        <w:rPr>
          <w:rFonts w:cs="Times New Roman"/>
          <w:szCs w:val="24"/>
        </w:rPr>
      </w:pPr>
      <w:r w:rsidRPr="00675DC3">
        <w:rPr>
          <w:rFonts w:cs="Times New Roman"/>
          <w:szCs w:val="24"/>
        </w:rPr>
        <w:t>Zamestnanosť klesla o 0,1</w:t>
      </w:r>
      <w:r>
        <w:rPr>
          <w:rFonts w:cs="Times New Roman"/>
          <w:szCs w:val="24"/>
        </w:rPr>
        <w:t> </w:t>
      </w:r>
      <w:r w:rsidRPr="00675DC3">
        <w:rPr>
          <w:rFonts w:cs="Times New Roman"/>
          <w:szCs w:val="24"/>
        </w:rPr>
        <w:t>%, čo predstavuje približne 2,5</w:t>
      </w:r>
      <w:r>
        <w:rPr>
          <w:rFonts w:cs="Times New Roman"/>
          <w:szCs w:val="24"/>
        </w:rPr>
        <w:t> </w:t>
      </w:r>
      <w:r w:rsidRPr="00675DC3">
        <w:rPr>
          <w:rFonts w:cs="Times New Roman"/>
          <w:szCs w:val="24"/>
        </w:rPr>
        <w:t>tis. osôb, najmä živnostníkov. Kým počet zamestnaných (podľa domáceho konceptu ESA) v roku 2025 neklesal, počet živnostníkov sa v minulom roku - s výnimkou pandémie - znížil najviac od roku 2014. Tým pádom zodpovedal za celý pokles zamestnanosti v roku 2025. Pracovných miest ubudlo v priemysle a vo vysoko-kvalifikovaných službách. Zamestnanosť rástla len vo</w:t>
      </w:r>
      <w:r>
        <w:rPr>
          <w:rFonts w:cs="Times New Roman"/>
          <w:szCs w:val="24"/>
        </w:rPr>
        <w:t> </w:t>
      </w:r>
      <w:r w:rsidRPr="00675DC3">
        <w:rPr>
          <w:rFonts w:cs="Times New Roman"/>
          <w:szCs w:val="24"/>
        </w:rPr>
        <w:t>verejnom sektore a v stavebníctve, ktoré ťaží z čerpania prostriedkov z </w:t>
      </w:r>
      <w:r w:rsidR="00C4036E">
        <w:rPr>
          <w:rFonts w:cs="Times New Roman"/>
          <w:szCs w:val="24"/>
        </w:rPr>
        <w:t>POO</w:t>
      </w:r>
      <w:r w:rsidRPr="00675DC3">
        <w:rPr>
          <w:rFonts w:cs="Times New Roman"/>
          <w:szCs w:val="24"/>
        </w:rPr>
        <w:t>. Miera participácie sa vlani po piatich rokoch znížila.</w:t>
      </w:r>
      <w:r w:rsidRPr="00675DC3">
        <w:rPr>
          <w:rFonts w:cs="Times New Roman"/>
          <w:b/>
          <w:bCs/>
          <w:szCs w:val="24"/>
        </w:rPr>
        <w:t xml:space="preserve"> </w:t>
      </w:r>
      <w:r w:rsidRPr="00675DC3">
        <w:rPr>
          <w:rFonts w:cs="Times New Roman"/>
          <w:szCs w:val="24"/>
        </w:rPr>
        <w:t>Pokles potiahli mladí aj najproduktívnejšia skupina vo</w:t>
      </w:r>
      <w:r>
        <w:rPr>
          <w:rFonts w:cs="Times New Roman"/>
          <w:szCs w:val="24"/>
        </w:rPr>
        <w:t> </w:t>
      </w:r>
      <w:r w:rsidRPr="00675DC3">
        <w:rPr>
          <w:rFonts w:cs="Times New Roman"/>
          <w:szCs w:val="24"/>
        </w:rPr>
        <w:t>veku od</w:t>
      </w:r>
      <w:r w:rsidR="00E67125">
        <w:rPr>
          <w:rFonts w:cs="Times New Roman"/>
          <w:szCs w:val="24"/>
        </w:rPr>
        <w:t> </w:t>
      </w:r>
      <w:r w:rsidRPr="00675DC3">
        <w:rPr>
          <w:rFonts w:cs="Times New Roman"/>
          <w:szCs w:val="24"/>
        </w:rPr>
        <w:t>25-</w:t>
      </w:r>
      <w:r w:rsidR="00E67125">
        <w:rPr>
          <w:rFonts w:cs="Times New Roman"/>
          <w:szCs w:val="24"/>
        </w:rPr>
        <w:t>4</w:t>
      </w:r>
      <w:r w:rsidRPr="00675DC3">
        <w:rPr>
          <w:rFonts w:cs="Times New Roman"/>
          <w:szCs w:val="24"/>
        </w:rPr>
        <w:t>9</w:t>
      </w:r>
      <w:r w:rsidR="00E67125">
        <w:rPr>
          <w:rFonts w:cs="Times New Roman"/>
          <w:szCs w:val="24"/>
        </w:rPr>
        <w:t xml:space="preserve"> </w:t>
      </w:r>
      <w:r w:rsidRPr="00675DC3">
        <w:rPr>
          <w:rFonts w:cs="Times New Roman"/>
          <w:szCs w:val="24"/>
        </w:rPr>
        <w:t>rokov, miera zapojenia starších ročníkov sa naopak pre</w:t>
      </w:r>
      <w:r>
        <w:rPr>
          <w:rFonts w:cs="Times New Roman"/>
          <w:szCs w:val="24"/>
        </w:rPr>
        <w:t> </w:t>
      </w:r>
      <w:r w:rsidRPr="00675DC3">
        <w:rPr>
          <w:rFonts w:cs="Times New Roman"/>
          <w:szCs w:val="24"/>
        </w:rPr>
        <w:t>stabilizáciu odchodov do</w:t>
      </w:r>
      <w:r>
        <w:rPr>
          <w:rFonts w:cs="Times New Roman"/>
          <w:szCs w:val="24"/>
        </w:rPr>
        <w:t> </w:t>
      </w:r>
      <w:r w:rsidRPr="00675DC3">
        <w:rPr>
          <w:rFonts w:cs="Times New Roman"/>
          <w:szCs w:val="24"/>
        </w:rPr>
        <w:t>predčasného dôchodku zvýšila. Pribudli aj pracujúci cudzinci, ktorých počet sa na</w:t>
      </w:r>
      <w:r>
        <w:rPr>
          <w:rFonts w:cs="Times New Roman"/>
          <w:szCs w:val="24"/>
        </w:rPr>
        <w:t> </w:t>
      </w:r>
      <w:r w:rsidRPr="00675DC3">
        <w:rPr>
          <w:rFonts w:cs="Times New Roman"/>
          <w:szCs w:val="24"/>
        </w:rPr>
        <w:t>konci roka vyšplhal nad úroveň 143</w:t>
      </w:r>
      <w:r>
        <w:rPr>
          <w:rFonts w:cs="Times New Roman"/>
          <w:szCs w:val="24"/>
        </w:rPr>
        <w:t> </w:t>
      </w:r>
      <w:r w:rsidRPr="00675DC3">
        <w:rPr>
          <w:rFonts w:cs="Times New Roman"/>
          <w:szCs w:val="24"/>
        </w:rPr>
        <w:t>tisíc. Hromadné prepúšťania zvýšili počet nezamestnaných a</w:t>
      </w:r>
      <w:r>
        <w:rPr>
          <w:rFonts w:cs="Times New Roman"/>
          <w:szCs w:val="24"/>
        </w:rPr>
        <w:t> </w:t>
      </w:r>
      <w:r w:rsidRPr="00675DC3">
        <w:rPr>
          <w:rFonts w:cs="Times New Roman"/>
          <w:szCs w:val="24"/>
        </w:rPr>
        <w:t>miera nezamestnanosti vzrástla na úroveň 5,4</w:t>
      </w:r>
      <w:r>
        <w:rPr>
          <w:rFonts w:cs="Times New Roman"/>
          <w:szCs w:val="24"/>
        </w:rPr>
        <w:t> </w:t>
      </w:r>
      <w:r w:rsidRPr="00675DC3">
        <w:rPr>
          <w:rFonts w:cs="Times New Roman"/>
          <w:szCs w:val="24"/>
        </w:rPr>
        <w:t>%.</w:t>
      </w:r>
    </w:p>
    <w:p w14:paraId="620E6AFA" w14:textId="77777777" w:rsidR="00675DC3" w:rsidRPr="00675DC3" w:rsidRDefault="00675DC3" w:rsidP="00675DC3">
      <w:pPr>
        <w:spacing w:line="240" w:lineRule="auto"/>
        <w:jc w:val="both"/>
        <w:rPr>
          <w:rFonts w:cs="Times New Roman"/>
          <w:szCs w:val="24"/>
        </w:rPr>
      </w:pPr>
    </w:p>
    <w:p w14:paraId="6026EA27" w14:textId="7B020E05" w:rsidR="009A05C7" w:rsidRPr="00675DC3" w:rsidRDefault="00675DC3" w:rsidP="00675DC3">
      <w:pPr>
        <w:spacing w:line="240" w:lineRule="auto"/>
        <w:jc w:val="both"/>
        <w:rPr>
          <w:rFonts w:cs="Times New Roman"/>
          <w:szCs w:val="24"/>
        </w:rPr>
      </w:pPr>
      <w:r w:rsidRPr="00675DC3">
        <w:rPr>
          <w:rFonts w:cs="Times New Roman"/>
          <w:szCs w:val="24"/>
        </w:rPr>
        <w:t>Reálna mzda stúpla, hoci jej dynamika spomalila na 2,2</w:t>
      </w:r>
      <w:r>
        <w:rPr>
          <w:rFonts w:cs="Times New Roman"/>
          <w:szCs w:val="24"/>
        </w:rPr>
        <w:t> </w:t>
      </w:r>
      <w:r w:rsidRPr="00675DC3">
        <w:rPr>
          <w:rFonts w:cs="Times New Roman"/>
          <w:szCs w:val="24"/>
        </w:rPr>
        <w:t>%. Nominálne mzdy medziročne rástli o 6,3</w:t>
      </w:r>
      <w:r>
        <w:rPr>
          <w:rFonts w:cs="Times New Roman"/>
          <w:szCs w:val="24"/>
        </w:rPr>
        <w:t> </w:t>
      </w:r>
      <w:r w:rsidRPr="00675DC3">
        <w:rPr>
          <w:rFonts w:cs="Times New Roman"/>
          <w:szCs w:val="24"/>
        </w:rPr>
        <w:t>% na 1</w:t>
      </w:r>
      <w:r>
        <w:rPr>
          <w:rFonts w:cs="Times New Roman"/>
          <w:szCs w:val="24"/>
        </w:rPr>
        <w:t> </w:t>
      </w:r>
      <w:r w:rsidRPr="00675DC3">
        <w:rPr>
          <w:rFonts w:cs="Times New Roman"/>
          <w:szCs w:val="24"/>
        </w:rPr>
        <w:t>620</w:t>
      </w:r>
      <w:r>
        <w:rPr>
          <w:rFonts w:cs="Times New Roman"/>
          <w:szCs w:val="24"/>
        </w:rPr>
        <w:t> </w:t>
      </w:r>
      <w:r w:rsidRPr="00675DC3">
        <w:rPr>
          <w:rFonts w:cs="Times New Roman"/>
          <w:szCs w:val="24"/>
        </w:rPr>
        <w:t>eur ,pričom tempo ich rastu sa mierne spomalilo v dôsledku slabšieho rastu produktivity a oneskoreného prispôsobovania miezd inflácii. Na druhej strane však rast potiahlo dynamické zvýšenie minimálnej mzdy o 8,8</w:t>
      </w:r>
      <w:r>
        <w:rPr>
          <w:rFonts w:cs="Times New Roman"/>
          <w:szCs w:val="24"/>
        </w:rPr>
        <w:t> </w:t>
      </w:r>
      <w:r w:rsidRPr="00675DC3">
        <w:rPr>
          <w:rFonts w:cs="Times New Roman"/>
          <w:szCs w:val="24"/>
        </w:rPr>
        <w:t>%. Najviac si polepšili zamestnanci v stavebníctve a vo verejnom sektore, kde platy stúpli nad 7</w:t>
      </w:r>
      <w:r>
        <w:rPr>
          <w:rFonts w:cs="Times New Roman"/>
          <w:szCs w:val="24"/>
        </w:rPr>
        <w:t> </w:t>
      </w:r>
      <w:r w:rsidRPr="00675DC3">
        <w:rPr>
          <w:rFonts w:cs="Times New Roman"/>
          <w:szCs w:val="24"/>
        </w:rPr>
        <w:t>%. Mzdy v stavebníctve patria k</w:t>
      </w:r>
      <w:r>
        <w:rPr>
          <w:rFonts w:cs="Times New Roman"/>
          <w:szCs w:val="24"/>
        </w:rPr>
        <w:t> </w:t>
      </w:r>
      <w:r w:rsidRPr="00675DC3">
        <w:rPr>
          <w:rFonts w:cs="Times New Roman"/>
          <w:szCs w:val="24"/>
        </w:rPr>
        <w:t>najnižším v</w:t>
      </w:r>
      <w:r>
        <w:rPr>
          <w:rFonts w:cs="Times New Roman"/>
          <w:szCs w:val="24"/>
        </w:rPr>
        <w:t> </w:t>
      </w:r>
      <w:r w:rsidRPr="00675DC3">
        <w:rPr>
          <w:rFonts w:cs="Times New Roman"/>
          <w:szCs w:val="24"/>
        </w:rPr>
        <w:t>ekonomike. Verejný sektor ťažil z vyplácania jednorazového bonusu 800</w:t>
      </w:r>
      <w:r>
        <w:rPr>
          <w:rFonts w:cs="Times New Roman"/>
          <w:szCs w:val="24"/>
        </w:rPr>
        <w:t> </w:t>
      </w:r>
      <w:r w:rsidRPr="00675DC3">
        <w:rPr>
          <w:rFonts w:cs="Times New Roman"/>
          <w:szCs w:val="24"/>
        </w:rPr>
        <w:t>eur. Verejný sektor tak v tempe zvyšovania platov minulý rok opäť predbehol súkromný sektor.</w:t>
      </w:r>
    </w:p>
    <w:p w14:paraId="76854B0E" w14:textId="77777777" w:rsidR="00AC1D94" w:rsidRPr="0050710A" w:rsidRDefault="00AC1D94" w:rsidP="00532D85">
      <w:pPr>
        <w:spacing w:line="240" w:lineRule="auto"/>
        <w:jc w:val="both"/>
        <w:rPr>
          <w:rFonts w:cs="Times New Roman"/>
          <w:szCs w:val="24"/>
          <w:highlight w:val="yellow"/>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399"/>
      </w:tblGrid>
      <w:tr w:rsidR="00BB7AE9" w:rsidRPr="0050710A" w14:paraId="47D43162" w14:textId="77777777" w:rsidTr="00100B63">
        <w:tc>
          <w:tcPr>
            <w:tcW w:w="4626" w:type="dxa"/>
            <w:tcBorders>
              <w:bottom w:val="single" w:sz="4" w:space="0" w:color="auto"/>
            </w:tcBorders>
          </w:tcPr>
          <w:p w14:paraId="57E91107" w14:textId="28A61F29" w:rsidR="00BB7AE9" w:rsidRPr="0050710A" w:rsidRDefault="00BB7AE9" w:rsidP="00532D85">
            <w:pPr>
              <w:pStyle w:val="Popis"/>
              <w:jc w:val="both"/>
              <w:rPr>
                <w:highlight w:val="yellow"/>
              </w:rPr>
            </w:pPr>
            <w:bookmarkStart w:id="20" w:name="_Toc227670124"/>
            <w:r w:rsidRPr="00E23A9C">
              <w:t xml:space="preserve">Graf </w:t>
            </w:r>
            <w:r w:rsidR="00995280">
              <w:fldChar w:fldCharType="begin"/>
            </w:r>
            <w:r w:rsidR="00995280">
              <w:instrText xml:space="preserve"> SEQ Graf \* ARABIC </w:instrText>
            </w:r>
            <w:r w:rsidR="00995280">
              <w:fldChar w:fldCharType="separate"/>
            </w:r>
            <w:r w:rsidR="00396BE8">
              <w:rPr>
                <w:noProof/>
              </w:rPr>
              <w:t>2</w:t>
            </w:r>
            <w:r w:rsidR="00995280">
              <w:rPr>
                <w:noProof/>
              </w:rPr>
              <w:fldChar w:fldCharType="end"/>
            </w:r>
            <w:r w:rsidRPr="00E23A9C">
              <w:t xml:space="preserve"> - Príspevky sektorov k vývoju medzi-kvartálneho rastu zamestnanosti (ESA, v p. b.)</w:t>
            </w:r>
            <w:bookmarkEnd w:id="20"/>
          </w:p>
        </w:tc>
        <w:tc>
          <w:tcPr>
            <w:tcW w:w="4304" w:type="dxa"/>
            <w:tcBorders>
              <w:bottom w:val="single" w:sz="4" w:space="0" w:color="auto"/>
            </w:tcBorders>
          </w:tcPr>
          <w:p w14:paraId="233F20A5" w14:textId="48B06B84" w:rsidR="00BB7AE9" w:rsidRPr="0050710A" w:rsidRDefault="00100B63" w:rsidP="00532D85">
            <w:pPr>
              <w:pStyle w:val="Popis"/>
              <w:jc w:val="both"/>
              <w:rPr>
                <w:highlight w:val="yellow"/>
              </w:rPr>
            </w:pPr>
            <w:bookmarkStart w:id="21" w:name="_Toc227670125"/>
            <w:r w:rsidRPr="00404FB3">
              <w:t xml:space="preserve">Graf </w:t>
            </w:r>
            <w:r w:rsidR="00995280">
              <w:fldChar w:fldCharType="begin"/>
            </w:r>
            <w:r w:rsidR="00995280">
              <w:instrText xml:space="preserve"> SEQ Graf \* ARABIC </w:instrText>
            </w:r>
            <w:r w:rsidR="00995280">
              <w:fldChar w:fldCharType="separate"/>
            </w:r>
            <w:r w:rsidR="00396BE8">
              <w:rPr>
                <w:noProof/>
              </w:rPr>
              <w:t>3</w:t>
            </w:r>
            <w:r w:rsidR="00995280">
              <w:rPr>
                <w:noProof/>
              </w:rPr>
              <w:fldChar w:fldCharType="end"/>
            </w:r>
            <w:r w:rsidRPr="00404FB3">
              <w:t xml:space="preserve"> - Rast reálnej </w:t>
            </w:r>
            <w:r w:rsidR="00E23A9C" w:rsidRPr="00404FB3">
              <w:t>a nominálnej</w:t>
            </w:r>
            <w:r w:rsidRPr="00404FB3">
              <w:t xml:space="preserve"> mzdy (</w:t>
            </w:r>
            <w:r w:rsidR="00404FB3" w:rsidRPr="00404FB3">
              <w:t xml:space="preserve">medziročný rast </w:t>
            </w:r>
            <w:r w:rsidRPr="00404FB3">
              <w:t>v %)</w:t>
            </w:r>
            <w:bookmarkEnd w:id="21"/>
          </w:p>
        </w:tc>
      </w:tr>
      <w:tr w:rsidR="00BB7AE9" w:rsidRPr="0050710A" w14:paraId="2A147805" w14:textId="77777777" w:rsidTr="00100B63">
        <w:tc>
          <w:tcPr>
            <w:tcW w:w="4626" w:type="dxa"/>
            <w:tcBorders>
              <w:top w:val="single" w:sz="4" w:space="0" w:color="auto"/>
              <w:bottom w:val="single" w:sz="4" w:space="0" w:color="auto"/>
            </w:tcBorders>
          </w:tcPr>
          <w:p w14:paraId="32775578" w14:textId="105D5DB5" w:rsidR="00BB7AE9" w:rsidRPr="0050710A" w:rsidRDefault="00E23A9C" w:rsidP="00532D85">
            <w:pPr>
              <w:jc w:val="both"/>
              <w:rPr>
                <w:szCs w:val="24"/>
                <w:highlight w:val="yellow"/>
              </w:rPr>
            </w:pPr>
            <w:r>
              <w:rPr>
                <w:noProof/>
              </w:rPr>
              <w:drawing>
                <wp:inline distT="0" distB="0" distL="0" distR="0" wp14:anchorId="68E09064" wp14:editId="0A10298B">
                  <wp:extent cx="2880360" cy="2149475"/>
                  <wp:effectExtent l="0" t="0" r="0" b="3175"/>
                  <wp:docPr id="1901224394" name="Graf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304" w:type="dxa"/>
            <w:tcBorders>
              <w:top w:val="single" w:sz="4" w:space="0" w:color="auto"/>
              <w:bottom w:val="single" w:sz="4" w:space="0" w:color="auto"/>
            </w:tcBorders>
          </w:tcPr>
          <w:p w14:paraId="2716A068" w14:textId="37E4846D" w:rsidR="00BB7AE9" w:rsidRPr="0050710A" w:rsidRDefault="00E23A9C" w:rsidP="00532D85">
            <w:pPr>
              <w:jc w:val="both"/>
              <w:rPr>
                <w:szCs w:val="24"/>
                <w:highlight w:val="yellow"/>
              </w:rPr>
            </w:pPr>
            <w:r>
              <w:rPr>
                <w:noProof/>
              </w:rPr>
              <w:drawing>
                <wp:inline distT="0" distB="0" distL="0" distR="0" wp14:anchorId="54B917E6" wp14:editId="5BD6A546">
                  <wp:extent cx="2701290" cy="2066290"/>
                  <wp:effectExtent l="0" t="0" r="3810" b="0"/>
                  <wp:docPr id="2131456073" name="Graf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05535C74" w14:textId="2AB47B68" w:rsidR="00100B63" w:rsidRPr="0050710A" w:rsidRDefault="00100B63" w:rsidP="002E56EB">
      <w:pPr>
        <w:tabs>
          <w:tab w:val="right" w:pos="4678"/>
          <w:tab w:val="right" w:pos="9070"/>
        </w:tabs>
        <w:spacing w:line="240" w:lineRule="auto"/>
        <w:jc w:val="both"/>
        <w:rPr>
          <w:rFonts w:cs="Times New Roman"/>
          <w:sz w:val="18"/>
          <w:szCs w:val="18"/>
          <w:highlight w:val="yellow"/>
        </w:rPr>
      </w:pPr>
      <w:r w:rsidRPr="00404FB3">
        <w:rPr>
          <w:rFonts w:cs="Times New Roman"/>
          <w:szCs w:val="24"/>
        </w:rPr>
        <w:tab/>
      </w:r>
      <w:r w:rsidRPr="00404FB3">
        <w:rPr>
          <w:rFonts w:cs="Times New Roman"/>
          <w:sz w:val="18"/>
          <w:szCs w:val="18"/>
        </w:rPr>
        <w:t>Zdroj: ŠÚ SR, MF SR</w:t>
      </w:r>
      <w:r w:rsidRPr="00404FB3">
        <w:rPr>
          <w:rFonts w:cs="Times New Roman"/>
          <w:sz w:val="18"/>
          <w:szCs w:val="18"/>
        </w:rPr>
        <w:tab/>
        <w:t>Zdroj: ŠÚ SR, MF SR</w:t>
      </w:r>
    </w:p>
    <w:p w14:paraId="4980FCB7" w14:textId="77777777" w:rsidR="00100B63" w:rsidRPr="0050710A" w:rsidRDefault="00100B63" w:rsidP="004019D4">
      <w:pPr>
        <w:tabs>
          <w:tab w:val="center" w:pos="5103"/>
          <w:tab w:val="right" w:pos="8930"/>
        </w:tabs>
        <w:spacing w:line="240" w:lineRule="auto"/>
        <w:jc w:val="both"/>
        <w:rPr>
          <w:rFonts w:cs="Times New Roman"/>
          <w:szCs w:val="24"/>
          <w:highlight w:val="yellow"/>
        </w:rPr>
      </w:pPr>
    </w:p>
    <w:p w14:paraId="62406A22" w14:textId="77777777" w:rsidR="009A05C7" w:rsidRPr="00BE2226" w:rsidRDefault="009A05C7" w:rsidP="004019D4">
      <w:pPr>
        <w:pStyle w:val="Nadpis3"/>
        <w:spacing w:before="0"/>
        <w:jc w:val="both"/>
      </w:pPr>
      <w:bookmarkStart w:id="22" w:name="_Toc227758891"/>
      <w:r w:rsidRPr="00BE2226">
        <w:t>Cenový vývoj</w:t>
      </w:r>
      <w:bookmarkEnd w:id="22"/>
    </w:p>
    <w:p w14:paraId="5ADC49D9" w14:textId="77777777" w:rsidR="00AC1D94" w:rsidRPr="00BE2226" w:rsidRDefault="00AC1D94" w:rsidP="004019D4">
      <w:pPr>
        <w:spacing w:line="240" w:lineRule="auto"/>
        <w:jc w:val="both"/>
      </w:pPr>
    </w:p>
    <w:p w14:paraId="5C347863" w14:textId="6128A88F" w:rsidR="009A05C7" w:rsidRPr="00BE2226" w:rsidRDefault="00BE2226" w:rsidP="004019D4">
      <w:pPr>
        <w:spacing w:line="240" w:lineRule="auto"/>
        <w:jc w:val="both"/>
        <w:rPr>
          <w:szCs w:val="24"/>
        </w:rPr>
      </w:pPr>
      <w:r w:rsidRPr="00BE2226">
        <w:rPr>
          <w:rFonts w:cs="Times New Roman"/>
          <w:szCs w:val="24"/>
        </w:rPr>
        <w:t>Cenový vývoj bol v roku 2025 ovplyvnený zvýšením DPH a niektorých spotrebných daní, čo zvýšilo ceny väčšiny tovarov a služieb. V januári tak inflácia stúpla takmer k štyrom percentám. V priebehu roka postupne zrýchľovala, až kým v júli nedosiahla vrchol na</w:t>
      </w:r>
      <w:r>
        <w:rPr>
          <w:rFonts w:cs="Times New Roman"/>
          <w:szCs w:val="24"/>
        </w:rPr>
        <w:t> </w:t>
      </w:r>
      <w:r w:rsidRPr="00BE2226">
        <w:rPr>
          <w:rFonts w:cs="Times New Roman"/>
          <w:szCs w:val="24"/>
        </w:rPr>
        <w:t>úrovni 4,4</w:t>
      </w:r>
      <w:r>
        <w:rPr>
          <w:rFonts w:cs="Times New Roman"/>
          <w:szCs w:val="24"/>
        </w:rPr>
        <w:t> </w:t>
      </w:r>
      <w:r w:rsidRPr="00BE2226">
        <w:rPr>
          <w:rFonts w:cs="Times New Roman"/>
          <w:szCs w:val="24"/>
        </w:rPr>
        <w:t>%. Ku koncu rast cien zvoľnil pod štyri percentá. V priemere za rok 2025 tak stúpli ceny merané indexom CPI o 4,0 % (4,2 % podľa HICP). Ceny energií stúpli len mierne, keďže regulované ceny elektriny, plynu a tepla nerástli vďaka opatreniam vlády. Najrýchlejšie rástli ceny služieb, ťahané vyššou DPH a mzdovým nákladmi. Ceny potravín stúpali miernejšie, výraznejšie zdraželi nealkoholické nápoje, ktoré boli ovplyvnené daňou zo sladených nápojov a svetovými cenami niektorých komodít (najmä kávy).</w:t>
      </w:r>
    </w:p>
    <w:p w14:paraId="6F8931F3" w14:textId="77777777" w:rsidR="00AC1D94" w:rsidRPr="0050710A" w:rsidRDefault="00AC1D94" w:rsidP="00532D85">
      <w:pPr>
        <w:spacing w:line="240" w:lineRule="auto"/>
        <w:jc w:val="both"/>
        <w:rPr>
          <w:szCs w:val="24"/>
          <w:highlight w:val="yellow"/>
        </w:rPr>
      </w:pPr>
    </w:p>
    <w:p w14:paraId="63FB463A" w14:textId="2095E4DE" w:rsidR="009A05C7" w:rsidRPr="007F3F98" w:rsidRDefault="009A05C7" w:rsidP="004019D4">
      <w:pPr>
        <w:pStyle w:val="Nadpis3"/>
        <w:spacing w:before="0"/>
        <w:jc w:val="both"/>
      </w:pPr>
      <w:bookmarkStart w:id="23" w:name="_Toc6415632"/>
      <w:bookmarkStart w:id="24" w:name="_Toc227758892"/>
      <w:r w:rsidRPr="007F3F98">
        <w:lastRenderedPageBreak/>
        <w:t>Platobná bilancia</w:t>
      </w:r>
      <w:bookmarkEnd w:id="23"/>
      <w:bookmarkEnd w:id="24"/>
    </w:p>
    <w:p w14:paraId="5F0BCB2E" w14:textId="77777777" w:rsidR="00AC1D94" w:rsidRPr="0050710A" w:rsidRDefault="00AC1D94" w:rsidP="004019D4">
      <w:pPr>
        <w:spacing w:line="240" w:lineRule="auto"/>
        <w:jc w:val="both"/>
        <w:rPr>
          <w:highlight w:val="yellow"/>
        </w:rPr>
      </w:pPr>
    </w:p>
    <w:p w14:paraId="04F5D82D" w14:textId="0D5B85BA" w:rsidR="007F3F98" w:rsidRPr="007F3F98" w:rsidRDefault="007F3F98" w:rsidP="004019D4">
      <w:pPr>
        <w:spacing w:line="240" w:lineRule="auto"/>
        <w:jc w:val="both"/>
        <w:rPr>
          <w:rFonts w:cs="Times New Roman"/>
          <w:szCs w:val="24"/>
        </w:rPr>
      </w:pPr>
      <w:r w:rsidRPr="007F3F98">
        <w:rPr>
          <w:rFonts w:cs="Times New Roman"/>
          <w:szCs w:val="24"/>
        </w:rPr>
        <w:t>V roku 2025 sa deficit platobnej bilancie zmiernil na úroveň -3,6 % HDP. Export tovarov v nominálnom vyjadrení rástol rýchlejšie ako import, čo viedlo k zníženiu deficitu bilancie obchodu s tovarmi. Naopak pre rýchlejší rast dovozu sa znížil prebytok bilancie služieb. Výrazne sa znížil aj deficit primárnych výnosov, kým deficit sekundárnych výnosov sa mierne prehĺbil.</w:t>
      </w:r>
    </w:p>
    <w:p w14:paraId="2C54061A" w14:textId="77777777" w:rsidR="00402102" w:rsidRPr="0050710A" w:rsidRDefault="00402102" w:rsidP="00532D85">
      <w:pPr>
        <w:spacing w:line="240" w:lineRule="auto"/>
        <w:jc w:val="both"/>
        <w:rPr>
          <w:rFonts w:cs="Times New Roman"/>
          <w:szCs w:val="24"/>
          <w:highlight w:val="yellow"/>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460"/>
      </w:tblGrid>
      <w:tr w:rsidR="00C821B2" w:rsidRPr="0050710A" w14:paraId="50EAEE12" w14:textId="77777777" w:rsidTr="00C821B2">
        <w:tc>
          <w:tcPr>
            <w:tcW w:w="4460" w:type="dxa"/>
            <w:tcBorders>
              <w:bottom w:val="single" w:sz="4" w:space="0" w:color="auto"/>
            </w:tcBorders>
          </w:tcPr>
          <w:p w14:paraId="0C4208A3" w14:textId="7B6DD048" w:rsidR="00C821B2" w:rsidRPr="000F4D1F" w:rsidRDefault="00C821B2" w:rsidP="00532D85">
            <w:pPr>
              <w:pStyle w:val="Popis"/>
              <w:jc w:val="both"/>
            </w:pPr>
            <w:bookmarkStart w:id="25" w:name="_Toc227670126"/>
            <w:r w:rsidRPr="000F4D1F">
              <w:t xml:space="preserve">Graf </w:t>
            </w:r>
            <w:r w:rsidR="00995280">
              <w:fldChar w:fldCharType="begin"/>
            </w:r>
            <w:r w:rsidR="00995280">
              <w:instrText xml:space="preserve"> SEQ Graf \* ARABIC </w:instrText>
            </w:r>
            <w:r w:rsidR="00995280">
              <w:fldChar w:fldCharType="separate"/>
            </w:r>
            <w:r w:rsidR="00396BE8">
              <w:rPr>
                <w:noProof/>
              </w:rPr>
              <w:t>4</w:t>
            </w:r>
            <w:r w:rsidR="00995280">
              <w:rPr>
                <w:noProof/>
              </w:rPr>
              <w:fldChar w:fldCharType="end"/>
            </w:r>
            <w:r w:rsidRPr="000F4D1F">
              <w:t xml:space="preserve"> - Štruktúra spotrebiteľskej inflácie–medziročné príspevky zložiek CPI (p. b.)</w:t>
            </w:r>
            <w:bookmarkEnd w:id="25"/>
          </w:p>
        </w:tc>
        <w:tc>
          <w:tcPr>
            <w:tcW w:w="4460" w:type="dxa"/>
            <w:tcBorders>
              <w:bottom w:val="single" w:sz="4" w:space="0" w:color="auto"/>
            </w:tcBorders>
          </w:tcPr>
          <w:p w14:paraId="5C520086" w14:textId="4A754288" w:rsidR="00C821B2" w:rsidRPr="000F4D1F" w:rsidRDefault="00C821B2" w:rsidP="00532D85">
            <w:pPr>
              <w:pStyle w:val="Popis"/>
              <w:jc w:val="both"/>
              <w:rPr>
                <w:sz w:val="24"/>
                <w:szCs w:val="24"/>
              </w:rPr>
            </w:pPr>
            <w:bookmarkStart w:id="26" w:name="_Toc227670127"/>
            <w:r w:rsidRPr="000F4D1F">
              <w:t xml:space="preserve">Graf </w:t>
            </w:r>
            <w:r w:rsidR="00995280">
              <w:fldChar w:fldCharType="begin"/>
            </w:r>
            <w:r w:rsidR="00995280">
              <w:instrText xml:space="preserve"> SEQ Graf \* ARABIC </w:instrText>
            </w:r>
            <w:r w:rsidR="00995280">
              <w:fldChar w:fldCharType="separate"/>
            </w:r>
            <w:r w:rsidR="00396BE8">
              <w:rPr>
                <w:noProof/>
              </w:rPr>
              <w:t>5</w:t>
            </w:r>
            <w:r w:rsidR="00995280">
              <w:rPr>
                <w:noProof/>
              </w:rPr>
              <w:fldChar w:fldCharType="end"/>
            </w:r>
            <w:r w:rsidRPr="000F4D1F">
              <w:t xml:space="preserve"> - Vývoj bežného účtu platobnej bilancie podľa jeho zložiek (% HDP)</w:t>
            </w:r>
            <w:bookmarkEnd w:id="26"/>
          </w:p>
        </w:tc>
      </w:tr>
      <w:tr w:rsidR="00C821B2" w:rsidRPr="0050710A" w14:paraId="34F0EAFB" w14:textId="77777777" w:rsidTr="00C821B2">
        <w:tc>
          <w:tcPr>
            <w:tcW w:w="4460" w:type="dxa"/>
            <w:tcBorders>
              <w:top w:val="single" w:sz="4" w:space="0" w:color="auto"/>
              <w:bottom w:val="single" w:sz="4" w:space="0" w:color="auto"/>
            </w:tcBorders>
          </w:tcPr>
          <w:p w14:paraId="5FBBF6C3" w14:textId="734EA066" w:rsidR="00C821B2" w:rsidRPr="0050710A" w:rsidRDefault="000F4D1F" w:rsidP="00532D85">
            <w:pPr>
              <w:jc w:val="both"/>
              <w:rPr>
                <w:szCs w:val="24"/>
                <w:highlight w:val="yellow"/>
              </w:rPr>
            </w:pPr>
            <w:r>
              <w:rPr>
                <w:noProof/>
              </w:rPr>
              <w:drawing>
                <wp:inline distT="0" distB="0" distL="0" distR="0" wp14:anchorId="2A6C62D1" wp14:editId="1B17A5D9">
                  <wp:extent cx="2630170" cy="2209165"/>
                  <wp:effectExtent l="0" t="0" r="0" b="635"/>
                  <wp:docPr id="1871262548" name="Graf 1">
                    <a:extLst xmlns:a="http://schemas.openxmlformats.org/drawingml/2006/main">
                      <a:ext uri="{FF2B5EF4-FFF2-40B4-BE49-F238E27FC236}">
                        <a16:creationId xmlns:a16="http://schemas.microsoft.com/office/drawing/2014/main" id="{85C02FD0-F928-4EA2-8C52-315C86C86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460" w:type="dxa"/>
            <w:tcBorders>
              <w:top w:val="single" w:sz="4" w:space="0" w:color="auto"/>
              <w:bottom w:val="single" w:sz="4" w:space="0" w:color="auto"/>
            </w:tcBorders>
          </w:tcPr>
          <w:p w14:paraId="48F688F5" w14:textId="716A8516" w:rsidR="00C821B2" w:rsidRPr="0050710A" w:rsidRDefault="000F4D1F" w:rsidP="00532D85">
            <w:pPr>
              <w:jc w:val="both"/>
              <w:rPr>
                <w:szCs w:val="24"/>
                <w:highlight w:val="yellow"/>
              </w:rPr>
            </w:pPr>
            <w:r>
              <w:rPr>
                <w:noProof/>
              </w:rPr>
              <w:drawing>
                <wp:inline distT="0" distB="0" distL="0" distR="0" wp14:anchorId="1E809973" wp14:editId="468B9F61">
                  <wp:extent cx="2505075" cy="2076450"/>
                  <wp:effectExtent l="0" t="0" r="0" b="0"/>
                  <wp:docPr id="881013480" name="Graf 1">
                    <a:extLst xmlns:a="http://schemas.openxmlformats.org/drawingml/2006/main">
                      <a:ext uri="{FF2B5EF4-FFF2-40B4-BE49-F238E27FC236}">
                        <a16:creationId xmlns:a16="http://schemas.microsoft.com/office/drawing/2014/main" id="{A27C6C80-2FC4-02D3-A7AD-73DE1ECC9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7C940704" w14:textId="77777777" w:rsidR="00C821B2" w:rsidRPr="000F4D1F" w:rsidRDefault="00C821B2" w:rsidP="00532D85">
      <w:pPr>
        <w:tabs>
          <w:tab w:val="right" w:pos="4253"/>
          <w:tab w:val="right" w:pos="8930"/>
        </w:tabs>
        <w:spacing w:line="240" w:lineRule="auto"/>
        <w:jc w:val="both"/>
        <w:rPr>
          <w:rFonts w:cs="Times New Roman"/>
          <w:sz w:val="18"/>
          <w:szCs w:val="18"/>
        </w:rPr>
      </w:pPr>
      <w:r w:rsidRPr="000F4D1F">
        <w:rPr>
          <w:rFonts w:cs="Times New Roman"/>
          <w:szCs w:val="24"/>
        </w:rPr>
        <w:tab/>
      </w:r>
      <w:r w:rsidRPr="000F4D1F">
        <w:rPr>
          <w:rFonts w:cs="Times New Roman"/>
          <w:sz w:val="18"/>
          <w:szCs w:val="18"/>
        </w:rPr>
        <w:t>Zdroj: ŠÚ SR, MF SR</w:t>
      </w:r>
      <w:r w:rsidRPr="000F4D1F">
        <w:rPr>
          <w:rFonts w:cs="Times New Roman"/>
          <w:sz w:val="18"/>
          <w:szCs w:val="18"/>
        </w:rPr>
        <w:tab/>
        <w:t>Zdroj: NBS, MF SR</w:t>
      </w:r>
    </w:p>
    <w:p w14:paraId="472B279A" w14:textId="77777777" w:rsidR="00C821B2" w:rsidRPr="0050710A" w:rsidRDefault="00C821B2" w:rsidP="004019D4">
      <w:pPr>
        <w:spacing w:line="240" w:lineRule="auto"/>
        <w:jc w:val="both"/>
        <w:rPr>
          <w:rFonts w:cs="Times New Roman"/>
          <w:szCs w:val="24"/>
          <w:highlight w:val="yellow"/>
        </w:rPr>
      </w:pPr>
    </w:p>
    <w:p w14:paraId="2889F82F" w14:textId="5677F239" w:rsidR="009A05C7" w:rsidRPr="000F4D1F" w:rsidRDefault="009A05C7" w:rsidP="004019D4">
      <w:pPr>
        <w:pStyle w:val="Nadpis3"/>
        <w:spacing w:before="0"/>
        <w:jc w:val="both"/>
      </w:pPr>
      <w:bookmarkStart w:id="27" w:name="_Toc6415633"/>
      <w:bookmarkStart w:id="28" w:name="_Toc227758893"/>
      <w:r w:rsidRPr="000F4D1F">
        <w:t>Porovnanie makroekonomických predpokladov rozpočtu a</w:t>
      </w:r>
      <w:r w:rsidR="00402102" w:rsidRPr="000F4D1F">
        <w:t> </w:t>
      </w:r>
      <w:r w:rsidRPr="000F4D1F">
        <w:t>skutočnosti</w:t>
      </w:r>
      <w:bookmarkEnd w:id="27"/>
      <w:bookmarkEnd w:id="28"/>
    </w:p>
    <w:p w14:paraId="08CEC836" w14:textId="77777777" w:rsidR="00402102" w:rsidRPr="0050710A" w:rsidRDefault="00402102" w:rsidP="004019D4">
      <w:pPr>
        <w:spacing w:line="240" w:lineRule="auto"/>
        <w:jc w:val="both"/>
        <w:rPr>
          <w:highlight w:val="yellow"/>
        </w:rPr>
      </w:pPr>
    </w:p>
    <w:p w14:paraId="1453CB07" w14:textId="5CE45503" w:rsidR="009072B5" w:rsidRPr="009072B5" w:rsidRDefault="009072B5" w:rsidP="004019D4">
      <w:pPr>
        <w:pStyle w:val="Pta"/>
        <w:jc w:val="both"/>
        <w:rPr>
          <w:rFonts w:cs="Times New Roman"/>
          <w:szCs w:val="24"/>
        </w:rPr>
      </w:pPr>
      <w:r w:rsidRPr="009072B5">
        <w:rPr>
          <w:rFonts w:cs="Times New Roman"/>
          <w:szCs w:val="24"/>
        </w:rPr>
        <w:t>Vývoj reálnej ekonomiky bol menej priaznivý ako očakávala prognóza MF SR použitá pri</w:t>
      </w:r>
      <w:r w:rsidR="00B46D1A">
        <w:rPr>
          <w:rFonts w:cs="Times New Roman"/>
          <w:szCs w:val="24"/>
        </w:rPr>
        <w:t> </w:t>
      </w:r>
      <w:r w:rsidRPr="009072B5">
        <w:rPr>
          <w:rFonts w:cs="Times New Roman"/>
          <w:szCs w:val="24"/>
        </w:rPr>
        <w:t>zostavovaní rozpočtu verejnej správy pre rok 2025. Nižší zahraničný dopyt a vyššia neistota v globálnom obchode viedli k pomalšiemu rastu exportov aj investícií. Z dôvodu zvýšenej neistoty v zahraničnej aj domácej ekonomike domácnosti šetrili viac než by indikoval rast ich reálnej mzdy. Inflácia bola v prognózach vyššia, keďže v realite opatrenia vlády na</w:t>
      </w:r>
      <w:r w:rsidR="00AF6B73">
        <w:rPr>
          <w:rFonts w:cs="Times New Roman"/>
          <w:szCs w:val="24"/>
        </w:rPr>
        <w:t> </w:t>
      </w:r>
      <w:r w:rsidRPr="009072B5">
        <w:rPr>
          <w:rFonts w:cs="Times New Roman"/>
          <w:szCs w:val="24"/>
        </w:rPr>
        <w:t>poslednú chvíľu stlmili rast cien energií. Zamestnanosť bola nižšia než očakávania, čo súviselo s nižšou ekonomickou aktivitou a pokračujúcou nepriaznivou demografickou zmenou.</w:t>
      </w:r>
    </w:p>
    <w:p w14:paraId="43F03510" w14:textId="3E9E2D8E" w:rsidR="009072B5" w:rsidRPr="009072B5" w:rsidRDefault="009072B5" w:rsidP="009072B5">
      <w:pPr>
        <w:pStyle w:val="Pta"/>
        <w:jc w:val="both"/>
        <w:rPr>
          <w:rFonts w:cs="Times New Roman"/>
          <w:bCs/>
          <w:szCs w:val="24"/>
        </w:rPr>
      </w:pPr>
      <w:r w:rsidRPr="009072B5">
        <w:rPr>
          <w:rFonts w:cs="Times New Roman"/>
          <w:bCs/>
          <w:szCs w:val="24"/>
        </w:rPr>
        <w:t>Prognózované makroekonomické základne pre dane a odvody na rok 2025 boli optimistickejšie než realita. Hoci nominálna mzda rástla rýchlejšie než v prognóze, hlbší pokles zamestnanosti znamenal, že celková mzdová báza zaostala za prognózou. Mzdová báza je pritom najvýznamnejšou základňou pre daňové príjmy, keďže od zárobkov sa odvíjajú nielen dane z príjmu fyzických osôb, ale aj spotreba domácností a teda DPH a spotrebné dane. Nižšia než prognózovaná inflácia takisto tlmila daňové základne, spolu s všeobecne nižším rastom HDP.</w:t>
      </w:r>
    </w:p>
    <w:p w14:paraId="78F27CAA" w14:textId="77777777" w:rsidR="00402102" w:rsidRPr="0050710A" w:rsidRDefault="00402102" w:rsidP="00532D85">
      <w:pPr>
        <w:pStyle w:val="Pta"/>
        <w:tabs>
          <w:tab w:val="clear" w:pos="4536"/>
          <w:tab w:val="clear" w:pos="9072"/>
        </w:tabs>
        <w:jc w:val="both"/>
        <w:rPr>
          <w:rFonts w:cs="Times New Roman"/>
          <w:bCs/>
          <w:szCs w:val="24"/>
          <w:highlight w:val="yellow"/>
        </w:rPr>
      </w:pPr>
    </w:p>
    <w:p w14:paraId="1E49AC02" w14:textId="2D33BAA5" w:rsidR="009A05C7" w:rsidRPr="00E4363C" w:rsidRDefault="009A05C7" w:rsidP="00532D85">
      <w:pPr>
        <w:pStyle w:val="Popis"/>
        <w:jc w:val="both"/>
      </w:pPr>
      <w:bookmarkStart w:id="29" w:name="_Toc196313629"/>
      <w:bookmarkStart w:id="30" w:name="_Toc227670139"/>
      <w:r w:rsidRPr="00E4363C">
        <w:t xml:space="preserve">Tabuľka </w:t>
      </w:r>
      <w:r w:rsidR="00995280">
        <w:fldChar w:fldCharType="begin"/>
      </w:r>
      <w:r w:rsidR="00995280">
        <w:instrText xml:space="preserve"> SEQ Tabuľka \* ARABIC </w:instrText>
      </w:r>
      <w:r w:rsidR="00995280">
        <w:fldChar w:fldCharType="separate"/>
      </w:r>
      <w:r w:rsidR="00396BE8">
        <w:rPr>
          <w:noProof/>
        </w:rPr>
        <w:t>3</w:t>
      </w:r>
      <w:r w:rsidR="00995280">
        <w:rPr>
          <w:noProof/>
        </w:rPr>
        <w:fldChar w:fldCharType="end"/>
      </w:r>
      <w:r w:rsidRPr="00E4363C">
        <w:t xml:space="preserve"> - Porovnanie skutočnosti</w:t>
      </w:r>
      <w:r w:rsidR="00E4363C" w:rsidRPr="00E4363C">
        <w:t xml:space="preserve"> za rok 2025</w:t>
      </w:r>
      <w:r w:rsidRPr="00E4363C">
        <w:t xml:space="preserve"> s predpokladmi pre tvorbu rozpočtu na roky 202</w:t>
      </w:r>
      <w:r w:rsidR="00E4363C" w:rsidRPr="00E4363C">
        <w:t>5</w:t>
      </w:r>
      <w:r w:rsidRPr="00E4363C">
        <w:t>-202</w:t>
      </w:r>
      <w:bookmarkEnd w:id="29"/>
      <w:r w:rsidR="00E4363C" w:rsidRPr="00E4363C">
        <w:t>7</w:t>
      </w:r>
      <w:bookmarkEnd w:id="30"/>
    </w:p>
    <w:tbl>
      <w:tblPr>
        <w:tblW w:w="5000" w:type="pct"/>
        <w:tblCellMar>
          <w:left w:w="70" w:type="dxa"/>
          <w:right w:w="70" w:type="dxa"/>
        </w:tblCellMar>
        <w:tblLook w:val="04A0" w:firstRow="1" w:lastRow="0" w:firstColumn="1" w:lastColumn="0" w:noHBand="0" w:noVBand="1"/>
      </w:tblPr>
      <w:tblGrid>
        <w:gridCol w:w="4940"/>
        <w:gridCol w:w="1469"/>
        <w:gridCol w:w="1217"/>
        <w:gridCol w:w="1444"/>
      </w:tblGrid>
      <w:tr w:rsidR="00CB3DFD" w:rsidRPr="00CB3DFD" w14:paraId="2EF21A80" w14:textId="77777777" w:rsidTr="00CB3DFD">
        <w:trPr>
          <w:trHeight w:val="290"/>
          <w:tblHeader/>
        </w:trPr>
        <w:tc>
          <w:tcPr>
            <w:tcW w:w="2723" w:type="pct"/>
            <w:tcBorders>
              <w:top w:val="single" w:sz="4" w:space="0" w:color="auto"/>
              <w:left w:val="nil"/>
              <w:bottom w:val="single" w:sz="4" w:space="0" w:color="auto"/>
              <w:right w:val="nil"/>
            </w:tcBorders>
            <w:vAlign w:val="center"/>
            <w:hideMark/>
          </w:tcPr>
          <w:p w14:paraId="4DE766F3" w14:textId="77777777" w:rsidR="00CB3DFD" w:rsidRPr="00CB3DFD" w:rsidRDefault="00CB3DFD" w:rsidP="00CB3DFD">
            <w:pPr>
              <w:spacing w:line="240" w:lineRule="auto"/>
              <w:jc w:val="both"/>
              <w:rPr>
                <w:rFonts w:eastAsia="Times New Roman" w:cs="Times New Roman"/>
                <w:b/>
                <w:bCs/>
                <w:color w:val="000000"/>
                <w:sz w:val="18"/>
                <w:szCs w:val="18"/>
                <w:lang w:eastAsia="sk-SK"/>
              </w:rPr>
            </w:pPr>
            <w:r w:rsidRPr="00CB3DFD">
              <w:rPr>
                <w:rFonts w:eastAsia="Times New Roman" w:cs="Times New Roman"/>
                <w:b/>
                <w:bCs/>
                <w:color w:val="000000"/>
                <w:sz w:val="18"/>
                <w:szCs w:val="18"/>
                <w:lang w:eastAsia="sk-SK"/>
              </w:rPr>
              <w:t>v %, ak nie je uvedené inak</w:t>
            </w:r>
          </w:p>
        </w:tc>
        <w:tc>
          <w:tcPr>
            <w:tcW w:w="810" w:type="pct"/>
            <w:tcBorders>
              <w:top w:val="single" w:sz="4" w:space="0" w:color="auto"/>
              <w:left w:val="nil"/>
              <w:bottom w:val="single" w:sz="4" w:space="0" w:color="auto"/>
              <w:right w:val="nil"/>
            </w:tcBorders>
            <w:vAlign w:val="center"/>
            <w:hideMark/>
          </w:tcPr>
          <w:p w14:paraId="41656573" w14:textId="21B0F229" w:rsidR="00CB3DFD" w:rsidRPr="00CB3DFD" w:rsidRDefault="00CB3DFD" w:rsidP="00CB3DFD">
            <w:pPr>
              <w:spacing w:line="240" w:lineRule="auto"/>
              <w:jc w:val="both"/>
              <w:rPr>
                <w:rFonts w:eastAsia="Times New Roman" w:cs="Times New Roman"/>
                <w:b/>
                <w:bCs/>
                <w:color w:val="000000"/>
                <w:sz w:val="18"/>
                <w:szCs w:val="18"/>
                <w:lang w:eastAsia="sk-SK"/>
              </w:rPr>
            </w:pPr>
            <w:r w:rsidRPr="00CB3DFD">
              <w:rPr>
                <w:rFonts w:eastAsia="Times New Roman" w:cs="Times New Roman"/>
                <w:b/>
                <w:bCs/>
                <w:color w:val="000000"/>
                <w:sz w:val="18"/>
                <w:szCs w:val="18"/>
                <w:lang w:eastAsia="sk-SK"/>
              </w:rPr>
              <w:t>Rozpočet 202</w:t>
            </w:r>
            <w:r w:rsidR="009F7144">
              <w:rPr>
                <w:rFonts w:eastAsia="Times New Roman" w:cs="Times New Roman"/>
                <w:b/>
                <w:bCs/>
                <w:color w:val="000000"/>
                <w:sz w:val="18"/>
                <w:szCs w:val="18"/>
                <w:lang w:eastAsia="sk-SK"/>
              </w:rPr>
              <w:t>5</w:t>
            </w:r>
          </w:p>
        </w:tc>
        <w:tc>
          <w:tcPr>
            <w:tcW w:w="671" w:type="pct"/>
            <w:tcBorders>
              <w:top w:val="single" w:sz="4" w:space="0" w:color="auto"/>
              <w:left w:val="nil"/>
              <w:bottom w:val="single" w:sz="4" w:space="0" w:color="auto"/>
              <w:right w:val="nil"/>
            </w:tcBorders>
            <w:vAlign w:val="center"/>
            <w:hideMark/>
          </w:tcPr>
          <w:p w14:paraId="69F1B934" w14:textId="77777777" w:rsidR="00CB3DFD" w:rsidRPr="00CB3DFD" w:rsidRDefault="00CB3DFD" w:rsidP="00CB3DFD">
            <w:pPr>
              <w:spacing w:line="240" w:lineRule="auto"/>
              <w:jc w:val="both"/>
              <w:rPr>
                <w:rFonts w:eastAsia="Times New Roman" w:cs="Times New Roman"/>
                <w:b/>
                <w:bCs/>
                <w:color w:val="000000"/>
                <w:sz w:val="18"/>
                <w:szCs w:val="18"/>
                <w:lang w:eastAsia="sk-SK"/>
              </w:rPr>
            </w:pPr>
            <w:r w:rsidRPr="00CB3DFD">
              <w:rPr>
                <w:rFonts w:eastAsia="Times New Roman" w:cs="Times New Roman"/>
                <w:b/>
                <w:bCs/>
                <w:color w:val="000000"/>
                <w:sz w:val="18"/>
                <w:szCs w:val="18"/>
                <w:lang w:eastAsia="sk-SK"/>
              </w:rPr>
              <w:t>Skutočnosť</w:t>
            </w:r>
          </w:p>
        </w:tc>
        <w:tc>
          <w:tcPr>
            <w:tcW w:w="796" w:type="pct"/>
            <w:tcBorders>
              <w:top w:val="single" w:sz="4" w:space="0" w:color="auto"/>
              <w:left w:val="nil"/>
              <w:bottom w:val="single" w:sz="4" w:space="0" w:color="auto"/>
              <w:right w:val="nil"/>
            </w:tcBorders>
            <w:vAlign w:val="center"/>
            <w:hideMark/>
          </w:tcPr>
          <w:p w14:paraId="795AE437" w14:textId="77777777" w:rsidR="00CB3DFD" w:rsidRPr="00CB3DFD" w:rsidRDefault="00CB3DFD" w:rsidP="00CB3DFD">
            <w:pPr>
              <w:spacing w:line="240" w:lineRule="auto"/>
              <w:jc w:val="both"/>
              <w:rPr>
                <w:rFonts w:eastAsia="Times New Roman" w:cs="Times New Roman"/>
                <w:b/>
                <w:bCs/>
                <w:color w:val="000000"/>
                <w:sz w:val="18"/>
                <w:szCs w:val="18"/>
                <w:lang w:eastAsia="sk-SK"/>
              </w:rPr>
            </w:pPr>
            <w:r w:rsidRPr="00CB3DFD">
              <w:rPr>
                <w:rFonts w:eastAsia="Times New Roman" w:cs="Times New Roman"/>
                <w:b/>
                <w:bCs/>
                <w:color w:val="000000"/>
                <w:sz w:val="18"/>
                <w:szCs w:val="18"/>
                <w:lang w:eastAsia="sk-SK"/>
              </w:rPr>
              <w:t>Rozdiel v p. b.</w:t>
            </w:r>
          </w:p>
        </w:tc>
      </w:tr>
      <w:tr w:rsidR="00600144" w:rsidRPr="00CB3DFD" w14:paraId="555BFFDE" w14:textId="77777777" w:rsidTr="00CB3DFD">
        <w:trPr>
          <w:trHeight w:val="290"/>
        </w:trPr>
        <w:tc>
          <w:tcPr>
            <w:tcW w:w="2723" w:type="pct"/>
            <w:tcBorders>
              <w:top w:val="nil"/>
              <w:left w:val="nil"/>
              <w:bottom w:val="nil"/>
              <w:right w:val="nil"/>
            </w:tcBorders>
            <w:vAlign w:val="center"/>
            <w:hideMark/>
          </w:tcPr>
          <w:p w14:paraId="18EF788B"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Hrubý domáci produkt,  reálny rast</w:t>
            </w:r>
          </w:p>
        </w:tc>
        <w:tc>
          <w:tcPr>
            <w:tcW w:w="810" w:type="pct"/>
            <w:tcBorders>
              <w:top w:val="nil"/>
              <w:left w:val="nil"/>
              <w:bottom w:val="nil"/>
              <w:right w:val="nil"/>
            </w:tcBorders>
            <w:vAlign w:val="center"/>
            <w:hideMark/>
          </w:tcPr>
          <w:p w14:paraId="35F03062" w14:textId="379947E3"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2</w:t>
            </w:r>
            <w:r w:rsidR="00CD29CC">
              <w:rPr>
                <w:rFonts w:ascii="Arial Narrow" w:hAnsi="Arial Narrow" w:cs="Calibri"/>
                <w:color w:val="000000"/>
                <w:sz w:val="18"/>
                <w:szCs w:val="18"/>
              </w:rPr>
              <w:t>,</w:t>
            </w:r>
            <w:r>
              <w:rPr>
                <w:rFonts w:ascii="Arial Narrow" w:hAnsi="Arial Narrow" w:cs="Calibri"/>
                <w:color w:val="000000"/>
                <w:sz w:val="18"/>
                <w:szCs w:val="18"/>
              </w:rPr>
              <w:t>2</w:t>
            </w:r>
          </w:p>
        </w:tc>
        <w:tc>
          <w:tcPr>
            <w:tcW w:w="671" w:type="pct"/>
            <w:tcBorders>
              <w:top w:val="nil"/>
              <w:left w:val="nil"/>
              <w:bottom w:val="nil"/>
              <w:right w:val="nil"/>
            </w:tcBorders>
            <w:vAlign w:val="center"/>
            <w:hideMark/>
          </w:tcPr>
          <w:p w14:paraId="5A7CE8CE" w14:textId="399A89B9"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0</w:t>
            </w:r>
            <w:r w:rsidR="00CD29CC">
              <w:rPr>
                <w:rFonts w:ascii="Arial Narrow" w:hAnsi="Arial Narrow" w:cs="Calibri"/>
                <w:color w:val="000000"/>
                <w:sz w:val="18"/>
                <w:szCs w:val="18"/>
              </w:rPr>
              <w:t>,</w:t>
            </w:r>
            <w:r>
              <w:rPr>
                <w:rFonts w:ascii="Arial Narrow" w:hAnsi="Arial Narrow" w:cs="Calibri"/>
                <w:color w:val="000000"/>
                <w:sz w:val="18"/>
                <w:szCs w:val="18"/>
              </w:rPr>
              <w:t>8</w:t>
            </w:r>
          </w:p>
        </w:tc>
        <w:tc>
          <w:tcPr>
            <w:tcW w:w="796" w:type="pct"/>
            <w:tcBorders>
              <w:top w:val="nil"/>
              <w:left w:val="nil"/>
              <w:bottom w:val="nil"/>
              <w:right w:val="nil"/>
            </w:tcBorders>
            <w:vAlign w:val="center"/>
            <w:hideMark/>
          </w:tcPr>
          <w:p w14:paraId="04FC1270" w14:textId="087FE5DF"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-1</w:t>
            </w:r>
            <w:r w:rsidR="00CD29CC">
              <w:rPr>
                <w:rFonts w:ascii="Arial Narrow" w:hAnsi="Arial Narrow" w:cs="Calibri"/>
                <w:color w:val="000000"/>
                <w:sz w:val="18"/>
                <w:szCs w:val="18"/>
              </w:rPr>
              <w:t>,</w:t>
            </w:r>
            <w:r>
              <w:rPr>
                <w:rFonts w:ascii="Arial Narrow" w:hAnsi="Arial Narrow" w:cs="Calibri"/>
                <w:color w:val="000000"/>
                <w:sz w:val="18"/>
                <w:szCs w:val="18"/>
              </w:rPr>
              <w:t>4</w:t>
            </w:r>
          </w:p>
        </w:tc>
      </w:tr>
      <w:tr w:rsidR="00600144" w:rsidRPr="00CB3DFD" w14:paraId="11128DC0" w14:textId="77777777" w:rsidTr="00CB3DFD">
        <w:trPr>
          <w:trHeight w:val="290"/>
        </w:trPr>
        <w:tc>
          <w:tcPr>
            <w:tcW w:w="2723" w:type="pct"/>
            <w:tcBorders>
              <w:top w:val="nil"/>
              <w:left w:val="nil"/>
              <w:bottom w:val="nil"/>
              <w:right w:val="nil"/>
            </w:tcBorders>
            <w:vAlign w:val="center"/>
            <w:hideMark/>
          </w:tcPr>
          <w:p w14:paraId="4573D5CB"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Hrubý domáci produkt v bežných cenách mld. eur</w:t>
            </w:r>
          </w:p>
        </w:tc>
        <w:tc>
          <w:tcPr>
            <w:tcW w:w="810" w:type="pct"/>
            <w:tcBorders>
              <w:top w:val="nil"/>
              <w:left w:val="nil"/>
              <w:bottom w:val="nil"/>
              <w:right w:val="nil"/>
            </w:tcBorders>
            <w:vAlign w:val="center"/>
            <w:hideMark/>
          </w:tcPr>
          <w:p w14:paraId="07DDA70A" w14:textId="444C5D0D"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139</w:t>
            </w:r>
            <w:r w:rsidR="00CD29CC">
              <w:rPr>
                <w:rFonts w:ascii="Arial Narrow" w:hAnsi="Arial Narrow" w:cs="Calibri"/>
                <w:color w:val="000000"/>
                <w:sz w:val="18"/>
                <w:szCs w:val="18"/>
              </w:rPr>
              <w:t>,</w:t>
            </w:r>
            <w:r>
              <w:rPr>
                <w:rFonts w:ascii="Arial Narrow" w:hAnsi="Arial Narrow" w:cs="Calibri"/>
                <w:color w:val="000000"/>
                <w:sz w:val="18"/>
                <w:szCs w:val="18"/>
              </w:rPr>
              <w:t>9</w:t>
            </w:r>
          </w:p>
        </w:tc>
        <w:tc>
          <w:tcPr>
            <w:tcW w:w="671" w:type="pct"/>
            <w:tcBorders>
              <w:top w:val="nil"/>
              <w:left w:val="nil"/>
              <w:bottom w:val="nil"/>
              <w:right w:val="nil"/>
            </w:tcBorders>
            <w:vAlign w:val="center"/>
            <w:hideMark/>
          </w:tcPr>
          <w:p w14:paraId="5D5DD963" w14:textId="05B343A0"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136</w:t>
            </w:r>
            <w:r w:rsidR="00CD29CC">
              <w:rPr>
                <w:rFonts w:ascii="Arial Narrow" w:hAnsi="Arial Narrow" w:cs="Calibri"/>
                <w:color w:val="000000"/>
                <w:sz w:val="18"/>
                <w:szCs w:val="18"/>
              </w:rPr>
              <w:t>,</w:t>
            </w:r>
            <w:r>
              <w:rPr>
                <w:rFonts w:ascii="Arial Narrow" w:hAnsi="Arial Narrow" w:cs="Calibri"/>
                <w:color w:val="000000"/>
                <w:sz w:val="18"/>
                <w:szCs w:val="18"/>
              </w:rPr>
              <w:t>8</w:t>
            </w:r>
          </w:p>
        </w:tc>
        <w:tc>
          <w:tcPr>
            <w:tcW w:w="796" w:type="pct"/>
            <w:tcBorders>
              <w:top w:val="nil"/>
              <w:left w:val="nil"/>
              <w:bottom w:val="nil"/>
              <w:right w:val="nil"/>
            </w:tcBorders>
            <w:vAlign w:val="center"/>
            <w:hideMark/>
          </w:tcPr>
          <w:p w14:paraId="746991FD" w14:textId="397ACCAF"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-3</w:t>
            </w:r>
            <w:r w:rsidR="00CD29CC">
              <w:rPr>
                <w:rFonts w:ascii="Arial Narrow" w:hAnsi="Arial Narrow" w:cs="Calibri"/>
                <w:color w:val="000000"/>
                <w:sz w:val="18"/>
                <w:szCs w:val="18"/>
              </w:rPr>
              <w:t>,</w:t>
            </w:r>
            <w:r>
              <w:rPr>
                <w:rFonts w:ascii="Arial Narrow" w:hAnsi="Arial Narrow" w:cs="Calibri"/>
                <w:color w:val="000000"/>
                <w:sz w:val="18"/>
                <w:szCs w:val="18"/>
              </w:rPr>
              <w:t>1</w:t>
            </w:r>
          </w:p>
        </w:tc>
      </w:tr>
      <w:tr w:rsidR="00600144" w:rsidRPr="00CB3DFD" w14:paraId="18970A29" w14:textId="77777777" w:rsidTr="00CB3DFD">
        <w:trPr>
          <w:trHeight w:val="290"/>
        </w:trPr>
        <w:tc>
          <w:tcPr>
            <w:tcW w:w="2723" w:type="pct"/>
            <w:tcBorders>
              <w:top w:val="nil"/>
              <w:left w:val="nil"/>
              <w:bottom w:val="nil"/>
              <w:right w:val="nil"/>
            </w:tcBorders>
            <w:vAlign w:val="center"/>
            <w:hideMark/>
          </w:tcPr>
          <w:p w14:paraId="0FD4B587"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Konečná spotreba domácností a NISD,  reálny rast</w:t>
            </w:r>
          </w:p>
        </w:tc>
        <w:tc>
          <w:tcPr>
            <w:tcW w:w="810" w:type="pct"/>
            <w:tcBorders>
              <w:top w:val="nil"/>
              <w:left w:val="nil"/>
              <w:bottom w:val="nil"/>
              <w:right w:val="nil"/>
            </w:tcBorders>
            <w:vAlign w:val="center"/>
            <w:hideMark/>
          </w:tcPr>
          <w:p w14:paraId="6E44A70D" w14:textId="4490F6E2"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1</w:t>
            </w:r>
            <w:r w:rsidR="00CD29CC">
              <w:rPr>
                <w:rFonts w:ascii="Arial Narrow" w:hAnsi="Arial Narrow" w:cs="Calibri"/>
                <w:color w:val="000000"/>
                <w:sz w:val="18"/>
                <w:szCs w:val="18"/>
              </w:rPr>
              <w:t>,</w:t>
            </w:r>
            <w:r>
              <w:rPr>
                <w:rFonts w:ascii="Arial Narrow" w:hAnsi="Arial Narrow" w:cs="Calibri"/>
                <w:color w:val="000000"/>
                <w:sz w:val="18"/>
                <w:szCs w:val="18"/>
              </w:rPr>
              <w:t>4</w:t>
            </w:r>
          </w:p>
        </w:tc>
        <w:tc>
          <w:tcPr>
            <w:tcW w:w="671" w:type="pct"/>
            <w:tcBorders>
              <w:top w:val="nil"/>
              <w:left w:val="nil"/>
              <w:bottom w:val="nil"/>
              <w:right w:val="nil"/>
            </w:tcBorders>
            <w:vAlign w:val="center"/>
            <w:hideMark/>
          </w:tcPr>
          <w:p w14:paraId="5AC9819A" w14:textId="525D7238"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lang w:val="en-US"/>
              </w:rPr>
              <w:t>0</w:t>
            </w:r>
            <w:r w:rsidR="00CD29CC">
              <w:rPr>
                <w:rFonts w:ascii="Arial Narrow" w:hAnsi="Arial Narrow" w:cs="Calibri"/>
                <w:color w:val="000000"/>
                <w:sz w:val="18"/>
                <w:szCs w:val="18"/>
                <w:lang w:val="en-US"/>
              </w:rPr>
              <w:t>,</w:t>
            </w:r>
            <w:r>
              <w:rPr>
                <w:rFonts w:ascii="Arial Narrow" w:hAnsi="Arial Narrow" w:cs="Calibri"/>
                <w:color w:val="000000"/>
                <w:sz w:val="18"/>
                <w:szCs w:val="18"/>
                <w:lang w:val="en-US"/>
              </w:rPr>
              <w:t>2</w:t>
            </w:r>
          </w:p>
        </w:tc>
        <w:tc>
          <w:tcPr>
            <w:tcW w:w="796" w:type="pct"/>
            <w:tcBorders>
              <w:top w:val="nil"/>
              <w:left w:val="nil"/>
              <w:bottom w:val="nil"/>
              <w:right w:val="nil"/>
            </w:tcBorders>
            <w:vAlign w:val="center"/>
            <w:hideMark/>
          </w:tcPr>
          <w:p w14:paraId="7F7DCFBA" w14:textId="4FE9A059"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-1</w:t>
            </w:r>
            <w:r w:rsidR="00CD29CC">
              <w:rPr>
                <w:rFonts w:ascii="Arial Narrow" w:hAnsi="Arial Narrow" w:cs="Calibri"/>
                <w:color w:val="000000"/>
                <w:sz w:val="18"/>
                <w:szCs w:val="18"/>
              </w:rPr>
              <w:t>,</w:t>
            </w:r>
            <w:r>
              <w:rPr>
                <w:rFonts w:ascii="Arial Narrow" w:hAnsi="Arial Narrow" w:cs="Calibri"/>
                <w:color w:val="000000"/>
                <w:sz w:val="18"/>
                <w:szCs w:val="18"/>
              </w:rPr>
              <w:t>2</w:t>
            </w:r>
          </w:p>
        </w:tc>
      </w:tr>
      <w:tr w:rsidR="00600144" w:rsidRPr="00CB3DFD" w14:paraId="723283D9" w14:textId="77777777" w:rsidTr="00CB3DFD">
        <w:trPr>
          <w:trHeight w:val="290"/>
        </w:trPr>
        <w:tc>
          <w:tcPr>
            <w:tcW w:w="2723" w:type="pct"/>
            <w:tcBorders>
              <w:top w:val="nil"/>
              <w:left w:val="nil"/>
              <w:bottom w:val="nil"/>
              <w:right w:val="nil"/>
            </w:tcBorders>
            <w:vAlign w:val="center"/>
            <w:hideMark/>
          </w:tcPr>
          <w:p w14:paraId="756D7679"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Konečná spotreba domácností a NISD,  nominálny rast</w:t>
            </w:r>
          </w:p>
        </w:tc>
        <w:tc>
          <w:tcPr>
            <w:tcW w:w="810" w:type="pct"/>
            <w:tcBorders>
              <w:top w:val="nil"/>
              <w:left w:val="nil"/>
              <w:bottom w:val="nil"/>
              <w:right w:val="nil"/>
            </w:tcBorders>
            <w:vAlign w:val="center"/>
            <w:hideMark/>
          </w:tcPr>
          <w:p w14:paraId="0366E6EA" w14:textId="7233E369"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6</w:t>
            </w:r>
            <w:r w:rsidR="00CD29CC">
              <w:rPr>
                <w:rFonts w:ascii="Arial Narrow" w:hAnsi="Arial Narrow" w:cs="Calibri"/>
                <w:color w:val="000000"/>
                <w:sz w:val="18"/>
                <w:szCs w:val="18"/>
              </w:rPr>
              <w:t>,</w:t>
            </w:r>
            <w:r>
              <w:rPr>
                <w:rFonts w:ascii="Arial Narrow" w:hAnsi="Arial Narrow" w:cs="Calibri"/>
                <w:color w:val="000000"/>
                <w:sz w:val="18"/>
                <w:szCs w:val="18"/>
              </w:rPr>
              <w:t>9</w:t>
            </w:r>
          </w:p>
        </w:tc>
        <w:tc>
          <w:tcPr>
            <w:tcW w:w="671" w:type="pct"/>
            <w:tcBorders>
              <w:top w:val="nil"/>
              <w:left w:val="nil"/>
              <w:bottom w:val="nil"/>
              <w:right w:val="nil"/>
            </w:tcBorders>
            <w:vAlign w:val="center"/>
            <w:hideMark/>
          </w:tcPr>
          <w:p w14:paraId="1DB5424D" w14:textId="0BF80F6A"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4</w:t>
            </w:r>
            <w:r w:rsidR="00CD29CC">
              <w:rPr>
                <w:rFonts w:ascii="Arial Narrow" w:hAnsi="Arial Narrow" w:cs="Calibri"/>
                <w:color w:val="000000"/>
                <w:sz w:val="18"/>
                <w:szCs w:val="18"/>
              </w:rPr>
              <w:t>,</w:t>
            </w:r>
            <w:r>
              <w:rPr>
                <w:rFonts w:ascii="Arial Narrow" w:hAnsi="Arial Narrow" w:cs="Calibri"/>
                <w:color w:val="000000"/>
                <w:sz w:val="18"/>
                <w:szCs w:val="18"/>
              </w:rPr>
              <w:t>4</w:t>
            </w:r>
          </w:p>
        </w:tc>
        <w:tc>
          <w:tcPr>
            <w:tcW w:w="796" w:type="pct"/>
            <w:tcBorders>
              <w:top w:val="nil"/>
              <w:left w:val="nil"/>
              <w:bottom w:val="nil"/>
              <w:right w:val="nil"/>
            </w:tcBorders>
            <w:vAlign w:val="center"/>
            <w:hideMark/>
          </w:tcPr>
          <w:p w14:paraId="4DBD4CA7" w14:textId="6CAEDB89"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-2</w:t>
            </w:r>
            <w:r w:rsidR="00CD29CC">
              <w:rPr>
                <w:rFonts w:ascii="Arial Narrow" w:hAnsi="Arial Narrow" w:cs="Calibri"/>
                <w:color w:val="000000"/>
                <w:sz w:val="18"/>
                <w:szCs w:val="18"/>
              </w:rPr>
              <w:t>,</w:t>
            </w:r>
            <w:r>
              <w:rPr>
                <w:rFonts w:ascii="Arial Narrow" w:hAnsi="Arial Narrow" w:cs="Calibri"/>
                <w:color w:val="000000"/>
                <w:sz w:val="18"/>
                <w:szCs w:val="18"/>
              </w:rPr>
              <w:t>5</w:t>
            </w:r>
          </w:p>
        </w:tc>
      </w:tr>
      <w:tr w:rsidR="00600144" w:rsidRPr="00CB3DFD" w14:paraId="03100E02" w14:textId="77777777" w:rsidTr="00CB3DFD">
        <w:trPr>
          <w:trHeight w:val="290"/>
        </w:trPr>
        <w:tc>
          <w:tcPr>
            <w:tcW w:w="2723" w:type="pct"/>
            <w:tcBorders>
              <w:top w:val="nil"/>
              <w:left w:val="nil"/>
              <w:bottom w:val="nil"/>
              <w:right w:val="nil"/>
            </w:tcBorders>
            <w:vAlign w:val="center"/>
            <w:hideMark/>
          </w:tcPr>
          <w:p w14:paraId="16F90C3A"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Priemerná mesačná mzda,  reálny rast</w:t>
            </w:r>
          </w:p>
        </w:tc>
        <w:tc>
          <w:tcPr>
            <w:tcW w:w="810" w:type="pct"/>
            <w:tcBorders>
              <w:top w:val="nil"/>
              <w:left w:val="nil"/>
              <w:bottom w:val="nil"/>
              <w:right w:val="nil"/>
            </w:tcBorders>
            <w:vAlign w:val="center"/>
            <w:hideMark/>
          </w:tcPr>
          <w:p w14:paraId="6B56D23A" w14:textId="400A5B4F"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Arial"/>
                <w:color w:val="000000"/>
                <w:sz w:val="18"/>
                <w:szCs w:val="18"/>
              </w:rPr>
              <w:t>0</w:t>
            </w:r>
            <w:r w:rsidR="00CD29CC">
              <w:rPr>
                <w:rFonts w:ascii="Arial Narrow" w:hAnsi="Arial Narrow" w:cs="Arial"/>
                <w:color w:val="000000"/>
                <w:sz w:val="18"/>
                <w:szCs w:val="18"/>
              </w:rPr>
              <w:t>,</w:t>
            </w:r>
            <w:r>
              <w:rPr>
                <w:rFonts w:ascii="Arial Narrow" w:hAnsi="Arial Narrow" w:cs="Arial"/>
                <w:color w:val="000000"/>
                <w:sz w:val="18"/>
                <w:szCs w:val="18"/>
              </w:rPr>
              <w:t>5</w:t>
            </w:r>
          </w:p>
        </w:tc>
        <w:tc>
          <w:tcPr>
            <w:tcW w:w="671" w:type="pct"/>
            <w:tcBorders>
              <w:top w:val="nil"/>
              <w:left w:val="nil"/>
              <w:bottom w:val="nil"/>
              <w:right w:val="nil"/>
            </w:tcBorders>
            <w:vAlign w:val="center"/>
            <w:hideMark/>
          </w:tcPr>
          <w:p w14:paraId="7CCBEE02" w14:textId="6E678FDD"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2</w:t>
            </w:r>
            <w:r w:rsidR="00CD29CC">
              <w:rPr>
                <w:rFonts w:ascii="Arial Narrow" w:hAnsi="Arial Narrow" w:cs="Calibri"/>
                <w:color w:val="000000"/>
                <w:sz w:val="18"/>
                <w:szCs w:val="18"/>
              </w:rPr>
              <w:t>,</w:t>
            </w:r>
            <w:r>
              <w:rPr>
                <w:rFonts w:ascii="Arial Narrow" w:hAnsi="Arial Narrow" w:cs="Calibri"/>
                <w:color w:val="000000"/>
                <w:sz w:val="18"/>
                <w:szCs w:val="18"/>
              </w:rPr>
              <w:t>2</w:t>
            </w:r>
          </w:p>
        </w:tc>
        <w:tc>
          <w:tcPr>
            <w:tcW w:w="796" w:type="pct"/>
            <w:tcBorders>
              <w:top w:val="nil"/>
              <w:left w:val="nil"/>
              <w:bottom w:val="nil"/>
              <w:right w:val="nil"/>
            </w:tcBorders>
            <w:vAlign w:val="center"/>
            <w:hideMark/>
          </w:tcPr>
          <w:p w14:paraId="3676B525" w14:textId="274824D1"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+1</w:t>
            </w:r>
            <w:r w:rsidR="00CD29CC">
              <w:rPr>
                <w:rFonts w:ascii="Arial Narrow" w:hAnsi="Arial Narrow" w:cs="Calibri"/>
                <w:color w:val="000000"/>
                <w:sz w:val="18"/>
                <w:szCs w:val="18"/>
              </w:rPr>
              <w:t>,</w:t>
            </w:r>
            <w:r>
              <w:rPr>
                <w:rFonts w:ascii="Arial Narrow" w:hAnsi="Arial Narrow" w:cs="Calibri"/>
                <w:color w:val="000000"/>
                <w:sz w:val="18"/>
                <w:szCs w:val="18"/>
              </w:rPr>
              <w:t>7</w:t>
            </w:r>
          </w:p>
        </w:tc>
      </w:tr>
      <w:tr w:rsidR="00600144" w:rsidRPr="00CB3DFD" w14:paraId="79609468" w14:textId="77777777" w:rsidTr="00CB3DFD">
        <w:trPr>
          <w:trHeight w:val="290"/>
        </w:trPr>
        <w:tc>
          <w:tcPr>
            <w:tcW w:w="2723" w:type="pct"/>
            <w:tcBorders>
              <w:top w:val="nil"/>
              <w:left w:val="nil"/>
              <w:bottom w:val="nil"/>
              <w:right w:val="nil"/>
            </w:tcBorders>
            <w:vAlign w:val="center"/>
            <w:hideMark/>
          </w:tcPr>
          <w:p w14:paraId="19F613BB"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Priemerná mesačná mzda,  nominálny rast</w:t>
            </w:r>
          </w:p>
        </w:tc>
        <w:tc>
          <w:tcPr>
            <w:tcW w:w="810" w:type="pct"/>
            <w:tcBorders>
              <w:top w:val="nil"/>
              <w:left w:val="nil"/>
              <w:bottom w:val="nil"/>
              <w:right w:val="nil"/>
            </w:tcBorders>
            <w:vAlign w:val="center"/>
            <w:hideMark/>
          </w:tcPr>
          <w:p w14:paraId="105FBED6" w14:textId="7E433A35"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Arial"/>
                <w:color w:val="000000"/>
                <w:sz w:val="18"/>
                <w:szCs w:val="18"/>
              </w:rPr>
              <w:t>5</w:t>
            </w:r>
            <w:r w:rsidR="00CD29CC">
              <w:rPr>
                <w:rFonts w:ascii="Arial Narrow" w:hAnsi="Arial Narrow" w:cs="Arial"/>
                <w:color w:val="000000"/>
                <w:sz w:val="18"/>
                <w:szCs w:val="18"/>
              </w:rPr>
              <w:t>,</w:t>
            </w:r>
            <w:r>
              <w:rPr>
                <w:rFonts w:ascii="Arial Narrow" w:hAnsi="Arial Narrow" w:cs="Arial"/>
                <w:color w:val="000000"/>
                <w:sz w:val="18"/>
                <w:szCs w:val="18"/>
              </w:rPr>
              <w:t>9</w:t>
            </w:r>
          </w:p>
        </w:tc>
        <w:tc>
          <w:tcPr>
            <w:tcW w:w="671" w:type="pct"/>
            <w:tcBorders>
              <w:top w:val="nil"/>
              <w:left w:val="nil"/>
              <w:bottom w:val="nil"/>
              <w:right w:val="nil"/>
            </w:tcBorders>
            <w:vAlign w:val="center"/>
            <w:hideMark/>
          </w:tcPr>
          <w:p w14:paraId="4428D050" w14:textId="198D407F"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6</w:t>
            </w:r>
            <w:r w:rsidR="00CD29CC">
              <w:rPr>
                <w:rFonts w:ascii="Arial Narrow" w:hAnsi="Arial Narrow" w:cs="Calibri"/>
                <w:color w:val="000000"/>
                <w:sz w:val="18"/>
                <w:szCs w:val="18"/>
              </w:rPr>
              <w:t>,</w:t>
            </w:r>
            <w:r>
              <w:rPr>
                <w:rFonts w:ascii="Arial Narrow" w:hAnsi="Arial Narrow" w:cs="Calibri"/>
                <w:color w:val="000000"/>
                <w:sz w:val="18"/>
                <w:szCs w:val="18"/>
              </w:rPr>
              <w:t>2</w:t>
            </w:r>
          </w:p>
        </w:tc>
        <w:tc>
          <w:tcPr>
            <w:tcW w:w="796" w:type="pct"/>
            <w:tcBorders>
              <w:top w:val="nil"/>
              <w:left w:val="nil"/>
              <w:bottom w:val="nil"/>
              <w:right w:val="nil"/>
            </w:tcBorders>
            <w:vAlign w:val="center"/>
            <w:hideMark/>
          </w:tcPr>
          <w:p w14:paraId="6CCC6C38" w14:textId="4457FEEA"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+0</w:t>
            </w:r>
            <w:r w:rsidR="00CD29CC">
              <w:rPr>
                <w:rFonts w:ascii="Arial Narrow" w:hAnsi="Arial Narrow" w:cs="Calibri"/>
                <w:color w:val="000000"/>
                <w:sz w:val="18"/>
                <w:szCs w:val="18"/>
              </w:rPr>
              <w:t>,</w:t>
            </w:r>
            <w:r>
              <w:rPr>
                <w:rFonts w:ascii="Arial Narrow" w:hAnsi="Arial Narrow" w:cs="Calibri"/>
                <w:color w:val="000000"/>
                <w:sz w:val="18"/>
                <w:szCs w:val="18"/>
              </w:rPr>
              <w:t>3</w:t>
            </w:r>
          </w:p>
        </w:tc>
      </w:tr>
      <w:tr w:rsidR="00600144" w:rsidRPr="00CB3DFD" w14:paraId="1616376C" w14:textId="77777777" w:rsidTr="00CB3DFD">
        <w:trPr>
          <w:trHeight w:val="290"/>
        </w:trPr>
        <w:tc>
          <w:tcPr>
            <w:tcW w:w="2723" w:type="pct"/>
            <w:tcBorders>
              <w:top w:val="nil"/>
              <w:left w:val="nil"/>
              <w:bottom w:val="nil"/>
              <w:right w:val="nil"/>
            </w:tcBorders>
            <w:vAlign w:val="center"/>
            <w:hideMark/>
          </w:tcPr>
          <w:p w14:paraId="092A4190"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Zamestnanosť (ESA)</w:t>
            </w:r>
          </w:p>
        </w:tc>
        <w:tc>
          <w:tcPr>
            <w:tcW w:w="810" w:type="pct"/>
            <w:tcBorders>
              <w:top w:val="nil"/>
              <w:left w:val="nil"/>
              <w:bottom w:val="nil"/>
              <w:right w:val="nil"/>
            </w:tcBorders>
            <w:vAlign w:val="center"/>
            <w:hideMark/>
          </w:tcPr>
          <w:p w14:paraId="3521D474" w14:textId="381C1B75"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0</w:t>
            </w:r>
            <w:r w:rsidR="00CD29CC">
              <w:rPr>
                <w:rFonts w:ascii="Arial Narrow" w:hAnsi="Arial Narrow" w:cs="Calibri"/>
                <w:color w:val="000000"/>
                <w:sz w:val="18"/>
                <w:szCs w:val="18"/>
              </w:rPr>
              <w:t>,</w:t>
            </w:r>
            <w:r>
              <w:rPr>
                <w:rFonts w:ascii="Arial Narrow" w:hAnsi="Arial Narrow" w:cs="Calibri"/>
                <w:color w:val="000000"/>
                <w:sz w:val="18"/>
                <w:szCs w:val="18"/>
              </w:rPr>
              <w:t>4</w:t>
            </w:r>
          </w:p>
        </w:tc>
        <w:tc>
          <w:tcPr>
            <w:tcW w:w="671" w:type="pct"/>
            <w:tcBorders>
              <w:top w:val="nil"/>
              <w:left w:val="nil"/>
              <w:bottom w:val="nil"/>
              <w:right w:val="nil"/>
            </w:tcBorders>
            <w:vAlign w:val="center"/>
            <w:hideMark/>
          </w:tcPr>
          <w:p w14:paraId="6DE0473F" w14:textId="672EF6FD"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-0</w:t>
            </w:r>
            <w:r w:rsidR="00CD29CC">
              <w:rPr>
                <w:rFonts w:ascii="Arial Narrow" w:hAnsi="Arial Narrow" w:cs="Calibri"/>
                <w:color w:val="000000"/>
                <w:sz w:val="18"/>
                <w:szCs w:val="18"/>
              </w:rPr>
              <w:t>,</w:t>
            </w:r>
            <w:r>
              <w:rPr>
                <w:rFonts w:ascii="Arial Narrow" w:hAnsi="Arial Narrow" w:cs="Calibri"/>
                <w:color w:val="000000"/>
                <w:sz w:val="18"/>
                <w:szCs w:val="18"/>
              </w:rPr>
              <w:t>1</w:t>
            </w:r>
          </w:p>
        </w:tc>
        <w:tc>
          <w:tcPr>
            <w:tcW w:w="796" w:type="pct"/>
            <w:tcBorders>
              <w:top w:val="nil"/>
              <w:left w:val="nil"/>
              <w:bottom w:val="nil"/>
              <w:right w:val="nil"/>
            </w:tcBorders>
            <w:vAlign w:val="center"/>
            <w:hideMark/>
          </w:tcPr>
          <w:p w14:paraId="501A254F" w14:textId="41EF330E"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-0</w:t>
            </w:r>
            <w:r w:rsidR="00CD29CC">
              <w:rPr>
                <w:rFonts w:ascii="Arial Narrow" w:hAnsi="Arial Narrow" w:cs="Calibri"/>
                <w:color w:val="000000"/>
                <w:sz w:val="18"/>
                <w:szCs w:val="18"/>
              </w:rPr>
              <w:t>,</w:t>
            </w:r>
            <w:r>
              <w:rPr>
                <w:rFonts w:ascii="Arial Narrow" w:hAnsi="Arial Narrow" w:cs="Calibri"/>
                <w:color w:val="000000"/>
                <w:sz w:val="18"/>
                <w:szCs w:val="18"/>
              </w:rPr>
              <w:t>5</w:t>
            </w:r>
          </w:p>
        </w:tc>
      </w:tr>
      <w:tr w:rsidR="00600144" w:rsidRPr="00CB3DFD" w14:paraId="69311455" w14:textId="77777777" w:rsidTr="00CB3DFD">
        <w:trPr>
          <w:trHeight w:val="290"/>
        </w:trPr>
        <w:tc>
          <w:tcPr>
            <w:tcW w:w="2723" w:type="pct"/>
            <w:tcBorders>
              <w:top w:val="nil"/>
              <w:left w:val="nil"/>
              <w:bottom w:val="nil"/>
              <w:right w:val="nil"/>
            </w:tcBorders>
            <w:vAlign w:val="center"/>
            <w:hideMark/>
          </w:tcPr>
          <w:p w14:paraId="6D58D70A"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lastRenderedPageBreak/>
              <w:t>Miera nezamestnanosti (VZPS)</w:t>
            </w:r>
          </w:p>
        </w:tc>
        <w:tc>
          <w:tcPr>
            <w:tcW w:w="810" w:type="pct"/>
            <w:tcBorders>
              <w:top w:val="nil"/>
              <w:left w:val="nil"/>
              <w:bottom w:val="nil"/>
              <w:right w:val="nil"/>
            </w:tcBorders>
            <w:vAlign w:val="center"/>
            <w:hideMark/>
          </w:tcPr>
          <w:p w14:paraId="043E8C4E" w14:textId="1392B8AB"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Arial"/>
                <w:color w:val="000000"/>
                <w:sz w:val="18"/>
                <w:szCs w:val="18"/>
              </w:rPr>
              <w:t>5</w:t>
            </w:r>
            <w:r w:rsidR="00CD29CC">
              <w:rPr>
                <w:rFonts w:ascii="Arial Narrow" w:hAnsi="Arial Narrow" w:cs="Arial"/>
                <w:color w:val="000000"/>
                <w:sz w:val="18"/>
                <w:szCs w:val="18"/>
              </w:rPr>
              <w:t>,</w:t>
            </w:r>
            <w:r>
              <w:rPr>
                <w:rFonts w:ascii="Arial Narrow" w:hAnsi="Arial Narrow" w:cs="Arial"/>
                <w:color w:val="000000"/>
                <w:sz w:val="18"/>
                <w:szCs w:val="18"/>
              </w:rPr>
              <w:t>3</w:t>
            </w:r>
          </w:p>
        </w:tc>
        <w:tc>
          <w:tcPr>
            <w:tcW w:w="671" w:type="pct"/>
            <w:tcBorders>
              <w:top w:val="nil"/>
              <w:left w:val="nil"/>
              <w:bottom w:val="nil"/>
              <w:right w:val="nil"/>
            </w:tcBorders>
            <w:vAlign w:val="center"/>
            <w:hideMark/>
          </w:tcPr>
          <w:p w14:paraId="6E992E93" w14:textId="2021A19E"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5</w:t>
            </w:r>
            <w:r w:rsidR="00CD29CC">
              <w:rPr>
                <w:rFonts w:ascii="Arial Narrow" w:hAnsi="Arial Narrow" w:cs="Calibri"/>
                <w:color w:val="000000"/>
                <w:sz w:val="18"/>
                <w:szCs w:val="18"/>
              </w:rPr>
              <w:t>,</w:t>
            </w:r>
            <w:r>
              <w:rPr>
                <w:rFonts w:ascii="Arial Narrow" w:hAnsi="Arial Narrow" w:cs="Calibri"/>
                <w:color w:val="000000"/>
                <w:sz w:val="18"/>
                <w:szCs w:val="18"/>
              </w:rPr>
              <w:t>4</w:t>
            </w:r>
          </w:p>
        </w:tc>
        <w:tc>
          <w:tcPr>
            <w:tcW w:w="796" w:type="pct"/>
            <w:tcBorders>
              <w:top w:val="nil"/>
              <w:left w:val="nil"/>
              <w:bottom w:val="nil"/>
              <w:right w:val="nil"/>
            </w:tcBorders>
            <w:vAlign w:val="center"/>
            <w:hideMark/>
          </w:tcPr>
          <w:p w14:paraId="059CBDFC" w14:textId="0F677852"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+0</w:t>
            </w:r>
            <w:r w:rsidR="00CD29CC">
              <w:rPr>
                <w:rFonts w:ascii="Arial Narrow" w:hAnsi="Arial Narrow" w:cs="Calibri"/>
                <w:color w:val="000000"/>
                <w:sz w:val="18"/>
                <w:szCs w:val="18"/>
              </w:rPr>
              <w:t>,</w:t>
            </w:r>
            <w:r>
              <w:rPr>
                <w:rFonts w:ascii="Arial Narrow" w:hAnsi="Arial Narrow" w:cs="Calibri"/>
                <w:color w:val="000000"/>
                <w:sz w:val="18"/>
                <w:szCs w:val="18"/>
              </w:rPr>
              <w:t>1</w:t>
            </w:r>
          </w:p>
        </w:tc>
      </w:tr>
      <w:tr w:rsidR="00600144" w:rsidRPr="00CB3DFD" w14:paraId="7F1E48C4" w14:textId="77777777" w:rsidTr="00CB3DFD">
        <w:trPr>
          <w:trHeight w:val="290"/>
        </w:trPr>
        <w:tc>
          <w:tcPr>
            <w:tcW w:w="2723" w:type="pct"/>
            <w:tcBorders>
              <w:top w:val="nil"/>
              <w:left w:val="nil"/>
              <w:bottom w:val="nil"/>
              <w:right w:val="nil"/>
            </w:tcBorders>
            <w:vAlign w:val="center"/>
            <w:hideMark/>
          </w:tcPr>
          <w:p w14:paraId="1AE5EC07"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Index spotrebiteľských cien,  priemerný rast</w:t>
            </w:r>
          </w:p>
        </w:tc>
        <w:tc>
          <w:tcPr>
            <w:tcW w:w="810" w:type="pct"/>
            <w:tcBorders>
              <w:top w:val="nil"/>
              <w:left w:val="nil"/>
              <w:bottom w:val="nil"/>
              <w:right w:val="nil"/>
            </w:tcBorders>
            <w:vAlign w:val="center"/>
            <w:hideMark/>
          </w:tcPr>
          <w:p w14:paraId="019C98A5" w14:textId="2CAAE215"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Arial"/>
                <w:color w:val="000000"/>
                <w:sz w:val="18"/>
                <w:szCs w:val="18"/>
              </w:rPr>
              <w:t>5</w:t>
            </w:r>
            <w:r w:rsidR="00CD29CC">
              <w:rPr>
                <w:rFonts w:ascii="Arial Narrow" w:hAnsi="Arial Narrow" w:cs="Arial"/>
                <w:color w:val="000000"/>
                <w:sz w:val="18"/>
                <w:szCs w:val="18"/>
              </w:rPr>
              <w:t>,</w:t>
            </w:r>
            <w:r>
              <w:rPr>
                <w:rFonts w:ascii="Arial Narrow" w:hAnsi="Arial Narrow" w:cs="Arial"/>
                <w:color w:val="000000"/>
                <w:sz w:val="18"/>
                <w:szCs w:val="18"/>
              </w:rPr>
              <w:t>4</w:t>
            </w:r>
          </w:p>
        </w:tc>
        <w:tc>
          <w:tcPr>
            <w:tcW w:w="671" w:type="pct"/>
            <w:tcBorders>
              <w:top w:val="nil"/>
              <w:left w:val="nil"/>
              <w:bottom w:val="nil"/>
              <w:right w:val="nil"/>
            </w:tcBorders>
            <w:vAlign w:val="center"/>
            <w:hideMark/>
          </w:tcPr>
          <w:p w14:paraId="6F98AC15" w14:textId="284F67F5"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4</w:t>
            </w:r>
            <w:r w:rsidR="00CD29CC">
              <w:rPr>
                <w:rFonts w:ascii="Arial Narrow" w:hAnsi="Arial Narrow" w:cs="Calibri"/>
                <w:color w:val="000000"/>
                <w:sz w:val="18"/>
                <w:szCs w:val="18"/>
              </w:rPr>
              <w:t>,</w:t>
            </w:r>
            <w:r>
              <w:rPr>
                <w:rFonts w:ascii="Arial Narrow" w:hAnsi="Arial Narrow" w:cs="Calibri"/>
                <w:color w:val="000000"/>
                <w:sz w:val="18"/>
                <w:szCs w:val="18"/>
              </w:rPr>
              <w:t>0</w:t>
            </w:r>
          </w:p>
        </w:tc>
        <w:tc>
          <w:tcPr>
            <w:tcW w:w="796" w:type="pct"/>
            <w:tcBorders>
              <w:top w:val="nil"/>
              <w:left w:val="nil"/>
              <w:bottom w:val="nil"/>
              <w:right w:val="nil"/>
            </w:tcBorders>
            <w:vAlign w:val="center"/>
            <w:hideMark/>
          </w:tcPr>
          <w:p w14:paraId="4F0EA009" w14:textId="744DB205"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-1</w:t>
            </w:r>
            <w:r w:rsidR="00CD29CC">
              <w:rPr>
                <w:rFonts w:ascii="Arial Narrow" w:hAnsi="Arial Narrow" w:cs="Calibri"/>
                <w:color w:val="000000"/>
                <w:sz w:val="18"/>
                <w:szCs w:val="18"/>
              </w:rPr>
              <w:t>,</w:t>
            </w:r>
            <w:r>
              <w:rPr>
                <w:rFonts w:ascii="Arial Narrow" w:hAnsi="Arial Narrow" w:cs="Calibri"/>
                <w:color w:val="000000"/>
                <w:sz w:val="18"/>
                <w:szCs w:val="18"/>
              </w:rPr>
              <w:t>4</w:t>
            </w:r>
          </w:p>
        </w:tc>
      </w:tr>
      <w:tr w:rsidR="00600144" w:rsidRPr="00CB3DFD" w14:paraId="635F64D6" w14:textId="77777777" w:rsidTr="00CB3DFD">
        <w:trPr>
          <w:trHeight w:val="290"/>
        </w:trPr>
        <w:tc>
          <w:tcPr>
            <w:tcW w:w="2723" w:type="pct"/>
            <w:tcBorders>
              <w:top w:val="nil"/>
              <w:left w:val="nil"/>
              <w:bottom w:val="single" w:sz="4" w:space="0" w:color="auto"/>
              <w:right w:val="nil"/>
            </w:tcBorders>
            <w:vAlign w:val="center"/>
            <w:hideMark/>
          </w:tcPr>
          <w:p w14:paraId="47DA7CB1" w14:textId="77777777" w:rsidR="00600144" w:rsidRPr="00CB3DFD" w:rsidRDefault="00600144" w:rsidP="00600144">
            <w:pPr>
              <w:spacing w:line="240" w:lineRule="auto"/>
              <w:jc w:val="both"/>
              <w:rPr>
                <w:rFonts w:eastAsia="Times New Roman" w:cs="Times New Roman"/>
                <w:color w:val="000000"/>
                <w:sz w:val="18"/>
                <w:szCs w:val="18"/>
                <w:lang w:eastAsia="sk-SK"/>
              </w:rPr>
            </w:pPr>
            <w:r w:rsidRPr="00CB3DFD">
              <w:rPr>
                <w:rFonts w:eastAsia="Times New Roman" w:cs="Times New Roman"/>
                <w:color w:val="000000"/>
                <w:sz w:val="18"/>
                <w:szCs w:val="18"/>
                <w:lang w:eastAsia="sk-SK"/>
              </w:rPr>
              <w:t>Saldo bežného účtu platobnej bilancie (% HDP)</w:t>
            </w:r>
          </w:p>
        </w:tc>
        <w:tc>
          <w:tcPr>
            <w:tcW w:w="810" w:type="pct"/>
            <w:tcBorders>
              <w:top w:val="nil"/>
              <w:left w:val="nil"/>
              <w:bottom w:val="single" w:sz="4" w:space="0" w:color="auto"/>
              <w:right w:val="nil"/>
            </w:tcBorders>
            <w:vAlign w:val="center"/>
            <w:hideMark/>
          </w:tcPr>
          <w:p w14:paraId="23EE64F3" w14:textId="7314294A"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Arial"/>
                <w:color w:val="000000"/>
                <w:sz w:val="18"/>
                <w:szCs w:val="18"/>
              </w:rPr>
              <w:t>-3</w:t>
            </w:r>
            <w:r w:rsidR="00CD29CC">
              <w:rPr>
                <w:rFonts w:ascii="Arial Narrow" w:hAnsi="Arial Narrow" w:cs="Arial"/>
                <w:color w:val="000000"/>
                <w:sz w:val="18"/>
                <w:szCs w:val="18"/>
              </w:rPr>
              <w:t>,</w:t>
            </w:r>
            <w:r>
              <w:rPr>
                <w:rFonts w:ascii="Arial Narrow" w:hAnsi="Arial Narrow" w:cs="Arial"/>
                <w:color w:val="000000"/>
                <w:sz w:val="18"/>
                <w:szCs w:val="18"/>
              </w:rPr>
              <w:t>5</w:t>
            </w:r>
          </w:p>
        </w:tc>
        <w:tc>
          <w:tcPr>
            <w:tcW w:w="671" w:type="pct"/>
            <w:tcBorders>
              <w:top w:val="nil"/>
              <w:left w:val="nil"/>
              <w:bottom w:val="single" w:sz="4" w:space="0" w:color="auto"/>
              <w:right w:val="nil"/>
            </w:tcBorders>
            <w:vAlign w:val="center"/>
            <w:hideMark/>
          </w:tcPr>
          <w:p w14:paraId="0BA37F2B" w14:textId="55D2FDAC"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-2</w:t>
            </w:r>
            <w:r w:rsidR="00CD29CC">
              <w:rPr>
                <w:rFonts w:ascii="Arial Narrow" w:hAnsi="Arial Narrow" w:cs="Calibri"/>
                <w:color w:val="000000"/>
                <w:sz w:val="18"/>
                <w:szCs w:val="18"/>
              </w:rPr>
              <w:t>,</w:t>
            </w:r>
            <w:r>
              <w:rPr>
                <w:rFonts w:ascii="Arial Narrow" w:hAnsi="Arial Narrow" w:cs="Calibri"/>
                <w:color w:val="000000"/>
                <w:sz w:val="18"/>
                <w:szCs w:val="18"/>
              </w:rPr>
              <w:t>9</w:t>
            </w:r>
          </w:p>
        </w:tc>
        <w:tc>
          <w:tcPr>
            <w:tcW w:w="796" w:type="pct"/>
            <w:tcBorders>
              <w:top w:val="nil"/>
              <w:left w:val="nil"/>
              <w:bottom w:val="single" w:sz="4" w:space="0" w:color="auto"/>
              <w:right w:val="nil"/>
            </w:tcBorders>
            <w:vAlign w:val="center"/>
            <w:hideMark/>
          </w:tcPr>
          <w:p w14:paraId="1A5253A3" w14:textId="20C88A81" w:rsidR="00600144" w:rsidRPr="00CB3DFD" w:rsidRDefault="00600144" w:rsidP="00600144">
            <w:pPr>
              <w:spacing w:line="240" w:lineRule="auto"/>
              <w:jc w:val="right"/>
              <w:rPr>
                <w:rFonts w:eastAsia="Times New Roman" w:cs="Times New Roman"/>
                <w:color w:val="000000"/>
                <w:sz w:val="18"/>
                <w:szCs w:val="18"/>
                <w:lang w:eastAsia="sk-SK"/>
              </w:rPr>
            </w:pPr>
            <w:r>
              <w:rPr>
                <w:rFonts w:ascii="Arial Narrow" w:hAnsi="Arial Narrow" w:cs="Calibri"/>
                <w:color w:val="000000"/>
                <w:sz w:val="18"/>
                <w:szCs w:val="18"/>
              </w:rPr>
              <w:t>+0</w:t>
            </w:r>
            <w:r w:rsidR="00CD29CC">
              <w:rPr>
                <w:rFonts w:ascii="Arial Narrow" w:hAnsi="Arial Narrow" w:cs="Calibri"/>
                <w:color w:val="000000"/>
                <w:sz w:val="18"/>
                <w:szCs w:val="18"/>
              </w:rPr>
              <w:t>,</w:t>
            </w:r>
            <w:r>
              <w:rPr>
                <w:rFonts w:ascii="Arial Narrow" w:hAnsi="Arial Narrow" w:cs="Calibri"/>
                <w:color w:val="000000"/>
                <w:sz w:val="18"/>
                <w:szCs w:val="18"/>
              </w:rPr>
              <w:t>6</w:t>
            </w:r>
          </w:p>
        </w:tc>
      </w:tr>
    </w:tbl>
    <w:p w14:paraId="75A7D28F" w14:textId="77777777" w:rsidR="001B6E92" w:rsidRPr="00E4363C" w:rsidRDefault="001B6E92" w:rsidP="002E56EB">
      <w:pPr>
        <w:tabs>
          <w:tab w:val="right" w:pos="9070"/>
        </w:tabs>
        <w:spacing w:line="240" w:lineRule="auto"/>
        <w:jc w:val="both"/>
        <w:rPr>
          <w:rFonts w:cs="Times New Roman"/>
          <w:iCs/>
          <w:color w:val="000000"/>
          <w:sz w:val="18"/>
          <w:szCs w:val="18"/>
          <w:lang w:val="de-DE"/>
        </w:rPr>
      </w:pPr>
      <w:r w:rsidRPr="00E4363C">
        <w:rPr>
          <w:rFonts w:cs="Times New Roman"/>
          <w:iCs/>
          <w:color w:val="000000"/>
          <w:sz w:val="18"/>
          <w:szCs w:val="18"/>
        </w:rPr>
        <w:tab/>
        <w:t>Zdroj</w:t>
      </w:r>
      <w:r w:rsidRPr="00E4363C">
        <w:rPr>
          <w:rFonts w:cs="Times New Roman"/>
          <w:iCs/>
          <w:color w:val="000000"/>
          <w:sz w:val="18"/>
          <w:szCs w:val="18"/>
          <w:lang w:val="de-DE"/>
        </w:rPr>
        <w:t>: MF SR, ŠÚ SR</w:t>
      </w:r>
    </w:p>
    <w:p w14:paraId="10539D2B" w14:textId="77777777" w:rsidR="00402102" w:rsidRPr="0050710A" w:rsidRDefault="00402102" w:rsidP="00E06BD8">
      <w:pPr>
        <w:spacing w:line="240" w:lineRule="auto"/>
        <w:jc w:val="both"/>
        <w:rPr>
          <w:rFonts w:cs="Times New Roman"/>
          <w:iCs/>
          <w:color w:val="000000"/>
          <w:szCs w:val="24"/>
          <w:highlight w:val="yellow"/>
        </w:rPr>
      </w:pPr>
    </w:p>
    <w:p w14:paraId="0B0B6E4C" w14:textId="0D6944BC" w:rsidR="009A05C7" w:rsidRPr="009F7144" w:rsidRDefault="009A05C7" w:rsidP="00532D85">
      <w:pPr>
        <w:pStyle w:val="Popis"/>
        <w:jc w:val="both"/>
      </w:pPr>
      <w:bookmarkStart w:id="31" w:name="_Toc196313630"/>
      <w:bookmarkStart w:id="32" w:name="_Toc227670140"/>
      <w:r w:rsidRPr="009F7144">
        <w:t xml:space="preserve">Tabuľka </w:t>
      </w:r>
      <w:r w:rsidR="00995280">
        <w:fldChar w:fldCharType="begin"/>
      </w:r>
      <w:r w:rsidR="00995280">
        <w:instrText xml:space="preserve"> SEQ Tabuľka \* ARABIC </w:instrText>
      </w:r>
      <w:r w:rsidR="00995280">
        <w:fldChar w:fldCharType="separate"/>
      </w:r>
      <w:r w:rsidR="00396BE8">
        <w:rPr>
          <w:noProof/>
        </w:rPr>
        <w:t>4</w:t>
      </w:r>
      <w:r w:rsidR="00995280">
        <w:rPr>
          <w:noProof/>
        </w:rPr>
        <w:fldChar w:fldCharType="end"/>
      </w:r>
      <w:r w:rsidRPr="009F7144">
        <w:t xml:space="preserve"> - Prognóza vybraných ukazovateľov ekonomiky (</w:t>
      </w:r>
      <w:r w:rsidR="00FE3623">
        <w:t>september</w:t>
      </w:r>
      <w:r w:rsidRPr="009F7144">
        <w:t xml:space="preserve"> 202</w:t>
      </w:r>
      <w:r w:rsidR="00FE3623">
        <w:t>4</w:t>
      </w:r>
      <w:r w:rsidRPr="009F7144">
        <w:t>)</w:t>
      </w:r>
      <w:bookmarkEnd w:id="31"/>
      <w:bookmarkEnd w:id="32"/>
    </w:p>
    <w:tbl>
      <w:tblPr>
        <w:tblW w:w="5000" w:type="pct"/>
        <w:tblCellMar>
          <w:left w:w="70" w:type="dxa"/>
          <w:right w:w="70" w:type="dxa"/>
        </w:tblCellMar>
        <w:tblLook w:val="04A0" w:firstRow="1" w:lastRow="0" w:firstColumn="1" w:lastColumn="0" w:noHBand="0" w:noVBand="1"/>
      </w:tblPr>
      <w:tblGrid>
        <w:gridCol w:w="3511"/>
        <w:gridCol w:w="792"/>
        <w:gridCol w:w="793"/>
        <w:gridCol w:w="804"/>
        <w:gridCol w:w="793"/>
        <w:gridCol w:w="793"/>
        <w:gridCol w:w="793"/>
        <w:gridCol w:w="791"/>
      </w:tblGrid>
      <w:tr w:rsidR="00DB4AB0" w:rsidRPr="00DB4AB0" w14:paraId="1A2A3D7B" w14:textId="77777777" w:rsidTr="00DB4AB0">
        <w:trPr>
          <w:trHeight w:val="290"/>
          <w:tblHeader/>
        </w:trPr>
        <w:tc>
          <w:tcPr>
            <w:tcW w:w="1936" w:type="pct"/>
            <w:vMerge w:val="restart"/>
            <w:tcBorders>
              <w:top w:val="single" w:sz="4" w:space="0" w:color="auto"/>
              <w:left w:val="nil"/>
              <w:bottom w:val="single" w:sz="4" w:space="0" w:color="000000"/>
              <w:right w:val="single" w:sz="4" w:space="0" w:color="auto"/>
            </w:tcBorders>
            <w:vAlign w:val="center"/>
            <w:hideMark/>
          </w:tcPr>
          <w:p w14:paraId="65A57476" w14:textId="77777777" w:rsidR="00DB4AB0" w:rsidRPr="00DB4AB0" w:rsidRDefault="00DB4AB0" w:rsidP="00DB4AB0">
            <w:pPr>
              <w:spacing w:line="240" w:lineRule="auto"/>
              <w:jc w:val="both"/>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Ukazovateľ (rast v %, ak nie je uvedené inak)</w:t>
            </w:r>
          </w:p>
        </w:tc>
        <w:tc>
          <w:tcPr>
            <w:tcW w:w="874" w:type="pct"/>
            <w:gridSpan w:val="2"/>
            <w:tcBorders>
              <w:top w:val="single" w:sz="4" w:space="0" w:color="auto"/>
              <w:left w:val="nil"/>
              <w:bottom w:val="single" w:sz="4" w:space="0" w:color="auto"/>
              <w:right w:val="single" w:sz="4" w:space="0" w:color="000000"/>
            </w:tcBorders>
            <w:noWrap/>
            <w:vAlign w:val="center"/>
            <w:hideMark/>
          </w:tcPr>
          <w:p w14:paraId="1771B806"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Skutočnosť</w:t>
            </w:r>
          </w:p>
        </w:tc>
        <w:tc>
          <w:tcPr>
            <w:tcW w:w="2189" w:type="pct"/>
            <w:gridSpan w:val="5"/>
            <w:tcBorders>
              <w:top w:val="single" w:sz="4" w:space="0" w:color="auto"/>
              <w:left w:val="nil"/>
              <w:bottom w:val="single" w:sz="4" w:space="0" w:color="auto"/>
              <w:right w:val="nil"/>
            </w:tcBorders>
            <w:noWrap/>
            <w:vAlign w:val="center"/>
            <w:hideMark/>
          </w:tcPr>
          <w:p w14:paraId="00AD79E7"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Prognóza</w:t>
            </w:r>
          </w:p>
        </w:tc>
      </w:tr>
      <w:tr w:rsidR="00DB4AB0" w:rsidRPr="00DB4AB0" w14:paraId="7B778C3D" w14:textId="77777777" w:rsidTr="00DB4AB0">
        <w:trPr>
          <w:trHeight w:val="290"/>
          <w:tblHeader/>
        </w:trPr>
        <w:tc>
          <w:tcPr>
            <w:tcW w:w="1936" w:type="pct"/>
            <w:vMerge/>
            <w:tcBorders>
              <w:top w:val="single" w:sz="4" w:space="0" w:color="auto"/>
              <w:left w:val="nil"/>
              <w:bottom w:val="single" w:sz="4" w:space="0" w:color="000000"/>
              <w:right w:val="single" w:sz="4" w:space="0" w:color="auto"/>
            </w:tcBorders>
            <w:vAlign w:val="center"/>
            <w:hideMark/>
          </w:tcPr>
          <w:p w14:paraId="618551C1" w14:textId="77777777" w:rsidR="00DB4AB0" w:rsidRPr="00DB4AB0" w:rsidRDefault="00DB4AB0" w:rsidP="00DB4AB0">
            <w:pPr>
              <w:spacing w:line="240" w:lineRule="auto"/>
              <w:rPr>
                <w:rFonts w:eastAsia="Times New Roman" w:cs="Times New Roman"/>
                <w:b/>
                <w:bCs/>
                <w:color w:val="000000"/>
                <w:sz w:val="18"/>
                <w:szCs w:val="18"/>
                <w:lang w:eastAsia="sk-SK"/>
              </w:rPr>
            </w:pPr>
          </w:p>
        </w:tc>
        <w:tc>
          <w:tcPr>
            <w:tcW w:w="437" w:type="pct"/>
            <w:tcBorders>
              <w:top w:val="nil"/>
              <w:left w:val="nil"/>
              <w:bottom w:val="single" w:sz="4" w:space="0" w:color="auto"/>
              <w:right w:val="nil"/>
            </w:tcBorders>
            <w:vAlign w:val="center"/>
            <w:hideMark/>
          </w:tcPr>
          <w:p w14:paraId="529E35B0"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2022</w:t>
            </w:r>
          </w:p>
        </w:tc>
        <w:tc>
          <w:tcPr>
            <w:tcW w:w="437" w:type="pct"/>
            <w:tcBorders>
              <w:top w:val="nil"/>
              <w:left w:val="nil"/>
              <w:bottom w:val="single" w:sz="4" w:space="0" w:color="auto"/>
              <w:right w:val="single" w:sz="4" w:space="0" w:color="auto"/>
            </w:tcBorders>
            <w:noWrap/>
            <w:vAlign w:val="center"/>
            <w:hideMark/>
          </w:tcPr>
          <w:p w14:paraId="1A7E778F"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2023</w:t>
            </w:r>
          </w:p>
        </w:tc>
        <w:tc>
          <w:tcPr>
            <w:tcW w:w="443" w:type="pct"/>
            <w:tcBorders>
              <w:top w:val="nil"/>
              <w:left w:val="nil"/>
              <w:bottom w:val="single" w:sz="4" w:space="0" w:color="auto"/>
              <w:right w:val="nil"/>
            </w:tcBorders>
            <w:noWrap/>
            <w:vAlign w:val="center"/>
            <w:hideMark/>
          </w:tcPr>
          <w:p w14:paraId="00BD5B88"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2024</w:t>
            </w:r>
          </w:p>
        </w:tc>
        <w:tc>
          <w:tcPr>
            <w:tcW w:w="437" w:type="pct"/>
            <w:tcBorders>
              <w:top w:val="nil"/>
              <w:left w:val="nil"/>
              <w:bottom w:val="single" w:sz="4" w:space="0" w:color="auto"/>
              <w:right w:val="nil"/>
            </w:tcBorders>
            <w:noWrap/>
            <w:vAlign w:val="center"/>
            <w:hideMark/>
          </w:tcPr>
          <w:p w14:paraId="7B6D14D1"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2025</w:t>
            </w:r>
          </w:p>
        </w:tc>
        <w:tc>
          <w:tcPr>
            <w:tcW w:w="437" w:type="pct"/>
            <w:tcBorders>
              <w:top w:val="nil"/>
              <w:left w:val="nil"/>
              <w:bottom w:val="single" w:sz="4" w:space="0" w:color="auto"/>
              <w:right w:val="nil"/>
            </w:tcBorders>
            <w:noWrap/>
            <w:vAlign w:val="center"/>
            <w:hideMark/>
          </w:tcPr>
          <w:p w14:paraId="22C4A0C5"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2026</w:t>
            </w:r>
          </w:p>
        </w:tc>
        <w:tc>
          <w:tcPr>
            <w:tcW w:w="437" w:type="pct"/>
            <w:tcBorders>
              <w:top w:val="nil"/>
              <w:left w:val="nil"/>
              <w:bottom w:val="single" w:sz="4" w:space="0" w:color="auto"/>
              <w:right w:val="nil"/>
            </w:tcBorders>
            <w:noWrap/>
            <w:vAlign w:val="center"/>
            <w:hideMark/>
          </w:tcPr>
          <w:p w14:paraId="6C587AE8"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2027</w:t>
            </w:r>
          </w:p>
        </w:tc>
        <w:tc>
          <w:tcPr>
            <w:tcW w:w="437" w:type="pct"/>
            <w:tcBorders>
              <w:top w:val="nil"/>
              <w:left w:val="nil"/>
              <w:bottom w:val="single" w:sz="4" w:space="0" w:color="auto"/>
              <w:right w:val="nil"/>
            </w:tcBorders>
            <w:noWrap/>
            <w:vAlign w:val="center"/>
            <w:hideMark/>
          </w:tcPr>
          <w:p w14:paraId="19701237" w14:textId="77777777" w:rsidR="00DB4AB0" w:rsidRPr="00DB4AB0" w:rsidRDefault="00DB4AB0" w:rsidP="00A632C8">
            <w:pPr>
              <w:spacing w:line="240" w:lineRule="auto"/>
              <w:jc w:val="center"/>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2028</w:t>
            </w:r>
          </w:p>
        </w:tc>
      </w:tr>
      <w:tr w:rsidR="00DB4AB0" w:rsidRPr="00DB4AB0" w14:paraId="520218E2" w14:textId="77777777" w:rsidTr="00DB4AB0">
        <w:trPr>
          <w:trHeight w:val="290"/>
        </w:trPr>
        <w:tc>
          <w:tcPr>
            <w:tcW w:w="1936" w:type="pct"/>
            <w:tcBorders>
              <w:top w:val="nil"/>
              <w:left w:val="nil"/>
              <w:bottom w:val="nil"/>
              <w:right w:val="single" w:sz="4" w:space="0" w:color="auto"/>
            </w:tcBorders>
            <w:noWrap/>
            <w:vAlign w:val="center"/>
            <w:hideMark/>
          </w:tcPr>
          <w:p w14:paraId="344BEC35" w14:textId="77777777" w:rsidR="00DB4AB0" w:rsidRPr="00DB4AB0" w:rsidRDefault="00DB4AB0" w:rsidP="00DB4AB0">
            <w:pPr>
              <w:spacing w:line="240" w:lineRule="auto"/>
              <w:jc w:val="both"/>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Hrubý domáci produkt</w:t>
            </w:r>
            <w:r w:rsidRPr="00DB4AB0">
              <w:rPr>
                <w:rFonts w:eastAsia="Times New Roman" w:cs="Times New Roman"/>
                <w:color w:val="000000"/>
                <w:sz w:val="18"/>
                <w:szCs w:val="18"/>
                <w:lang w:eastAsia="sk-SK"/>
              </w:rPr>
              <w:t> </w:t>
            </w:r>
          </w:p>
        </w:tc>
        <w:tc>
          <w:tcPr>
            <w:tcW w:w="437" w:type="pct"/>
            <w:tcBorders>
              <w:top w:val="nil"/>
              <w:left w:val="nil"/>
              <w:bottom w:val="nil"/>
              <w:right w:val="nil"/>
            </w:tcBorders>
            <w:noWrap/>
            <w:vAlign w:val="center"/>
            <w:hideMark/>
          </w:tcPr>
          <w:p w14:paraId="5FB18465" w14:textId="77777777" w:rsidR="00DB4AB0" w:rsidRPr="00DB4AB0" w:rsidRDefault="00DB4AB0" w:rsidP="00DB4AB0">
            <w:pPr>
              <w:spacing w:line="240" w:lineRule="auto"/>
              <w:jc w:val="both"/>
              <w:rPr>
                <w:rFonts w:eastAsia="Times New Roman" w:cs="Times New Roman"/>
                <w:b/>
                <w:bCs/>
                <w:color w:val="000000"/>
                <w:sz w:val="18"/>
                <w:szCs w:val="18"/>
                <w:lang w:eastAsia="sk-SK"/>
              </w:rPr>
            </w:pPr>
          </w:p>
        </w:tc>
        <w:tc>
          <w:tcPr>
            <w:tcW w:w="437" w:type="pct"/>
            <w:tcBorders>
              <w:top w:val="nil"/>
              <w:left w:val="nil"/>
              <w:bottom w:val="nil"/>
              <w:right w:val="single" w:sz="4" w:space="0" w:color="auto"/>
            </w:tcBorders>
            <w:noWrap/>
            <w:vAlign w:val="center"/>
            <w:hideMark/>
          </w:tcPr>
          <w:p w14:paraId="3830FA0C" w14:textId="77777777" w:rsidR="00DB4AB0" w:rsidRPr="00DB4AB0" w:rsidRDefault="00DB4AB0" w:rsidP="00DB4AB0">
            <w:pPr>
              <w:spacing w:line="240" w:lineRule="auto"/>
              <w:jc w:val="right"/>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 </w:t>
            </w:r>
          </w:p>
        </w:tc>
        <w:tc>
          <w:tcPr>
            <w:tcW w:w="443" w:type="pct"/>
            <w:tcBorders>
              <w:top w:val="nil"/>
              <w:left w:val="nil"/>
              <w:bottom w:val="nil"/>
              <w:right w:val="nil"/>
            </w:tcBorders>
            <w:noWrap/>
            <w:vAlign w:val="center"/>
            <w:hideMark/>
          </w:tcPr>
          <w:p w14:paraId="49F572A7" w14:textId="77777777" w:rsidR="00DB4AB0" w:rsidRPr="00DB4AB0" w:rsidRDefault="00DB4AB0" w:rsidP="00DB4AB0">
            <w:pPr>
              <w:spacing w:line="240" w:lineRule="auto"/>
              <w:jc w:val="right"/>
              <w:rPr>
                <w:rFonts w:eastAsia="Times New Roman" w:cs="Times New Roman"/>
                <w:b/>
                <w:bCs/>
                <w:color w:val="000000"/>
                <w:sz w:val="18"/>
                <w:szCs w:val="18"/>
                <w:lang w:eastAsia="sk-SK"/>
              </w:rPr>
            </w:pPr>
          </w:p>
        </w:tc>
        <w:tc>
          <w:tcPr>
            <w:tcW w:w="437" w:type="pct"/>
            <w:tcBorders>
              <w:top w:val="nil"/>
              <w:left w:val="nil"/>
              <w:bottom w:val="nil"/>
              <w:right w:val="nil"/>
            </w:tcBorders>
            <w:noWrap/>
            <w:vAlign w:val="center"/>
            <w:hideMark/>
          </w:tcPr>
          <w:p w14:paraId="683C57C4"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center"/>
            <w:hideMark/>
          </w:tcPr>
          <w:p w14:paraId="6DFFF801"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center"/>
            <w:hideMark/>
          </w:tcPr>
          <w:p w14:paraId="0FDA3D98"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bottom"/>
            <w:hideMark/>
          </w:tcPr>
          <w:p w14:paraId="4279B42E" w14:textId="77777777" w:rsidR="00DB4AB0" w:rsidRPr="00DB4AB0" w:rsidRDefault="00DB4AB0" w:rsidP="00DB4AB0">
            <w:pPr>
              <w:spacing w:line="240" w:lineRule="auto"/>
              <w:jc w:val="right"/>
              <w:rPr>
                <w:rFonts w:eastAsia="Times New Roman" w:cs="Times New Roman"/>
                <w:sz w:val="20"/>
                <w:szCs w:val="20"/>
                <w:lang w:eastAsia="sk-SK"/>
              </w:rPr>
            </w:pPr>
          </w:p>
        </w:tc>
      </w:tr>
      <w:tr w:rsidR="00DB4AB0" w:rsidRPr="00DB4AB0" w14:paraId="36B9E232" w14:textId="77777777" w:rsidTr="00DB4AB0">
        <w:trPr>
          <w:trHeight w:val="290"/>
        </w:trPr>
        <w:tc>
          <w:tcPr>
            <w:tcW w:w="1936" w:type="pct"/>
            <w:tcBorders>
              <w:top w:val="nil"/>
              <w:left w:val="nil"/>
              <w:bottom w:val="nil"/>
              <w:right w:val="single" w:sz="4" w:space="0" w:color="auto"/>
            </w:tcBorders>
            <w:noWrap/>
            <w:vAlign w:val="center"/>
            <w:hideMark/>
          </w:tcPr>
          <w:p w14:paraId="35817D94"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HDP, s. c.</w:t>
            </w:r>
          </w:p>
        </w:tc>
        <w:tc>
          <w:tcPr>
            <w:tcW w:w="437" w:type="pct"/>
            <w:tcBorders>
              <w:top w:val="nil"/>
              <w:left w:val="nil"/>
              <w:bottom w:val="nil"/>
              <w:right w:val="nil"/>
            </w:tcBorders>
            <w:noWrap/>
            <w:vAlign w:val="center"/>
            <w:hideMark/>
          </w:tcPr>
          <w:p w14:paraId="43BB6AA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1,9</w:t>
            </w:r>
          </w:p>
        </w:tc>
        <w:tc>
          <w:tcPr>
            <w:tcW w:w="437" w:type="pct"/>
            <w:tcBorders>
              <w:top w:val="nil"/>
              <w:left w:val="nil"/>
              <w:bottom w:val="nil"/>
              <w:right w:val="single" w:sz="4" w:space="0" w:color="auto"/>
            </w:tcBorders>
            <w:noWrap/>
            <w:vAlign w:val="center"/>
            <w:hideMark/>
          </w:tcPr>
          <w:p w14:paraId="07F8A63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1,6</w:t>
            </w:r>
          </w:p>
        </w:tc>
        <w:tc>
          <w:tcPr>
            <w:tcW w:w="443" w:type="pct"/>
            <w:tcBorders>
              <w:top w:val="nil"/>
              <w:left w:val="nil"/>
              <w:bottom w:val="nil"/>
              <w:right w:val="nil"/>
            </w:tcBorders>
            <w:noWrap/>
            <w:vAlign w:val="center"/>
            <w:hideMark/>
          </w:tcPr>
          <w:p w14:paraId="690CB835"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2,3</w:t>
            </w:r>
          </w:p>
        </w:tc>
        <w:tc>
          <w:tcPr>
            <w:tcW w:w="437" w:type="pct"/>
            <w:tcBorders>
              <w:top w:val="nil"/>
              <w:left w:val="nil"/>
              <w:bottom w:val="nil"/>
              <w:right w:val="nil"/>
            </w:tcBorders>
            <w:noWrap/>
            <w:vAlign w:val="center"/>
            <w:hideMark/>
          </w:tcPr>
          <w:p w14:paraId="2803C69C"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2,2</w:t>
            </w:r>
          </w:p>
        </w:tc>
        <w:tc>
          <w:tcPr>
            <w:tcW w:w="437" w:type="pct"/>
            <w:tcBorders>
              <w:top w:val="nil"/>
              <w:left w:val="nil"/>
              <w:bottom w:val="nil"/>
              <w:right w:val="nil"/>
            </w:tcBorders>
            <w:noWrap/>
            <w:vAlign w:val="center"/>
            <w:hideMark/>
          </w:tcPr>
          <w:p w14:paraId="33E72417"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2,4</w:t>
            </w:r>
          </w:p>
        </w:tc>
        <w:tc>
          <w:tcPr>
            <w:tcW w:w="437" w:type="pct"/>
            <w:tcBorders>
              <w:top w:val="nil"/>
              <w:left w:val="nil"/>
              <w:bottom w:val="nil"/>
              <w:right w:val="nil"/>
            </w:tcBorders>
            <w:noWrap/>
            <w:vAlign w:val="center"/>
            <w:hideMark/>
          </w:tcPr>
          <w:p w14:paraId="456062E4"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w:t>
            </w:r>
          </w:p>
        </w:tc>
        <w:tc>
          <w:tcPr>
            <w:tcW w:w="437" w:type="pct"/>
            <w:tcBorders>
              <w:top w:val="nil"/>
              <w:left w:val="nil"/>
              <w:bottom w:val="nil"/>
              <w:right w:val="nil"/>
            </w:tcBorders>
            <w:noWrap/>
            <w:vAlign w:val="center"/>
            <w:hideMark/>
          </w:tcPr>
          <w:p w14:paraId="1DBEAB2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1,9</w:t>
            </w:r>
          </w:p>
        </w:tc>
      </w:tr>
      <w:tr w:rsidR="00DB4AB0" w:rsidRPr="00DB4AB0" w14:paraId="73BC29E3" w14:textId="77777777" w:rsidTr="00DB4AB0">
        <w:trPr>
          <w:trHeight w:val="290"/>
        </w:trPr>
        <w:tc>
          <w:tcPr>
            <w:tcW w:w="1936" w:type="pct"/>
            <w:tcBorders>
              <w:top w:val="nil"/>
              <w:left w:val="nil"/>
              <w:bottom w:val="nil"/>
              <w:right w:val="single" w:sz="4" w:space="0" w:color="auto"/>
            </w:tcBorders>
            <w:noWrap/>
            <w:vAlign w:val="center"/>
            <w:hideMark/>
          </w:tcPr>
          <w:p w14:paraId="142773E1" w14:textId="77777777" w:rsidR="00DB4AB0" w:rsidRPr="00DB4AB0" w:rsidRDefault="00DB4AB0" w:rsidP="00DB4AB0">
            <w:pPr>
              <w:spacing w:line="240" w:lineRule="auto"/>
              <w:jc w:val="both"/>
              <w:rPr>
                <w:rFonts w:eastAsia="Times New Roman" w:cs="Times New Roman"/>
                <w:color w:val="000000"/>
                <w:sz w:val="18"/>
                <w:szCs w:val="18"/>
                <w:lang w:eastAsia="sk-SK"/>
              </w:rPr>
            </w:pPr>
            <w:hyperlink r:id="rId13" w:anchor="'Tabuľka IFP_6'!_ftn1" w:history="1">
              <w:r w:rsidRPr="00DB4AB0">
                <w:rPr>
                  <w:rFonts w:eastAsia="Times New Roman" w:cs="Times New Roman"/>
                  <w:color w:val="000000"/>
                  <w:sz w:val="18"/>
                  <w:szCs w:val="18"/>
                  <w:lang w:eastAsia="sk-SK"/>
                </w:rPr>
                <w:t>HDP, b. c. (mld. eur)</w:t>
              </w:r>
            </w:hyperlink>
          </w:p>
        </w:tc>
        <w:tc>
          <w:tcPr>
            <w:tcW w:w="437" w:type="pct"/>
            <w:tcBorders>
              <w:top w:val="nil"/>
              <w:left w:val="nil"/>
              <w:bottom w:val="nil"/>
              <w:right w:val="nil"/>
            </w:tcBorders>
            <w:noWrap/>
            <w:vAlign w:val="center"/>
            <w:hideMark/>
          </w:tcPr>
          <w:p w14:paraId="48953EC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109,8</w:t>
            </w:r>
          </w:p>
        </w:tc>
        <w:tc>
          <w:tcPr>
            <w:tcW w:w="437" w:type="pct"/>
            <w:tcBorders>
              <w:top w:val="nil"/>
              <w:left w:val="nil"/>
              <w:bottom w:val="nil"/>
              <w:right w:val="single" w:sz="4" w:space="0" w:color="auto"/>
            </w:tcBorders>
            <w:noWrap/>
            <w:vAlign w:val="center"/>
            <w:hideMark/>
          </w:tcPr>
          <w:p w14:paraId="209723EE"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122,8</w:t>
            </w:r>
          </w:p>
        </w:tc>
        <w:tc>
          <w:tcPr>
            <w:tcW w:w="443" w:type="pct"/>
            <w:tcBorders>
              <w:top w:val="nil"/>
              <w:left w:val="nil"/>
              <w:bottom w:val="nil"/>
              <w:right w:val="nil"/>
            </w:tcBorders>
            <w:noWrap/>
            <w:vAlign w:val="center"/>
            <w:hideMark/>
          </w:tcPr>
          <w:p w14:paraId="614A12B0"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131,2</w:t>
            </w:r>
          </w:p>
        </w:tc>
        <w:tc>
          <w:tcPr>
            <w:tcW w:w="437" w:type="pct"/>
            <w:tcBorders>
              <w:top w:val="nil"/>
              <w:left w:val="nil"/>
              <w:bottom w:val="nil"/>
              <w:right w:val="nil"/>
            </w:tcBorders>
            <w:noWrap/>
            <w:vAlign w:val="center"/>
            <w:hideMark/>
          </w:tcPr>
          <w:p w14:paraId="71BBD0B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139,9</w:t>
            </w:r>
          </w:p>
        </w:tc>
        <w:tc>
          <w:tcPr>
            <w:tcW w:w="437" w:type="pct"/>
            <w:tcBorders>
              <w:top w:val="nil"/>
              <w:left w:val="nil"/>
              <w:bottom w:val="nil"/>
              <w:right w:val="nil"/>
            </w:tcBorders>
            <w:noWrap/>
            <w:vAlign w:val="center"/>
            <w:hideMark/>
          </w:tcPr>
          <w:p w14:paraId="4D43C497"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147,3</w:t>
            </w:r>
          </w:p>
        </w:tc>
        <w:tc>
          <w:tcPr>
            <w:tcW w:w="437" w:type="pct"/>
            <w:tcBorders>
              <w:top w:val="nil"/>
              <w:left w:val="nil"/>
              <w:bottom w:val="nil"/>
              <w:right w:val="nil"/>
            </w:tcBorders>
            <w:noWrap/>
            <w:vAlign w:val="center"/>
            <w:hideMark/>
          </w:tcPr>
          <w:p w14:paraId="3BD9BE4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152,1</w:t>
            </w:r>
          </w:p>
        </w:tc>
        <w:tc>
          <w:tcPr>
            <w:tcW w:w="437" w:type="pct"/>
            <w:tcBorders>
              <w:top w:val="nil"/>
              <w:left w:val="nil"/>
              <w:bottom w:val="nil"/>
              <w:right w:val="nil"/>
            </w:tcBorders>
            <w:noWrap/>
            <w:vAlign w:val="center"/>
            <w:hideMark/>
          </w:tcPr>
          <w:p w14:paraId="2B659970"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158,6</w:t>
            </w:r>
          </w:p>
        </w:tc>
      </w:tr>
      <w:tr w:rsidR="00DB4AB0" w:rsidRPr="00DB4AB0" w14:paraId="0AC73B26" w14:textId="77777777" w:rsidTr="00DB4AB0">
        <w:trPr>
          <w:trHeight w:val="290"/>
        </w:trPr>
        <w:tc>
          <w:tcPr>
            <w:tcW w:w="1936" w:type="pct"/>
            <w:tcBorders>
              <w:top w:val="nil"/>
              <w:left w:val="nil"/>
              <w:bottom w:val="nil"/>
              <w:right w:val="single" w:sz="4" w:space="0" w:color="auto"/>
            </w:tcBorders>
            <w:noWrap/>
            <w:vAlign w:val="center"/>
            <w:hideMark/>
          </w:tcPr>
          <w:p w14:paraId="149FDF41"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Súkromná spotreba, s. c.</w:t>
            </w:r>
          </w:p>
        </w:tc>
        <w:tc>
          <w:tcPr>
            <w:tcW w:w="437" w:type="pct"/>
            <w:tcBorders>
              <w:top w:val="nil"/>
              <w:left w:val="nil"/>
              <w:bottom w:val="nil"/>
              <w:right w:val="nil"/>
            </w:tcBorders>
            <w:noWrap/>
            <w:vAlign w:val="center"/>
            <w:hideMark/>
          </w:tcPr>
          <w:p w14:paraId="544488C5"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6,1</w:t>
            </w:r>
          </w:p>
        </w:tc>
        <w:tc>
          <w:tcPr>
            <w:tcW w:w="437" w:type="pct"/>
            <w:tcBorders>
              <w:top w:val="nil"/>
              <w:left w:val="nil"/>
              <w:bottom w:val="nil"/>
              <w:right w:val="single" w:sz="4" w:space="0" w:color="auto"/>
            </w:tcBorders>
            <w:noWrap/>
            <w:vAlign w:val="center"/>
            <w:hideMark/>
          </w:tcPr>
          <w:p w14:paraId="643FC455"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-3,2</w:t>
            </w:r>
          </w:p>
        </w:tc>
        <w:tc>
          <w:tcPr>
            <w:tcW w:w="443" w:type="pct"/>
            <w:tcBorders>
              <w:top w:val="nil"/>
              <w:left w:val="nil"/>
              <w:bottom w:val="nil"/>
              <w:right w:val="nil"/>
            </w:tcBorders>
            <w:noWrap/>
            <w:vAlign w:val="center"/>
            <w:hideMark/>
          </w:tcPr>
          <w:p w14:paraId="7D5BD7C1"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2,9</w:t>
            </w:r>
          </w:p>
        </w:tc>
        <w:tc>
          <w:tcPr>
            <w:tcW w:w="437" w:type="pct"/>
            <w:tcBorders>
              <w:top w:val="nil"/>
              <w:left w:val="nil"/>
              <w:bottom w:val="nil"/>
              <w:right w:val="nil"/>
            </w:tcBorders>
            <w:noWrap/>
            <w:vAlign w:val="center"/>
            <w:hideMark/>
          </w:tcPr>
          <w:p w14:paraId="4770F00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1,4</w:t>
            </w:r>
          </w:p>
        </w:tc>
        <w:tc>
          <w:tcPr>
            <w:tcW w:w="437" w:type="pct"/>
            <w:tcBorders>
              <w:top w:val="nil"/>
              <w:left w:val="nil"/>
              <w:bottom w:val="nil"/>
              <w:right w:val="nil"/>
            </w:tcBorders>
            <w:noWrap/>
            <w:vAlign w:val="center"/>
            <w:hideMark/>
          </w:tcPr>
          <w:p w14:paraId="52B48851"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1,9</w:t>
            </w:r>
          </w:p>
        </w:tc>
        <w:tc>
          <w:tcPr>
            <w:tcW w:w="437" w:type="pct"/>
            <w:tcBorders>
              <w:top w:val="nil"/>
              <w:left w:val="nil"/>
              <w:bottom w:val="nil"/>
              <w:right w:val="nil"/>
            </w:tcBorders>
            <w:noWrap/>
            <w:vAlign w:val="center"/>
            <w:hideMark/>
          </w:tcPr>
          <w:p w14:paraId="72DE7479"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2,3</w:t>
            </w:r>
          </w:p>
        </w:tc>
        <w:tc>
          <w:tcPr>
            <w:tcW w:w="437" w:type="pct"/>
            <w:tcBorders>
              <w:top w:val="nil"/>
              <w:left w:val="nil"/>
              <w:bottom w:val="nil"/>
              <w:right w:val="nil"/>
            </w:tcBorders>
            <w:noWrap/>
            <w:vAlign w:val="center"/>
            <w:hideMark/>
          </w:tcPr>
          <w:p w14:paraId="5B27391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1,7</w:t>
            </w:r>
          </w:p>
        </w:tc>
      </w:tr>
      <w:tr w:rsidR="00DB4AB0" w:rsidRPr="00DB4AB0" w14:paraId="3C16467E" w14:textId="77777777" w:rsidTr="00DB4AB0">
        <w:trPr>
          <w:trHeight w:val="290"/>
        </w:trPr>
        <w:tc>
          <w:tcPr>
            <w:tcW w:w="1936" w:type="pct"/>
            <w:tcBorders>
              <w:top w:val="nil"/>
              <w:left w:val="nil"/>
              <w:bottom w:val="nil"/>
              <w:right w:val="single" w:sz="4" w:space="0" w:color="auto"/>
            </w:tcBorders>
            <w:noWrap/>
            <w:vAlign w:val="center"/>
            <w:hideMark/>
          </w:tcPr>
          <w:p w14:paraId="1834CEF7"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Súkromná spotreba, b. c.</w:t>
            </w:r>
          </w:p>
        </w:tc>
        <w:tc>
          <w:tcPr>
            <w:tcW w:w="437" w:type="pct"/>
            <w:tcBorders>
              <w:top w:val="nil"/>
              <w:left w:val="nil"/>
              <w:bottom w:val="nil"/>
              <w:right w:val="nil"/>
            </w:tcBorders>
            <w:noWrap/>
            <w:vAlign w:val="center"/>
            <w:hideMark/>
          </w:tcPr>
          <w:p w14:paraId="3CF4890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19,1</w:t>
            </w:r>
          </w:p>
        </w:tc>
        <w:tc>
          <w:tcPr>
            <w:tcW w:w="437" w:type="pct"/>
            <w:tcBorders>
              <w:top w:val="nil"/>
              <w:left w:val="nil"/>
              <w:bottom w:val="nil"/>
              <w:right w:val="single" w:sz="4" w:space="0" w:color="auto"/>
            </w:tcBorders>
            <w:noWrap/>
            <w:vAlign w:val="center"/>
            <w:hideMark/>
          </w:tcPr>
          <w:p w14:paraId="0C39032C"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6,8</w:t>
            </w:r>
          </w:p>
        </w:tc>
        <w:tc>
          <w:tcPr>
            <w:tcW w:w="443" w:type="pct"/>
            <w:tcBorders>
              <w:top w:val="nil"/>
              <w:left w:val="nil"/>
              <w:bottom w:val="nil"/>
              <w:right w:val="nil"/>
            </w:tcBorders>
            <w:noWrap/>
            <w:vAlign w:val="center"/>
            <w:hideMark/>
          </w:tcPr>
          <w:p w14:paraId="023B629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6</w:t>
            </w:r>
          </w:p>
        </w:tc>
        <w:tc>
          <w:tcPr>
            <w:tcW w:w="437" w:type="pct"/>
            <w:tcBorders>
              <w:top w:val="nil"/>
              <w:left w:val="nil"/>
              <w:bottom w:val="nil"/>
              <w:right w:val="nil"/>
            </w:tcBorders>
            <w:noWrap/>
            <w:vAlign w:val="center"/>
            <w:hideMark/>
          </w:tcPr>
          <w:p w14:paraId="3B42DA4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6,9</w:t>
            </w:r>
          </w:p>
        </w:tc>
        <w:tc>
          <w:tcPr>
            <w:tcW w:w="437" w:type="pct"/>
            <w:tcBorders>
              <w:top w:val="nil"/>
              <w:left w:val="nil"/>
              <w:bottom w:val="nil"/>
              <w:right w:val="nil"/>
            </w:tcBorders>
            <w:noWrap/>
            <w:vAlign w:val="center"/>
            <w:hideMark/>
          </w:tcPr>
          <w:p w14:paraId="0EBCCD4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4,7</w:t>
            </w:r>
          </w:p>
        </w:tc>
        <w:tc>
          <w:tcPr>
            <w:tcW w:w="437" w:type="pct"/>
            <w:tcBorders>
              <w:top w:val="nil"/>
              <w:left w:val="nil"/>
              <w:bottom w:val="nil"/>
              <w:right w:val="nil"/>
            </w:tcBorders>
            <w:noWrap/>
            <w:vAlign w:val="center"/>
            <w:hideMark/>
          </w:tcPr>
          <w:p w14:paraId="7C1D0F4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4,6</w:t>
            </w:r>
          </w:p>
        </w:tc>
        <w:tc>
          <w:tcPr>
            <w:tcW w:w="437" w:type="pct"/>
            <w:tcBorders>
              <w:top w:val="nil"/>
              <w:left w:val="nil"/>
              <w:bottom w:val="nil"/>
              <w:right w:val="nil"/>
            </w:tcBorders>
            <w:noWrap/>
            <w:vAlign w:val="center"/>
            <w:hideMark/>
          </w:tcPr>
          <w:p w14:paraId="01E1521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4,2</w:t>
            </w:r>
          </w:p>
        </w:tc>
      </w:tr>
      <w:tr w:rsidR="00DB4AB0" w:rsidRPr="00DB4AB0" w14:paraId="27591CBB" w14:textId="77777777" w:rsidTr="00DB4AB0">
        <w:trPr>
          <w:trHeight w:val="290"/>
        </w:trPr>
        <w:tc>
          <w:tcPr>
            <w:tcW w:w="1936" w:type="pct"/>
            <w:tcBorders>
              <w:top w:val="nil"/>
              <w:left w:val="nil"/>
              <w:bottom w:val="nil"/>
              <w:right w:val="single" w:sz="4" w:space="0" w:color="auto"/>
            </w:tcBorders>
            <w:noWrap/>
            <w:vAlign w:val="center"/>
            <w:hideMark/>
          </w:tcPr>
          <w:p w14:paraId="3D9B3454"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Vládna spotreba</w:t>
            </w:r>
          </w:p>
        </w:tc>
        <w:tc>
          <w:tcPr>
            <w:tcW w:w="437" w:type="pct"/>
            <w:tcBorders>
              <w:top w:val="nil"/>
              <w:left w:val="nil"/>
              <w:bottom w:val="nil"/>
              <w:right w:val="nil"/>
            </w:tcBorders>
            <w:noWrap/>
            <w:vAlign w:val="center"/>
            <w:hideMark/>
          </w:tcPr>
          <w:p w14:paraId="0633623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-4,5</w:t>
            </w:r>
          </w:p>
        </w:tc>
        <w:tc>
          <w:tcPr>
            <w:tcW w:w="437" w:type="pct"/>
            <w:tcBorders>
              <w:top w:val="nil"/>
              <w:left w:val="nil"/>
              <w:bottom w:val="nil"/>
              <w:right w:val="single" w:sz="4" w:space="0" w:color="auto"/>
            </w:tcBorders>
            <w:noWrap/>
            <w:vAlign w:val="center"/>
            <w:hideMark/>
          </w:tcPr>
          <w:p w14:paraId="7C4BC0C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-0,6</w:t>
            </w:r>
          </w:p>
        </w:tc>
        <w:tc>
          <w:tcPr>
            <w:tcW w:w="443" w:type="pct"/>
            <w:tcBorders>
              <w:top w:val="nil"/>
              <w:left w:val="nil"/>
              <w:bottom w:val="nil"/>
              <w:right w:val="nil"/>
            </w:tcBorders>
            <w:noWrap/>
            <w:vAlign w:val="center"/>
            <w:hideMark/>
          </w:tcPr>
          <w:p w14:paraId="01307D1A"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3,6</w:t>
            </w:r>
          </w:p>
        </w:tc>
        <w:tc>
          <w:tcPr>
            <w:tcW w:w="437" w:type="pct"/>
            <w:tcBorders>
              <w:top w:val="nil"/>
              <w:left w:val="nil"/>
              <w:bottom w:val="nil"/>
              <w:right w:val="nil"/>
            </w:tcBorders>
            <w:noWrap/>
            <w:vAlign w:val="center"/>
            <w:hideMark/>
          </w:tcPr>
          <w:p w14:paraId="3C3BEF0A"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0,1</w:t>
            </w:r>
          </w:p>
        </w:tc>
        <w:tc>
          <w:tcPr>
            <w:tcW w:w="437" w:type="pct"/>
            <w:tcBorders>
              <w:top w:val="nil"/>
              <w:left w:val="nil"/>
              <w:bottom w:val="nil"/>
              <w:right w:val="nil"/>
            </w:tcBorders>
            <w:noWrap/>
            <w:vAlign w:val="center"/>
            <w:hideMark/>
          </w:tcPr>
          <w:p w14:paraId="624E2CF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-0,4</w:t>
            </w:r>
          </w:p>
        </w:tc>
        <w:tc>
          <w:tcPr>
            <w:tcW w:w="437" w:type="pct"/>
            <w:tcBorders>
              <w:top w:val="nil"/>
              <w:left w:val="nil"/>
              <w:bottom w:val="nil"/>
              <w:right w:val="nil"/>
            </w:tcBorders>
            <w:noWrap/>
            <w:vAlign w:val="center"/>
            <w:hideMark/>
          </w:tcPr>
          <w:p w14:paraId="6C211A2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-0,2</w:t>
            </w:r>
          </w:p>
        </w:tc>
        <w:tc>
          <w:tcPr>
            <w:tcW w:w="437" w:type="pct"/>
            <w:tcBorders>
              <w:top w:val="nil"/>
              <w:left w:val="nil"/>
              <w:bottom w:val="nil"/>
              <w:right w:val="nil"/>
            </w:tcBorders>
            <w:noWrap/>
            <w:vAlign w:val="center"/>
            <w:hideMark/>
          </w:tcPr>
          <w:p w14:paraId="4CF67E5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-0,3</w:t>
            </w:r>
          </w:p>
        </w:tc>
      </w:tr>
      <w:tr w:rsidR="00DB4AB0" w:rsidRPr="00DB4AB0" w14:paraId="591A93E3" w14:textId="77777777" w:rsidTr="00DB4AB0">
        <w:trPr>
          <w:trHeight w:val="290"/>
        </w:trPr>
        <w:tc>
          <w:tcPr>
            <w:tcW w:w="1936" w:type="pct"/>
            <w:tcBorders>
              <w:top w:val="nil"/>
              <w:left w:val="nil"/>
              <w:bottom w:val="nil"/>
              <w:right w:val="single" w:sz="4" w:space="0" w:color="auto"/>
            </w:tcBorders>
            <w:noWrap/>
            <w:vAlign w:val="center"/>
            <w:hideMark/>
          </w:tcPr>
          <w:p w14:paraId="20AFFEF6"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Fixné investície</w:t>
            </w:r>
          </w:p>
        </w:tc>
        <w:tc>
          <w:tcPr>
            <w:tcW w:w="437" w:type="pct"/>
            <w:tcBorders>
              <w:top w:val="nil"/>
              <w:left w:val="nil"/>
              <w:bottom w:val="nil"/>
              <w:right w:val="nil"/>
            </w:tcBorders>
            <w:noWrap/>
            <w:vAlign w:val="center"/>
            <w:hideMark/>
          </w:tcPr>
          <w:p w14:paraId="1AD4F2B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5,7</w:t>
            </w:r>
          </w:p>
        </w:tc>
        <w:tc>
          <w:tcPr>
            <w:tcW w:w="437" w:type="pct"/>
            <w:tcBorders>
              <w:top w:val="nil"/>
              <w:left w:val="nil"/>
              <w:bottom w:val="nil"/>
              <w:right w:val="single" w:sz="4" w:space="0" w:color="auto"/>
            </w:tcBorders>
            <w:noWrap/>
            <w:vAlign w:val="center"/>
            <w:hideMark/>
          </w:tcPr>
          <w:p w14:paraId="76703E07"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10,6</w:t>
            </w:r>
          </w:p>
        </w:tc>
        <w:tc>
          <w:tcPr>
            <w:tcW w:w="443" w:type="pct"/>
            <w:tcBorders>
              <w:top w:val="nil"/>
              <w:left w:val="nil"/>
              <w:bottom w:val="nil"/>
              <w:right w:val="nil"/>
            </w:tcBorders>
            <w:noWrap/>
            <w:vAlign w:val="center"/>
            <w:hideMark/>
          </w:tcPr>
          <w:p w14:paraId="4B0893CB"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-0,3</w:t>
            </w:r>
          </w:p>
        </w:tc>
        <w:tc>
          <w:tcPr>
            <w:tcW w:w="437" w:type="pct"/>
            <w:tcBorders>
              <w:top w:val="nil"/>
              <w:left w:val="nil"/>
              <w:bottom w:val="nil"/>
              <w:right w:val="nil"/>
            </w:tcBorders>
            <w:noWrap/>
            <w:vAlign w:val="center"/>
            <w:hideMark/>
          </w:tcPr>
          <w:p w14:paraId="231AB95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10,6</w:t>
            </w:r>
          </w:p>
        </w:tc>
        <w:tc>
          <w:tcPr>
            <w:tcW w:w="437" w:type="pct"/>
            <w:tcBorders>
              <w:top w:val="nil"/>
              <w:left w:val="nil"/>
              <w:bottom w:val="nil"/>
              <w:right w:val="nil"/>
            </w:tcBorders>
            <w:noWrap/>
            <w:vAlign w:val="center"/>
            <w:hideMark/>
          </w:tcPr>
          <w:p w14:paraId="5344722E"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0,4</w:t>
            </w:r>
          </w:p>
        </w:tc>
        <w:tc>
          <w:tcPr>
            <w:tcW w:w="437" w:type="pct"/>
            <w:tcBorders>
              <w:top w:val="nil"/>
              <w:left w:val="nil"/>
              <w:bottom w:val="nil"/>
              <w:right w:val="nil"/>
            </w:tcBorders>
            <w:noWrap/>
            <w:vAlign w:val="center"/>
            <w:hideMark/>
          </w:tcPr>
          <w:p w14:paraId="03DD1E10"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-4,9</w:t>
            </w:r>
          </w:p>
        </w:tc>
        <w:tc>
          <w:tcPr>
            <w:tcW w:w="437" w:type="pct"/>
            <w:tcBorders>
              <w:top w:val="nil"/>
              <w:left w:val="nil"/>
              <w:bottom w:val="nil"/>
              <w:right w:val="nil"/>
            </w:tcBorders>
            <w:noWrap/>
            <w:vAlign w:val="center"/>
            <w:hideMark/>
          </w:tcPr>
          <w:p w14:paraId="54D70D00"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31</w:t>
            </w:r>
          </w:p>
        </w:tc>
      </w:tr>
      <w:tr w:rsidR="00DB4AB0" w:rsidRPr="00DB4AB0" w14:paraId="37DE9E78" w14:textId="77777777" w:rsidTr="00DB4AB0">
        <w:trPr>
          <w:trHeight w:val="290"/>
        </w:trPr>
        <w:tc>
          <w:tcPr>
            <w:tcW w:w="1936" w:type="pct"/>
            <w:tcBorders>
              <w:top w:val="nil"/>
              <w:left w:val="nil"/>
              <w:bottom w:val="nil"/>
              <w:right w:val="single" w:sz="4" w:space="0" w:color="auto"/>
            </w:tcBorders>
            <w:noWrap/>
            <w:vAlign w:val="center"/>
            <w:hideMark/>
          </w:tcPr>
          <w:p w14:paraId="6BA851F7"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Export tovarov a služieb</w:t>
            </w:r>
          </w:p>
        </w:tc>
        <w:tc>
          <w:tcPr>
            <w:tcW w:w="437" w:type="pct"/>
            <w:tcBorders>
              <w:top w:val="nil"/>
              <w:left w:val="nil"/>
              <w:bottom w:val="nil"/>
              <w:right w:val="nil"/>
            </w:tcBorders>
            <w:noWrap/>
            <w:vAlign w:val="center"/>
            <w:hideMark/>
          </w:tcPr>
          <w:p w14:paraId="335D5D27"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w:t>
            </w:r>
          </w:p>
        </w:tc>
        <w:tc>
          <w:tcPr>
            <w:tcW w:w="437" w:type="pct"/>
            <w:tcBorders>
              <w:top w:val="nil"/>
              <w:left w:val="nil"/>
              <w:bottom w:val="nil"/>
              <w:right w:val="single" w:sz="4" w:space="0" w:color="auto"/>
            </w:tcBorders>
            <w:noWrap/>
            <w:vAlign w:val="center"/>
            <w:hideMark/>
          </w:tcPr>
          <w:p w14:paraId="1FCB74B7"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-1,4</w:t>
            </w:r>
          </w:p>
        </w:tc>
        <w:tc>
          <w:tcPr>
            <w:tcW w:w="443" w:type="pct"/>
            <w:tcBorders>
              <w:top w:val="nil"/>
              <w:left w:val="nil"/>
              <w:bottom w:val="nil"/>
              <w:right w:val="nil"/>
            </w:tcBorders>
            <w:noWrap/>
            <w:vAlign w:val="center"/>
            <w:hideMark/>
          </w:tcPr>
          <w:p w14:paraId="5B49584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1,8</w:t>
            </w:r>
          </w:p>
        </w:tc>
        <w:tc>
          <w:tcPr>
            <w:tcW w:w="437" w:type="pct"/>
            <w:tcBorders>
              <w:top w:val="nil"/>
              <w:left w:val="nil"/>
              <w:bottom w:val="nil"/>
              <w:right w:val="nil"/>
            </w:tcBorders>
            <w:noWrap/>
            <w:vAlign w:val="center"/>
            <w:hideMark/>
          </w:tcPr>
          <w:p w14:paraId="27CBDCA1"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3,7</w:t>
            </w:r>
          </w:p>
        </w:tc>
        <w:tc>
          <w:tcPr>
            <w:tcW w:w="437" w:type="pct"/>
            <w:tcBorders>
              <w:top w:val="nil"/>
              <w:left w:val="nil"/>
              <w:bottom w:val="nil"/>
              <w:right w:val="nil"/>
            </w:tcBorders>
            <w:noWrap/>
            <w:vAlign w:val="center"/>
            <w:hideMark/>
          </w:tcPr>
          <w:p w14:paraId="52DBE19B"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4,3</w:t>
            </w:r>
          </w:p>
        </w:tc>
        <w:tc>
          <w:tcPr>
            <w:tcW w:w="437" w:type="pct"/>
            <w:tcBorders>
              <w:top w:val="nil"/>
              <w:left w:val="nil"/>
              <w:bottom w:val="nil"/>
              <w:right w:val="nil"/>
            </w:tcBorders>
            <w:noWrap/>
            <w:vAlign w:val="center"/>
            <w:hideMark/>
          </w:tcPr>
          <w:p w14:paraId="586ADE55"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4,6</w:t>
            </w:r>
          </w:p>
        </w:tc>
        <w:tc>
          <w:tcPr>
            <w:tcW w:w="437" w:type="pct"/>
            <w:tcBorders>
              <w:top w:val="nil"/>
              <w:left w:val="nil"/>
              <w:bottom w:val="nil"/>
              <w:right w:val="nil"/>
            </w:tcBorders>
            <w:noWrap/>
            <w:vAlign w:val="center"/>
            <w:hideMark/>
          </w:tcPr>
          <w:p w14:paraId="16E059B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3,9</w:t>
            </w:r>
          </w:p>
        </w:tc>
      </w:tr>
      <w:tr w:rsidR="00DB4AB0" w:rsidRPr="00DB4AB0" w14:paraId="6B3327D6" w14:textId="77777777" w:rsidTr="00DB4AB0">
        <w:trPr>
          <w:trHeight w:val="290"/>
        </w:trPr>
        <w:tc>
          <w:tcPr>
            <w:tcW w:w="1936" w:type="pct"/>
            <w:tcBorders>
              <w:top w:val="nil"/>
              <w:left w:val="nil"/>
              <w:bottom w:val="nil"/>
              <w:right w:val="single" w:sz="4" w:space="0" w:color="auto"/>
            </w:tcBorders>
            <w:noWrap/>
            <w:vAlign w:val="center"/>
            <w:hideMark/>
          </w:tcPr>
          <w:p w14:paraId="72722507"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Import tovarov a služieb</w:t>
            </w:r>
          </w:p>
        </w:tc>
        <w:tc>
          <w:tcPr>
            <w:tcW w:w="437" w:type="pct"/>
            <w:tcBorders>
              <w:top w:val="nil"/>
              <w:left w:val="nil"/>
              <w:bottom w:val="nil"/>
              <w:right w:val="nil"/>
            </w:tcBorders>
            <w:noWrap/>
            <w:vAlign w:val="center"/>
            <w:hideMark/>
          </w:tcPr>
          <w:p w14:paraId="200369AB"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4,3</w:t>
            </w:r>
          </w:p>
        </w:tc>
        <w:tc>
          <w:tcPr>
            <w:tcW w:w="437" w:type="pct"/>
            <w:tcBorders>
              <w:top w:val="nil"/>
              <w:left w:val="nil"/>
              <w:bottom w:val="nil"/>
              <w:right w:val="single" w:sz="4" w:space="0" w:color="auto"/>
            </w:tcBorders>
            <w:noWrap/>
            <w:vAlign w:val="center"/>
            <w:hideMark/>
          </w:tcPr>
          <w:p w14:paraId="3DF97CCB"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-7,6</w:t>
            </w:r>
          </w:p>
        </w:tc>
        <w:tc>
          <w:tcPr>
            <w:tcW w:w="443" w:type="pct"/>
            <w:tcBorders>
              <w:top w:val="nil"/>
              <w:left w:val="nil"/>
              <w:bottom w:val="nil"/>
              <w:right w:val="nil"/>
            </w:tcBorders>
            <w:noWrap/>
            <w:vAlign w:val="center"/>
            <w:hideMark/>
          </w:tcPr>
          <w:p w14:paraId="2735500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4,8</w:t>
            </w:r>
          </w:p>
        </w:tc>
        <w:tc>
          <w:tcPr>
            <w:tcW w:w="437" w:type="pct"/>
            <w:tcBorders>
              <w:top w:val="nil"/>
              <w:left w:val="nil"/>
              <w:bottom w:val="nil"/>
              <w:right w:val="nil"/>
            </w:tcBorders>
            <w:noWrap/>
            <w:vAlign w:val="center"/>
            <w:hideMark/>
          </w:tcPr>
          <w:p w14:paraId="434B5BE1"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6,7</w:t>
            </w:r>
          </w:p>
        </w:tc>
        <w:tc>
          <w:tcPr>
            <w:tcW w:w="437" w:type="pct"/>
            <w:tcBorders>
              <w:top w:val="nil"/>
              <w:left w:val="nil"/>
              <w:bottom w:val="nil"/>
              <w:right w:val="nil"/>
            </w:tcBorders>
            <w:noWrap/>
            <w:vAlign w:val="center"/>
            <w:hideMark/>
          </w:tcPr>
          <w:p w14:paraId="3D10A9F2"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w:t>
            </w:r>
          </w:p>
        </w:tc>
        <w:tc>
          <w:tcPr>
            <w:tcW w:w="437" w:type="pct"/>
            <w:tcBorders>
              <w:top w:val="nil"/>
              <w:left w:val="nil"/>
              <w:bottom w:val="nil"/>
              <w:right w:val="nil"/>
            </w:tcBorders>
            <w:noWrap/>
            <w:vAlign w:val="center"/>
            <w:hideMark/>
          </w:tcPr>
          <w:p w14:paraId="43546F46"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3,7</w:t>
            </w:r>
          </w:p>
        </w:tc>
        <w:tc>
          <w:tcPr>
            <w:tcW w:w="437" w:type="pct"/>
            <w:tcBorders>
              <w:top w:val="nil"/>
              <w:left w:val="nil"/>
              <w:bottom w:val="nil"/>
              <w:right w:val="nil"/>
            </w:tcBorders>
            <w:noWrap/>
            <w:vAlign w:val="center"/>
            <w:hideMark/>
          </w:tcPr>
          <w:p w14:paraId="193D996A"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3,8</w:t>
            </w:r>
          </w:p>
        </w:tc>
      </w:tr>
      <w:tr w:rsidR="00DB4AB0" w:rsidRPr="00DB4AB0" w14:paraId="3AD6DE0E" w14:textId="77777777" w:rsidTr="00DB4AB0">
        <w:trPr>
          <w:trHeight w:val="290"/>
        </w:trPr>
        <w:tc>
          <w:tcPr>
            <w:tcW w:w="1936" w:type="pct"/>
            <w:tcBorders>
              <w:top w:val="nil"/>
              <w:left w:val="nil"/>
              <w:bottom w:val="nil"/>
              <w:right w:val="single" w:sz="4" w:space="0" w:color="auto"/>
            </w:tcBorders>
            <w:noWrap/>
            <w:vAlign w:val="center"/>
            <w:hideMark/>
          </w:tcPr>
          <w:p w14:paraId="248C1CA7" w14:textId="77777777" w:rsidR="00DB4AB0" w:rsidRPr="00DB4AB0" w:rsidRDefault="00DB4AB0" w:rsidP="00DB4AB0">
            <w:pPr>
              <w:spacing w:line="240" w:lineRule="auto"/>
              <w:jc w:val="both"/>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Trh práce</w:t>
            </w:r>
          </w:p>
        </w:tc>
        <w:tc>
          <w:tcPr>
            <w:tcW w:w="437" w:type="pct"/>
            <w:tcBorders>
              <w:top w:val="nil"/>
              <w:left w:val="nil"/>
              <w:bottom w:val="nil"/>
              <w:right w:val="nil"/>
            </w:tcBorders>
            <w:noWrap/>
            <w:vAlign w:val="center"/>
            <w:hideMark/>
          </w:tcPr>
          <w:p w14:paraId="2E33F954" w14:textId="77777777" w:rsidR="00DB4AB0" w:rsidRPr="00DB4AB0" w:rsidRDefault="00DB4AB0" w:rsidP="00DB4AB0">
            <w:pPr>
              <w:spacing w:line="240" w:lineRule="auto"/>
              <w:jc w:val="both"/>
              <w:rPr>
                <w:rFonts w:eastAsia="Times New Roman" w:cs="Times New Roman"/>
                <w:b/>
                <w:bCs/>
                <w:color w:val="000000"/>
                <w:sz w:val="18"/>
                <w:szCs w:val="18"/>
                <w:lang w:eastAsia="sk-SK"/>
              </w:rPr>
            </w:pPr>
          </w:p>
        </w:tc>
        <w:tc>
          <w:tcPr>
            <w:tcW w:w="437" w:type="pct"/>
            <w:tcBorders>
              <w:top w:val="nil"/>
              <w:left w:val="nil"/>
              <w:bottom w:val="nil"/>
              <w:right w:val="single" w:sz="4" w:space="0" w:color="auto"/>
            </w:tcBorders>
            <w:noWrap/>
            <w:vAlign w:val="center"/>
            <w:hideMark/>
          </w:tcPr>
          <w:p w14:paraId="1AF0CA02" w14:textId="77777777" w:rsidR="00DB4AB0" w:rsidRPr="00DB4AB0" w:rsidRDefault="00DB4AB0" w:rsidP="00DB4AB0">
            <w:pPr>
              <w:spacing w:line="240" w:lineRule="auto"/>
              <w:jc w:val="right"/>
              <w:rPr>
                <w:rFonts w:ascii="Calibri" w:eastAsia="Times New Roman" w:hAnsi="Calibri" w:cs="Calibri"/>
                <w:color w:val="000000"/>
                <w:sz w:val="18"/>
                <w:szCs w:val="18"/>
                <w:lang w:eastAsia="sk-SK"/>
              </w:rPr>
            </w:pPr>
            <w:r w:rsidRPr="00DB4AB0">
              <w:rPr>
                <w:rFonts w:ascii="Calibri" w:eastAsia="Times New Roman" w:hAnsi="Calibri" w:cs="Calibri"/>
                <w:color w:val="000000"/>
                <w:sz w:val="18"/>
                <w:szCs w:val="18"/>
                <w:lang w:eastAsia="sk-SK"/>
              </w:rPr>
              <w:t> </w:t>
            </w:r>
          </w:p>
        </w:tc>
        <w:tc>
          <w:tcPr>
            <w:tcW w:w="443" w:type="pct"/>
            <w:tcBorders>
              <w:top w:val="nil"/>
              <w:left w:val="nil"/>
              <w:bottom w:val="nil"/>
              <w:right w:val="nil"/>
            </w:tcBorders>
            <w:noWrap/>
            <w:vAlign w:val="center"/>
            <w:hideMark/>
          </w:tcPr>
          <w:p w14:paraId="228274F0" w14:textId="77777777" w:rsidR="00DB4AB0" w:rsidRPr="00DB4AB0" w:rsidRDefault="00DB4AB0" w:rsidP="00DB4AB0">
            <w:pPr>
              <w:spacing w:line="240" w:lineRule="auto"/>
              <w:jc w:val="right"/>
              <w:rPr>
                <w:rFonts w:ascii="Calibri" w:eastAsia="Times New Roman" w:hAnsi="Calibri" w:cs="Calibri"/>
                <w:color w:val="000000"/>
                <w:sz w:val="18"/>
                <w:szCs w:val="18"/>
                <w:lang w:eastAsia="sk-SK"/>
              </w:rPr>
            </w:pPr>
          </w:p>
        </w:tc>
        <w:tc>
          <w:tcPr>
            <w:tcW w:w="437" w:type="pct"/>
            <w:tcBorders>
              <w:top w:val="nil"/>
              <w:left w:val="nil"/>
              <w:bottom w:val="nil"/>
              <w:right w:val="nil"/>
            </w:tcBorders>
            <w:noWrap/>
            <w:vAlign w:val="center"/>
            <w:hideMark/>
          </w:tcPr>
          <w:p w14:paraId="01CCD63C"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center"/>
            <w:hideMark/>
          </w:tcPr>
          <w:p w14:paraId="2A43745F"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center"/>
            <w:hideMark/>
          </w:tcPr>
          <w:p w14:paraId="78D4194E"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bottom"/>
            <w:hideMark/>
          </w:tcPr>
          <w:p w14:paraId="7BDBD066" w14:textId="77777777" w:rsidR="00DB4AB0" w:rsidRPr="00DB4AB0" w:rsidRDefault="00DB4AB0" w:rsidP="00DB4AB0">
            <w:pPr>
              <w:spacing w:line="240" w:lineRule="auto"/>
              <w:jc w:val="right"/>
              <w:rPr>
                <w:rFonts w:eastAsia="Times New Roman" w:cs="Times New Roman"/>
                <w:sz w:val="20"/>
                <w:szCs w:val="20"/>
                <w:lang w:eastAsia="sk-SK"/>
              </w:rPr>
            </w:pPr>
          </w:p>
        </w:tc>
      </w:tr>
      <w:tr w:rsidR="00DB4AB0" w:rsidRPr="00DB4AB0" w14:paraId="02ABAC84" w14:textId="77777777" w:rsidTr="00DB4AB0">
        <w:trPr>
          <w:trHeight w:val="290"/>
        </w:trPr>
        <w:tc>
          <w:tcPr>
            <w:tcW w:w="1936" w:type="pct"/>
            <w:tcBorders>
              <w:top w:val="nil"/>
              <w:left w:val="nil"/>
              <w:bottom w:val="nil"/>
              <w:right w:val="single" w:sz="4" w:space="0" w:color="auto"/>
            </w:tcBorders>
            <w:noWrap/>
            <w:vAlign w:val="center"/>
            <w:hideMark/>
          </w:tcPr>
          <w:p w14:paraId="60118272"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Zamestnanosť (štatistické výkazníctvo)</w:t>
            </w:r>
          </w:p>
        </w:tc>
        <w:tc>
          <w:tcPr>
            <w:tcW w:w="437" w:type="pct"/>
            <w:tcBorders>
              <w:top w:val="nil"/>
              <w:left w:val="nil"/>
              <w:bottom w:val="nil"/>
              <w:right w:val="nil"/>
            </w:tcBorders>
            <w:noWrap/>
            <w:vAlign w:val="center"/>
            <w:hideMark/>
          </w:tcPr>
          <w:p w14:paraId="1AC63492"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1,7</w:t>
            </w:r>
          </w:p>
        </w:tc>
        <w:tc>
          <w:tcPr>
            <w:tcW w:w="437" w:type="pct"/>
            <w:tcBorders>
              <w:top w:val="nil"/>
              <w:left w:val="nil"/>
              <w:bottom w:val="nil"/>
              <w:right w:val="single" w:sz="4" w:space="0" w:color="auto"/>
            </w:tcBorders>
            <w:noWrap/>
            <w:vAlign w:val="center"/>
            <w:hideMark/>
          </w:tcPr>
          <w:p w14:paraId="40DB80C2"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0,2</w:t>
            </w:r>
          </w:p>
        </w:tc>
        <w:tc>
          <w:tcPr>
            <w:tcW w:w="443" w:type="pct"/>
            <w:tcBorders>
              <w:top w:val="nil"/>
              <w:left w:val="nil"/>
              <w:bottom w:val="nil"/>
              <w:right w:val="nil"/>
            </w:tcBorders>
            <w:noWrap/>
            <w:vAlign w:val="center"/>
            <w:hideMark/>
          </w:tcPr>
          <w:p w14:paraId="3FE76366"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-0,1</w:t>
            </w:r>
          </w:p>
        </w:tc>
        <w:tc>
          <w:tcPr>
            <w:tcW w:w="437" w:type="pct"/>
            <w:tcBorders>
              <w:top w:val="nil"/>
              <w:left w:val="nil"/>
              <w:bottom w:val="nil"/>
              <w:right w:val="nil"/>
            </w:tcBorders>
            <w:noWrap/>
            <w:vAlign w:val="center"/>
            <w:hideMark/>
          </w:tcPr>
          <w:p w14:paraId="2ADD207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0,4</w:t>
            </w:r>
          </w:p>
        </w:tc>
        <w:tc>
          <w:tcPr>
            <w:tcW w:w="437" w:type="pct"/>
            <w:tcBorders>
              <w:top w:val="nil"/>
              <w:left w:val="nil"/>
              <w:bottom w:val="nil"/>
              <w:right w:val="nil"/>
            </w:tcBorders>
            <w:noWrap/>
            <w:vAlign w:val="center"/>
            <w:hideMark/>
          </w:tcPr>
          <w:p w14:paraId="00342C7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0,2</w:t>
            </w:r>
          </w:p>
        </w:tc>
        <w:tc>
          <w:tcPr>
            <w:tcW w:w="437" w:type="pct"/>
            <w:tcBorders>
              <w:top w:val="nil"/>
              <w:left w:val="nil"/>
              <w:bottom w:val="nil"/>
              <w:right w:val="nil"/>
            </w:tcBorders>
            <w:noWrap/>
            <w:vAlign w:val="center"/>
            <w:hideMark/>
          </w:tcPr>
          <w:p w14:paraId="6C9B590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w:t>
            </w:r>
          </w:p>
        </w:tc>
        <w:tc>
          <w:tcPr>
            <w:tcW w:w="437" w:type="pct"/>
            <w:tcBorders>
              <w:top w:val="nil"/>
              <w:left w:val="nil"/>
              <w:bottom w:val="nil"/>
              <w:right w:val="nil"/>
            </w:tcBorders>
            <w:noWrap/>
            <w:vAlign w:val="center"/>
            <w:hideMark/>
          </w:tcPr>
          <w:p w14:paraId="1EB436EC"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-0,2</w:t>
            </w:r>
          </w:p>
        </w:tc>
      </w:tr>
      <w:tr w:rsidR="00DB4AB0" w:rsidRPr="00DB4AB0" w14:paraId="3FCDBA9F" w14:textId="77777777" w:rsidTr="00DB4AB0">
        <w:trPr>
          <w:trHeight w:val="290"/>
        </w:trPr>
        <w:tc>
          <w:tcPr>
            <w:tcW w:w="1936" w:type="pct"/>
            <w:tcBorders>
              <w:top w:val="nil"/>
              <w:left w:val="nil"/>
              <w:bottom w:val="nil"/>
              <w:right w:val="single" w:sz="4" w:space="0" w:color="auto"/>
            </w:tcBorders>
            <w:noWrap/>
            <w:vAlign w:val="center"/>
            <w:hideMark/>
          </w:tcPr>
          <w:p w14:paraId="0F0600F3"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Mzdy, nominálne</w:t>
            </w:r>
          </w:p>
        </w:tc>
        <w:tc>
          <w:tcPr>
            <w:tcW w:w="437" w:type="pct"/>
            <w:tcBorders>
              <w:top w:val="nil"/>
              <w:left w:val="nil"/>
              <w:bottom w:val="nil"/>
              <w:right w:val="nil"/>
            </w:tcBorders>
            <w:noWrap/>
            <w:vAlign w:val="center"/>
            <w:hideMark/>
          </w:tcPr>
          <w:p w14:paraId="745F1835"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7,7</w:t>
            </w:r>
          </w:p>
        </w:tc>
        <w:tc>
          <w:tcPr>
            <w:tcW w:w="437" w:type="pct"/>
            <w:tcBorders>
              <w:top w:val="nil"/>
              <w:left w:val="nil"/>
              <w:bottom w:val="nil"/>
              <w:right w:val="single" w:sz="4" w:space="0" w:color="auto"/>
            </w:tcBorders>
            <w:noWrap/>
            <w:vAlign w:val="center"/>
            <w:hideMark/>
          </w:tcPr>
          <w:p w14:paraId="7F30A75B"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9,7</w:t>
            </w:r>
          </w:p>
        </w:tc>
        <w:tc>
          <w:tcPr>
            <w:tcW w:w="443" w:type="pct"/>
            <w:tcBorders>
              <w:top w:val="nil"/>
              <w:left w:val="nil"/>
              <w:bottom w:val="nil"/>
              <w:right w:val="nil"/>
            </w:tcBorders>
            <w:noWrap/>
            <w:vAlign w:val="center"/>
            <w:hideMark/>
          </w:tcPr>
          <w:p w14:paraId="089142E0"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6,9</w:t>
            </w:r>
          </w:p>
        </w:tc>
        <w:tc>
          <w:tcPr>
            <w:tcW w:w="437" w:type="pct"/>
            <w:tcBorders>
              <w:top w:val="nil"/>
              <w:left w:val="nil"/>
              <w:bottom w:val="nil"/>
              <w:right w:val="nil"/>
            </w:tcBorders>
            <w:noWrap/>
            <w:vAlign w:val="center"/>
            <w:hideMark/>
          </w:tcPr>
          <w:p w14:paraId="47BF45BE"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5,9</w:t>
            </w:r>
          </w:p>
        </w:tc>
        <w:tc>
          <w:tcPr>
            <w:tcW w:w="437" w:type="pct"/>
            <w:tcBorders>
              <w:top w:val="nil"/>
              <w:left w:val="nil"/>
              <w:bottom w:val="nil"/>
              <w:right w:val="nil"/>
            </w:tcBorders>
            <w:noWrap/>
            <w:vAlign w:val="center"/>
            <w:hideMark/>
          </w:tcPr>
          <w:p w14:paraId="0FE376F9"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5,2</w:t>
            </w:r>
          </w:p>
        </w:tc>
        <w:tc>
          <w:tcPr>
            <w:tcW w:w="437" w:type="pct"/>
            <w:tcBorders>
              <w:top w:val="nil"/>
              <w:left w:val="nil"/>
              <w:bottom w:val="nil"/>
              <w:right w:val="nil"/>
            </w:tcBorders>
            <w:noWrap/>
            <w:vAlign w:val="center"/>
            <w:hideMark/>
          </w:tcPr>
          <w:p w14:paraId="2457E5FB"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4,9</w:t>
            </w:r>
          </w:p>
        </w:tc>
        <w:tc>
          <w:tcPr>
            <w:tcW w:w="437" w:type="pct"/>
            <w:tcBorders>
              <w:top w:val="nil"/>
              <w:left w:val="nil"/>
              <w:bottom w:val="nil"/>
              <w:right w:val="nil"/>
            </w:tcBorders>
            <w:noWrap/>
            <w:vAlign w:val="center"/>
            <w:hideMark/>
          </w:tcPr>
          <w:p w14:paraId="5B1E988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4,5</w:t>
            </w:r>
          </w:p>
        </w:tc>
      </w:tr>
      <w:tr w:rsidR="00DB4AB0" w:rsidRPr="00DB4AB0" w14:paraId="37578F6F" w14:textId="77777777" w:rsidTr="00DB4AB0">
        <w:trPr>
          <w:trHeight w:val="290"/>
        </w:trPr>
        <w:tc>
          <w:tcPr>
            <w:tcW w:w="1936" w:type="pct"/>
            <w:tcBorders>
              <w:top w:val="nil"/>
              <w:left w:val="nil"/>
              <w:bottom w:val="nil"/>
              <w:right w:val="single" w:sz="4" w:space="0" w:color="auto"/>
            </w:tcBorders>
            <w:noWrap/>
            <w:vAlign w:val="center"/>
            <w:hideMark/>
          </w:tcPr>
          <w:p w14:paraId="527D4837"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Mzdy, reálne</w:t>
            </w:r>
          </w:p>
        </w:tc>
        <w:tc>
          <w:tcPr>
            <w:tcW w:w="437" w:type="pct"/>
            <w:tcBorders>
              <w:top w:val="nil"/>
              <w:left w:val="nil"/>
              <w:bottom w:val="nil"/>
              <w:right w:val="nil"/>
            </w:tcBorders>
            <w:noWrap/>
            <w:vAlign w:val="center"/>
            <w:hideMark/>
          </w:tcPr>
          <w:p w14:paraId="2B4859BF"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-4,5</w:t>
            </w:r>
          </w:p>
        </w:tc>
        <w:tc>
          <w:tcPr>
            <w:tcW w:w="437" w:type="pct"/>
            <w:tcBorders>
              <w:top w:val="nil"/>
              <w:left w:val="nil"/>
              <w:bottom w:val="nil"/>
              <w:right w:val="single" w:sz="4" w:space="0" w:color="auto"/>
            </w:tcBorders>
            <w:noWrap/>
            <w:vAlign w:val="center"/>
            <w:hideMark/>
          </w:tcPr>
          <w:p w14:paraId="11A7C03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-0,7</w:t>
            </w:r>
          </w:p>
        </w:tc>
        <w:tc>
          <w:tcPr>
            <w:tcW w:w="443" w:type="pct"/>
            <w:tcBorders>
              <w:top w:val="nil"/>
              <w:left w:val="nil"/>
              <w:bottom w:val="nil"/>
              <w:right w:val="nil"/>
            </w:tcBorders>
            <w:noWrap/>
            <w:vAlign w:val="center"/>
            <w:hideMark/>
          </w:tcPr>
          <w:p w14:paraId="6B85D0EC"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4</w:t>
            </w:r>
          </w:p>
        </w:tc>
        <w:tc>
          <w:tcPr>
            <w:tcW w:w="437" w:type="pct"/>
            <w:tcBorders>
              <w:top w:val="nil"/>
              <w:left w:val="nil"/>
              <w:bottom w:val="nil"/>
              <w:right w:val="nil"/>
            </w:tcBorders>
            <w:noWrap/>
            <w:vAlign w:val="center"/>
            <w:hideMark/>
          </w:tcPr>
          <w:p w14:paraId="07ACF0D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0,5</w:t>
            </w:r>
          </w:p>
        </w:tc>
        <w:tc>
          <w:tcPr>
            <w:tcW w:w="437" w:type="pct"/>
            <w:tcBorders>
              <w:top w:val="nil"/>
              <w:left w:val="nil"/>
              <w:bottom w:val="nil"/>
              <w:right w:val="nil"/>
            </w:tcBorders>
            <w:noWrap/>
            <w:vAlign w:val="center"/>
            <w:hideMark/>
          </w:tcPr>
          <w:p w14:paraId="10A0FCF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2,5</w:t>
            </w:r>
          </w:p>
        </w:tc>
        <w:tc>
          <w:tcPr>
            <w:tcW w:w="437" w:type="pct"/>
            <w:tcBorders>
              <w:top w:val="nil"/>
              <w:left w:val="nil"/>
              <w:bottom w:val="nil"/>
              <w:right w:val="nil"/>
            </w:tcBorders>
            <w:noWrap/>
            <w:vAlign w:val="center"/>
            <w:hideMark/>
          </w:tcPr>
          <w:p w14:paraId="0B156FCB"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2,6</w:t>
            </w:r>
          </w:p>
        </w:tc>
        <w:tc>
          <w:tcPr>
            <w:tcW w:w="437" w:type="pct"/>
            <w:tcBorders>
              <w:top w:val="nil"/>
              <w:left w:val="nil"/>
              <w:bottom w:val="nil"/>
              <w:right w:val="nil"/>
            </w:tcBorders>
            <w:noWrap/>
            <w:vAlign w:val="center"/>
            <w:hideMark/>
          </w:tcPr>
          <w:p w14:paraId="506E6CFA"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2,1</w:t>
            </w:r>
          </w:p>
        </w:tc>
      </w:tr>
      <w:tr w:rsidR="00DB4AB0" w:rsidRPr="00DB4AB0" w14:paraId="0929E8CA" w14:textId="77777777" w:rsidTr="00DB4AB0">
        <w:trPr>
          <w:trHeight w:val="290"/>
        </w:trPr>
        <w:tc>
          <w:tcPr>
            <w:tcW w:w="1936" w:type="pct"/>
            <w:tcBorders>
              <w:top w:val="nil"/>
              <w:left w:val="nil"/>
              <w:bottom w:val="nil"/>
              <w:right w:val="single" w:sz="4" w:space="0" w:color="auto"/>
            </w:tcBorders>
            <w:noWrap/>
            <w:vAlign w:val="center"/>
            <w:hideMark/>
          </w:tcPr>
          <w:p w14:paraId="35265C48"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Miera nezamestnanosti</w:t>
            </w:r>
          </w:p>
        </w:tc>
        <w:tc>
          <w:tcPr>
            <w:tcW w:w="437" w:type="pct"/>
            <w:tcBorders>
              <w:top w:val="nil"/>
              <w:left w:val="nil"/>
              <w:bottom w:val="nil"/>
              <w:right w:val="nil"/>
            </w:tcBorders>
            <w:noWrap/>
            <w:vAlign w:val="center"/>
            <w:hideMark/>
          </w:tcPr>
          <w:p w14:paraId="1BAF1086"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6,1</w:t>
            </w:r>
          </w:p>
        </w:tc>
        <w:tc>
          <w:tcPr>
            <w:tcW w:w="437" w:type="pct"/>
            <w:tcBorders>
              <w:top w:val="nil"/>
              <w:left w:val="nil"/>
              <w:bottom w:val="nil"/>
              <w:right w:val="single" w:sz="4" w:space="0" w:color="auto"/>
            </w:tcBorders>
            <w:noWrap/>
            <w:vAlign w:val="center"/>
            <w:hideMark/>
          </w:tcPr>
          <w:p w14:paraId="26199A6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5,8</w:t>
            </w:r>
          </w:p>
        </w:tc>
        <w:tc>
          <w:tcPr>
            <w:tcW w:w="443" w:type="pct"/>
            <w:tcBorders>
              <w:top w:val="nil"/>
              <w:left w:val="nil"/>
              <w:bottom w:val="nil"/>
              <w:right w:val="nil"/>
            </w:tcBorders>
            <w:noWrap/>
            <w:vAlign w:val="center"/>
            <w:hideMark/>
          </w:tcPr>
          <w:p w14:paraId="3F45445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5,4</w:t>
            </w:r>
          </w:p>
        </w:tc>
        <w:tc>
          <w:tcPr>
            <w:tcW w:w="437" w:type="pct"/>
            <w:tcBorders>
              <w:top w:val="nil"/>
              <w:left w:val="nil"/>
              <w:bottom w:val="nil"/>
              <w:right w:val="nil"/>
            </w:tcBorders>
            <w:noWrap/>
            <w:vAlign w:val="center"/>
            <w:hideMark/>
          </w:tcPr>
          <w:p w14:paraId="5F5AF500"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5,3</w:t>
            </w:r>
          </w:p>
        </w:tc>
        <w:tc>
          <w:tcPr>
            <w:tcW w:w="437" w:type="pct"/>
            <w:tcBorders>
              <w:top w:val="nil"/>
              <w:left w:val="nil"/>
              <w:bottom w:val="nil"/>
              <w:right w:val="nil"/>
            </w:tcBorders>
            <w:noWrap/>
            <w:vAlign w:val="center"/>
            <w:hideMark/>
          </w:tcPr>
          <w:p w14:paraId="3F75DA77"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5,1</w:t>
            </w:r>
          </w:p>
        </w:tc>
        <w:tc>
          <w:tcPr>
            <w:tcW w:w="437" w:type="pct"/>
            <w:tcBorders>
              <w:top w:val="nil"/>
              <w:left w:val="nil"/>
              <w:bottom w:val="nil"/>
              <w:right w:val="nil"/>
            </w:tcBorders>
            <w:noWrap/>
            <w:vAlign w:val="center"/>
            <w:hideMark/>
          </w:tcPr>
          <w:p w14:paraId="274ADC6D"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w:t>
            </w:r>
          </w:p>
        </w:tc>
        <w:tc>
          <w:tcPr>
            <w:tcW w:w="437" w:type="pct"/>
            <w:tcBorders>
              <w:top w:val="nil"/>
              <w:left w:val="nil"/>
              <w:bottom w:val="nil"/>
              <w:right w:val="nil"/>
            </w:tcBorders>
            <w:noWrap/>
            <w:vAlign w:val="center"/>
            <w:hideMark/>
          </w:tcPr>
          <w:p w14:paraId="7DF7093A"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w:t>
            </w:r>
          </w:p>
        </w:tc>
      </w:tr>
      <w:tr w:rsidR="00DB4AB0" w:rsidRPr="00DB4AB0" w14:paraId="2FB518DD" w14:textId="77777777" w:rsidTr="00DB4AB0">
        <w:trPr>
          <w:trHeight w:val="290"/>
        </w:trPr>
        <w:tc>
          <w:tcPr>
            <w:tcW w:w="1936" w:type="pct"/>
            <w:tcBorders>
              <w:top w:val="nil"/>
              <w:left w:val="nil"/>
              <w:bottom w:val="nil"/>
              <w:right w:val="single" w:sz="4" w:space="0" w:color="auto"/>
            </w:tcBorders>
            <w:noWrap/>
            <w:vAlign w:val="center"/>
            <w:hideMark/>
          </w:tcPr>
          <w:p w14:paraId="27D44475" w14:textId="77777777" w:rsidR="00DB4AB0" w:rsidRPr="00DB4AB0" w:rsidRDefault="00DB4AB0" w:rsidP="00DB4AB0">
            <w:pPr>
              <w:spacing w:line="240" w:lineRule="auto"/>
              <w:jc w:val="both"/>
              <w:rPr>
                <w:rFonts w:eastAsia="Times New Roman" w:cs="Times New Roman"/>
                <w:b/>
                <w:bCs/>
                <w:color w:val="000000"/>
                <w:sz w:val="18"/>
                <w:szCs w:val="18"/>
                <w:lang w:eastAsia="sk-SK"/>
              </w:rPr>
            </w:pPr>
            <w:r w:rsidRPr="00DB4AB0">
              <w:rPr>
                <w:rFonts w:eastAsia="Times New Roman" w:cs="Times New Roman"/>
                <w:b/>
                <w:bCs/>
                <w:color w:val="000000"/>
                <w:sz w:val="18"/>
                <w:szCs w:val="18"/>
                <w:lang w:eastAsia="sk-SK"/>
              </w:rPr>
              <w:t>Inflácia</w:t>
            </w:r>
            <w:r w:rsidRPr="00DB4AB0">
              <w:rPr>
                <w:rFonts w:eastAsia="Times New Roman" w:cs="Times New Roman"/>
                <w:color w:val="000000"/>
                <w:sz w:val="18"/>
                <w:szCs w:val="18"/>
                <w:lang w:eastAsia="sk-SK"/>
              </w:rPr>
              <w:t> </w:t>
            </w:r>
          </w:p>
        </w:tc>
        <w:tc>
          <w:tcPr>
            <w:tcW w:w="437" w:type="pct"/>
            <w:tcBorders>
              <w:top w:val="nil"/>
              <w:left w:val="nil"/>
              <w:bottom w:val="nil"/>
              <w:right w:val="nil"/>
            </w:tcBorders>
            <w:noWrap/>
            <w:vAlign w:val="bottom"/>
            <w:hideMark/>
          </w:tcPr>
          <w:p w14:paraId="15530364" w14:textId="77777777" w:rsidR="00DB4AB0" w:rsidRPr="00DB4AB0" w:rsidRDefault="00DB4AB0" w:rsidP="00DB4AB0">
            <w:pPr>
              <w:spacing w:line="240" w:lineRule="auto"/>
              <w:jc w:val="both"/>
              <w:rPr>
                <w:rFonts w:eastAsia="Times New Roman" w:cs="Times New Roman"/>
                <w:b/>
                <w:bCs/>
                <w:color w:val="000000"/>
                <w:sz w:val="18"/>
                <w:szCs w:val="18"/>
                <w:lang w:eastAsia="sk-SK"/>
              </w:rPr>
            </w:pPr>
          </w:p>
        </w:tc>
        <w:tc>
          <w:tcPr>
            <w:tcW w:w="437" w:type="pct"/>
            <w:tcBorders>
              <w:top w:val="nil"/>
              <w:left w:val="nil"/>
              <w:bottom w:val="nil"/>
              <w:right w:val="single" w:sz="4" w:space="0" w:color="auto"/>
            </w:tcBorders>
            <w:noWrap/>
            <w:vAlign w:val="bottom"/>
            <w:hideMark/>
          </w:tcPr>
          <w:p w14:paraId="2CB5C05D" w14:textId="77777777" w:rsidR="00DB4AB0" w:rsidRPr="00DB4AB0" w:rsidRDefault="00DB4AB0" w:rsidP="00DB4AB0">
            <w:pPr>
              <w:spacing w:line="240" w:lineRule="auto"/>
              <w:jc w:val="right"/>
              <w:rPr>
                <w:rFonts w:ascii="Calibri" w:eastAsia="Times New Roman" w:hAnsi="Calibri" w:cs="Calibri"/>
                <w:color w:val="000000"/>
                <w:sz w:val="18"/>
                <w:szCs w:val="18"/>
                <w:lang w:eastAsia="sk-SK"/>
              </w:rPr>
            </w:pPr>
            <w:r w:rsidRPr="00DB4AB0">
              <w:rPr>
                <w:rFonts w:ascii="Calibri" w:eastAsia="Times New Roman" w:hAnsi="Calibri" w:cs="Calibri"/>
                <w:color w:val="000000"/>
                <w:sz w:val="18"/>
                <w:szCs w:val="18"/>
                <w:lang w:eastAsia="sk-SK"/>
              </w:rPr>
              <w:t> </w:t>
            </w:r>
          </w:p>
        </w:tc>
        <w:tc>
          <w:tcPr>
            <w:tcW w:w="443" w:type="pct"/>
            <w:tcBorders>
              <w:top w:val="nil"/>
              <w:left w:val="nil"/>
              <w:bottom w:val="nil"/>
              <w:right w:val="nil"/>
            </w:tcBorders>
            <w:noWrap/>
            <w:vAlign w:val="bottom"/>
            <w:hideMark/>
          </w:tcPr>
          <w:p w14:paraId="53A169A1" w14:textId="77777777" w:rsidR="00DB4AB0" w:rsidRPr="00DB4AB0" w:rsidRDefault="00DB4AB0" w:rsidP="00DB4AB0">
            <w:pPr>
              <w:spacing w:line="240" w:lineRule="auto"/>
              <w:jc w:val="right"/>
              <w:rPr>
                <w:rFonts w:ascii="Calibri" w:eastAsia="Times New Roman" w:hAnsi="Calibri" w:cs="Calibri"/>
                <w:color w:val="000000"/>
                <w:sz w:val="18"/>
                <w:szCs w:val="18"/>
                <w:lang w:eastAsia="sk-SK"/>
              </w:rPr>
            </w:pPr>
          </w:p>
        </w:tc>
        <w:tc>
          <w:tcPr>
            <w:tcW w:w="437" w:type="pct"/>
            <w:tcBorders>
              <w:top w:val="nil"/>
              <w:left w:val="nil"/>
              <w:bottom w:val="nil"/>
              <w:right w:val="nil"/>
            </w:tcBorders>
            <w:noWrap/>
            <w:vAlign w:val="bottom"/>
            <w:hideMark/>
          </w:tcPr>
          <w:p w14:paraId="725E2804"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bottom"/>
            <w:hideMark/>
          </w:tcPr>
          <w:p w14:paraId="21321C30"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bottom"/>
            <w:hideMark/>
          </w:tcPr>
          <w:p w14:paraId="1A70254C" w14:textId="77777777" w:rsidR="00DB4AB0" w:rsidRPr="00DB4AB0" w:rsidRDefault="00DB4AB0" w:rsidP="00DB4AB0">
            <w:pPr>
              <w:spacing w:line="240" w:lineRule="auto"/>
              <w:jc w:val="right"/>
              <w:rPr>
                <w:rFonts w:eastAsia="Times New Roman" w:cs="Times New Roman"/>
                <w:sz w:val="20"/>
                <w:szCs w:val="20"/>
                <w:lang w:eastAsia="sk-SK"/>
              </w:rPr>
            </w:pPr>
          </w:p>
        </w:tc>
        <w:tc>
          <w:tcPr>
            <w:tcW w:w="437" w:type="pct"/>
            <w:tcBorders>
              <w:top w:val="nil"/>
              <w:left w:val="nil"/>
              <w:bottom w:val="nil"/>
              <w:right w:val="nil"/>
            </w:tcBorders>
            <w:noWrap/>
            <w:vAlign w:val="bottom"/>
            <w:hideMark/>
          </w:tcPr>
          <w:p w14:paraId="5B538F80" w14:textId="77777777" w:rsidR="00DB4AB0" w:rsidRPr="00DB4AB0" w:rsidRDefault="00DB4AB0" w:rsidP="00DB4AB0">
            <w:pPr>
              <w:spacing w:line="240" w:lineRule="auto"/>
              <w:jc w:val="right"/>
              <w:rPr>
                <w:rFonts w:eastAsia="Times New Roman" w:cs="Times New Roman"/>
                <w:sz w:val="20"/>
                <w:szCs w:val="20"/>
                <w:lang w:eastAsia="sk-SK"/>
              </w:rPr>
            </w:pPr>
          </w:p>
        </w:tc>
      </w:tr>
      <w:tr w:rsidR="00DB4AB0" w:rsidRPr="00DB4AB0" w14:paraId="529F40D6" w14:textId="77777777" w:rsidTr="00DB4AB0">
        <w:trPr>
          <w:trHeight w:val="290"/>
        </w:trPr>
        <w:tc>
          <w:tcPr>
            <w:tcW w:w="1936" w:type="pct"/>
            <w:tcBorders>
              <w:top w:val="nil"/>
              <w:left w:val="nil"/>
              <w:bottom w:val="single" w:sz="4" w:space="0" w:color="auto"/>
              <w:right w:val="single" w:sz="4" w:space="0" w:color="auto"/>
            </w:tcBorders>
            <w:noWrap/>
            <w:vAlign w:val="center"/>
            <w:hideMark/>
          </w:tcPr>
          <w:p w14:paraId="51879752" w14:textId="77777777" w:rsidR="00DB4AB0" w:rsidRPr="00DB4AB0" w:rsidRDefault="00DB4AB0" w:rsidP="00DB4AB0">
            <w:pPr>
              <w:spacing w:line="240" w:lineRule="auto"/>
              <w:jc w:val="both"/>
              <w:rPr>
                <w:rFonts w:eastAsia="Times New Roman" w:cs="Times New Roman"/>
                <w:color w:val="000000"/>
                <w:sz w:val="18"/>
                <w:szCs w:val="18"/>
                <w:lang w:eastAsia="sk-SK"/>
              </w:rPr>
            </w:pPr>
            <w:r w:rsidRPr="00DB4AB0">
              <w:rPr>
                <w:rFonts w:eastAsia="Times New Roman" w:cs="Times New Roman"/>
                <w:color w:val="000000"/>
                <w:sz w:val="18"/>
                <w:szCs w:val="18"/>
                <w:lang w:eastAsia="sk-SK"/>
              </w:rPr>
              <w:t>Index spotrebiteľských cien</w:t>
            </w:r>
          </w:p>
        </w:tc>
        <w:tc>
          <w:tcPr>
            <w:tcW w:w="437" w:type="pct"/>
            <w:tcBorders>
              <w:top w:val="nil"/>
              <w:left w:val="nil"/>
              <w:bottom w:val="single" w:sz="4" w:space="0" w:color="auto"/>
              <w:right w:val="nil"/>
            </w:tcBorders>
            <w:noWrap/>
            <w:vAlign w:val="center"/>
            <w:hideMark/>
          </w:tcPr>
          <w:p w14:paraId="59C5181A"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12,8</w:t>
            </w:r>
          </w:p>
        </w:tc>
        <w:tc>
          <w:tcPr>
            <w:tcW w:w="437" w:type="pct"/>
            <w:tcBorders>
              <w:top w:val="nil"/>
              <w:left w:val="nil"/>
              <w:bottom w:val="single" w:sz="4" w:space="0" w:color="auto"/>
              <w:right w:val="single" w:sz="4" w:space="0" w:color="auto"/>
            </w:tcBorders>
            <w:noWrap/>
            <w:vAlign w:val="center"/>
            <w:hideMark/>
          </w:tcPr>
          <w:p w14:paraId="793A8C30"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10,5</w:t>
            </w:r>
          </w:p>
        </w:tc>
        <w:tc>
          <w:tcPr>
            <w:tcW w:w="443" w:type="pct"/>
            <w:tcBorders>
              <w:top w:val="nil"/>
              <w:left w:val="nil"/>
              <w:bottom w:val="single" w:sz="4" w:space="0" w:color="auto"/>
              <w:right w:val="nil"/>
            </w:tcBorders>
            <w:noWrap/>
            <w:vAlign w:val="center"/>
            <w:hideMark/>
          </w:tcPr>
          <w:p w14:paraId="5620F91C"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2,8</w:t>
            </w:r>
          </w:p>
        </w:tc>
        <w:tc>
          <w:tcPr>
            <w:tcW w:w="437" w:type="pct"/>
            <w:tcBorders>
              <w:top w:val="nil"/>
              <w:left w:val="nil"/>
              <w:bottom w:val="single" w:sz="4" w:space="0" w:color="auto"/>
              <w:right w:val="nil"/>
            </w:tcBorders>
            <w:noWrap/>
            <w:vAlign w:val="center"/>
            <w:hideMark/>
          </w:tcPr>
          <w:p w14:paraId="4A0181C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5,4</w:t>
            </w:r>
          </w:p>
        </w:tc>
        <w:tc>
          <w:tcPr>
            <w:tcW w:w="437" w:type="pct"/>
            <w:tcBorders>
              <w:top w:val="nil"/>
              <w:left w:val="nil"/>
              <w:bottom w:val="single" w:sz="4" w:space="0" w:color="auto"/>
              <w:right w:val="nil"/>
            </w:tcBorders>
            <w:noWrap/>
            <w:vAlign w:val="center"/>
            <w:hideMark/>
          </w:tcPr>
          <w:p w14:paraId="36DBE078"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2,7</w:t>
            </w:r>
          </w:p>
        </w:tc>
        <w:tc>
          <w:tcPr>
            <w:tcW w:w="437" w:type="pct"/>
            <w:tcBorders>
              <w:top w:val="nil"/>
              <w:left w:val="nil"/>
              <w:bottom w:val="single" w:sz="4" w:space="0" w:color="auto"/>
              <w:right w:val="nil"/>
            </w:tcBorders>
            <w:noWrap/>
            <w:vAlign w:val="center"/>
            <w:hideMark/>
          </w:tcPr>
          <w:p w14:paraId="2C3F3223"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2,2</w:t>
            </w:r>
          </w:p>
        </w:tc>
        <w:tc>
          <w:tcPr>
            <w:tcW w:w="437" w:type="pct"/>
            <w:tcBorders>
              <w:top w:val="nil"/>
              <w:left w:val="nil"/>
              <w:bottom w:val="single" w:sz="4" w:space="0" w:color="auto"/>
              <w:right w:val="nil"/>
            </w:tcBorders>
            <w:noWrap/>
            <w:vAlign w:val="center"/>
            <w:hideMark/>
          </w:tcPr>
          <w:p w14:paraId="0F733AB1" w14:textId="77777777" w:rsidR="00DB4AB0" w:rsidRPr="00DB4AB0" w:rsidRDefault="00DB4AB0" w:rsidP="00DB4AB0">
            <w:pPr>
              <w:spacing w:line="240" w:lineRule="auto"/>
              <w:jc w:val="right"/>
              <w:rPr>
                <w:rFonts w:eastAsia="Times New Roman" w:cs="Times New Roman"/>
                <w:color w:val="000000"/>
                <w:sz w:val="18"/>
                <w:szCs w:val="18"/>
                <w:lang w:eastAsia="sk-SK"/>
              </w:rPr>
            </w:pPr>
            <w:r w:rsidRPr="00DB4AB0">
              <w:rPr>
                <w:rFonts w:eastAsia="Times New Roman" w:cs="Times New Roman"/>
                <w:color w:val="000000"/>
                <w:sz w:val="18"/>
                <w:szCs w:val="18"/>
                <w:lang w:eastAsia="sk-SK"/>
              </w:rPr>
              <w:t>2,4</w:t>
            </w:r>
          </w:p>
        </w:tc>
      </w:tr>
    </w:tbl>
    <w:p w14:paraId="346CE175" w14:textId="6F8AF608" w:rsidR="009A05C7" w:rsidRPr="00A31B3F" w:rsidRDefault="001B6E92" w:rsidP="002E56EB">
      <w:pPr>
        <w:tabs>
          <w:tab w:val="right" w:pos="9070"/>
        </w:tabs>
        <w:spacing w:line="240" w:lineRule="auto"/>
        <w:jc w:val="both"/>
        <w:rPr>
          <w:rFonts w:eastAsia="Times New Roman" w:cs="Times New Roman"/>
          <w:iCs/>
          <w:color w:val="000000"/>
          <w:sz w:val="18"/>
          <w:szCs w:val="18"/>
          <w:lang w:eastAsia="sk-SK"/>
        </w:rPr>
      </w:pPr>
      <w:r w:rsidRPr="00A31B3F">
        <w:rPr>
          <w:rFonts w:eastAsia="Times New Roman" w:cs="Times New Roman"/>
          <w:iCs/>
          <w:color w:val="000000"/>
          <w:sz w:val="18"/>
          <w:szCs w:val="18"/>
          <w:lang w:eastAsia="sk-SK"/>
        </w:rPr>
        <w:tab/>
      </w:r>
      <w:r w:rsidR="009A05C7" w:rsidRPr="00A31B3F">
        <w:rPr>
          <w:rFonts w:eastAsia="Times New Roman" w:cs="Times New Roman"/>
          <w:iCs/>
          <w:color w:val="000000"/>
          <w:sz w:val="18"/>
          <w:szCs w:val="18"/>
          <w:lang w:eastAsia="sk-SK"/>
        </w:rPr>
        <w:t>Zdroj: MF SR, ŠÚ SR</w:t>
      </w:r>
    </w:p>
    <w:p w14:paraId="5AD32148" w14:textId="77777777" w:rsidR="00402102" w:rsidRPr="0050710A" w:rsidRDefault="00402102" w:rsidP="00532D85">
      <w:pPr>
        <w:tabs>
          <w:tab w:val="right" w:pos="8930"/>
        </w:tabs>
        <w:spacing w:line="240" w:lineRule="auto"/>
        <w:jc w:val="both"/>
        <w:rPr>
          <w:szCs w:val="24"/>
          <w:highlight w:val="yellow"/>
        </w:rPr>
      </w:pPr>
    </w:p>
    <w:p w14:paraId="5012123B" w14:textId="28D66450" w:rsidR="009A05C7" w:rsidRPr="00B97AA2" w:rsidRDefault="009A05C7" w:rsidP="00532D85">
      <w:pPr>
        <w:pStyle w:val="Popis"/>
        <w:jc w:val="both"/>
      </w:pPr>
      <w:bookmarkStart w:id="33" w:name="_Toc196313631"/>
      <w:bookmarkStart w:id="34" w:name="_Toc227670141"/>
      <w:r w:rsidRPr="00B97AA2">
        <w:t xml:space="preserve">Tabuľka </w:t>
      </w:r>
      <w:r w:rsidR="00995280">
        <w:fldChar w:fldCharType="begin"/>
      </w:r>
      <w:r w:rsidR="00995280">
        <w:instrText xml:space="preserve"> SEQ Tabuľka \* ARABIC </w:instrText>
      </w:r>
      <w:r w:rsidR="00995280">
        <w:fldChar w:fldCharType="separate"/>
      </w:r>
      <w:r w:rsidR="00396BE8">
        <w:rPr>
          <w:noProof/>
        </w:rPr>
        <w:t>5</w:t>
      </w:r>
      <w:r w:rsidR="00995280">
        <w:rPr>
          <w:noProof/>
        </w:rPr>
        <w:fldChar w:fldCharType="end"/>
      </w:r>
      <w:r w:rsidRPr="00B97AA2">
        <w:t xml:space="preserve"> - Porovnanie prognóz Európskej komisie (EK) a MF SR</w:t>
      </w:r>
      <w:bookmarkEnd w:id="33"/>
      <w:bookmarkEnd w:id="34"/>
    </w:p>
    <w:tbl>
      <w:tblPr>
        <w:tblW w:w="5000" w:type="pct"/>
        <w:tblCellMar>
          <w:left w:w="70" w:type="dxa"/>
          <w:right w:w="70" w:type="dxa"/>
        </w:tblCellMar>
        <w:tblLook w:val="04A0" w:firstRow="1" w:lastRow="0" w:firstColumn="1" w:lastColumn="0" w:noHBand="0" w:noVBand="1"/>
      </w:tblPr>
      <w:tblGrid>
        <w:gridCol w:w="4022"/>
        <w:gridCol w:w="1959"/>
        <w:gridCol w:w="771"/>
        <w:gridCol w:w="771"/>
        <w:gridCol w:w="771"/>
        <w:gridCol w:w="776"/>
      </w:tblGrid>
      <w:tr w:rsidR="00B97AA2" w:rsidRPr="00B97AA2" w14:paraId="381ACB0E" w14:textId="77777777" w:rsidTr="00B97AA2">
        <w:trPr>
          <w:trHeight w:val="290"/>
          <w:tblHeader/>
        </w:trPr>
        <w:tc>
          <w:tcPr>
            <w:tcW w:w="3297" w:type="pct"/>
            <w:gridSpan w:val="2"/>
            <w:tcBorders>
              <w:top w:val="single" w:sz="4" w:space="0" w:color="auto"/>
              <w:left w:val="nil"/>
              <w:bottom w:val="nil"/>
              <w:right w:val="nil"/>
            </w:tcBorders>
            <w:noWrap/>
            <w:vAlign w:val="center"/>
            <w:hideMark/>
          </w:tcPr>
          <w:p w14:paraId="565BED22" w14:textId="77777777" w:rsidR="00B97AA2" w:rsidRPr="00B97AA2" w:rsidRDefault="00B97AA2" w:rsidP="00B97AA2">
            <w:pPr>
              <w:spacing w:line="240" w:lineRule="auto"/>
              <w:rPr>
                <w:rFonts w:eastAsia="Times New Roman" w:cs="Times New Roman"/>
                <w:color w:val="000000"/>
                <w:sz w:val="18"/>
                <w:szCs w:val="18"/>
                <w:lang w:eastAsia="sk-SK"/>
              </w:rPr>
            </w:pPr>
            <w:r w:rsidRPr="00B97AA2">
              <w:rPr>
                <w:rFonts w:eastAsia="Times New Roman" w:cs="Times New Roman"/>
                <w:color w:val="000000"/>
                <w:sz w:val="18"/>
                <w:szCs w:val="18"/>
                <w:lang w:eastAsia="sk-SK"/>
              </w:rPr>
              <w:t> </w:t>
            </w:r>
            <w:r w:rsidRPr="00B97AA2">
              <w:rPr>
                <w:rFonts w:eastAsia="Times New Roman" w:cs="Times New Roman"/>
                <w:b/>
                <w:bCs/>
                <w:color w:val="000000"/>
                <w:sz w:val="18"/>
                <w:szCs w:val="18"/>
                <w:lang w:eastAsia="sk-SK"/>
              </w:rPr>
              <w:t>Ukazovateľ (rast v %, ak nie je uvedené inak)</w:t>
            </w:r>
          </w:p>
        </w:tc>
        <w:tc>
          <w:tcPr>
            <w:tcW w:w="425" w:type="pct"/>
            <w:tcBorders>
              <w:top w:val="single" w:sz="4" w:space="0" w:color="auto"/>
              <w:left w:val="single" w:sz="4" w:space="0" w:color="auto"/>
              <w:bottom w:val="single" w:sz="4" w:space="0" w:color="auto"/>
              <w:right w:val="single" w:sz="4" w:space="0" w:color="auto"/>
            </w:tcBorders>
            <w:noWrap/>
            <w:vAlign w:val="center"/>
            <w:hideMark/>
          </w:tcPr>
          <w:p w14:paraId="1FA5062C" w14:textId="77777777" w:rsidR="00B97AA2" w:rsidRPr="00B97AA2" w:rsidRDefault="00B97AA2" w:rsidP="00B97AA2">
            <w:pPr>
              <w:spacing w:line="240" w:lineRule="auto"/>
              <w:jc w:val="center"/>
              <w:rPr>
                <w:rFonts w:eastAsia="Times New Roman" w:cs="Times New Roman"/>
                <w:b/>
                <w:bCs/>
                <w:color w:val="000000"/>
                <w:sz w:val="18"/>
                <w:szCs w:val="18"/>
                <w:lang w:eastAsia="sk-SK"/>
              </w:rPr>
            </w:pPr>
            <w:r w:rsidRPr="00B97AA2">
              <w:rPr>
                <w:rFonts w:eastAsia="Times New Roman" w:cs="Times New Roman"/>
                <w:b/>
                <w:bCs/>
                <w:color w:val="000000"/>
                <w:sz w:val="18"/>
                <w:szCs w:val="18"/>
                <w:lang w:eastAsia="sk-SK"/>
              </w:rPr>
              <w:t>2023</w:t>
            </w:r>
          </w:p>
        </w:tc>
        <w:tc>
          <w:tcPr>
            <w:tcW w:w="425" w:type="pct"/>
            <w:tcBorders>
              <w:top w:val="single" w:sz="4" w:space="0" w:color="auto"/>
              <w:left w:val="nil"/>
              <w:bottom w:val="single" w:sz="4" w:space="0" w:color="auto"/>
              <w:right w:val="single" w:sz="4" w:space="0" w:color="auto"/>
            </w:tcBorders>
            <w:noWrap/>
            <w:vAlign w:val="center"/>
            <w:hideMark/>
          </w:tcPr>
          <w:p w14:paraId="18EA9124" w14:textId="77777777" w:rsidR="00B97AA2" w:rsidRPr="00B97AA2" w:rsidRDefault="00B97AA2" w:rsidP="00B97AA2">
            <w:pPr>
              <w:spacing w:line="240" w:lineRule="auto"/>
              <w:jc w:val="center"/>
              <w:rPr>
                <w:rFonts w:eastAsia="Times New Roman" w:cs="Times New Roman"/>
                <w:b/>
                <w:bCs/>
                <w:color w:val="000000"/>
                <w:sz w:val="18"/>
                <w:szCs w:val="18"/>
                <w:lang w:eastAsia="sk-SK"/>
              </w:rPr>
            </w:pPr>
            <w:r w:rsidRPr="00B97AA2">
              <w:rPr>
                <w:rFonts w:eastAsia="Times New Roman" w:cs="Times New Roman"/>
                <w:b/>
                <w:bCs/>
                <w:color w:val="000000"/>
                <w:sz w:val="18"/>
                <w:szCs w:val="18"/>
                <w:lang w:eastAsia="sk-SK"/>
              </w:rPr>
              <w:t>2024</w:t>
            </w:r>
          </w:p>
        </w:tc>
        <w:tc>
          <w:tcPr>
            <w:tcW w:w="425" w:type="pct"/>
            <w:tcBorders>
              <w:top w:val="single" w:sz="4" w:space="0" w:color="auto"/>
              <w:left w:val="nil"/>
              <w:bottom w:val="single" w:sz="4" w:space="0" w:color="auto"/>
              <w:right w:val="single" w:sz="4" w:space="0" w:color="auto"/>
            </w:tcBorders>
            <w:noWrap/>
            <w:vAlign w:val="center"/>
            <w:hideMark/>
          </w:tcPr>
          <w:p w14:paraId="79CECCAB" w14:textId="77777777" w:rsidR="00B97AA2" w:rsidRPr="00B97AA2" w:rsidRDefault="00B97AA2" w:rsidP="00B97AA2">
            <w:pPr>
              <w:spacing w:line="240" w:lineRule="auto"/>
              <w:jc w:val="center"/>
              <w:rPr>
                <w:rFonts w:eastAsia="Times New Roman" w:cs="Times New Roman"/>
                <w:b/>
                <w:bCs/>
                <w:color w:val="000000"/>
                <w:sz w:val="18"/>
                <w:szCs w:val="18"/>
                <w:lang w:eastAsia="sk-SK"/>
              </w:rPr>
            </w:pPr>
            <w:r w:rsidRPr="00B97AA2">
              <w:rPr>
                <w:rFonts w:eastAsia="Times New Roman" w:cs="Times New Roman"/>
                <w:b/>
                <w:bCs/>
                <w:color w:val="000000"/>
                <w:sz w:val="18"/>
                <w:szCs w:val="18"/>
                <w:lang w:eastAsia="sk-SK"/>
              </w:rPr>
              <w:t>2025</w:t>
            </w:r>
          </w:p>
        </w:tc>
        <w:tc>
          <w:tcPr>
            <w:tcW w:w="428" w:type="pct"/>
            <w:tcBorders>
              <w:top w:val="single" w:sz="4" w:space="0" w:color="auto"/>
              <w:left w:val="nil"/>
              <w:bottom w:val="single" w:sz="4" w:space="0" w:color="auto"/>
              <w:right w:val="nil"/>
            </w:tcBorders>
            <w:noWrap/>
            <w:vAlign w:val="center"/>
            <w:hideMark/>
          </w:tcPr>
          <w:p w14:paraId="0D8EBDFA" w14:textId="77777777" w:rsidR="00B97AA2" w:rsidRPr="00B97AA2" w:rsidRDefault="00B97AA2" w:rsidP="00B97AA2">
            <w:pPr>
              <w:spacing w:line="240" w:lineRule="auto"/>
              <w:jc w:val="center"/>
              <w:rPr>
                <w:rFonts w:eastAsia="Times New Roman" w:cs="Times New Roman"/>
                <w:b/>
                <w:bCs/>
                <w:color w:val="000000"/>
                <w:sz w:val="18"/>
                <w:szCs w:val="18"/>
                <w:lang w:eastAsia="sk-SK"/>
              </w:rPr>
            </w:pPr>
            <w:r w:rsidRPr="00B97AA2">
              <w:rPr>
                <w:rFonts w:eastAsia="Times New Roman" w:cs="Times New Roman"/>
                <w:b/>
                <w:bCs/>
                <w:color w:val="000000"/>
                <w:sz w:val="18"/>
                <w:szCs w:val="18"/>
                <w:lang w:eastAsia="sk-SK"/>
              </w:rPr>
              <w:t>2026</w:t>
            </w:r>
          </w:p>
        </w:tc>
      </w:tr>
      <w:tr w:rsidR="00B97AA2" w:rsidRPr="00B97AA2" w14:paraId="5688D0AB" w14:textId="77777777" w:rsidTr="00B97AA2">
        <w:trPr>
          <w:trHeight w:val="290"/>
        </w:trPr>
        <w:tc>
          <w:tcPr>
            <w:tcW w:w="2217" w:type="pct"/>
            <w:vMerge w:val="restart"/>
            <w:tcBorders>
              <w:top w:val="single" w:sz="4" w:space="0" w:color="auto"/>
              <w:left w:val="nil"/>
              <w:bottom w:val="single" w:sz="4" w:space="0" w:color="auto"/>
              <w:right w:val="single" w:sz="4" w:space="0" w:color="auto"/>
            </w:tcBorders>
            <w:noWrap/>
            <w:vAlign w:val="center"/>
            <w:hideMark/>
          </w:tcPr>
          <w:p w14:paraId="76ECAA81"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Reálne HDP</w:t>
            </w:r>
          </w:p>
        </w:tc>
        <w:tc>
          <w:tcPr>
            <w:tcW w:w="1080" w:type="pct"/>
            <w:tcBorders>
              <w:top w:val="single" w:sz="4" w:space="0" w:color="auto"/>
              <w:left w:val="nil"/>
              <w:bottom w:val="single" w:sz="4" w:space="0" w:color="auto"/>
              <w:right w:val="single" w:sz="4" w:space="0" w:color="auto"/>
            </w:tcBorders>
            <w:noWrap/>
            <w:vAlign w:val="center"/>
            <w:hideMark/>
          </w:tcPr>
          <w:p w14:paraId="70560F92"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30A045D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1,4</w:t>
            </w:r>
          </w:p>
        </w:tc>
        <w:tc>
          <w:tcPr>
            <w:tcW w:w="425" w:type="pct"/>
            <w:tcBorders>
              <w:top w:val="nil"/>
              <w:left w:val="nil"/>
              <w:bottom w:val="single" w:sz="4" w:space="0" w:color="auto"/>
              <w:right w:val="single" w:sz="4" w:space="0" w:color="auto"/>
            </w:tcBorders>
            <w:noWrap/>
            <w:vAlign w:val="center"/>
            <w:hideMark/>
          </w:tcPr>
          <w:p w14:paraId="0FA4B91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2,2</w:t>
            </w:r>
          </w:p>
        </w:tc>
        <w:tc>
          <w:tcPr>
            <w:tcW w:w="425" w:type="pct"/>
            <w:tcBorders>
              <w:top w:val="nil"/>
              <w:left w:val="nil"/>
              <w:bottom w:val="single" w:sz="4" w:space="0" w:color="auto"/>
              <w:right w:val="single" w:sz="4" w:space="0" w:color="auto"/>
            </w:tcBorders>
            <w:noWrap/>
            <w:vAlign w:val="center"/>
            <w:hideMark/>
          </w:tcPr>
          <w:p w14:paraId="3D5DEC6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2,3</w:t>
            </w:r>
          </w:p>
        </w:tc>
        <w:tc>
          <w:tcPr>
            <w:tcW w:w="428" w:type="pct"/>
            <w:tcBorders>
              <w:top w:val="nil"/>
              <w:left w:val="nil"/>
              <w:bottom w:val="single" w:sz="4" w:space="0" w:color="auto"/>
              <w:right w:val="nil"/>
            </w:tcBorders>
            <w:noWrap/>
            <w:vAlign w:val="center"/>
            <w:hideMark/>
          </w:tcPr>
          <w:p w14:paraId="574393C5"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2,5</w:t>
            </w:r>
          </w:p>
        </w:tc>
      </w:tr>
      <w:tr w:rsidR="00B97AA2" w:rsidRPr="00B97AA2" w14:paraId="2FC6168E" w14:textId="77777777" w:rsidTr="00B97AA2">
        <w:trPr>
          <w:trHeight w:val="290"/>
        </w:trPr>
        <w:tc>
          <w:tcPr>
            <w:tcW w:w="2217" w:type="pct"/>
            <w:vMerge/>
            <w:tcBorders>
              <w:top w:val="single" w:sz="4" w:space="0" w:color="auto"/>
              <w:left w:val="nil"/>
              <w:bottom w:val="single" w:sz="4" w:space="0" w:color="auto"/>
              <w:right w:val="single" w:sz="4" w:space="0" w:color="auto"/>
            </w:tcBorders>
            <w:vAlign w:val="center"/>
            <w:hideMark/>
          </w:tcPr>
          <w:p w14:paraId="59BA23BC"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54F9C78D"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0D69476A"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1,6</w:t>
            </w:r>
          </w:p>
        </w:tc>
        <w:tc>
          <w:tcPr>
            <w:tcW w:w="425" w:type="pct"/>
            <w:tcBorders>
              <w:top w:val="nil"/>
              <w:left w:val="nil"/>
              <w:bottom w:val="single" w:sz="4" w:space="0" w:color="auto"/>
              <w:right w:val="single" w:sz="4" w:space="0" w:color="auto"/>
            </w:tcBorders>
            <w:noWrap/>
            <w:vAlign w:val="center"/>
            <w:hideMark/>
          </w:tcPr>
          <w:p w14:paraId="1AE56329"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2,3</w:t>
            </w:r>
          </w:p>
        </w:tc>
        <w:tc>
          <w:tcPr>
            <w:tcW w:w="425" w:type="pct"/>
            <w:tcBorders>
              <w:top w:val="nil"/>
              <w:left w:val="nil"/>
              <w:bottom w:val="single" w:sz="4" w:space="0" w:color="auto"/>
              <w:right w:val="single" w:sz="4" w:space="0" w:color="auto"/>
            </w:tcBorders>
            <w:noWrap/>
            <w:vAlign w:val="center"/>
            <w:hideMark/>
          </w:tcPr>
          <w:p w14:paraId="6D19D17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2,2</w:t>
            </w:r>
          </w:p>
        </w:tc>
        <w:tc>
          <w:tcPr>
            <w:tcW w:w="428" w:type="pct"/>
            <w:tcBorders>
              <w:top w:val="nil"/>
              <w:left w:val="nil"/>
              <w:bottom w:val="single" w:sz="4" w:space="0" w:color="auto"/>
              <w:right w:val="nil"/>
            </w:tcBorders>
            <w:noWrap/>
            <w:vAlign w:val="center"/>
            <w:hideMark/>
          </w:tcPr>
          <w:p w14:paraId="1285BD91"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2,4</w:t>
            </w:r>
          </w:p>
        </w:tc>
      </w:tr>
      <w:tr w:rsidR="00B97AA2" w:rsidRPr="00B97AA2" w14:paraId="6057B54B" w14:textId="77777777" w:rsidTr="00B97AA2">
        <w:trPr>
          <w:trHeight w:val="290"/>
        </w:trPr>
        <w:tc>
          <w:tcPr>
            <w:tcW w:w="2217" w:type="pct"/>
            <w:vMerge w:val="restart"/>
            <w:tcBorders>
              <w:top w:val="nil"/>
              <w:left w:val="nil"/>
              <w:bottom w:val="single" w:sz="4" w:space="0" w:color="auto"/>
              <w:right w:val="single" w:sz="4" w:space="0" w:color="auto"/>
            </w:tcBorders>
            <w:noWrap/>
            <w:vAlign w:val="center"/>
            <w:hideMark/>
          </w:tcPr>
          <w:p w14:paraId="5D5C05DF"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Súkromná spotreba</w:t>
            </w:r>
          </w:p>
        </w:tc>
        <w:tc>
          <w:tcPr>
            <w:tcW w:w="1080" w:type="pct"/>
            <w:tcBorders>
              <w:top w:val="nil"/>
              <w:left w:val="nil"/>
              <w:bottom w:val="single" w:sz="4" w:space="0" w:color="auto"/>
              <w:right w:val="single" w:sz="4" w:space="0" w:color="auto"/>
            </w:tcBorders>
            <w:noWrap/>
            <w:vAlign w:val="center"/>
            <w:hideMark/>
          </w:tcPr>
          <w:p w14:paraId="2E5A365F"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55E4A5BD"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-3,3</w:t>
            </w:r>
          </w:p>
        </w:tc>
        <w:tc>
          <w:tcPr>
            <w:tcW w:w="425" w:type="pct"/>
            <w:tcBorders>
              <w:top w:val="nil"/>
              <w:left w:val="nil"/>
              <w:bottom w:val="single" w:sz="4" w:space="0" w:color="auto"/>
              <w:right w:val="single" w:sz="4" w:space="0" w:color="auto"/>
            </w:tcBorders>
            <w:noWrap/>
            <w:vAlign w:val="center"/>
            <w:hideMark/>
          </w:tcPr>
          <w:p w14:paraId="3FB72B96"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1,8</w:t>
            </w:r>
          </w:p>
        </w:tc>
        <w:tc>
          <w:tcPr>
            <w:tcW w:w="425" w:type="pct"/>
            <w:tcBorders>
              <w:top w:val="nil"/>
              <w:left w:val="nil"/>
              <w:bottom w:val="single" w:sz="4" w:space="0" w:color="auto"/>
              <w:right w:val="single" w:sz="4" w:space="0" w:color="auto"/>
            </w:tcBorders>
            <w:noWrap/>
            <w:vAlign w:val="center"/>
            <w:hideMark/>
          </w:tcPr>
          <w:p w14:paraId="710FF0D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1,4</w:t>
            </w:r>
          </w:p>
        </w:tc>
        <w:tc>
          <w:tcPr>
            <w:tcW w:w="428" w:type="pct"/>
            <w:tcBorders>
              <w:top w:val="nil"/>
              <w:left w:val="nil"/>
              <w:bottom w:val="single" w:sz="4" w:space="0" w:color="auto"/>
              <w:right w:val="nil"/>
            </w:tcBorders>
            <w:noWrap/>
            <w:vAlign w:val="center"/>
            <w:hideMark/>
          </w:tcPr>
          <w:p w14:paraId="0B97F9D2"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2,3</w:t>
            </w:r>
          </w:p>
        </w:tc>
      </w:tr>
      <w:tr w:rsidR="00B97AA2" w:rsidRPr="00B97AA2" w14:paraId="6F224EA2" w14:textId="77777777" w:rsidTr="00B97AA2">
        <w:trPr>
          <w:trHeight w:val="290"/>
        </w:trPr>
        <w:tc>
          <w:tcPr>
            <w:tcW w:w="2217" w:type="pct"/>
            <w:vMerge/>
            <w:tcBorders>
              <w:top w:val="nil"/>
              <w:left w:val="nil"/>
              <w:bottom w:val="single" w:sz="4" w:space="0" w:color="auto"/>
              <w:right w:val="single" w:sz="4" w:space="0" w:color="auto"/>
            </w:tcBorders>
            <w:vAlign w:val="center"/>
            <w:hideMark/>
          </w:tcPr>
          <w:p w14:paraId="1FD2ED71"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79EBD0CE"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66B656FC"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-3,2</w:t>
            </w:r>
          </w:p>
        </w:tc>
        <w:tc>
          <w:tcPr>
            <w:tcW w:w="425" w:type="pct"/>
            <w:tcBorders>
              <w:top w:val="nil"/>
              <w:left w:val="nil"/>
              <w:bottom w:val="single" w:sz="4" w:space="0" w:color="auto"/>
              <w:right w:val="single" w:sz="4" w:space="0" w:color="auto"/>
            </w:tcBorders>
            <w:noWrap/>
            <w:vAlign w:val="center"/>
            <w:hideMark/>
          </w:tcPr>
          <w:p w14:paraId="7C33EDF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2,9</w:t>
            </w:r>
          </w:p>
        </w:tc>
        <w:tc>
          <w:tcPr>
            <w:tcW w:w="425" w:type="pct"/>
            <w:tcBorders>
              <w:top w:val="nil"/>
              <w:left w:val="nil"/>
              <w:bottom w:val="single" w:sz="4" w:space="0" w:color="auto"/>
              <w:right w:val="single" w:sz="4" w:space="0" w:color="auto"/>
            </w:tcBorders>
            <w:noWrap/>
            <w:vAlign w:val="center"/>
            <w:hideMark/>
          </w:tcPr>
          <w:p w14:paraId="6F3D1690"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1,4</w:t>
            </w:r>
          </w:p>
        </w:tc>
        <w:tc>
          <w:tcPr>
            <w:tcW w:w="428" w:type="pct"/>
            <w:tcBorders>
              <w:top w:val="nil"/>
              <w:left w:val="nil"/>
              <w:bottom w:val="single" w:sz="4" w:space="0" w:color="auto"/>
              <w:right w:val="nil"/>
            </w:tcBorders>
            <w:noWrap/>
            <w:vAlign w:val="center"/>
            <w:hideMark/>
          </w:tcPr>
          <w:p w14:paraId="159779A4"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1,9</w:t>
            </w:r>
          </w:p>
        </w:tc>
      </w:tr>
      <w:tr w:rsidR="00B97AA2" w:rsidRPr="00B97AA2" w14:paraId="15437760" w14:textId="77777777" w:rsidTr="00B97AA2">
        <w:trPr>
          <w:trHeight w:val="290"/>
        </w:trPr>
        <w:tc>
          <w:tcPr>
            <w:tcW w:w="2217" w:type="pct"/>
            <w:vMerge w:val="restart"/>
            <w:tcBorders>
              <w:top w:val="nil"/>
              <w:left w:val="nil"/>
              <w:bottom w:val="single" w:sz="4" w:space="0" w:color="auto"/>
              <w:right w:val="single" w:sz="4" w:space="0" w:color="auto"/>
            </w:tcBorders>
            <w:noWrap/>
            <w:vAlign w:val="center"/>
            <w:hideMark/>
          </w:tcPr>
          <w:p w14:paraId="122F96B0"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Verejná spotreba</w:t>
            </w:r>
          </w:p>
        </w:tc>
        <w:tc>
          <w:tcPr>
            <w:tcW w:w="1080" w:type="pct"/>
            <w:tcBorders>
              <w:top w:val="nil"/>
              <w:left w:val="nil"/>
              <w:bottom w:val="single" w:sz="4" w:space="0" w:color="auto"/>
              <w:right w:val="single" w:sz="4" w:space="0" w:color="auto"/>
            </w:tcBorders>
            <w:noWrap/>
            <w:vAlign w:val="center"/>
            <w:hideMark/>
          </w:tcPr>
          <w:p w14:paraId="46B49EE6"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1A40C9E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w:t>
            </w:r>
          </w:p>
        </w:tc>
        <w:tc>
          <w:tcPr>
            <w:tcW w:w="425" w:type="pct"/>
            <w:tcBorders>
              <w:top w:val="nil"/>
              <w:left w:val="nil"/>
              <w:bottom w:val="single" w:sz="4" w:space="0" w:color="auto"/>
              <w:right w:val="single" w:sz="4" w:space="0" w:color="auto"/>
            </w:tcBorders>
            <w:noWrap/>
            <w:vAlign w:val="center"/>
            <w:hideMark/>
          </w:tcPr>
          <w:p w14:paraId="428E6F6C"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3,8</w:t>
            </w:r>
          </w:p>
        </w:tc>
        <w:tc>
          <w:tcPr>
            <w:tcW w:w="425" w:type="pct"/>
            <w:tcBorders>
              <w:top w:val="nil"/>
              <w:left w:val="nil"/>
              <w:bottom w:val="single" w:sz="4" w:space="0" w:color="auto"/>
              <w:right w:val="single" w:sz="4" w:space="0" w:color="auto"/>
            </w:tcBorders>
            <w:noWrap/>
            <w:vAlign w:val="center"/>
            <w:hideMark/>
          </w:tcPr>
          <w:p w14:paraId="6D55472A"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0,4</w:t>
            </w:r>
          </w:p>
        </w:tc>
        <w:tc>
          <w:tcPr>
            <w:tcW w:w="428" w:type="pct"/>
            <w:tcBorders>
              <w:top w:val="nil"/>
              <w:left w:val="nil"/>
              <w:bottom w:val="single" w:sz="4" w:space="0" w:color="auto"/>
              <w:right w:val="nil"/>
            </w:tcBorders>
            <w:noWrap/>
            <w:vAlign w:val="center"/>
            <w:hideMark/>
          </w:tcPr>
          <w:p w14:paraId="7B981AA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-0,4</w:t>
            </w:r>
          </w:p>
        </w:tc>
      </w:tr>
      <w:tr w:rsidR="00B97AA2" w:rsidRPr="00B97AA2" w14:paraId="2F212664" w14:textId="77777777" w:rsidTr="00B97AA2">
        <w:trPr>
          <w:trHeight w:val="290"/>
        </w:trPr>
        <w:tc>
          <w:tcPr>
            <w:tcW w:w="2217" w:type="pct"/>
            <w:vMerge/>
            <w:tcBorders>
              <w:top w:val="nil"/>
              <w:left w:val="nil"/>
              <w:bottom w:val="single" w:sz="4" w:space="0" w:color="auto"/>
              <w:right w:val="single" w:sz="4" w:space="0" w:color="auto"/>
            </w:tcBorders>
            <w:vAlign w:val="center"/>
            <w:hideMark/>
          </w:tcPr>
          <w:p w14:paraId="58475758"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43EEB105"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3709F5C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-0,6</w:t>
            </w:r>
          </w:p>
        </w:tc>
        <w:tc>
          <w:tcPr>
            <w:tcW w:w="425" w:type="pct"/>
            <w:tcBorders>
              <w:top w:val="nil"/>
              <w:left w:val="nil"/>
              <w:bottom w:val="single" w:sz="4" w:space="0" w:color="auto"/>
              <w:right w:val="single" w:sz="4" w:space="0" w:color="auto"/>
            </w:tcBorders>
            <w:noWrap/>
            <w:vAlign w:val="center"/>
            <w:hideMark/>
          </w:tcPr>
          <w:p w14:paraId="14273295"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3,6</w:t>
            </w:r>
          </w:p>
        </w:tc>
        <w:tc>
          <w:tcPr>
            <w:tcW w:w="425" w:type="pct"/>
            <w:tcBorders>
              <w:top w:val="nil"/>
              <w:left w:val="nil"/>
              <w:bottom w:val="single" w:sz="4" w:space="0" w:color="auto"/>
              <w:right w:val="single" w:sz="4" w:space="0" w:color="auto"/>
            </w:tcBorders>
            <w:noWrap/>
            <w:vAlign w:val="center"/>
            <w:hideMark/>
          </w:tcPr>
          <w:p w14:paraId="3ECC3CB2"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0,1</w:t>
            </w:r>
          </w:p>
        </w:tc>
        <w:tc>
          <w:tcPr>
            <w:tcW w:w="428" w:type="pct"/>
            <w:tcBorders>
              <w:top w:val="nil"/>
              <w:left w:val="nil"/>
              <w:bottom w:val="single" w:sz="4" w:space="0" w:color="auto"/>
              <w:right w:val="nil"/>
            </w:tcBorders>
            <w:noWrap/>
            <w:vAlign w:val="center"/>
            <w:hideMark/>
          </w:tcPr>
          <w:p w14:paraId="3C4145D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-0,4</w:t>
            </w:r>
          </w:p>
        </w:tc>
      </w:tr>
      <w:tr w:rsidR="00B97AA2" w:rsidRPr="00B97AA2" w14:paraId="2FDA6C21" w14:textId="77777777" w:rsidTr="00B97AA2">
        <w:trPr>
          <w:trHeight w:val="290"/>
        </w:trPr>
        <w:tc>
          <w:tcPr>
            <w:tcW w:w="2217" w:type="pct"/>
            <w:vMerge w:val="restart"/>
            <w:tcBorders>
              <w:top w:val="nil"/>
              <w:left w:val="nil"/>
              <w:bottom w:val="single" w:sz="4" w:space="0" w:color="auto"/>
              <w:right w:val="single" w:sz="4" w:space="0" w:color="auto"/>
            </w:tcBorders>
            <w:noWrap/>
            <w:vAlign w:val="center"/>
            <w:hideMark/>
          </w:tcPr>
          <w:p w14:paraId="25CAA9A4"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Investície</w:t>
            </w:r>
          </w:p>
        </w:tc>
        <w:tc>
          <w:tcPr>
            <w:tcW w:w="1080" w:type="pct"/>
            <w:tcBorders>
              <w:top w:val="nil"/>
              <w:left w:val="nil"/>
              <w:bottom w:val="single" w:sz="4" w:space="0" w:color="auto"/>
              <w:right w:val="single" w:sz="4" w:space="0" w:color="auto"/>
            </w:tcBorders>
            <w:noWrap/>
            <w:vAlign w:val="center"/>
            <w:hideMark/>
          </w:tcPr>
          <w:p w14:paraId="6ADAADDA"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624C63A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16,6</w:t>
            </w:r>
          </w:p>
        </w:tc>
        <w:tc>
          <w:tcPr>
            <w:tcW w:w="425" w:type="pct"/>
            <w:tcBorders>
              <w:top w:val="nil"/>
              <w:left w:val="nil"/>
              <w:bottom w:val="single" w:sz="4" w:space="0" w:color="auto"/>
              <w:right w:val="single" w:sz="4" w:space="0" w:color="auto"/>
            </w:tcBorders>
            <w:noWrap/>
            <w:vAlign w:val="center"/>
            <w:hideMark/>
          </w:tcPr>
          <w:p w14:paraId="2797E765"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0,7</w:t>
            </w:r>
          </w:p>
        </w:tc>
        <w:tc>
          <w:tcPr>
            <w:tcW w:w="425" w:type="pct"/>
            <w:tcBorders>
              <w:top w:val="nil"/>
              <w:left w:val="nil"/>
              <w:bottom w:val="single" w:sz="4" w:space="0" w:color="auto"/>
              <w:right w:val="single" w:sz="4" w:space="0" w:color="auto"/>
            </w:tcBorders>
            <w:noWrap/>
            <w:vAlign w:val="center"/>
            <w:hideMark/>
          </w:tcPr>
          <w:p w14:paraId="0994CC7C"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6,1</w:t>
            </w:r>
          </w:p>
        </w:tc>
        <w:tc>
          <w:tcPr>
            <w:tcW w:w="428" w:type="pct"/>
            <w:tcBorders>
              <w:top w:val="nil"/>
              <w:left w:val="nil"/>
              <w:bottom w:val="single" w:sz="4" w:space="0" w:color="auto"/>
              <w:right w:val="nil"/>
            </w:tcBorders>
            <w:noWrap/>
            <w:vAlign w:val="center"/>
            <w:hideMark/>
          </w:tcPr>
          <w:p w14:paraId="2C756CC4"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2,5</w:t>
            </w:r>
          </w:p>
        </w:tc>
      </w:tr>
      <w:tr w:rsidR="00B97AA2" w:rsidRPr="00B97AA2" w14:paraId="187D1AAA" w14:textId="77777777" w:rsidTr="00B97AA2">
        <w:trPr>
          <w:trHeight w:val="290"/>
        </w:trPr>
        <w:tc>
          <w:tcPr>
            <w:tcW w:w="2217" w:type="pct"/>
            <w:vMerge/>
            <w:tcBorders>
              <w:top w:val="nil"/>
              <w:left w:val="nil"/>
              <w:bottom w:val="single" w:sz="4" w:space="0" w:color="auto"/>
              <w:right w:val="single" w:sz="4" w:space="0" w:color="auto"/>
            </w:tcBorders>
            <w:vAlign w:val="center"/>
            <w:hideMark/>
          </w:tcPr>
          <w:p w14:paraId="6972E80E"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783D5885"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6479D4AF"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10,6</w:t>
            </w:r>
          </w:p>
        </w:tc>
        <w:tc>
          <w:tcPr>
            <w:tcW w:w="425" w:type="pct"/>
            <w:tcBorders>
              <w:top w:val="nil"/>
              <w:left w:val="nil"/>
              <w:bottom w:val="single" w:sz="4" w:space="0" w:color="auto"/>
              <w:right w:val="single" w:sz="4" w:space="0" w:color="auto"/>
            </w:tcBorders>
            <w:noWrap/>
            <w:vAlign w:val="center"/>
            <w:hideMark/>
          </w:tcPr>
          <w:p w14:paraId="30E12CD8"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-0,3</w:t>
            </w:r>
          </w:p>
        </w:tc>
        <w:tc>
          <w:tcPr>
            <w:tcW w:w="425" w:type="pct"/>
            <w:tcBorders>
              <w:top w:val="nil"/>
              <w:left w:val="nil"/>
              <w:bottom w:val="single" w:sz="4" w:space="0" w:color="auto"/>
              <w:right w:val="single" w:sz="4" w:space="0" w:color="auto"/>
            </w:tcBorders>
            <w:noWrap/>
            <w:vAlign w:val="center"/>
            <w:hideMark/>
          </w:tcPr>
          <w:p w14:paraId="49822A31"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10,6</w:t>
            </w:r>
          </w:p>
        </w:tc>
        <w:tc>
          <w:tcPr>
            <w:tcW w:w="428" w:type="pct"/>
            <w:tcBorders>
              <w:top w:val="nil"/>
              <w:left w:val="nil"/>
              <w:bottom w:val="single" w:sz="4" w:space="0" w:color="auto"/>
              <w:right w:val="nil"/>
            </w:tcBorders>
            <w:noWrap/>
            <w:vAlign w:val="center"/>
            <w:hideMark/>
          </w:tcPr>
          <w:p w14:paraId="21997DD5"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0,4</w:t>
            </w:r>
          </w:p>
        </w:tc>
      </w:tr>
      <w:tr w:rsidR="00B97AA2" w:rsidRPr="00B97AA2" w14:paraId="6709C6D9" w14:textId="77777777" w:rsidTr="00B97AA2">
        <w:trPr>
          <w:trHeight w:val="290"/>
        </w:trPr>
        <w:tc>
          <w:tcPr>
            <w:tcW w:w="2217" w:type="pct"/>
            <w:vMerge w:val="restart"/>
            <w:tcBorders>
              <w:top w:val="nil"/>
              <w:left w:val="nil"/>
              <w:bottom w:val="single" w:sz="4" w:space="0" w:color="auto"/>
              <w:right w:val="single" w:sz="4" w:space="0" w:color="auto"/>
            </w:tcBorders>
            <w:noWrap/>
            <w:vAlign w:val="center"/>
            <w:hideMark/>
          </w:tcPr>
          <w:p w14:paraId="1274ADC6"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Export</w:t>
            </w:r>
          </w:p>
        </w:tc>
        <w:tc>
          <w:tcPr>
            <w:tcW w:w="1080" w:type="pct"/>
            <w:tcBorders>
              <w:top w:val="nil"/>
              <w:left w:val="nil"/>
              <w:bottom w:val="single" w:sz="4" w:space="0" w:color="auto"/>
              <w:right w:val="single" w:sz="4" w:space="0" w:color="auto"/>
            </w:tcBorders>
            <w:noWrap/>
            <w:vAlign w:val="center"/>
            <w:hideMark/>
          </w:tcPr>
          <w:p w14:paraId="213B3962"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78151DC5"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-0,7</w:t>
            </w:r>
          </w:p>
        </w:tc>
        <w:tc>
          <w:tcPr>
            <w:tcW w:w="425" w:type="pct"/>
            <w:tcBorders>
              <w:top w:val="nil"/>
              <w:left w:val="nil"/>
              <w:bottom w:val="single" w:sz="4" w:space="0" w:color="auto"/>
              <w:right w:val="single" w:sz="4" w:space="0" w:color="auto"/>
            </w:tcBorders>
            <w:noWrap/>
            <w:vAlign w:val="center"/>
            <w:hideMark/>
          </w:tcPr>
          <w:p w14:paraId="5D23FF1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w:t>
            </w:r>
          </w:p>
        </w:tc>
        <w:tc>
          <w:tcPr>
            <w:tcW w:w="425" w:type="pct"/>
            <w:tcBorders>
              <w:top w:val="nil"/>
              <w:left w:val="nil"/>
              <w:bottom w:val="single" w:sz="4" w:space="0" w:color="auto"/>
              <w:right w:val="single" w:sz="4" w:space="0" w:color="auto"/>
            </w:tcBorders>
            <w:noWrap/>
            <w:vAlign w:val="center"/>
            <w:hideMark/>
          </w:tcPr>
          <w:p w14:paraId="48FEA86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3,8</w:t>
            </w:r>
          </w:p>
        </w:tc>
        <w:tc>
          <w:tcPr>
            <w:tcW w:w="428" w:type="pct"/>
            <w:tcBorders>
              <w:top w:val="nil"/>
              <w:left w:val="nil"/>
              <w:bottom w:val="single" w:sz="4" w:space="0" w:color="auto"/>
              <w:right w:val="nil"/>
            </w:tcBorders>
            <w:noWrap/>
            <w:vAlign w:val="center"/>
            <w:hideMark/>
          </w:tcPr>
          <w:p w14:paraId="6C8FE324"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4</w:t>
            </w:r>
          </w:p>
        </w:tc>
      </w:tr>
      <w:tr w:rsidR="00B97AA2" w:rsidRPr="00B97AA2" w14:paraId="244B0776" w14:textId="77777777" w:rsidTr="00B97AA2">
        <w:trPr>
          <w:trHeight w:val="290"/>
        </w:trPr>
        <w:tc>
          <w:tcPr>
            <w:tcW w:w="2217" w:type="pct"/>
            <w:vMerge/>
            <w:tcBorders>
              <w:top w:val="nil"/>
              <w:left w:val="nil"/>
              <w:bottom w:val="single" w:sz="4" w:space="0" w:color="auto"/>
              <w:right w:val="single" w:sz="4" w:space="0" w:color="auto"/>
            </w:tcBorders>
            <w:vAlign w:val="center"/>
            <w:hideMark/>
          </w:tcPr>
          <w:p w14:paraId="7D1E6CE3"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13443C8D"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3BD398E8"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-1,4</w:t>
            </w:r>
          </w:p>
        </w:tc>
        <w:tc>
          <w:tcPr>
            <w:tcW w:w="425" w:type="pct"/>
            <w:tcBorders>
              <w:top w:val="nil"/>
              <w:left w:val="nil"/>
              <w:bottom w:val="single" w:sz="4" w:space="0" w:color="auto"/>
              <w:right w:val="single" w:sz="4" w:space="0" w:color="auto"/>
            </w:tcBorders>
            <w:noWrap/>
            <w:vAlign w:val="center"/>
            <w:hideMark/>
          </w:tcPr>
          <w:p w14:paraId="3F9DD226"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1,8</w:t>
            </w:r>
          </w:p>
        </w:tc>
        <w:tc>
          <w:tcPr>
            <w:tcW w:w="425" w:type="pct"/>
            <w:tcBorders>
              <w:top w:val="nil"/>
              <w:left w:val="nil"/>
              <w:bottom w:val="single" w:sz="4" w:space="0" w:color="auto"/>
              <w:right w:val="single" w:sz="4" w:space="0" w:color="auto"/>
            </w:tcBorders>
            <w:noWrap/>
            <w:vAlign w:val="center"/>
            <w:hideMark/>
          </w:tcPr>
          <w:p w14:paraId="2493DBCA"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3,7</w:t>
            </w:r>
          </w:p>
        </w:tc>
        <w:tc>
          <w:tcPr>
            <w:tcW w:w="428" w:type="pct"/>
            <w:tcBorders>
              <w:top w:val="nil"/>
              <w:left w:val="nil"/>
              <w:bottom w:val="single" w:sz="4" w:space="0" w:color="auto"/>
              <w:right w:val="nil"/>
            </w:tcBorders>
            <w:noWrap/>
            <w:vAlign w:val="center"/>
            <w:hideMark/>
          </w:tcPr>
          <w:p w14:paraId="5763A202"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4,3</w:t>
            </w:r>
          </w:p>
        </w:tc>
      </w:tr>
      <w:tr w:rsidR="00B97AA2" w:rsidRPr="00B97AA2" w14:paraId="7B06F497" w14:textId="77777777" w:rsidTr="00B97AA2">
        <w:trPr>
          <w:trHeight w:val="290"/>
        </w:trPr>
        <w:tc>
          <w:tcPr>
            <w:tcW w:w="2217" w:type="pct"/>
            <w:vMerge w:val="restart"/>
            <w:tcBorders>
              <w:top w:val="nil"/>
              <w:left w:val="nil"/>
              <w:bottom w:val="single" w:sz="4" w:space="0" w:color="auto"/>
              <w:right w:val="single" w:sz="4" w:space="0" w:color="auto"/>
            </w:tcBorders>
            <w:noWrap/>
            <w:vAlign w:val="center"/>
            <w:hideMark/>
          </w:tcPr>
          <w:p w14:paraId="6D6A0072"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Import</w:t>
            </w:r>
          </w:p>
        </w:tc>
        <w:tc>
          <w:tcPr>
            <w:tcW w:w="1080" w:type="pct"/>
            <w:tcBorders>
              <w:top w:val="nil"/>
              <w:left w:val="nil"/>
              <w:bottom w:val="single" w:sz="4" w:space="0" w:color="auto"/>
              <w:right w:val="single" w:sz="4" w:space="0" w:color="auto"/>
            </w:tcBorders>
            <w:noWrap/>
            <w:vAlign w:val="center"/>
            <w:hideMark/>
          </w:tcPr>
          <w:p w14:paraId="16A019AA"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1705592A"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-7,7</w:t>
            </w:r>
          </w:p>
        </w:tc>
        <w:tc>
          <w:tcPr>
            <w:tcW w:w="425" w:type="pct"/>
            <w:tcBorders>
              <w:top w:val="nil"/>
              <w:left w:val="nil"/>
              <w:bottom w:val="single" w:sz="4" w:space="0" w:color="auto"/>
              <w:right w:val="single" w:sz="4" w:space="0" w:color="auto"/>
            </w:tcBorders>
            <w:noWrap/>
            <w:vAlign w:val="center"/>
            <w:hideMark/>
          </w:tcPr>
          <w:p w14:paraId="433A61E5"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4,3</w:t>
            </w:r>
          </w:p>
        </w:tc>
        <w:tc>
          <w:tcPr>
            <w:tcW w:w="425" w:type="pct"/>
            <w:tcBorders>
              <w:top w:val="nil"/>
              <w:left w:val="nil"/>
              <w:bottom w:val="single" w:sz="4" w:space="0" w:color="auto"/>
              <w:right w:val="single" w:sz="4" w:space="0" w:color="auto"/>
            </w:tcBorders>
            <w:noWrap/>
            <w:vAlign w:val="center"/>
            <w:hideMark/>
          </w:tcPr>
          <w:p w14:paraId="31CA6C8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3,9</w:t>
            </w:r>
          </w:p>
        </w:tc>
        <w:tc>
          <w:tcPr>
            <w:tcW w:w="428" w:type="pct"/>
            <w:tcBorders>
              <w:top w:val="nil"/>
              <w:left w:val="nil"/>
              <w:bottom w:val="single" w:sz="4" w:space="0" w:color="auto"/>
              <w:right w:val="nil"/>
            </w:tcBorders>
            <w:noWrap/>
            <w:vAlign w:val="center"/>
            <w:hideMark/>
          </w:tcPr>
          <w:p w14:paraId="3DB244D2"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3,2</w:t>
            </w:r>
          </w:p>
        </w:tc>
      </w:tr>
      <w:tr w:rsidR="00B97AA2" w:rsidRPr="00B97AA2" w14:paraId="5993CD1B" w14:textId="77777777" w:rsidTr="00B97AA2">
        <w:trPr>
          <w:trHeight w:val="290"/>
        </w:trPr>
        <w:tc>
          <w:tcPr>
            <w:tcW w:w="2217" w:type="pct"/>
            <w:vMerge/>
            <w:tcBorders>
              <w:top w:val="nil"/>
              <w:left w:val="nil"/>
              <w:bottom w:val="single" w:sz="4" w:space="0" w:color="auto"/>
              <w:right w:val="single" w:sz="4" w:space="0" w:color="auto"/>
            </w:tcBorders>
            <w:vAlign w:val="center"/>
            <w:hideMark/>
          </w:tcPr>
          <w:p w14:paraId="54E24FEC"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0920EF5F"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4F8BD2CC"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-7,6</w:t>
            </w:r>
          </w:p>
        </w:tc>
        <w:tc>
          <w:tcPr>
            <w:tcW w:w="425" w:type="pct"/>
            <w:tcBorders>
              <w:top w:val="nil"/>
              <w:left w:val="nil"/>
              <w:bottom w:val="single" w:sz="4" w:space="0" w:color="auto"/>
              <w:right w:val="single" w:sz="4" w:space="0" w:color="auto"/>
            </w:tcBorders>
            <w:noWrap/>
            <w:vAlign w:val="center"/>
            <w:hideMark/>
          </w:tcPr>
          <w:p w14:paraId="4222BA4B"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4,8</w:t>
            </w:r>
          </w:p>
        </w:tc>
        <w:tc>
          <w:tcPr>
            <w:tcW w:w="425" w:type="pct"/>
            <w:tcBorders>
              <w:top w:val="nil"/>
              <w:left w:val="nil"/>
              <w:bottom w:val="single" w:sz="4" w:space="0" w:color="auto"/>
              <w:right w:val="single" w:sz="4" w:space="0" w:color="auto"/>
            </w:tcBorders>
            <w:noWrap/>
            <w:vAlign w:val="center"/>
            <w:hideMark/>
          </w:tcPr>
          <w:p w14:paraId="4951B573"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6,7</w:t>
            </w:r>
          </w:p>
        </w:tc>
        <w:tc>
          <w:tcPr>
            <w:tcW w:w="428" w:type="pct"/>
            <w:tcBorders>
              <w:top w:val="nil"/>
              <w:left w:val="nil"/>
              <w:bottom w:val="single" w:sz="4" w:space="0" w:color="auto"/>
              <w:right w:val="nil"/>
            </w:tcBorders>
            <w:noWrap/>
            <w:vAlign w:val="center"/>
            <w:hideMark/>
          </w:tcPr>
          <w:p w14:paraId="5EAACD53"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w:t>
            </w:r>
          </w:p>
        </w:tc>
      </w:tr>
      <w:tr w:rsidR="00B97AA2" w:rsidRPr="00B97AA2" w14:paraId="0E7FBEDE" w14:textId="77777777" w:rsidTr="00B97AA2">
        <w:trPr>
          <w:trHeight w:val="290"/>
        </w:trPr>
        <w:tc>
          <w:tcPr>
            <w:tcW w:w="2217" w:type="pct"/>
            <w:vMerge w:val="restart"/>
            <w:tcBorders>
              <w:top w:val="nil"/>
              <w:left w:val="nil"/>
              <w:bottom w:val="single" w:sz="4" w:space="0" w:color="auto"/>
              <w:right w:val="single" w:sz="4" w:space="0" w:color="auto"/>
            </w:tcBorders>
            <w:noWrap/>
            <w:vAlign w:val="center"/>
            <w:hideMark/>
          </w:tcPr>
          <w:p w14:paraId="16306A7D"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Inflácia (HICP)</w:t>
            </w:r>
          </w:p>
        </w:tc>
        <w:tc>
          <w:tcPr>
            <w:tcW w:w="1080" w:type="pct"/>
            <w:tcBorders>
              <w:top w:val="nil"/>
              <w:left w:val="nil"/>
              <w:bottom w:val="single" w:sz="4" w:space="0" w:color="auto"/>
              <w:right w:val="single" w:sz="4" w:space="0" w:color="auto"/>
            </w:tcBorders>
            <w:noWrap/>
            <w:vAlign w:val="center"/>
            <w:hideMark/>
          </w:tcPr>
          <w:p w14:paraId="5A72038B"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62FEC5EF"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11</w:t>
            </w:r>
          </w:p>
        </w:tc>
        <w:tc>
          <w:tcPr>
            <w:tcW w:w="425" w:type="pct"/>
            <w:tcBorders>
              <w:top w:val="nil"/>
              <w:left w:val="nil"/>
              <w:bottom w:val="single" w:sz="4" w:space="0" w:color="auto"/>
              <w:right w:val="single" w:sz="4" w:space="0" w:color="auto"/>
            </w:tcBorders>
            <w:noWrap/>
            <w:vAlign w:val="center"/>
            <w:hideMark/>
          </w:tcPr>
          <w:p w14:paraId="62FC44E1"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3,1</w:t>
            </w:r>
          </w:p>
        </w:tc>
        <w:tc>
          <w:tcPr>
            <w:tcW w:w="425" w:type="pct"/>
            <w:tcBorders>
              <w:top w:val="nil"/>
              <w:left w:val="nil"/>
              <w:bottom w:val="single" w:sz="4" w:space="0" w:color="auto"/>
              <w:right w:val="single" w:sz="4" w:space="0" w:color="auto"/>
            </w:tcBorders>
            <w:noWrap/>
            <w:vAlign w:val="center"/>
            <w:hideMark/>
          </w:tcPr>
          <w:p w14:paraId="02EB4A87"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5,1</w:t>
            </w:r>
          </w:p>
        </w:tc>
        <w:tc>
          <w:tcPr>
            <w:tcW w:w="428" w:type="pct"/>
            <w:tcBorders>
              <w:top w:val="nil"/>
              <w:left w:val="nil"/>
              <w:bottom w:val="single" w:sz="4" w:space="0" w:color="auto"/>
              <w:right w:val="nil"/>
            </w:tcBorders>
            <w:noWrap/>
            <w:vAlign w:val="center"/>
            <w:hideMark/>
          </w:tcPr>
          <w:p w14:paraId="1796C7E8"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w:t>
            </w:r>
          </w:p>
        </w:tc>
      </w:tr>
      <w:tr w:rsidR="00B97AA2" w:rsidRPr="00B97AA2" w14:paraId="453854BD" w14:textId="77777777" w:rsidTr="00B97AA2">
        <w:trPr>
          <w:trHeight w:val="290"/>
        </w:trPr>
        <w:tc>
          <w:tcPr>
            <w:tcW w:w="2217" w:type="pct"/>
            <w:vMerge/>
            <w:tcBorders>
              <w:top w:val="nil"/>
              <w:left w:val="nil"/>
              <w:bottom w:val="single" w:sz="4" w:space="0" w:color="auto"/>
              <w:right w:val="single" w:sz="4" w:space="0" w:color="auto"/>
            </w:tcBorders>
            <w:vAlign w:val="center"/>
            <w:hideMark/>
          </w:tcPr>
          <w:p w14:paraId="55C9FBE0"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40D0A72D"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1FAA4B48"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11</w:t>
            </w:r>
          </w:p>
        </w:tc>
        <w:tc>
          <w:tcPr>
            <w:tcW w:w="425" w:type="pct"/>
            <w:tcBorders>
              <w:top w:val="nil"/>
              <w:left w:val="nil"/>
              <w:bottom w:val="single" w:sz="4" w:space="0" w:color="auto"/>
              <w:right w:val="single" w:sz="4" w:space="0" w:color="auto"/>
            </w:tcBorders>
            <w:noWrap/>
            <w:vAlign w:val="center"/>
            <w:hideMark/>
          </w:tcPr>
          <w:p w14:paraId="6316CC24"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3</w:t>
            </w:r>
          </w:p>
        </w:tc>
        <w:tc>
          <w:tcPr>
            <w:tcW w:w="425" w:type="pct"/>
            <w:tcBorders>
              <w:top w:val="nil"/>
              <w:left w:val="nil"/>
              <w:bottom w:val="single" w:sz="4" w:space="0" w:color="auto"/>
              <w:right w:val="single" w:sz="4" w:space="0" w:color="auto"/>
            </w:tcBorders>
            <w:noWrap/>
            <w:vAlign w:val="center"/>
            <w:hideMark/>
          </w:tcPr>
          <w:p w14:paraId="7CA269C0"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5,6</w:t>
            </w:r>
          </w:p>
        </w:tc>
        <w:tc>
          <w:tcPr>
            <w:tcW w:w="428" w:type="pct"/>
            <w:tcBorders>
              <w:top w:val="nil"/>
              <w:left w:val="nil"/>
              <w:bottom w:val="single" w:sz="4" w:space="0" w:color="auto"/>
              <w:right w:val="nil"/>
            </w:tcBorders>
            <w:noWrap/>
            <w:vAlign w:val="center"/>
            <w:hideMark/>
          </w:tcPr>
          <w:p w14:paraId="7DBFE16F"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2,8</w:t>
            </w:r>
          </w:p>
        </w:tc>
      </w:tr>
      <w:tr w:rsidR="00B97AA2" w:rsidRPr="00B97AA2" w14:paraId="11D10795" w14:textId="77777777" w:rsidTr="00B97AA2">
        <w:trPr>
          <w:trHeight w:val="290"/>
        </w:trPr>
        <w:tc>
          <w:tcPr>
            <w:tcW w:w="2217" w:type="pct"/>
            <w:vMerge w:val="restart"/>
            <w:tcBorders>
              <w:top w:val="nil"/>
              <w:left w:val="nil"/>
              <w:bottom w:val="single" w:sz="4" w:space="0" w:color="auto"/>
              <w:right w:val="single" w:sz="4" w:space="0" w:color="auto"/>
            </w:tcBorders>
            <w:noWrap/>
            <w:vAlign w:val="center"/>
            <w:hideMark/>
          </w:tcPr>
          <w:p w14:paraId="1D17A26A"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Zamestnanosť (ESA)</w:t>
            </w:r>
          </w:p>
        </w:tc>
        <w:tc>
          <w:tcPr>
            <w:tcW w:w="1080" w:type="pct"/>
            <w:tcBorders>
              <w:top w:val="nil"/>
              <w:left w:val="nil"/>
              <w:bottom w:val="single" w:sz="4" w:space="0" w:color="auto"/>
              <w:right w:val="single" w:sz="4" w:space="0" w:color="auto"/>
            </w:tcBorders>
            <w:noWrap/>
            <w:vAlign w:val="center"/>
            <w:hideMark/>
          </w:tcPr>
          <w:p w14:paraId="2EBE887D"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5E86DDED"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0,3</w:t>
            </w:r>
          </w:p>
        </w:tc>
        <w:tc>
          <w:tcPr>
            <w:tcW w:w="425" w:type="pct"/>
            <w:tcBorders>
              <w:top w:val="nil"/>
              <w:left w:val="nil"/>
              <w:bottom w:val="single" w:sz="4" w:space="0" w:color="auto"/>
              <w:right w:val="single" w:sz="4" w:space="0" w:color="auto"/>
            </w:tcBorders>
            <w:noWrap/>
            <w:vAlign w:val="center"/>
            <w:hideMark/>
          </w:tcPr>
          <w:p w14:paraId="76FCC7FA"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0,2</w:t>
            </w:r>
          </w:p>
        </w:tc>
        <w:tc>
          <w:tcPr>
            <w:tcW w:w="425" w:type="pct"/>
            <w:tcBorders>
              <w:top w:val="nil"/>
              <w:left w:val="nil"/>
              <w:bottom w:val="single" w:sz="4" w:space="0" w:color="auto"/>
              <w:right w:val="single" w:sz="4" w:space="0" w:color="auto"/>
            </w:tcBorders>
            <w:noWrap/>
            <w:vAlign w:val="center"/>
            <w:hideMark/>
          </w:tcPr>
          <w:p w14:paraId="5A90BDD3"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0,1</w:t>
            </w:r>
          </w:p>
        </w:tc>
        <w:tc>
          <w:tcPr>
            <w:tcW w:w="428" w:type="pct"/>
            <w:tcBorders>
              <w:top w:val="nil"/>
              <w:left w:val="nil"/>
              <w:bottom w:val="single" w:sz="4" w:space="0" w:color="auto"/>
              <w:right w:val="nil"/>
            </w:tcBorders>
            <w:noWrap/>
            <w:vAlign w:val="center"/>
            <w:hideMark/>
          </w:tcPr>
          <w:p w14:paraId="7DCF392A"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0,1</w:t>
            </w:r>
          </w:p>
        </w:tc>
      </w:tr>
      <w:tr w:rsidR="00B97AA2" w:rsidRPr="00B97AA2" w14:paraId="41344D17" w14:textId="77777777" w:rsidTr="00B97AA2">
        <w:trPr>
          <w:trHeight w:val="290"/>
        </w:trPr>
        <w:tc>
          <w:tcPr>
            <w:tcW w:w="2217" w:type="pct"/>
            <w:vMerge/>
            <w:tcBorders>
              <w:top w:val="nil"/>
              <w:left w:val="nil"/>
              <w:bottom w:val="single" w:sz="4" w:space="0" w:color="auto"/>
              <w:right w:val="single" w:sz="4" w:space="0" w:color="auto"/>
            </w:tcBorders>
            <w:vAlign w:val="center"/>
            <w:hideMark/>
          </w:tcPr>
          <w:p w14:paraId="1B1C9468" w14:textId="77777777" w:rsidR="00B97AA2" w:rsidRPr="00B97AA2" w:rsidRDefault="00B97AA2" w:rsidP="00B97AA2">
            <w:pPr>
              <w:spacing w:line="240" w:lineRule="auto"/>
              <w:rPr>
                <w:rFonts w:eastAsia="Times New Roman" w:cs="Times New Roman"/>
                <w:color w:val="000000"/>
                <w:sz w:val="18"/>
                <w:szCs w:val="18"/>
                <w:lang w:eastAsia="sk-SK"/>
              </w:rPr>
            </w:pPr>
          </w:p>
        </w:tc>
        <w:tc>
          <w:tcPr>
            <w:tcW w:w="1080" w:type="pct"/>
            <w:tcBorders>
              <w:top w:val="nil"/>
              <w:left w:val="nil"/>
              <w:bottom w:val="single" w:sz="4" w:space="0" w:color="auto"/>
              <w:right w:val="single" w:sz="4" w:space="0" w:color="auto"/>
            </w:tcBorders>
            <w:noWrap/>
            <w:vAlign w:val="center"/>
            <w:hideMark/>
          </w:tcPr>
          <w:p w14:paraId="327612E1"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76BF04F2"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0,3</w:t>
            </w:r>
          </w:p>
        </w:tc>
        <w:tc>
          <w:tcPr>
            <w:tcW w:w="425" w:type="pct"/>
            <w:tcBorders>
              <w:top w:val="nil"/>
              <w:left w:val="nil"/>
              <w:bottom w:val="single" w:sz="4" w:space="0" w:color="auto"/>
              <w:right w:val="single" w:sz="4" w:space="0" w:color="auto"/>
            </w:tcBorders>
            <w:noWrap/>
            <w:vAlign w:val="center"/>
            <w:hideMark/>
          </w:tcPr>
          <w:p w14:paraId="192DB57F"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-0,1</w:t>
            </w:r>
          </w:p>
        </w:tc>
        <w:tc>
          <w:tcPr>
            <w:tcW w:w="425" w:type="pct"/>
            <w:tcBorders>
              <w:top w:val="nil"/>
              <w:left w:val="nil"/>
              <w:bottom w:val="single" w:sz="4" w:space="0" w:color="auto"/>
              <w:right w:val="single" w:sz="4" w:space="0" w:color="auto"/>
            </w:tcBorders>
            <w:noWrap/>
            <w:vAlign w:val="center"/>
            <w:hideMark/>
          </w:tcPr>
          <w:p w14:paraId="09988D1A"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0,4</w:t>
            </w:r>
          </w:p>
        </w:tc>
        <w:tc>
          <w:tcPr>
            <w:tcW w:w="428" w:type="pct"/>
            <w:tcBorders>
              <w:top w:val="nil"/>
              <w:left w:val="nil"/>
              <w:bottom w:val="single" w:sz="4" w:space="0" w:color="auto"/>
              <w:right w:val="nil"/>
            </w:tcBorders>
            <w:noWrap/>
            <w:vAlign w:val="center"/>
            <w:hideMark/>
          </w:tcPr>
          <w:p w14:paraId="3C69C841"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0,2</w:t>
            </w:r>
          </w:p>
        </w:tc>
      </w:tr>
      <w:tr w:rsidR="00B97AA2" w:rsidRPr="00B97AA2" w14:paraId="0165963A" w14:textId="77777777" w:rsidTr="00B97AA2">
        <w:trPr>
          <w:trHeight w:val="290"/>
        </w:trPr>
        <w:tc>
          <w:tcPr>
            <w:tcW w:w="2217" w:type="pct"/>
            <w:tcBorders>
              <w:top w:val="nil"/>
              <w:left w:val="nil"/>
              <w:bottom w:val="single" w:sz="4" w:space="0" w:color="auto"/>
              <w:right w:val="single" w:sz="4" w:space="0" w:color="auto"/>
            </w:tcBorders>
            <w:vAlign w:val="center"/>
            <w:hideMark/>
          </w:tcPr>
          <w:p w14:paraId="0E7E3F47"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Produkčná medzera</w:t>
            </w:r>
          </w:p>
        </w:tc>
        <w:tc>
          <w:tcPr>
            <w:tcW w:w="1080" w:type="pct"/>
            <w:tcBorders>
              <w:top w:val="nil"/>
              <w:left w:val="nil"/>
              <w:bottom w:val="single" w:sz="4" w:space="0" w:color="auto"/>
              <w:right w:val="single" w:sz="4" w:space="0" w:color="auto"/>
            </w:tcBorders>
            <w:noWrap/>
            <w:vAlign w:val="center"/>
            <w:hideMark/>
          </w:tcPr>
          <w:p w14:paraId="1C4E4B0E"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EK (jeseň)</w:t>
            </w:r>
          </w:p>
        </w:tc>
        <w:tc>
          <w:tcPr>
            <w:tcW w:w="425" w:type="pct"/>
            <w:tcBorders>
              <w:top w:val="nil"/>
              <w:left w:val="nil"/>
              <w:bottom w:val="single" w:sz="4" w:space="0" w:color="auto"/>
              <w:right w:val="single" w:sz="4" w:space="0" w:color="auto"/>
            </w:tcBorders>
            <w:noWrap/>
            <w:vAlign w:val="center"/>
            <w:hideMark/>
          </w:tcPr>
          <w:p w14:paraId="02A21DC6"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-0,7</w:t>
            </w:r>
          </w:p>
        </w:tc>
        <w:tc>
          <w:tcPr>
            <w:tcW w:w="425" w:type="pct"/>
            <w:tcBorders>
              <w:top w:val="nil"/>
              <w:left w:val="nil"/>
              <w:bottom w:val="single" w:sz="4" w:space="0" w:color="auto"/>
              <w:right w:val="single" w:sz="4" w:space="0" w:color="auto"/>
            </w:tcBorders>
            <w:noWrap/>
            <w:vAlign w:val="center"/>
            <w:hideMark/>
          </w:tcPr>
          <w:p w14:paraId="205CE58F"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-0,8</w:t>
            </w:r>
          </w:p>
        </w:tc>
        <w:tc>
          <w:tcPr>
            <w:tcW w:w="425" w:type="pct"/>
            <w:tcBorders>
              <w:top w:val="nil"/>
              <w:left w:val="nil"/>
              <w:bottom w:val="single" w:sz="4" w:space="0" w:color="auto"/>
              <w:right w:val="single" w:sz="4" w:space="0" w:color="auto"/>
            </w:tcBorders>
            <w:noWrap/>
            <w:vAlign w:val="center"/>
            <w:hideMark/>
          </w:tcPr>
          <w:p w14:paraId="26DF745F"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-0,7</w:t>
            </w:r>
          </w:p>
        </w:tc>
        <w:tc>
          <w:tcPr>
            <w:tcW w:w="428" w:type="pct"/>
            <w:tcBorders>
              <w:top w:val="nil"/>
              <w:left w:val="nil"/>
              <w:bottom w:val="single" w:sz="4" w:space="0" w:color="auto"/>
              <w:right w:val="nil"/>
            </w:tcBorders>
            <w:noWrap/>
            <w:vAlign w:val="center"/>
            <w:hideMark/>
          </w:tcPr>
          <w:p w14:paraId="65802DB0"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-0,4</w:t>
            </w:r>
          </w:p>
        </w:tc>
      </w:tr>
      <w:tr w:rsidR="00B97AA2" w:rsidRPr="00B97AA2" w14:paraId="08516667" w14:textId="77777777" w:rsidTr="00B97AA2">
        <w:trPr>
          <w:trHeight w:val="290"/>
        </w:trPr>
        <w:tc>
          <w:tcPr>
            <w:tcW w:w="2217" w:type="pct"/>
            <w:tcBorders>
              <w:top w:val="nil"/>
              <w:left w:val="nil"/>
              <w:bottom w:val="single" w:sz="4" w:space="0" w:color="auto"/>
              <w:right w:val="single" w:sz="4" w:space="0" w:color="auto"/>
            </w:tcBorders>
            <w:vAlign w:val="center"/>
            <w:hideMark/>
          </w:tcPr>
          <w:p w14:paraId="3140E804"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 z pot. HDP)</w:t>
            </w:r>
          </w:p>
        </w:tc>
        <w:tc>
          <w:tcPr>
            <w:tcW w:w="1080" w:type="pct"/>
            <w:tcBorders>
              <w:top w:val="nil"/>
              <w:left w:val="nil"/>
              <w:bottom w:val="single" w:sz="4" w:space="0" w:color="auto"/>
              <w:right w:val="single" w:sz="4" w:space="0" w:color="auto"/>
            </w:tcBorders>
            <w:noWrap/>
            <w:vAlign w:val="center"/>
            <w:hideMark/>
          </w:tcPr>
          <w:p w14:paraId="2211BD18" w14:textId="77777777" w:rsidR="00B97AA2" w:rsidRPr="00B97AA2" w:rsidRDefault="00B97AA2" w:rsidP="00B97AA2">
            <w:pPr>
              <w:spacing w:line="240" w:lineRule="auto"/>
              <w:jc w:val="both"/>
              <w:rPr>
                <w:rFonts w:eastAsia="Times New Roman" w:cs="Times New Roman"/>
                <w:color w:val="000000"/>
                <w:sz w:val="18"/>
                <w:szCs w:val="18"/>
                <w:lang w:eastAsia="sk-SK"/>
              </w:rPr>
            </w:pPr>
            <w:r w:rsidRPr="00B97AA2">
              <w:rPr>
                <w:rFonts w:eastAsia="Times New Roman" w:cs="Times New Roman"/>
                <w:color w:val="000000"/>
                <w:sz w:val="18"/>
                <w:szCs w:val="18"/>
                <w:lang w:eastAsia="sk-SK"/>
              </w:rPr>
              <w:t>Prognóza MF SR (sep)</w:t>
            </w:r>
          </w:p>
        </w:tc>
        <w:tc>
          <w:tcPr>
            <w:tcW w:w="425" w:type="pct"/>
            <w:tcBorders>
              <w:top w:val="nil"/>
              <w:left w:val="nil"/>
              <w:bottom w:val="single" w:sz="4" w:space="0" w:color="auto"/>
              <w:right w:val="single" w:sz="4" w:space="0" w:color="auto"/>
            </w:tcBorders>
            <w:noWrap/>
            <w:vAlign w:val="center"/>
            <w:hideMark/>
          </w:tcPr>
          <w:p w14:paraId="1D900651"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-0,5</w:t>
            </w:r>
          </w:p>
        </w:tc>
        <w:tc>
          <w:tcPr>
            <w:tcW w:w="425" w:type="pct"/>
            <w:tcBorders>
              <w:top w:val="nil"/>
              <w:left w:val="nil"/>
              <w:bottom w:val="single" w:sz="4" w:space="0" w:color="auto"/>
              <w:right w:val="single" w:sz="4" w:space="0" w:color="auto"/>
            </w:tcBorders>
            <w:noWrap/>
            <w:vAlign w:val="center"/>
            <w:hideMark/>
          </w:tcPr>
          <w:p w14:paraId="394F2349"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-0,5</w:t>
            </w:r>
          </w:p>
        </w:tc>
        <w:tc>
          <w:tcPr>
            <w:tcW w:w="425" w:type="pct"/>
            <w:tcBorders>
              <w:top w:val="nil"/>
              <w:left w:val="nil"/>
              <w:bottom w:val="single" w:sz="4" w:space="0" w:color="auto"/>
              <w:right w:val="single" w:sz="4" w:space="0" w:color="auto"/>
            </w:tcBorders>
            <w:noWrap/>
            <w:vAlign w:val="center"/>
            <w:hideMark/>
          </w:tcPr>
          <w:p w14:paraId="2C097F26"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-0,6</w:t>
            </w:r>
          </w:p>
        </w:tc>
        <w:tc>
          <w:tcPr>
            <w:tcW w:w="428" w:type="pct"/>
            <w:tcBorders>
              <w:top w:val="nil"/>
              <w:left w:val="nil"/>
              <w:bottom w:val="single" w:sz="4" w:space="0" w:color="auto"/>
              <w:right w:val="nil"/>
            </w:tcBorders>
            <w:noWrap/>
            <w:vAlign w:val="center"/>
            <w:hideMark/>
          </w:tcPr>
          <w:p w14:paraId="035FABE0" w14:textId="77777777" w:rsidR="00B97AA2" w:rsidRPr="00B97AA2" w:rsidRDefault="00B97AA2" w:rsidP="00B97AA2">
            <w:pPr>
              <w:spacing w:line="240" w:lineRule="auto"/>
              <w:jc w:val="right"/>
              <w:rPr>
                <w:rFonts w:eastAsia="Times New Roman" w:cs="Times New Roman"/>
                <w:color w:val="000000"/>
                <w:sz w:val="18"/>
                <w:szCs w:val="18"/>
                <w:lang w:eastAsia="sk-SK"/>
              </w:rPr>
            </w:pPr>
            <w:r w:rsidRPr="00B97AA2">
              <w:rPr>
                <w:rFonts w:eastAsia="Times New Roman" w:cs="Times New Roman"/>
                <w:color w:val="000000"/>
                <w:sz w:val="18"/>
                <w:szCs w:val="18"/>
                <w:lang w:eastAsia="sk-SK"/>
              </w:rPr>
              <w:t>-0,5</w:t>
            </w:r>
          </w:p>
        </w:tc>
      </w:tr>
    </w:tbl>
    <w:p w14:paraId="0DA9C32B" w14:textId="312407B8" w:rsidR="009A05C7" w:rsidRDefault="001B6E92" w:rsidP="002E56EB">
      <w:pPr>
        <w:tabs>
          <w:tab w:val="right" w:pos="9070"/>
        </w:tabs>
        <w:spacing w:line="240" w:lineRule="auto"/>
        <w:jc w:val="both"/>
        <w:rPr>
          <w:rFonts w:eastAsia="Times New Roman" w:cs="Times New Roman"/>
          <w:iCs/>
          <w:color w:val="000000"/>
          <w:sz w:val="18"/>
          <w:szCs w:val="18"/>
          <w:lang w:eastAsia="sk-SK"/>
        </w:rPr>
      </w:pPr>
      <w:r w:rsidRPr="00B97AA2">
        <w:rPr>
          <w:rFonts w:eastAsia="Times New Roman" w:cs="Times New Roman"/>
          <w:iCs/>
          <w:color w:val="000000"/>
          <w:sz w:val="18"/>
          <w:szCs w:val="18"/>
          <w:lang w:eastAsia="sk-SK"/>
        </w:rPr>
        <w:tab/>
      </w:r>
      <w:r w:rsidR="009A05C7" w:rsidRPr="00B97AA2">
        <w:rPr>
          <w:rFonts w:eastAsia="Times New Roman" w:cs="Times New Roman"/>
          <w:iCs/>
          <w:color w:val="000000"/>
          <w:sz w:val="18"/>
          <w:szCs w:val="18"/>
          <w:lang w:eastAsia="sk-SK"/>
        </w:rPr>
        <w:t>Zdroj: MF SR, EK</w:t>
      </w:r>
    </w:p>
    <w:p w14:paraId="1C9FB002" w14:textId="346C993B" w:rsidR="005F5B88" w:rsidRPr="0056462B" w:rsidRDefault="005F5B88" w:rsidP="004A1F94">
      <w:pPr>
        <w:pStyle w:val="Nadpis1"/>
        <w:ind w:left="0" w:firstLine="0"/>
      </w:pPr>
      <w:bookmarkStart w:id="35" w:name="_Toc227758894"/>
      <w:r w:rsidRPr="0056462B">
        <w:lastRenderedPageBreak/>
        <w:t>Hospodárenie verejnej správy v metodike ESA</w:t>
      </w:r>
      <w:r w:rsidR="00005D7D">
        <w:t> </w:t>
      </w:r>
      <w:r w:rsidRPr="0056462B">
        <w:t>2010</w:t>
      </w:r>
      <w:bookmarkEnd w:id="7"/>
      <w:bookmarkEnd w:id="35"/>
    </w:p>
    <w:p w14:paraId="13B4A910" w14:textId="77777777" w:rsidR="00402102" w:rsidRPr="0050710A" w:rsidRDefault="00402102" w:rsidP="004A1F94">
      <w:pPr>
        <w:spacing w:line="240" w:lineRule="auto"/>
        <w:jc w:val="both"/>
        <w:rPr>
          <w:szCs w:val="24"/>
          <w:highlight w:val="yellow"/>
        </w:rPr>
      </w:pPr>
    </w:p>
    <w:p w14:paraId="33C02B3C" w14:textId="23FF1CEA" w:rsidR="00CB3C45" w:rsidRPr="0056462B" w:rsidRDefault="00CB3C45" w:rsidP="004A1F94">
      <w:pPr>
        <w:pStyle w:val="Nadpis2"/>
        <w:spacing w:after="0"/>
      </w:pPr>
      <w:bookmarkStart w:id="36" w:name="_Toc227758895"/>
      <w:r w:rsidRPr="0056462B">
        <w:t>Zámery, ciele a opatrenia rozpočtovej politiky v roku 202</w:t>
      </w:r>
      <w:r w:rsidR="0056462B">
        <w:t>5</w:t>
      </w:r>
      <w:bookmarkEnd w:id="36"/>
    </w:p>
    <w:p w14:paraId="21FDFF7B" w14:textId="77777777" w:rsidR="00402102" w:rsidRPr="0050710A" w:rsidRDefault="00402102" w:rsidP="004A1F94">
      <w:pPr>
        <w:spacing w:line="240" w:lineRule="auto"/>
        <w:jc w:val="both"/>
        <w:rPr>
          <w:szCs w:val="24"/>
          <w:highlight w:val="yellow"/>
        </w:rPr>
      </w:pPr>
    </w:p>
    <w:p w14:paraId="1572539B" w14:textId="7A48DDBB" w:rsidR="001601E3" w:rsidRDefault="001601E3" w:rsidP="004A1F94">
      <w:pPr>
        <w:spacing w:line="240" w:lineRule="auto"/>
        <w:jc w:val="both"/>
        <w:rPr>
          <w:szCs w:val="24"/>
        </w:rPr>
      </w:pPr>
      <w:bookmarkStart w:id="37" w:name="_Toc6415640"/>
      <w:r w:rsidRPr="001601E3">
        <w:rPr>
          <w:szCs w:val="24"/>
        </w:rPr>
        <w:t>K procesu tvorby rozpočtu verejnej správy na roky 2025 až 2027 vláda SR pristúpila zodpovedne. Rozpočet verejnej správy na roky 2025 až 2027 zohľadňoval potrebnú konsolidáciu verejných financií požadovanú zo strany Európskej komisie, ako aj napĺňanie cieľov programového vyhlásenia vlády SR. Vzhľadom na doterajší vysoký deficit verejných financií a zadlženie Slovenskej republiky vláda SR schválila súbor konsolidačných opatrení, ktoré mali prispieť k stabilizácii verejných financií a k eliminácii negatívnych vplyvov na vývoj hospodárenia Slovenskej republiky. Opatrenia tejto v poradí už druhej zásadnej konsolidácie boli zostavené tak, aby boli čo najviac sociálne vyvážené a nezadusili rast ekonomiky.</w:t>
      </w:r>
    </w:p>
    <w:p w14:paraId="0CC66044" w14:textId="77777777" w:rsidR="001601E3" w:rsidRPr="001601E3" w:rsidRDefault="001601E3" w:rsidP="001601E3">
      <w:pPr>
        <w:spacing w:line="240" w:lineRule="auto"/>
        <w:jc w:val="both"/>
        <w:rPr>
          <w:szCs w:val="24"/>
        </w:rPr>
      </w:pPr>
    </w:p>
    <w:p w14:paraId="10378CDB" w14:textId="2C6A377B" w:rsidR="00402102" w:rsidRDefault="001601E3" w:rsidP="001601E3">
      <w:pPr>
        <w:spacing w:line="240" w:lineRule="auto"/>
        <w:jc w:val="both"/>
        <w:rPr>
          <w:szCs w:val="24"/>
        </w:rPr>
      </w:pPr>
      <w:r w:rsidRPr="001601E3">
        <w:rPr>
          <w:szCs w:val="24"/>
        </w:rPr>
        <w:t>Rozpočet verejnej správy na roky 2025 až 2027 vychádzal z aktuálnej prognózy makroekonomického vývoja a prognózy daňových a odvodových príjmov do</w:t>
      </w:r>
      <w:r w:rsidR="00832E5F">
        <w:rPr>
          <w:szCs w:val="24"/>
        </w:rPr>
        <w:t> </w:t>
      </w:r>
      <w:r w:rsidRPr="001601E3">
        <w:rPr>
          <w:szCs w:val="24"/>
        </w:rPr>
        <w:t>roku 2028. Zároveň zohľadňoval aj aktuálny predpoklad vývoja rozpočtu verejnej správy v priebehu roku 2024.</w:t>
      </w:r>
    </w:p>
    <w:p w14:paraId="35111C4D" w14:textId="77777777" w:rsidR="007D6221" w:rsidRDefault="007D6221" w:rsidP="001601E3">
      <w:pPr>
        <w:spacing w:line="240" w:lineRule="auto"/>
        <w:jc w:val="both"/>
        <w:rPr>
          <w:szCs w:val="24"/>
        </w:rPr>
      </w:pPr>
    </w:p>
    <w:p w14:paraId="68BB676C" w14:textId="17B37C50" w:rsidR="00402102" w:rsidRPr="001601E3" w:rsidRDefault="001601E3" w:rsidP="00532D85">
      <w:pPr>
        <w:spacing w:line="240" w:lineRule="auto"/>
        <w:jc w:val="both"/>
        <w:rPr>
          <w:b/>
          <w:bCs/>
          <w:szCs w:val="24"/>
        </w:rPr>
      </w:pPr>
      <w:r w:rsidRPr="001601E3">
        <w:rPr>
          <w:b/>
          <w:szCs w:val="24"/>
        </w:rPr>
        <w:t>Rozpočet verejnej správy na roky 2025 až 2027 predpokladal deficitné hospodárenie na</w:t>
      </w:r>
      <w:r w:rsidR="006467E3">
        <w:rPr>
          <w:b/>
          <w:szCs w:val="24"/>
        </w:rPr>
        <w:t> </w:t>
      </w:r>
      <w:r w:rsidRPr="001601E3">
        <w:rPr>
          <w:b/>
          <w:szCs w:val="24"/>
        </w:rPr>
        <w:t>celom trojročnom horizonte. Hlavný rozpočtový</w:t>
      </w:r>
      <w:r w:rsidRPr="001601E3">
        <w:rPr>
          <w:b/>
          <w:bCs/>
          <w:szCs w:val="24"/>
        </w:rPr>
        <w:t xml:space="preserve"> cieľ vlády SR v rámci rozpočtu verejnej správy na roky 2025 až 2027 bol schválený v podobe deficitu verejných financií v roku 2025 vo výške 4,72</w:t>
      </w:r>
      <w:r w:rsidR="006467E3">
        <w:rPr>
          <w:b/>
          <w:bCs/>
          <w:szCs w:val="24"/>
        </w:rPr>
        <w:t> </w:t>
      </w:r>
      <w:r w:rsidRPr="001601E3">
        <w:rPr>
          <w:b/>
          <w:bCs/>
          <w:szCs w:val="24"/>
        </w:rPr>
        <w:t>%</w:t>
      </w:r>
      <w:r w:rsidR="006467E3">
        <w:rPr>
          <w:b/>
          <w:bCs/>
          <w:szCs w:val="24"/>
        </w:rPr>
        <w:t> </w:t>
      </w:r>
      <w:r w:rsidRPr="001601E3">
        <w:rPr>
          <w:b/>
          <w:bCs/>
          <w:szCs w:val="24"/>
        </w:rPr>
        <w:t>HDP.</w:t>
      </w:r>
    </w:p>
    <w:p w14:paraId="0FB5955A" w14:textId="77777777" w:rsidR="001601E3" w:rsidRPr="0050710A" w:rsidRDefault="001601E3" w:rsidP="00532D85">
      <w:pPr>
        <w:spacing w:line="240" w:lineRule="auto"/>
        <w:jc w:val="both"/>
        <w:rPr>
          <w:szCs w:val="24"/>
          <w:highlight w:val="yellow"/>
        </w:rPr>
      </w:pPr>
    </w:p>
    <w:p w14:paraId="30F6C752" w14:textId="229FE384" w:rsidR="00172628" w:rsidRDefault="00172628" w:rsidP="00172628">
      <w:pPr>
        <w:spacing w:line="240" w:lineRule="auto"/>
        <w:jc w:val="both"/>
        <w:rPr>
          <w:bCs/>
          <w:szCs w:val="24"/>
        </w:rPr>
      </w:pPr>
      <w:bookmarkStart w:id="38" w:name="_Toc6415635"/>
      <w:r w:rsidRPr="00172628">
        <w:rPr>
          <w:bCs/>
          <w:szCs w:val="24"/>
        </w:rPr>
        <w:t>Rozpočet verejnej správy na roky 2025 až 2027 bol pripravený v súlade s Národným strednodobým fiškálno-štrukturálnym plánom Slovenskej republiky na roky 2025 až 2028, v ktorom si vláda stanovila záväznú trajektóriu rastu čistých výdavkov na 4 roky s cieľom poklesu deficitu k</w:t>
      </w:r>
      <w:r w:rsidR="006467E3">
        <w:rPr>
          <w:bCs/>
          <w:szCs w:val="24"/>
        </w:rPr>
        <w:t> </w:t>
      </w:r>
      <w:r w:rsidRPr="00172628">
        <w:rPr>
          <w:bCs/>
          <w:szCs w:val="24"/>
        </w:rPr>
        <w:t>3</w:t>
      </w:r>
      <w:r w:rsidR="006467E3">
        <w:rPr>
          <w:bCs/>
          <w:szCs w:val="24"/>
        </w:rPr>
        <w:t> </w:t>
      </w:r>
      <w:r w:rsidRPr="00172628">
        <w:rPr>
          <w:bCs/>
          <w:szCs w:val="24"/>
        </w:rPr>
        <w:t>%</w:t>
      </w:r>
      <w:r w:rsidR="006467E3">
        <w:rPr>
          <w:bCs/>
          <w:szCs w:val="24"/>
        </w:rPr>
        <w:t> </w:t>
      </w:r>
      <w:r w:rsidRPr="00172628">
        <w:rPr>
          <w:bCs/>
          <w:szCs w:val="24"/>
        </w:rPr>
        <w:t>HDP do konca volebného obdobia a so stabilizáciou verejného dlhu. Hoci nové fiškálne pravidlá umožňovali Slovensku rozložiť proces ozdravenia verejných financií až na 7 rokov, vláda sa rozhodla pripraviť 4-ročný ozdravný plán s postupným znížením deficitu</w:t>
      </w:r>
      <w:r w:rsidR="00A44C43">
        <w:rPr>
          <w:bCs/>
          <w:szCs w:val="24"/>
        </w:rPr>
        <w:t>.</w:t>
      </w:r>
    </w:p>
    <w:p w14:paraId="19566651" w14:textId="77777777" w:rsidR="00A44C43" w:rsidRPr="00172628" w:rsidRDefault="00A44C43" w:rsidP="00172628">
      <w:pPr>
        <w:spacing w:line="240" w:lineRule="auto"/>
        <w:jc w:val="both"/>
        <w:rPr>
          <w:bCs/>
          <w:szCs w:val="24"/>
        </w:rPr>
      </w:pPr>
    </w:p>
    <w:p w14:paraId="2C8719BF" w14:textId="6AE815FB" w:rsidR="00172628" w:rsidRDefault="00172628" w:rsidP="00172628">
      <w:pPr>
        <w:spacing w:line="240" w:lineRule="auto"/>
        <w:jc w:val="both"/>
        <w:rPr>
          <w:szCs w:val="24"/>
        </w:rPr>
      </w:pPr>
      <w:r w:rsidRPr="00172628">
        <w:rPr>
          <w:szCs w:val="24"/>
        </w:rPr>
        <w:t>Rozpočet verejnej správy na roky 2025 až 2027 bol pripravovaný v</w:t>
      </w:r>
      <w:r w:rsidR="006467E3">
        <w:rPr>
          <w:szCs w:val="24"/>
        </w:rPr>
        <w:t> </w:t>
      </w:r>
      <w:r w:rsidRPr="00172628">
        <w:rPr>
          <w:szCs w:val="24"/>
        </w:rPr>
        <w:t>podmienkach implementácie nových fiškálnych pravidiel Európskej komisie, ktoré sa zameriavajú n</w:t>
      </w:r>
      <w:r w:rsidR="006467E3">
        <w:rPr>
          <w:szCs w:val="24"/>
        </w:rPr>
        <w:t>a </w:t>
      </w:r>
      <w:r w:rsidRPr="00172628">
        <w:rPr>
          <w:szCs w:val="24"/>
        </w:rPr>
        <w:t>výrazné znižovanie vysokých úrovní dlhu členských štátov a podporu udržateľného a</w:t>
      </w:r>
      <w:r w:rsidR="006467E3">
        <w:rPr>
          <w:szCs w:val="24"/>
        </w:rPr>
        <w:t> </w:t>
      </w:r>
      <w:r w:rsidRPr="00172628">
        <w:rPr>
          <w:szCs w:val="24"/>
        </w:rPr>
        <w:t>inkluzívneho rastu a ktoré definujú maximálnu mieru rastu čistých výdavkov. V nadväznosti na uvedené boli do zákona č.</w:t>
      </w:r>
      <w:r w:rsidR="006467E3">
        <w:rPr>
          <w:szCs w:val="24"/>
        </w:rPr>
        <w:t> </w:t>
      </w:r>
      <w:r w:rsidRPr="00172628">
        <w:rPr>
          <w:szCs w:val="24"/>
        </w:rPr>
        <w:t>118/2024</w:t>
      </w:r>
      <w:r w:rsidR="006467E3">
        <w:rPr>
          <w:szCs w:val="24"/>
        </w:rPr>
        <w:t> </w:t>
      </w:r>
      <w:r w:rsidRPr="00172628">
        <w:rPr>
          <w:szCs w:val="24"/>
        </w:rPr>
        <w:t>Z.</w:t>
      </w:r>
      <w:r w:rsidR="006467E3">
        <w:rPr>
          <w:szCs w:val="24"/>
        </w:rPr>
        <w:t> </w:t>
      </w:r>
      <w:r w:rsidRPr="00172628">
        <w:rPr>
          <w:szCs w:val="24"/>
        </w:rPr>
        <w:t>z., ktorým sa mení a dopĺňa zákon č.</w:t>
      </w:r>
      <w:r w:rsidR="006467E3">
        <w:rPr>
          <w:szCs w:val="24"/>
        </w:rPr>
        <w:t> </w:t>
      </w:r>
      <w:r w:rsidRPr="00172628">
        <w:rPr>
          <w:szCs w:val="24"/>
        </w:rPr>
        <w:t>523/2004</w:t>
      </w:r>
      <w:r w:rsidR="006467E3">
        <w:rPr>
          <w:szCs w:val="24"/>
        </w:rPr>
        <w:t> </w:t>
      </w:r>
      <w:r w:rsidRPr="00172628">
        <w:rPr>
          <w:szCs w:val="24"/>
        </w:rPr>
        <w:t>Z.</w:t>
      </w:r>
      <w:r w:rsidR="006467E3">
        <w:rPr>
          <w:szCs w:val="24"/>
        </w:rPr>
        <w:t> </w:t>
      </w:r>
      <w:r w:rsidRPr="00172628">
        <w:rPr>
          <w:szCs w:val="24"/>
        </w:rPr>
        <w:t>z. o rozpočtových pravidlách verejnej správy a o zmene a doplnení niektorých zákonov v</w:t>
      </w:r>
      <w:r w:rsidR="006467E3">
        <w:rPr>
          <w:szCs w:val="24"/>
        </w:rPr>
        <w:t> </w:t>
      </w:r>
      <w:r w:rsidRPr="00172628">
        <w:rPr>
          <w:szCs w:val="24"/>
        </w:rPr>
        <w:t>znení neskorších predpisov a ktorým sa menia a dopĺňajú niektoré zákony prijaté ustanovenia týkajúce sa limitu verejných výdavkov. S cieľom zjednodušiť fiškálne pravidlá a posilniť ich proticyklickosť sa zaviedol jediný záväzný operatívny nástroj rastu čistých výdavkov, podľa ktorého sa má zabezpečiť dosiahnutie požadovaných úrovní dlhu a deficitu. Limit verejných výdavkov zahŕňa maximálnu výšku časovo rozlíšených konsolidovaných výdavkov verejnej správy v jednotnej metodike platnej pre Európsku úniu bez úrokových výdavkov, diskrečných príjmových opatrení, výdavkov na programy Únie plne kryté príjmami z fondov Únie, vnútroštátnych výdavkov na spolufinancovanie programov financovaných Úniou, cyklických prvkov výdavkov na dávky v nezamestnanosti a jednorazových a iných dočasných opatrení. Limit verejných výdavkov vypočítaný v súlade s trajektóriou čistých výdavkov bol na</w:t>
      </w:r>
      <w:r w:rsidR="006467E3">
        <w:rPr>
          <w:szCs w:val="24"/>
        </w:rPr>
        <w:t> </w:t>
      </w:r>
      <w:r w:rsidRPr="00172628">
        <w:rPr>
          <w:szCs w:val="24"/>
        </w:rPr>
        <w:t>rok 2025 stanovený v sume 61</w:t>
      </w:r>
      <w:r w:rsidR="006467E3">
        <w:rPr>
          <w:szCs w:val="24"/>
        </w:rPr>
        <w:t> </w:t>
      </w:r>
      <w:r w:rsidRPr="00172628">
        <w:rPr>
          <w:szCs w:val="24"/>
        </w:rPr>
        <w:t>143</w:t>
      </w:r>
      <w:r w:rsidR="006467E3">
        <w:rPr>
          <w:szCs w:val="24"/>
        </w:rPr>
        <w:t> </w:t>
      </w:r>
      <w:r w:rsidRPr="00172628">
        <w:rPr>
          <w:szCs w:val="24"/>
        </w:rPr>
        <w:t>mil.</w:t>
      </w:r>
      <w:r w:rsidR="006467E3">
        <w:rPr>
          <w:szCs w:val="24"/>
        </w:rPr>
        <w:t> </w:t>
      </w:r>
      <w:r w:rsidRPr="00172628">
        <w:rPr>
          <w:szCs w:val="24"/>
        </w:rPr>
        <w:t>eur. Avšak limit verejných výdavkov stanovený prílohou k</w:t>
      </w:r>
      <w:r w:rsidR="006467E3">
        <w:rPr>
          <w:szCs w:val="24"/>
        </w:rPr>
        <w:t> </w:t>
      </w:r>
      <w:r w:rsidRPr="00172628">
        <w:rPr>
          <w:szCs w:val="24"/>
        </w:rPr>
        <w:t>schválenému uzneseniu NRSR č.</w:t>
      </w:r>
      <w:r w:rsidR="006467E3">
        <w:rPr>
          <w:szCs w:val="24"/>
        </w:rPr>
        <w:t> </w:t>
      </w:r>
      <w:r w:rsidRPr="00172628">
        <w:rPr>
          <w:szCs w:val="24"/>
        </w:rPr>
        <w:t>699 z</w:t>
      </w:r>
      <w:r w:rsidR="006467E3">
        <w:rPr>
          <w:szCs w:val="24"/>
        </w:rPr>
        <w:t> </w:t>
      </w:r>
      <w:r w:rsidRPr="00172628">
        <w:rPr>
          <w:szCs w:val="24"/>
        </w:rPr>
        <w:t>3.</w:t>
      </w:r>
      <w:r w:rsidR="006467E3">
        <w:rPr>
          <w:szCs w:val="24"/>
        </w:rPr>
        <w:t> </w:t>
      </w:r>
      <w:r w:rsidRPr="00172628">
        <w:rPr>
          <w:szCs w:val="24"/>
        </w:rPr>
        <w:t xml:space="preserve">decembra 2024 za všetky subjekty verejnej správy </w:t>
      </w:r>
      <w:r w:rsidRPr="00172628">
        <w:rPr>
          <w:szCs w:val="24"/>
        </w:rPr>
        <w:lastRenderedPageBreak/>
        <w:t>a ďalšie súčasti rozpočtu verejnej správy bol v roku 2025 nižší ako limit verejných výdavkov vypočítaný podľa trajektórie čistých výdavkov, a to v sume 61</w:t>
      </w:r>
      <w:r w:rsidR="006467E3">
        <w:rPr>
          <w:szCs w:val="24"/>
        </w:rPr>
        <w:t> </w:t>
      </w:r>
      <w:r w:rsidRPr="00172628">
        <w:rPr>
          <w:szCs w:val="24"/>
        </w:rPr>
        <w:t>051</w:t>
      </w:r>
      <w:r w:rsidR="006467E3">
        <w:rPr>
          <w:szCs w:val="24"/>
        </w:rPr>
        <w:t> </w:t>
      </w:r>
      <w:r w:rsidRPr="00172628">
        <w:rPr>
          <w:szCs w:val="24"/>
        </w:rPr>
        <w:t>mil.</w:t>
      </w:r>
      <w:r w:rsidR="006467E3">
        <w:rPr>
          <w:szCs w:val="24"/>
        </w:rPr>
        <w:t> </w:t>
      </w:r>
      <w:r w:rsidRPr="00172628">
        <w:rPr>
          <w:szCs w:val="24"/>
        </w:rPr>
        <w:t>eur.</w:t>
      </w:r>
    </w:p>
    <w:p w14:paraId="471DCB14" w14:textId="77777777" w:rsidR="00172628" w:rsidRPr="00172628" w:rsidRDefault="00172628" w:rsidP="00172628">
      <w:pPr>
        <w:spacing w:line="240" w:lineRule="auto"/>
        <w:jc w:val="both"/>
        <w:rPr>
          <w:szCs w:val="24"/>
        </w:rPr>
      </w:pPr>
    </w:p>
    <w:p w14:paraId="55F37CFE" w14:textId="0481DCF1" w:rsidR="00172628" w:rsidRDefault="00172628" w:rsidP="00172628">
      <w:pPr>
        <w:spacing w:line="240" w:lineRule="auto"/>
        <w:jc w:val="both"/>
        <w:rPr>
          <w:szCs w:val="24"/>
        </w:rPr>
      </w:pPr>
      <w:r w:rsidRPr="00172628">
        <w:rPr>
          <w:szCs w:val="24"/>
        </w:rPr>
        <w:t>Rozpočet verejnej správy na roky 2025 až 2027 bol vypracovaný v metodike ESA</w:t>
      </w:r>
      <w:r w:rsidR="00005D7D">
        <w:rPr>
          <w:szCs w:val="24"/>
        </w:rPr>
        <w:t> </w:t>
      </w:r>
      <w:r w:rsidRPr="00172628">
        <w:rPr>
          <w:szCs w:val="24"/>
        </w:rPr>
        <w:t>2010</w:t>
      </w:r>
      <w:r w:rsidR="00E06BD8">
        <w:rPr>
          <w:szCs w:val="24"/>
        </w:rPr>
        <w:t>.</w:t>
      </w:r>
      <w:r w:rsidRPr="00172628">
        <w:rPr>
          <w:szCs w:val="24"/>
          <w:vertAlign w:val="superscript"/>
        </w:rPr>
        <w:footnoteReference w:id="2"/>
      </w:r>
      <w:r w:rsidRPr="00172628">
        <w:rPr>
          <w:szCs w:val="24"/>
        </w:rPr>
        <w:t xml:space="preserve"> Rovnako ako v predchádzajúcich rozpočtoch boli na príjmovej aj výdavkovej strane zapracované položky vychádzajúce z metodických úprav ESA</w:t>
      </w:r>
      <w:r w:rsidR="00005D7D">
        <w:rPr>
          <w:szCs w:val="24"/>
        </w:rPr>
        <w:t> </w:t>
      </w:r>
      <w:r w:rsidRPr="00172628">
        <w:rPr>
          <w:szCs w:val="24"/>
        </w:rPr>
        <w:t>2010. K týmto položkám patrili inputy naturálnych miezd, FISIM</w:t>
      </w:r>
      <w:r w:rsidRPr="00172628">
        <w:rPr>
          <w:szCs w:val="24"/>
          <w:vertAlign w:val="superscript"/>
        </w:rPr>
        <w:footnoteReference w:id="3"/>
      </w:r>
      <w:r w:rsidRPr="00172628">
        <w:rPr>
          <w:szCs w:val="24"/>
        </w:rPr>
        <w:t>, umeleckej produkcie na vlastné použitie a výroby softvéru na vlastné použitie. V rámci rozpočtu verejnej správy na roky 2025 až 2027 sa uvažovalo s</w:t>
      </w:r>
      <w:r w:rsidR="006467E3">
        <w:rPr>
          <w:szCs w:val="24"/>
        </w:rPr>
        <w:t> </w:t>
      </w:r>
      <w:r w:rsidRPr="00172628">
        <w:rPr>
          <w:szCs w:val="24"/>
        </w:rPr>
        <w:t>hodnotami na úrovni jarnej notifikácie skutočnosti za rok 2023. Rozpočet tiež počítal so</w:t>
      </w:r>
      <w:r w:rsidR="006467E3">
        <w:rPr>
          <w:szCs w:val="24"/>
        </w:rPr>
        <w:t> </w:t>
      </w:r>
      <w:r w:rsidRPr="00172628">
        <w:rPr>
          <w:szCs w:val="24"/>
        </w:rPr>
        <w:t>zaradením systému podpory obnoviteľných zdrojov energie a vysoko účinnej kombinovanej výroby energie, tzv. zelenej energie, ktorá je v zmysle metodiky ESA</w:t>
      </w:r>
      <w:r w:rsidR="00005D7D">
        <w:rPr>
          <w:szCs w:val="24"/>
        </w:rPr>
        <w:t> </w:t>
      </w:r>
      <w:r w:rsidRPr="00172628">
        <w:rPr>
          <w:szCs w:val="24"/>
        </w:rPr>
        <w:t>2010 presmerovaná cez</w:t>
      </w:r>
      <w:r w:rsidR="006467E3">
        <w:rPr>
          <w:szCs w:val="24"/>
        </w:rPr>
        <w:t> </w:t>
      </w:r>
      <w:r w:rsidRPr="00172628">
        <w:rPr>
          <w:szCs w:val="24"/>
        </w:rPr>
        <w:t>sektor verejnej správy.</w:t>
      </w:r>
    </w:p>
    <w:p w14:paraId="14409600" w14:textId="77777777" w:rsidR="00172628" w:rsidRPr="00172628" w:rsidRDefault="00172628" w:rsidP="00172628">
      <w:pPr>
        <w:spacing w:line="240" w:lineRule="auto"/>
        <w:jc w:val="both"/>
        <w:rPr>
          <w:szCs w:val="24"/>
        </w:rPr>
      </w:pPr>
    </w:p>
    <w:p w14:paraId="790EF67C" w14:textId="362A0FD9" w:rsidR="00172628" w:rsidRDefault="00172628" w:rsidP="00172628">
      <w:pPr>
        <w:spacing w:line="240" w:lineRule="auto"/>
        <w:jc w:val="both"/>
        <w:rPr>
          <w:szCs w:val="24"/>
        </w:rPr>
      </w:pPr>
      <w:r w:rsidRPr="00172628">
        <w:rPr>
          <w:szCs w:val="24"/>
        </w:rPr>
        <w:t>Súčasťou rozpočtu verejnej správy na roky 2025 až 2027 boli aj konsolidačné opatrenia v celkovom objeme 2,7</w:t>
      </w:r>
      <w:r w:rsidR="006467E3">
        <w:rPr>
          <w:szCs w:val="24"/>
        </w:rPr>
        <w:t> </w:t>
      </w:r>
      <w:r w:rsidRPr="00172628">
        <w:rPr>
          <w:szCs w:val="24"/>
        </w:rPr>
        <w:t>mld.</w:t>
      </w:r>
      <w:r w:rsidR="006467E3">
        <w:rPr>
          <w:szCs w:val="24"/>
        </w:rPr>
        <w:t> </w:t>
      </w:r>
      <w:r w:rsidRPr="00172628">
        <w:rPr>
          <w:szCs w:val="24"/>
        </w:rPr>
        <w:t>eur na rok 2025. Konsolidačné opatrenia na</w:t>
      </w:r>
      <w:r w:rsidR="006467E3">
        <w:rPr>
          <w:szCs w:val="24"/>
        </w:rPr>
        <w:t> </w:t>
      </w:r>
      <w:r w:rsidRPr="00172628">
        <w:rPr>
          <w:szCs w:val="24"/>
        </w:rPr>
        <w:t>príjmovej strane predstavovali 1,4</w:t>
      </w:r>
      <w:r w:rsidR="006467E3">
        <w:rPr>
          <w:szCs w:val="24"/>
        </w:rPr>
        <w:t> </w:t>
      </w:r>
      <w:r w:rsidRPr="00172628">
        <w:rPr>
          <w:szCs w:val="24"/>
        </w:rPr>
        <w:t>%</w:t>
      </w:r>
      <w:r w:rsidR="006467E3">
        <w:rPr>
          <w:szCs w:val="24"/>
        </w:rPr>
        <w:t> </w:t>
      </w:r>
      <w:r w:rsidRPr="00172628">
        <w:rPr>
          <w:szCs w:val="24"/>
        </w:rPr>
        <w:t>HDP. Medzi najväčšie opatrenia patrilo zvýšenie základnej sadzby DPH na</w:t>
      </w:r>
      <w:r w:rsidR="006467E3">
        <w:rPr>
          <w:szCs w:val="24"/>
        </w:rPr>
        <w:t> </w:t>
      </w:r>
      <w:r w:rsidRPr="00172628">
        <w:rPr>
          <w:szCs w:val="24"/>
        </w:rPr>
        <w:t>23</w:t>
      </w:r>
      <w:r w:rsidR="006467E3">
        <w:rPr>
          <w:szCs w:val="24"/>
        </w:rPr>
        <w:t> </w:t>
      </w:r>
      <w:r w:rsidRPr="00172628">
        <w:rPr>
          <w:szCs w:val="24"/>
        </w:rPr>
        <w:t>%, ktoré bolo kompenzované zníženými sadzbami najmä na potraviny, elektrinu, lieky, knihy a učebnice, služby spojené s podávaním nápojov a jedál v reštauračných a stravovacích zariadeniach, vstupné na športoviská a do fitnescentier, tovary a služby poskytované sociálnym podnikom a pre ubytovacie služby. Ďalšími objemovo významnými opatreniami boli zavedenie dane z finančných transakcií pre podnikateľov a samostatne zárobkovo činné osoby, či zavedenie, resp. zvýšenie sektorových daní. Zvýšené boli aj spotrebné dane cez novú daň zo</w:t>
      </w:r>
      <w:r w:rsidR="006467E3">
        <w:rPr>
          <w:szCs w:val="24"/>
        </w:rPr>
        <w:t> </w:t>
      </w:r>
      <w:r w:rsidRPr="00172628">
        <w:rPr>
          <w:szCs w:val="24"/>
        </w:rPr>
        <w:t>sladených nápojov a zdanením elektronických cigariet. Zároveň sa zvýšilo daňové zaťaženie firiem s tržbami nad 5</w:t>
      </w:r>
      <w:r w:rsidR="006467E3">
        <w:rPr>
          <w:szCs w:val="24"/>
        </w:rPr>
        <w:t> </w:t>
      </w:r>
      <w:r w:rsidRPr="00172628">
        <w:rPr>
          <w:szCs w:val="24"/>
        </w:rPr>
        <w:t>mil.</w:t>
      </w:r>
      <w:r w:rsidR="006467E3">
        <w:rPr>
          <w:szCs w:val="24"/>
        </w:rPr>
        <w:t> </w:t>
      </w:r>
      <w:r w:rsidRPr="00172628">
        <w:rPr>
          <w:szCs w:val="24"/>
        </w:rPr>
        <w:t>eur, zvýšili sa poplatky za diaľničné známky a cestné mýto, ako aj odvodové zaťaženie vysokopríjmovým zamestnancom. Na výdavkovej strane konsolidačné opatrenia predstavovali 0,6</w:t>
      </w:r>
      <w:r w:rsidR="006467E3">
        <w:rPr>
          <w:szCs w:val="24"/>
        </w:rPr>
        <w:t> </w:t>
      </w:r>
      <w:r w:rsidRPr="00172628">
        <w:rPr>
          <w:szCs w:val="24"/>
        </w:rPr>
        <w:t>%</w:t>
      </w:r>
      <w:r w:rsidR="006467E3">
        <w:rPr>
          <w:szCs w:val="24"/>
        </w:rPr>
        <w:t> </w:t>
      </w:r>
      <w:r w:rsidRPr="00172628">
        <w:rPr>
          <w:szCs w:val="24"/>
        </w:rPr>
        <w:t>HDP, pričom najväčšiu úsporu malo priniesť zacielenie časti sociálnych transferov v podobe nahradenia rodičovského dôchodku možnosťou asignovať časť dane z príjmu rodičom a krátenie daňového bonusu s rastúcim príjmom. Rast výdavkov sa mal tlmiť aj opatreniami na mzdovej obálke vybraných štátnych zamestnancov a zamestnancov vo</w:t>
      </w:r>
      <w:r w:rsidR="006467E3">
        <w:rPr>
          <w:szCs w:val="24"/>
        </w:rPr>
        <w:t> </w:t>
      </w:r>
      <w:r w:rsidRPr="00172628">
        <w:rPr>
          <w:szCs w:val="24"/>
        </w:rPr>
        <w:t xml:space="preserve">verejnom záujme, </w:t>
      </w:r>
      <w:r w:rsidRPr="00F92AC8">
        <w:rPr>
          <w:szCs w:val="24"/>
        </w:rPr>
        <w:t>ktorá sa znížila o</w:t>
      </w:r>
      <w:r w:rsidR="00F92AC8" w:rsidRPr="00F92AC8">
        <w:rPr>
          <w:szCs w:val="24"/>
        </w:rPr>
        <w:t> 10 %</w:t>
      </w:r>
      <w:r w:rsidRPr="00F92AC8">
        <w:rPr>
          <w:szCs w:val="24"/>
        </w:rPr>
        <w:t>.</w:t>
      </w:r>
    </w:p>
    <w:p w14:paraId="379A3D04" w14:textId="77777777" w:rsidR="00172628" w:rsidRPr="00172628" w:rsidRDefault="00172628" w:rsidP="00172628">
      <w:pPr>
        <w:spacing w:line="240" w:lineRule="auto"/>
        <w:jc w:val="both"/>
        <w:rPr>
          <w:szCs w:val="24"/>
        </w:rPr>
      </w:pPr>
    </w:p>
    <w:p w14:paraId="4E12E78F" w14:textId="6F17ED60" w:rsidR="00172628" w:rsidRDefault="00172628" w:rsidP="00172628">
      <w:pPr>
        <w:spacing w:line="240" w:lineRule="auto"/>
        <w:jc w:val="both"/>
        <w:rPr>
          <w:szCs w:val="24"/>
        </w:rPr>
      </w:pPr>
      <w:r w:rsidRPr="00172628">
        <w:rPr>
          <w:szCs w:val="24"/>
        </w:rPr>
        <w:t>Napriek nevyhnutnému konsolidačnému úsiliu a zložitým podmienkam vo</w:t>
      </w:r>
      <w:r w:rsidR="006467E3">
        <w:rPr>
          <w:szCs w:val="24"/>
        </w:rPr>
        <w:t> </w:t>
      </w:r>
      <w:r w:rsidRPr="00172628">
        <w:rPr>
          <w:szCs w:val="24"/>
        </w:rPr>
        <w:t>verejných financiách si rozpočet verejnej správy na roky 2025 až 2027 zachovával silný sociálny rozmer. Počítal aj naďalej s výdavkami určenými na výplatu plného 13. dôchodku, ako aj zvýšeného opatrovateľského príspevku, zvýšenými príspevkami na osobnú asistenciu a nárastom výdavkov na finančný príspevok na poskytovanie sociálnej služby. V oblasti vzdelávania pokračoval rast výdavkov súvisiacich s novelou školského zákona na zabezpečenie podporných opatrení v školách, najmä školského podporného tímu, pedagogických asistentov, sociálnych pracovníkov a iných pomáhajúcich profesií. Štát na seba prebral od samosprávy financovanie škôlok a zároveň zvýšil objem zdrojov pre samosprávu na predprimárne vzdelávanie. Rástli aj výdavky súvisiace s kompenzačným príspevkom pre učiteľov. Zvýšili sa aj výdavky na</w:t>
      </w:r>
      <w:r w:rsidR="006467E3">
        <w:rPr>
          <w:szCs w:val="24"/>
        </w:rPr>
        <w:t> </w:t>
      </w:r>
      <w:r w:rsidRPr="00172628">
        <w:rPr>
          <w:szCs w:val="24"/>
        </w:rPr>
        <w:t xml:space="preserve">vedu prostredníctvom Národnej stratégie pre vedu, výskum a inovácie. Rozpočet obsahuje zvýšené výdavky na modernizáciu energetických systémov vrátane uskladňovania energie a zlepšenia </w:t>
      </w:r>
      <w:r w:rsidRPr="00172628">
        <w:rPr>
          <w:szCs w:val="24"/>
        </w:rPr>
        <w:lastRenderedPageBreak/>
        <w:t>energetickej efektívnosti, zvyšovanie energetickej účinnosti existujúcich verejných a neverejných budov, či výrobu tepla alebo chladu z obnoviteľných zdrojov energie. V rozpočte boli na rok 2025 na základe vyjednaných podmienok kolektívnych zmlúv vyššieho stupňa zabezpečené zdroje na vyplatenie odmeny 800</w:t>
      </w:r>
      <w:r w:rsidR="006467E3">
        <w:rPr>
          <w:szCs w:val="24"/>
        </w:rPr>
        <w:t> </w:t>
      </w:r>
      <w:r w:rsidRPr="00172628">
        <w:rPr>
          <w:szCs w:val="24"/>
        </w:rPr>
        <w:t>eur na zamestnanca.</w:t>
      </w:r>
    </w:p>
    <w:p w14:paraId="772D068E" w14:textId="77777777" w:rsidR="00172628" w:rsidRPr="00172628" w:rsidRDefault="00172628" w:rsidP="00172628">
      <w:pPr>
        <w:spacing w:line="240" w:lineRule="auto"/>
        <w:jc w:val="both"/>
        <w:rPr>
          <w:szCs w:val="24"/>
        </w:rPr>
      </w:pPr>
    </w:p>
    <w:p w14:paraId="464A442C" w14:textId="07588171" w:rsidR="00172628" w:rsidRDefault="00172628" w:rsidP="00172628">
      <w:pPr>
        <w:spacing w:line="240" w:lineRule="auto"/>
        <w:jc w:val="both"/>
        <w:rPr>
          <w:szCs w:val="24"/>
        </w:rPr>
      </w:pPr>
      <w:r w:rsidRPr="00172628">
        <w:rPr>
          <w:szCs w:val="24"/>
        </w:rPr>
        <w:t>V priebehu roku 2025 prebiehal pravidelný monitoring vývoja plnenia schváleného rozpočtu verejnej správy na mesačnej báze, a to vrátane monitorovania očakávaného plnenia schváleného limitu verejných výdavkov. Ministerstvo financií SR sledovalo vývoj v</w:t>
      </w:r>
      <w:r w:rsidR="006467E3">
        <w:rPr>
          <w:szCs w:val="24"/>
        </w:rPr>
        <w:t> </w:t>
      </w:r>
      <w:r w:rsidRPr="00172628">
        <w:rPr>
          <w:szCs w:val="24"/>
        </w:rPr>
        <w:t>širšom rámci celých verejných financií formou pravidelnej analýzy očakávaných predpokladov hospodárenia kapitol štátneho rozpočtu a ostatných subjektov verejnej správy na</w:t>
      </w:r>
      <w:r w:rsidR="006467E3">
        <w:rPr>
          <w:szCs w:val="24"/>
        </w:rPr>
        <w:t> </w:t>
      </w:r>
      <w:r w:rsidRPr="00172628">
        <w:rPr>
          <w:szCs w:val="24"/>
        </w:rPr>
        <w:t>hotovostnej báze a v metodike ESA</w:t>
      </w:r>
      <w:r w:rsidR="006467E3">
        <w:rPr>
          <w:szCs w:val="24"/>
        </w:rPr>
        <w:t> </w:t>
      </w:r>
      <w:r w:rsidRPr="00172628">
        <w:rPr>
          <w:szCs w:val="24"/>
        </w:rPr>
        <w:t>2010. Na základe aktuálne dostupných údajov o</w:t>
      </w:r>
      <w:r w:rsidR="006467E3">
        <w:rPr>
          <w:szCs w:val="24"/>
        </w:rPr>
        <w:t> </w:t>
      </w:r>
      <w:r w:rsidRPr="00172628">
        <w:rPr>
          <w:szCs w:val="24"/>
        </w:rPr>
        <w:t>dosiahnutej skutočnosti a predpokladanom vývoji príjmov a výdavkov rozpočtu verejnej správy ku</w:t>
      </w:r>
      <w:r w:rsidR="006467E3">
        <w:rPr>
          <w:szCs w:val="24"/>
        </w:rPr>
        <w:t> </w:t>
      </w:r>
      <w:r w:rsidRPr="00172628">
        <w:rPr>
          <w:szCs w:val="24"/>
        </w:rPr>
        <w:t>koncu rozpočtového roka sa kvantifikovali očakávané zmeny a riziká v hospodárení jednotlivých subjektov rozpočtu verejnej správy oproti schválenému rozpočtu na rok 2025.</w:t>
      </w:r>
    </w:p>
    <w:p w14:paraId="54F6AEE4" w14:textId="77777777" w:rsidR="00172628" w:rsidRPr="00172628" w:rsidRDefault="00172628" w:rsidP="00172628">
      <w:pPr>
        <w:spacing w:line="240" w:lineRule="auto"/>
        <w:jc w:val="both"/>
        <w:rPr>
          <w:szCs w:val="24"/>
        </w:rPr>
      </w:pPr>
    </w:p>
    <w:p w14:paraId="2A26230D" w14:textId="065EFA47" w:rsidR="00172628" w:rsidRDefault="00172628" w:rsidP="00172628">
      <w:pPr>
        <w:spacing w:line="240" w:lineRule="auto"/>
        <w:jc w:val="both"/>
        <w:rPr>
          <w:szCs w:val="24"/>
        </w:rPr>
      </w:pPr>
      <w:r w:rsidRPr="00172628">
        <w:rPr>
          <w:szCs w:val="24"/>
        </w:rPr>
        <w:t>Mesačné predpoklady vývoja verejných financií vychádzali aj z najnovších analýz a</w:t>
      </w:r>
      <w:r w:rsidR="00005D7D">
        <w:rPr>
          <w:szCs w:val="24"/>
        </w:rPr>
        <w:t> </w:t>
      </w:r>
      <w:r w:rsidRPr="00172628">
        <w:rPr>
          <w:szCs w:val="24"/>
        </w:rPr>
        <w:t>prognóz makroekonomického vývoja, prognóz daňových a odvodových príjmov a prognóz vybraných nedaňových príjmov, ako aj z podkladov o očakávanom plnení príjmov a čerpaní výdavkov za</w:t>
      </w:r>
      <w:r w:rsidR="00005D7D">
        <w:rPr>
          <w:szCs w:val="24"/>
        </w:rPr>
        <w:t> </w:t>
      </w:r>
      <w:r w:rsidRPr="00172628">
        <w:rPr>
          <w:szCs w:val="24"/>
        </w:rPr>
        <w:t xml:space="preserve">prostriedky EÚ a prostriedky na spolufinancovanie zo štátneho rozpočtu a z podkladov o očakávanom plnení príjmov a čerpaní výdavkov za prostriedky </w:t>
      </w:r>
      <w:r w:rsidR="00C4036E">
        <w:rPr>
          <w:szCs w:val="24"/>
        </w:rPr>
        <w:t>POO</w:t>
      </w:r>
      <w:r w:rsidRPr="00172628">
        <w:rPr>
          <w:szCs w:val="24"/>
        </w:rPr>
        <w:t>.</w:t>
      </w:r>
    </w:p>
    <w:p w14:paraId="1C679EC0" w14:textId="77777777" w:rsidR="00172628" w:rsidRPr="00172628" w:rsidRDefault="00172628" w:rsidP="00172628">
      <w:pPr>
        <w:spacing w:line="240" w:lineRule="auto"/>
        <w:jc w:val="both"/>
        <w:rPr>
          <w:szCs w:val="24"/>
        </w:rPr>
      </w:pPr>
    </w:p>
    <w:p w14:paraId="141B861D" w14:textId="68C69B71" w:rsidR="00172628" w:rsidRDefault="00172628" w:rsidP="00172628">
      <w:pPr>
        <w:spacing w:line="240" w:lineRule="auto"/>
        <w:jc w:val="both"/>
        <w:rPr>
          <w:szCs w:val="24"/>
        </w:rPr>
      </w:pPr>
      <w:r w:rsidRPr="00172628">
        <w:rPr>
          <w:szCs w:val="24"/>
        </w:rPr>
        <w:t>V nadväznosti na §</w:t>
      </w:r>
      <w:r w:rsidR="00005D7D">
        <w:rPr>
          <w:szCs w:val="24"/>
        </w:rPr>
        <w:t> </w:t>
      </w:r>
      <w:r w:rsidRPr="00172628">
        <w:rPr>
          <w:szCs w:val="24"/>
        </w:rPr>
        <w:t>30 ods.</w:t>
      </w:r>
      <w:r w:rsidR="00005D7D">
        <w:rPr>
          <w:szCs w:val="24"/>
        </w:rPr>
        <w:t> </w:t>
      </w:r>
      <w:r w:rsidRPr="00172628">
        <w:rPr>
          <w:szCs w:val="24"/>
        </w:rPr>
        <w:t>3 zákona č.</w:t>
      </w:r>
      <w:r w:rsidR="00005D7D">
        <w:rPr>
          <w:szCs w:val="24"/>
        </w:rPr>
        <w:t> </w:t>
      </w:r>
      <w:r w:rsidRPr="00172628">
        <w:rPr>
          <w:szCs w:val="24"/>
        </w:rPr>
        <w:t>523/2004</w:t>
      </w:r>
      <w:r w:rsidR="00005D7D">
        <w:rPr>
          <w:szCs w:val="24"/>
        </w:rPr>
        <w:t> </w:t>
      </w:r>
      <w:r w:rsidRPr="00172628">
        <w:rPr>
          <w:szCs w:val="24"/>
        </w:rPr>
        <w:t>Z.</w:t>
      </w:r>
      <w:r w:rsidR="00005D7D">
        <w:rPr>
          <w:szCs w:val="24"/>
        </w:rPr>
        <w:t> </w:t>
      </w:r>
      <w:r w:rsidRPr="00172628">
        <w:rPr>
          <w:szCs w:val="24"/>
        </w:rPr>
        <w:t>z. o rozpočtových pravidlách verejnej správy a o zmene a doplnení niektorých zákonov, na základe ktorého Ministerstvo financií SR zverejňuje očakávanú skutočnosť bežného rozpočtového roka vrátane očakávaného plnenia limitu verejných výdavkov v porovnaní so schváleným rozpočtom verejnej správy na</w:t>
      </w:r>
      <w:r w:rsidR="00005D7D">
        <w:rPr>
          <w:szCs w:val="24"/>
        </w:rPr>
        <w:t> </w:t>
      </w:r>
      <w:r w:rsidRPr="00172628">
        <w:rPr>
          <w:szCs w:val="24"/>
        </w:rPr>
        <w:t>bežný rozpočtový rok spôsobom podľa osobitného predpisu najneskôr do 15.</w:t>
      </w:r>
      <w:r w:rsidR="00005D7D">
        <w:rPr>
          <w:szCs w:val="24"/>
        </w:rPr>
        <w:t> </w:t>
      </w:r>
      <w:r w:rsidRPr="00172628">
        <w:rPr>
          <w:szCs w:val="24"/>
        </w:rPr>
        <w:t>augusta bežného roka na základe údajov k 30.</w:t>
      </w:r>
      <w:r w:rsidR="00005D7D">
        <w:rPr>
          <w:szCs w:val="24"/>
        </w:rPr>
        <w:t> </w:t>
      </w:r>
      <w:r w:rsidRPr="00172628">
        <w:rPr>
          <w:szCs w:val="24"/>
        </w:rPr>
        <w:t>júnu bežného roka dostupných v čase jej spracovania, Ministerstvo financií SR zverejnilo na svojej stránke Správu o očakávanej skutočnosti za</w:t>
      </w:r>
      <w:r w:rsidR="00005D7D">
        <w:rPr>
          <w:szCs w:val="24"/>
        </w:rPr>
        <w:t> </w:t>
      </w:r>
      <w:r w:rsidRPr="00172628">
        <w:rPr>
          <w:szCs w:val="24"/>
        </w:rPr>
        <w:t>rok 2025 v</w:t>
      </w:r>
      <w:r w:rsidR="00005D7D">
        <w:rPr>
          <w:szCs w:val="24"/>
        </w:rPr>
        <w:t> </w:t>
      </w:r>
      <w:r w:rsidRPr="00172628">
        <w:rPr>
          <w:szCs w:val="24"/>
        </w:rPr>
        <w:t>porovnaní so schváleným rozpočtom verejnej správy na rok 2025, v rámci ktorej očakávalo deficit hospodárenia verejnej správy vo výške 5,09</w:t>
      </w:r>
      <w:r w:rsidR="00005D7D">
        <w:rPr>
          <w:szCs w:val="24"/>
        </w:rPr>
        <w:t> </w:t>
      </w:r>
      <w:r w:rsidRPr="00172628">
        <w:rPr>
          <w:szCs w:val="24"/>
        </w:rPr>
        <w:t>%</w:t>
      </w:r>
      <w:r w:rsidR="00005D7D">
        <w:rPr>
          <w:szCs w:val="24"/>
        </w:rPr>
        <w:t> </w:t>
      </w:r>
      <w:r w:rsidRPr="00172628">
        <w:rPr>
          <w:szCs w:val="24"/>
        </w:rPr>
        <w:t>HDP. Aktuálny odhad výdavkov rozpočtu verejnej správy spadajúcich pod limit verejných výdavkov bol kvantifikovaný na</w:t>
      </w:r>
      <w:r w:rsidR="00005D7D">
        <w:rPr>
          <w:szCs w:val="24"/>
        </w:rPr>
        <w:t> </w:t>
      </w:r>
      <w:r w:rsidRPr="00172628">
        <w:rPr>
          <w:szCs w:val="24"/>
        </w:rPr>
        <w:t>úrovni 60</w:t>
      </w:r>
      <w:r w:rsidR="00005D7D">
        <w:rPr>
          <w:szCs w:val="24"/>
        </w:rPr>
        <w:t> </w:t>
      </w:r>
      <w:r w:rsidRPr="00172628">
        <w:rPr>
          <w:szCs w:val="24"/>
        </w:rPr>
        <w:t>848</w:t>
      </w:r>
      <w:r w:rsidR="00005D7D">
        <w:rPr>
          <w:szCs w:val="24"/>
        </w:rPr>
        <w:t> </w:t>
      </w:r>
      <w:r w:rsidRPr="00172628">
        <w:rPr>
          <w:szCs w:val="24"/>
        </w:rPr>
        <w:t>mil.</w:t>
      </w:r>
      <w:r w:rsidR="00005D7D">
        <w:rPr>
          <w:szCs w:val="24"/>
        </w:rPr>
        <w:t> </w:t>
      </w:r>
      <w:r w:rsidRPr="00172628">
        <w:rPr>
          <w:szCs w:val="24"/>
        </w:rPr>
        <w:t>eur.</w:t>
      </w:r>
    </w:p>
    <w:p w14:paraId="54B530D9" w14:textId="77777777" w:rsidR="00172628" w:rsidRPr="00172628" w:rsidRDefault="00172628" w:rsidP="00172628">
      <w:pPr>
        <w:spacing w:line="240" w:lineRule="auto"/>
        <w:jc w:val="both"/>
        <w:rPr>
          <w:szCs w:val="24"/>
        </w:rPr>
      </w:pPr>
    </w:p>
    <w:p w14:paraId="56C630AA" w14:textId="0485FEE9" w:rsidR="009A05C7" w:rsidRPr="00172628" w:rsidRDefault="00172628" w:rsidP="00172628">
      <w:pPr>
        <w:spacing w:line="240" w:lineRule="auto"/>
        <w:jc w:val="both"/>
        <w:rPr>
          <w:szCs w:val="24"/>
        </w:rPr>
      </w:pPr>
      <w:r w:rsidRPr="00172628">
        <w:rPr>
          <w:szCs w:val="24"/>
        </w:rPr>
        <w:t>Súčasťou rozpočtu verejnej správy na roky 2026 až 2028, ktorý Ministerstvo financií SR predložilo na rokovanie vlády SR a rokovanie NR SR, bola aj analýza aktuálneho vývoja verejných financií v roku 2025 vrátane očakávaného plnenia limitu verejných výdavkov, spracovaná na základe v tom čase dostupných podkladov. Analýza, vychádzajúca z predpokladu dosiahnutia schodku rozpočtu verejnej správy vo výške 5,01</w:t>
      </w:r>
      <w:r w:rsidR="000562AA">
        <w:rPr>
          <w:szCs w:val="24"/>
        </w:rPr>
        <w:t> </w:t>
      </w:r>
      <w:r w:rsidRPr="00172628">
        <w:rPr>
          <w:szCs w:val="24"/>
        </w:rPr>
        <w:t>%</w:t>
      </w:r>
      <w:r w:rsidR="000562AA">
        <w:rPr>
          <w:szCs w:val="24"/>
        </w:rPr>
        <w:t> </w:t>
      </w:r>
      <w:r w:rsidRPr="00172628">
        <w:rPr>
          <w:szCs w:val="24"/>
        </w:rPr>
        <w:t>HDP, definovala najvýznamnejšie vplyvy na saldo rozpočtu verejnej správy v porovnaní so</w:t>
      </w:r>
      <w:r w:rsidR="000562AA">
        <w:rPr>
          <w:szCs w:val="24"/>
        </w:rPr>
        <w:t> </w:t>
      </w:r>
      <w:r w:rsidRPr="00172628">
        <w:rPr>
          <w:szCs w:val="24"/>
        </w:rPr>
        <w:t>schváleným rozpočtovým cieľom na rok 2025. Výdavky rozpočtu verejnej správy spadajúce pod</w:t>
      </w:r>
      <w:r w:rsidR="000562AA">
        <w:rPr>
          <w:szCs w:val="24"/>
        </w:rPr>
        <w:t> </w:t>
      </w:r>
      <w:r w:rsidRPr="00172628">
        <w:rPr>
          <w:szCs w:val="24"/>
        </w:rPr>
        <w:t>limit verejných výdavkov sa odhadovali na úrovni 60</w:t>
      </w:r>
      <w:r w:rsidR="000562AA">
        <w:rPr>
          <w:szCs w:val="24"/>
        </w:rPr>
        <w:t> </w:t>
      </w:r>
      <w:r w:rsidRPr="00172628">
        <w:rPr>
          <w:szCs w:val="24"/>
        </w:rPr>
        <w:t>400</w:t>
      </w:r>
      <w:r w:rsidR="000562AA">
        <w:rPr>
          <w:szCs w:val="24"/>
        </w:rPr>
        <w:t> </w:t>
      </w:r>
      <w:r w:rsidRPr="00172628">
        <w:rPr>
          <w:szCs w:val="24"/>
        </w:rPr>
        <w:t>mil.</w:t>
      </w:r>
      <w:r w:rsidR="000562AA">
        <w:rPr>
          <w:szCs w:val="24"/>
        </w:rPr>
        <w:t> </w:t>
      </w:r>
      <w:r w:rsidRPr="00172628">
        <w:rPr>
          <w:szCs w:val="24"/>
        </w:rPr>
        <w:t>eur.</w:t>
      </w:r>
    </w:p>
    <w:p w14:paraId="33A23803" w14:textId="77777777" w:rsidR="00172628" w:rsidRDefault="00172628" w:rsidP="00172628">
      <w:pPr>
        <w:spacing w:line="240" w:lineRule="auto"/>
        <w:jc w:val="both"/>
        <w:rPr>
          <w:rFonts w:eastAsiaTheme="majorEastAsia" w:cstheme="majorBidi"/>
          <w:b/>
          <w:szCs w:val="26"/>
          <w:highlight w:val="yellow"/>
        </w:rPr>
      </w:pPr>
    </w:p>
    <w:p w14:paraId="14D48533" w14:textId="77777777" w:rsidR="00C62162" w:rsidRDefault="00C62162">
      <w:pPr>
        <w:rPr>
          <w:rFonts w:eastAsiaTheme="majorEastAsia" w:cstheme="majorBidi"/>
          <w:b/>
          <w:color w:val="5B9BD5" w:themeColor="accent1"/>
          <w:szCs w:val="26"/>
        </w:rPr>
      </w:pPr>
      <w:r>
        <w:br w:type="page"/>
      </w:r>
    </w:p>
    <w:p w14:paraId="0C45C759" w14:textId="14EAF563" w:rsidR="009A05C7" w:rsidRPr="001F0782" w:rsidRDefault="009A05C7" w:rsidP="004A1F94">
      <w:pPr>
        <w:pStyle w:val="Nadpis2"/>
        <w:spacing w:after="0"/>
      </w:pPr>
      <w:bookmarkStart w:id="39" w:name="_Toc227758896"/>
      <w:r w:rsidRPr="001F0782">
        <w:lastRenderedPageBreak/>
        <w:t>Saldo verejnej správy</w:t>
      </w:r>
      <w:bookmarkEnd w:id="38"/>
      <w:bookmarkEnd w:id="39"/>
    </w:p>
    <w:p w14:paraId="02162586" w14:textId="77777777" w:rsidR="00402102" w:rsidRPr="0050710A" w:rsidRDefault="00402102" w:rsidP="004A1F94">
      <w:pPr>
        <w:spacing w:line="240" w:lineRule="auto"/>
        <w:jc w:val="both"/>
        <w:rPr>
          <w:szCs w:val="24"/>
          <w:highlight w:val="yellow"/>
        </w:rPr>
      </w:pPr>
    </w:p>
    <w:p w14:paraId="6BFD4FC9" w14:textId="282EE0CF" w:rsidR="009A05C7" w:rsidRPr="00D87200" w:rsidRDefault="009A05C7" w:rsidP="004A1F94">
      <w:pPr>
        <w:spacing w:line="240" w:lineRule="auto"/>
        <w:jc w:val="both"/>
        <w:rPr>
          <w:szCs w:val="24"/>
        </w:rPr>
      </w:pPr>
      <w:r w:rsidRPr="00733558">
        <w:rPr>
          <w:szCs w:val="24"/>
        </w:rPr>
        <w:t>Rozpočet verejnej správy na rok 202</w:t>
      </w:r>
      <w:r w:rsidR="00733558" w:rsidRPr="00733558">
        <w:rPr>
          <w:szCs w:val="24"/>
        </w:rPr>
        <w:t>5</w:t>
      </w:r>
      <w:r w:rsidRPr="00733558">
        <w:rPr>
          <w:szCs w:val="24"/>
        </w:rPr>
        <w:t>, ktorý bol schválený vládou SR</w:t>
      </w:r>
      <w:r w:rsidRPr="00733558">
        <w:rPr>
          <w:rStyle w:val="Odkaznapoznmkupodiarou"/>
          <w:szCs w:val="24"/>
        </w:rPr>
        <w:footnoteReference w:id="4"/>
      </w:r>
      <w:r w:rsidRPr="00733558">
        <w:rPr>
          <w:szCs w:val="24"/>
        </w:rPr>
        <w:t xml:space="preserve"> a vzatý na vedomie v Národnej rade SR</w:t>
      </w:r>
      <w:r w:rsidRPr="00BB5855">
        <w:rPr>
          <w:rStyle w:val="Odkaznapoznmkupodiarou"/>
          <w:szCs w:val="24"/>
        </w:rPr>
        <w:footnoteReference w:id="5"/>
      </w:r>
      <w:r w:rsidRPr="00BB5855">
        <w:rPr>
          <w:szCs w:val="24"/>
        </w:rPr>
        <w:t xml:space="preserve">, predpokladal hospodárenie verejnej správy </w:t>
      </w:r>
      <w:r w:rsidR="004A2C04" w:rsidRPr="00BB5855">
        <w:rPr>
          <w:szCs w:val="24"/>
        </w:rPr>
        <w:t>so </w:t>
      </w:r>
      <w:r w:rsidRPr="00BB5855">
        <w:rPr>
          <w:szCs w:val="24"/>
        </w:rPr>
        <w:t xml:space="preserve">schodkom </w:t>
      </w:r>
      <w:r w:rsidR="00087C69" w:rsidRPr="00087C69">
        <w:rPr>
          <w:szCs w:val="24"/>
        </w:rPr>
        <w:t>6 603 344</w:t>
      </w:r>
      <w:r w:rsidRPr="00087C69">
        <w:rPr>
          <w:szCs w:val="24"/>
        </w:rPr>
        <w:t> tis. eur (</w:t>
      </w:r>
      <w:r w:rsidR="00087C69" w:rsidRPr="00087C69">
        <w:rPr>
          <w:szCs w:val="24"/>
        </w:rPr>
        <w:t>4,72</w:t>
      </w:r>
      <w:r w:rsidRPr="00087C69">
        <w:rPr>
          <w:szCs w:val="24"/>
        </w:rPr>
        <w:t> % predpokladaného HDP</w:t>
      </w:r>
      <w:r w:rsidRPr="00087C69">
        <w:rPr>
          <w:b/>
          <w:szCs w:val="24"/>
        </w:rPr>
        <w:t>)</w:t>
      </w:r>
      <w:r w:rsidRPr="00087C69">
        <w:rPr>
          <w:bCs/>
          <w:szCs w:val="24"/>
        </w:rPr>
        <w:t xml:space="preserve">. </w:t>
      </w:r>
      <w:r w:rsidRPr="00087C69">
        <w:rPr>
          <w:b/>
          <w:szCs w:val="24"/>
        </w:rPr>
        <w:t>Podľa prvého kola notifikácie výsledkov roku 202</w:t>
      </w:r>
      <w:r w:rsidR="00087C69">
        <w:rPr>
          <w:b/>
          <w:szCs w:val="24"/>
        </w:rPr>
        <w:t>5</w:t>
      </w:r>
      <w:r w:rsidRPr="00087C69">
        <w:rPr>
          <w:b/>
          <w:szCs w:val="24"/>
        </w:rPr>
        <w:t xml:space="preserve">, hospodárenie s verejnými financiami v metodike ESA 2010 dosiahlo v skutočnosti schodok vo </w:t>
      </w:r>
      <w:r w:rsidRPr="00D87200">
        <w:rPr>
          <w:b/>
          <w:szCs w:val="24"/>
        </w:rPr>
        <w:t xml:space="preserve">výške </w:t>
      </w:r>
      <w:r w:rsidRPr="00D87200">
        <w:rPr>
          <w:rFonts w:eastAsia="Times New Roman" w:cs="Times New Roman"/>
          <w:b/>
          <w:bCs/>
          <w:szCs w:val="24"/>
          <w:lang w:eastAsia="sk-SK"/>
        </w:rPr>
        <w:t>6</w:t>
      </w:r>
      <w:r w:rsidR="00D87200" w:rsidRPr="00D87200">
        <w:rPr>
          <w:rFonts w:eastAsia="Times New Roman" w:cs="Times New Roman"/>
          <w:b/>
          <w:bCs/>
          <w:szCs w:val="24"/>
          <w:lang w:eastAsia="sk-SK"/>
        </w:rPr>
        <w:t> 08</w:t>
      </w:r>
      <w:r w:rsidR="007E51AD">
        <w:rPr>
          <w:rFonts w:eastAsia="Times New Roman" w:cs="Times New Roman"/>
          <w:b/>
          <w:bCs/>
          <w:szCs w:val="24"/>
          <w:lang w:eastAsia="sk-SK"/>
        </w:rPr>
        <w:t>6</w:t>
      </w:r>
      <w:r w:rsidR="00D87200" w:rsidRPr="00D87200">
        <w:rPr>
          <w:rFonts w:eastAsia="Times New Roman" w:cs="Times New Roman"/>
          <w:b/>
          <w:bCs/>
          <w:szCs w:val="24"/>
          <w:lang w:eastAsia="sk-SK"/>
        </w:rPr>
        <w:t> </w:t>
      </w:r>
      <w:r w:rsidR="007E51AD">
        <w:rPr>
          <w:rFonts w:eastAsia="Times New Roman" w:cs="Times New Roman"/>
          <w:b/>
          <w:bCs/>
          <w:szCs w:val="24"/>
          <w:lang w:eastAsia="sk-SK"/>
        </w:rPr>
        <w:t>305</w:t>
      </w:r>
      <w:r w:rsidRPr="00D87200">
        <w:rPr>
          <w:b/>
          <w:szCs w:val="24"/>
        </w:rPr>
        <w:t> tis. eur (</w:t>
      </w:r>
      <w:r w:rsidR="00D87200" w:rsidRPr="00D87200">
        <w:rPr>
          <w:b/>
          <w:szCs w:val="24"/>
        </w:rPr>
        <w:t>4,</w:t>
      </w:r>
      <w:r w:rsidR="006C4004">
        <w:rPr>
          <w:b/>
          <w:szCs w:val="24"/>
        </w:rPr>
        <w:t>45</w:t>
      </w:r>
      <w:r w:rsidRPr="00D87200">
        <w:rPr>
          <w:b/>
          <w:szCs w:val="24"/>
        </w:rPr>
        <w:t> % HDP)</w:t>
      </w:r>
      <w:r w:rsidRPr="00D87200">
        <w:rPr>
          <w:szCs w:val="24"/>
        </w:rPr>
        <w:t>.</w:t>
      </w:r>
    </w:p>
    <w:p w14:paraId="6AF24A1E" w14:textId="77777777" w:rsidR="00402102" w:rsidRPr="00821D8B" w:rsidRDefault="00402102" w:rsidP="00532D85">
      <w:pPr>
        <w:spacing w:line="240" w:lineRule="auto"/>
        <w:jc w:val="both"/>
        <w:rPr>
          <w:szCs w:val="24"/>
        </w:rPr>
      </w:pPr>
    </w:p>
    <w:p w14:paraId="68417E30" w14:textId="7464D817" w:rsidR="00D96E6C" w:rsidRPr="00821D8B" w:rsidRDefault="00D96E6C" w:rsidP="00532D85">
      <w:pPr>
        <w:pStyle w:val="Popis"/>
        <w:jc w:val="both"/>
      </w:pPr>
      <w:bookmarkStart w:id="40" w:name="_Toc196313632"/>
      <w:bookmarkStart w:id="41" w:name="_Toc227670142"/>
      <w:r w:rsidRPr="00821D8B">
        <w:t xml:space="preserve">Tabuľka </w:t>
      </w:r>
      <w:r w:rsidR="003B7AF0" w:rsidRPr="00821D8B">
        <w:rPr>
          <w:i/>
        </w:rPr>
        <w:fldChar w:fldCharType="begin"/>
      </w:r>
      <w:r w:rsidR="003B7AF0" w:rsidRPr="00821D8B">
        <w:instrText xml:space="preserve"> SEQ Tabuľka \* ARABIC </w:instrText>
      </w:r>
      <w:r w:rsidR="003B7AF0" w:rsidRPr="00821D8B">
        <w:rPr>
          <w:i/>
        </w:rPr>
        <w:fldChar w:fldCharType="separate"/>
      </w:r>
      <w:r w:rsidR="00396BE8">
        <w:rPr>
          <w:noProof/>
        </w:rPr>
        <w:t>6</w:t>
      </w:r>
      <w:r w:rsidR="003B7AF0" w:rsidRPr="00821D8B">
        <w:rPr>
          <w:i/>
        </w:rPr>
        <w:fldChar w:fldCharType="end"/>
      </w:r>
      <w:r w:rsidRPr="00821D8B">
        <w:t xml:space="preserve"> - Bilancia rozpočtu verejnej správy v metodike ESA 2010</w:t>
      </w:r>
      <w:bookmarkEnd w:id="40"/>
      <w:bookmarkEnd w:id="41"/>
    </w:p>
    <w:tbl>
      <w:tblPr>
        <w:tblW w:w="4972" w:type="pct"/>
        <w:tblLayout w:type="fixed"/>
        <w:tblCellMar>
          <w:left w:w="70" w:type="dxa"/>
          <w:right w:w="70" w:type="dxa"/>
        </w:tblCellMar>
        <w:tblLook w:val="04A0" w:firstRow="1" w:lastRow="0" w:firstColumn="1" w:lastColumn="0" w:noHBand="0" w:noVBand="1"/>
      </w:tblPr>
      <w:tblGrid>
        <w:gridCol w:w="2552"/>
        <w:gridCol w:w="1113"/>
        <w:gridCol w:w="1147"/>
        <w:gridCol w:w="1106"/>
        <w:gridCol w:w="1086"/>
        <w:gridCol w:w="1077"/>
        <w:gridCol w:w="938"/>
      </w:tblGrid>
      <w:tr w:rsidR="003C3314" w:rsidRPr="00EC245B" w14:paraId="42A7F6E3" w14:textId="77777777" w:rsidTr="00EC245B">
        <w:trPr>
          <w:trHeight w:val="359"/>
          <w:tblHeader/>
        </w:trPr>
        <w:tc>
          <w:tcPr>
            <w:tcW w:w="1415" w:type="pct"/>
            <w:tcBorders>
              <w:top w:val="single" w:sz="4" w:space="0" w:color="auto"/>
              <w:left w:val="nil"/>
              <w:bottom w:val="single" w:sz="4" w:space="0" w:color="auto"/>
              <w:right w:val="nil"/>
            </w:tcBorders>
            <w:noWrap/>
            <w:vAlign w:val="center"/>
            <w:hideMark/>
          </w:tcPr>
          <w:p w14:paraId="1835B611" w14:textId="77777777"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 </w:t>
            </w:r>
          </w:p>
        </w:tc>
        <w:tc>
          <w:tcPr>
            <w:tcW w:w="617" w:type="pct"/>
            <w:tcBorders>
              <w:top w:val="single" w:sz="4" w:space="0" w:color="auto"/>
              <w:left w:val="nil"/>
              <w:bottom w:val="single" w:sz="4" w:space="0" w:color="auto"/>
              <w:right w:val="nil"/>
            </w:tcBorders>
            <w:noWrap/>
            <w:vAlign w:val="center"/>
            <w:hideMark/>
          </w:tcPr>
          <w:p w14:paraId="5F9669F0" w14:textId="77777777"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ESA kód</w:t>
            </w:r>
          </w:p>
        </w:tc>
        <w:tc>
          <w:tcPr>
            <w:tcW w:w="636" w:type="pct"/>
            <w:tcBorders>
              <w:top w:val="single" w:sz="4" w:space="0" w:color="auto"/>
              <w:left w:val="nil"/>
              <w:bottom w:val="single" w:sz="4" w:space="0" w:color="auto"/>
              <w:right w:val="nil"/>
            </w:tcBorders>
            <w:vAlign w:val="center"/>
            <w:hideMark/>
          </w:tcPr>
          <w:p w14:paraId="286B0C22" w14:textId="77777777"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2023 S</w:t>
            </w:r>
          </w:p>
        </w:tc>
        <w:tc>
          <w:tcPr>
            <w:tcW w:w="613" w:type="pct"/>
            <w:tcBorders>
              <w:top w:val="single" w:sz="4" w:space="0" w:color="auto"/>
              <w:left w:val="nil"/>
              <w:bottom w:val="single" w:sz="4" w:space="0" w:color="auto"/>
              <w:right w:val="nil"/>
            </w:tcBorders>
            <w:vAlign w:val="center"/>
            <w:hideMark/>
          </w:tcPr>
          <w:p w14:paraId="2DBD3611" w14:textId="77777777"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2024 S</w:t>
            </w:r>
          </w:p>
        </w:tc>
        <w:tc>
          <w:tcPr>
            <w:tcW w:w="602" w:type="pct"/>
            <w:tcBorders>
              <w:top w:val="single" w:sz="4" w:space="0" w:color="auto"/>
              <w:left w:val="nil"/>
              <w:bottom w:val="single" w:sz="4" w:space="0" w:color="auto"/>
              <w:right w:val="nil"/>
            </w:tcBorders>
            <w:vAlign w:val="center"/>
            <w:hideMark/>
          </w:tcPr>
          <w:p w14:paraId="4ECFE91D" w14:textId="77777777"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2025 R</w:t>
            </w:r>
          </w:p>
        </w:tc>
        <w:tc>
          <w:tcPr>
            <w:tcW w:w="597" w:type="pct"/>
            <w:tcBorders>
              <w:top w:val="single" w:sz="4" w:space="0" w:color="auto"/>
              <w:left w:val="nil"/>
              <w:bottom w:val="single" w:sz="4" w:space="0" w:color="auto"/>
              <w:right w:val="nil"/>
            </w:tcBorders>
            <w:vAlign w:val="center"/>
            <w:hideMark/>
          </w:tcPr>
          <w:p w14:paraId="192EED8E" w14:textId="77777777"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2025 S</w:t>
            </w:r>
          </w:p>
        </w:tc>
        <w:tc>
          <w:tcPr>
            <w:tcW w:w="521" w:type="pct"/>
            <w:tcBorders>
              <w:top w:val="single" w:sz="4" w:space="0" w:color="auto"/>
              <w:left w:val="nil"/>
              <w:bottom w:val="single" w:sz="4" w:space="0" w:color="auto"/>
              <w:right w:val="nil"/>
            </w:tcBorders>
            <w:vAlign w:val="center"/>
            <w:hideMark/>
          </w:tcPr>
          <w:p w14:paraId="385C2944" w14:textId="47D12BFC"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 xml:space="preserve">S </w:t>
            </w:r>
            <w:r w:rsidR="00E85579" w:rsidRPr="00EC245B">
              <w:rPr>
                <w:rFonts w:eastAsia="Times New Roman" w:cs="Times New Roman"/>
                <w:b/>
                <w:bCs/>
                <w:sz w:val="16"/>
                <w:szCs w:val="16"/>
                <w:lang w:eastAsia="sk-SK"/>
              </w:rPr>
              <w:t>–</w:t>
            </w:r>
            <w:r w:rsidRPr="00EC245B">
              <w:rPr>
                <w:rFonts w:eastAsia="Times New Roman" w:cs="Times New Roman"/>
                <w:b/>
                <w:bCs/>
                <w:sz w:val="16"/>
                <w:szCs w:val="16"/>
                <w:lang w:eastAsia="sk-SK"/>
              </w:rPr>
              <w:t xml:space="preserve"> R</w:t>
            </w:r>
            <w:r w:rsidR="00E85579" w:rsidRPr="00EC245B">
              <w:rPr>
                <w:rFonts w:eastAsia="Times New Roman" w:cs="Times New Roman"/>
                <w:b/>
                <w:bCs/>
                <w:sz w:val="16"/>
                <w:szCs w:val="16"/>
                <w:lang w:eastAsia="sk-SK"/>
              </w:rPr>
              <w:t xml:space="preserve"> </w:t>
            </w:r>
            <w:r w:rsidRPr="00EC245B">
              <w:rPr>
                <w:rFonts w:eastAsia="Times New Roman" w:cs="Times New Roman"/>
                <w:b/>
                <w:bCs/>
                <w:sz w:val="16"/>
                <w:szCs w:val="16"/>
                <w:lang w:eastAsia="sk-SK"/>
              </w:rPr>
              <w:t>2025</w:t>
            </w:r>
          </w:p>
        </w:tc>
      </w:tr>
      <w:tr w:rsidR="003C3314" w:rsidRPr="00EC245B" w14:paraId="7BA8AB2D" w14:textId="77777777" w:rsidTr="003C3314">
        <w:trPr>
          <w:trHeight w:val="280"/>
        </w:trPr>
        <w:tc>
          <w:tcPr>
            <w:tcW w:w="1415" w:type="pct"/>
            <w:tcBorders>
              <w:top w:val="single" w:sz="4" w:space="0" w:color="auto"/>
              <w:left w:val="nil"/>
              <w:bottom w:val="nil"/>
              <w:right w:val="nil"/>
            </w:tcBorders>
            <w:vAlign w:val="center"/>
            <w:hideMark/>
          </w:tcPr>
          <w:p w14:paraId="40B72C7F" w14:textId="77777777" w:rsidR="002E7D0E" w:rsidRPr="00EC245B" w:rsidRDefault="002E7D0E" w:rsidP="002E7D0E">
            <w:pPr>
              <w:spacing w:line="240" w:lineRule="auto"/>
              <w:jc w:val="both"/>
              <w:rPr>
                <w:rFonts w:eastAsia="Times New Roman" w:cs="Times New Roman"/>
                <w:b/>
                <w:bCs/>
                <w:sz w:val="16"/>
                <w:szCs w:val="16"/>
                <w:lang w:eastAsia="sk-SK"/>
              </w:rPr>
            </w:pPr>
            <w:r w:rsidRPr="00EC245B">
              <w:rPr>
                <w:rFonts w:eastAsia="Times New Roman" w:cs="Times New Roman"/>
                <w:b/>
                <w:bCs/>
                <w:sz w:val="16"/>
                <w:szCs w:val="16"/>
                <w:lang w:eastAsia="sk-SK"/>
              </w:rPr>
              <w:t>Príjmy spolu</w:t>
            </w:r>
          </w:p>
        </w:tc>
        <w:tc>
          <w:tcPr>
            <w:tcW w:w="617" w:type="pct"/>
            <w:tcBorders>
              <w:top w:val="nil"/>
              <w:left w:val="nil"/>
              <w:bottom w:val="nil"/>
              <w:right w:val="nil"/>
            </w:tcBorders>
            <w:noWrap/>
            <w:vAlign w:val="center"/>
            <w:hideMark/>
          </w:tcPr>
          <w:p w14:paraId="4E32C94C" w14:textId="77777777" w:rsidR="002E7D0E" w:rsidRPr="00EC245B" w:rsidRDefault="002E7D0E" w:rsidP="002E7D0E">
            <w:pPr>
              <w:spacing w:line="240" w:lineRule="auto"/>
              <w:jc w:val="center"/>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TR</w:t>
            </w:r>
          </w:p>
        </w:tc>
        <w:tc>
          <w:tcPr>
            <w:tcW w:w="636" w:type="pct"/>
            <w:tcBorders>
              <w:top w:val="nil"/>
              <w:left w:val="nil"/>
              <w:bottom w:val="nil"/>
              <w:right w:val="nil"/>
            </w:tcBorders>
            <w:noWrap/>
            <w:vAlign w:val="bottom"/>
            <w:hideMark/>
          </w:tcPr>
          <w:p w14:paraId="0D613531"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53 202 053</w:t>
            </w:r>
          </w:p>
        </w:tc>
        <w:tc>
          <w:tcPr>
            <w:tcW w:w="613" w:type="pct"/>
            <w:tcBorders>
              <w:top w:val="nil"/>
              <w:left w:val="nil"/>
              <w:bottom w:val="nil"/>
              <w:right w:val="nil"/>
            </w:tcBorders>
            <w:noWrap/>
            <w:vAlign w:val="bottom"/>
            <w:hideMark/>
          </w:tcPr>
          <w:p w14:paraId="65423E57"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54 789 126</w:t>
            </w:r>
          </w:p>
        </w:tc>
        <w:tc>
          <w:tcPr>
            <w:tcW w:w="602" w:type="pct"/>
            <w:tcBorders>
              <w:top w:val="nil"/>
              <w:left w:val="nil"/>
              <w:bottom w:val="nil"/>
              <w:right w:val="nil"/>
            </w:tcBorders>
            <w:noWrap/>
            <w:vAlign w:val="bottom"/>
            <w:hideMark/>
          </w:tcPr>
          <w:p w14:paraId="395E6985"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59 895 605</w:t>
            </w:r>
          </w:p>
        </w:tc>
        <w:tc>
          <w:tcPr>
            <w:tcW w:w="597" w:type="pct"/>
            <w:tcBorders>
              <w:top w:val="nil"/>
              <w:left w:val="nil"/>
              <w:bottom w:val="nil"/>
              <w:right w:val="nil"/>
            </w:tcBorders>
            <w:noWrap/>
            <w:vAlign w:val="bottom"/>
            <w:hideMark/>
          </w:tcPr>
          <w:p w14:paraId="7602EBF4"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59 481 154</w:t>
            </w:r>
          </w:p>
        </w:tc>
        <w:tc>
          <w:tcPr>
            <w:tcW w:w="521" w:type="pct"/>
            <w:tcBorders>
              <w:top w:val="nil"/>
              <w:left w:val="nil"/>
              <w:bottom w:val="nil"/>
              <w:right w:val="nil"/>
            </w:tcBorders>
            <w:noWrap/>
            <w:vAlign w:val="bottom"/>
            <w:hideMark/>
          </w:tcPr>
          <w:p w14:paraId="6922EB45"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-414 451</w:t>
            </w:r>
          </w:p>
        </w:tc>
      </w:tr>
      <w:tr w:rsidR="003C3314" w:rsidRPr="00EC245B" w14:paraId="2661440D" w14:textId="77777777" w:rsidTr="00C23948">
        <w:trPr>
          <w:trHeight w:val="266"/>
        </w:trPr>
        <w:tc>
          <w:tcPr>
            <w:tcW w:w="1415" w:type="pct"/>
            <w:tcBorders>
              <w:top w:val="nil"/>
              <w:left w:val="nil"/>
              <w:bottom w:val="single" w:sz="4" w:space="0" w:color="auto"/>
              <w:right w:val="nil"/>
            </w:tcBorders>
            <w:noWrap/>
            <w:vAlign w:val="center"/>
            <w:hideMark/>
          </w:tcPr>
          <w:p w14:paraId="10BBD9E2" w14:textId="77777777"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 xml:space="preserve"> v % HDP</w:t>
            </w:r>
          </w:p>
        </w:tc>
        <w:tc>
          <w:tcPr>
            <w:tcW w:w="617" w:type="pct"/>
            <w:tcBorders>
              <w:top w:val="nil"/>
              <w:left w:val="nil"/>
              <w:bottom w:val="single" w:sz="4" w:space="0" w:color="auto"/>
              <w:right w:val="nil"/>
            </w:tcBorders>
            <w:noWrap/>
            <w:vAlign w:val="bottom"/>
            <w:hideMark/>
          </w:tcPr>
          <w:p w14:paraId="11A26262" w14:textId="77777777" w:rsidR="002E7D0E" w:rsidRPr="00EC245B" w:rsidRDefault="002E7D0E" w:rsidP="002E7D0E">
            <w:pPr>
              <w:spacing w:line="240" w:lineRule="auto"/>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 </w:t>
            </w:r>
          </w:p>
        </w:tc>
        <w:tc>
          <w:tcPr>
            <w:tcW w:w="636" w:type="pct"/>
            <w:tcBorders>
              <w:top w:val="nil"/>
              <w:left w:val="nil"/>
              <w:bottom w:val="single" w:sz="4" w:space="0" w:color="auto"/>
              <w:right w:val="nil"/>
            </w:tcBorders>
            <w:noWrap/>
            <w:vAlign w:val="bottom"/>
            <w:hideMark/>
          </w:tcPr>
          <w:p w14:paraId="1DA514AF"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43,1</w:t>
            </w:r>
          </w:p>
        </w:tc>
        <w:tc>
          <w:tcPr>
            <w:tcW w:w="613" w:type="pct"/>
            <w:tcBorders>
              <w:top w:val="nil"/>
              <w:left w:val="nil"/>
              <w:bottom w:val="single" w:sz="4" w:space="0" w:color="auto"/>
              <w:right w:val="nil"/>
            </w:tcBorders>
            <w:noWrap/>
            <w:vAlign w:val="bottom"/>
            <w:hideMark/>
          </w:tcPr>
          <w:p w14:paraId="61173133"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42,1</w:t>
            </w:r>
          </w:p>
        </w:tc>
        <w:tc>
          <w:tcPr>
            <w:tcW w:w="602" w:type="pct"/>
            <w:tcBorders>
              <w:top w:val="nil"/>
              <w:left w:val="nil"/>
              <w:bottom w:val="single" w:sz="4" w:space="0" w:color="auto"/>
              <w:right w:val="nil"/>
            </w:tcBorders>
            <w:noWrap/>
            <w:vAlign w:val="bottom"/>
            <w:hideMark/>
          </w:tcPr>
          <w:p w14:paraId="51C75123"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42,8</w:t>
            </w:r>
          </w:p>
        </w:tc>
        <w:tc>
          <w:tcPr>
            <w:tcW w:w="597" w:type="pct"/>
            <w:tcBorders>
              <w:top w:val="nil"/>
              <w:left w:val="nil"/>
              <w:bottom w:val="single" w:sz="4" w:space="0" w:color="auto"/>
              <w:right w:val="nil"/>
            </w:tcBorders>
            <w:noWrap/>
            <w:vAlign w:val="bottom"/>
            <w:hideMark/>
          </w:tcPr>
          <w:p w14:paraId="66807CDC"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43,5</w:t>
            </w:r>
          </w:p>
        </w:tc>
        <w:tc>
          <w:tcPr>
            <w:tcW w:w="521" w:type="pct"/>
            <w:tcBorders>
              <w:top w:val="nil"/>
              <w:left w:val="nil"/>
              <w:bottom w:val="single" w:sz="4" w:space="0" w:color="auto"/>
              <w:right w:val="nil"/>
            </w:tcBorders>
            <w:noWrap/>
            <w:vAlign w:val="bottom"/>
            <w:hideMark/>
          </w:tcPr>
          <w:p w14:paraId="6A42F942"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0,7</w:t>
            </w:r>
          </w:p>
        </w:tc>
      </w:tr>
      <w:tr w:rsidR="003C3314" w:rsidRPr="00EC245B" w14:paraId="3991CA59" w14:textId="77777777" w:rsidTr="003C3314">
        <w:trPr>
          <w:trHeight w:val="280"/>
        </w:trPr>
        <w:tc>
          <w:tcPr>
            <w:tcW w:w="1415" w:type="pct"/>
            <w:tcBorders>
              <w:top w:val="nil"/>
              <w:left w:val="nil"/>
              <w:bottom w:val="nil"/>
              <w:right w:val="nil"/>
            </w:tcBorders>
            <w:noWrap/>
            <w:vAlign w:val="center"/>
            <w:hideMark/>
          </w:tcPr>
          <w:p w14:paraId="7C7C6FD9" w14:textId="77777777" w:rsidR="002E7D0E" w:rsidRPr="00EC245B" w:rsidRDefault="002E7D0E" w:rsidP="002E7D0E">
            <w:pPr>
              <w:spacing w:line="240" w:lineRule="auto"/>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Daňové príjmy</w:t>
            </w:r>
          </w:p>
        </w:tc>
        <w:tc>
          <w:tcPr>
            <w:tcW w:w="617" w:type="pct"/>
            <w:tcBorders>
              <w:top w:val="nil"/>
              <w:left w:val="nil"/>
              <w:bottom w:val="nil"/>
              <w:right w:val="nil"/>
            </w:tcBorders>
            <w:noWrap/>
            <w:vAlign w:val="center"/>
            <w:hideMark/>
          </w:tcPr>
          <w:p w14:paraId="4CDBE2D3" w14:textId="77777777" w:rsidR="002E7D0E" w:rsidRPr="00EC245B" w:rsidRDefault="002E7D0E" w:rsidP="002E7D0E">
            <w:pPr>
              <w:spacing w:line="240" w:lineRule="auto"/>
              <w:jc w:val="center"/>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D.2R+D.5R</w:t>
            </w:r>
          </w:p>
        </w:tc>
        <w:tc>
          <w:tcPr>
            <w:tcW w:w="636" w:type="pct"/>
            <w:tcBorders>
              <w:top w:val="nil"/>
              <w:left w:val="nil"/>
              <w:bottom w:val="nil"/>
              <w:right w:val="nil"/>
            </w:tcBorders>
            <w:noWrap/>
            <w:vAlign w:val="bottom"/>
            <w:hideMark/>
          </w:tcPr>
          <w:p w14:paraId="2A999065"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24 589 143</w:t>
            </w:r>
          </w:p>
        </w:tc>
        <w:tc>
          <w:tcPr>
            <w:tcW w:w="613" w:type="pct"/>
            <w:tcBorders>
              <w:top w:val="nil"/>
              <w:left w:val="nil"/>
              <w:bottom w:val="nil"/>
              <w:right w:val="nil"/>
            </w:tcBorders>
            <w:noWrap/>
            <w:vAlign w:val="bottom"/>
            <w:hideMark/>
          </w:tcPr>
          <w:p w14:paraId="60454111"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25 815 799</w:t>
            </w:r>
          </w:p>
        </w:tc>
        <w:tc>
          <w:tcPr>
            <w:tcW w:w="602" w:type="pct"/>
            <w:tcBorders>
              <w:top w:val="nil"/>
              <w:left w:val="nil"/>
              <w:bottom w:val="nil"/>
              <w:right w:val="nil"/>
            </w:tcBorders>
            <w:noWrap/>
            <w:vAlign w:val="bottom"/>
            <w:hideMark/>
          </w:tcPr>
          <w:p w14:paraId="5BDE02DD"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29 264 038</w:t>
            </w:r>
          </w:p>
        </w:tc>
        <w:tc>
          <w:tcPr>
            <w:tcW w:w="597" w:type="pct"/>
            <w:tcBorders>
              <w:top w:val="nil"/>
              <w:left w:val="nil"/>
              <w:bottom w:val="nil"/>
              <w:right w:val="nil"/>
            </w:tcBorders>
            <w:noWrap/>
            <w:vAlign w:val="bottom"/>
            <w:hideMark/>
          </w:tcPr>
          <w:p w14:paraId="6F20C262"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27 622 568</w:t>
            </w:r>
          </w:p>
        </w:tc>
        <w:tc>
          <w:tcPr>
            <w:tcW w:w="521" w:type="pct"/>
            <w:tcBorders>
              <w:top w:val="nil"/>
              <w:left w:val="nil"/>
              <w:bottom w:val="nil"/>
              <w:right w:val="nil"/>
            </w:tcBorders>
            <w:noWrap/>
            <w:vAlign w:val="bottom"/>
            <w:hideMark/>
          </w:tcPr>
          <w:p w14:paraId="56CE0B3B"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-1 641 470</w:t>
            </w:r>
          </w:p>
        </w:tc>
      </w:tr>
      <w:tr w:rsidR="003C3314" w:rsidRPr="00EC245B" w14:paraId="4C90E5DF" w14:textId="77777777" w:rsidTr="003C3314">
        <w:trPr>
          <w:trHeight w:val="280"/>
        </w:trPr>
        <w:tc>
          <w:tcPr>
            <w:tcW w:w="1415" w:type="pct"/>
            <w:tcBorders>
              <w:top w:val="nil"/>
              <w:left w:val="nil"/>
              <w:bottom w:val="nil"/>
              <w:right w:val="nil"/>
            </w:tcBorders>
            <w:noWrap/>
            <w:vAlign w:val="center"/>
            <w:hideMark/>
          </w:tcPr>
          <w:p w14:paraId="290C9219" w14:textId="77777777" w:rsidR="002E7D0E" w:rsidRPr="00EC245B" w:rsidRDefault="002E7D0E" w:rsidP="00442412">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Dane z produkcie a dovozu</w:t>
            </w:r>
          </w:p>
        </w:tc>
        <w:tc>
          <w:tcPr>
            <w:tcW w:w="617" w:type="pct"/>
            <w:tcBorders>
              <w:top w:val="nil"/>
              <w:left w:val="nil"/>
              <w:bottom w:val="nil"/>
              <w:right w:val="nil"/>
            </w:tcBorders>
            <w:noWrap/>
            <w:vAlign w:val="center"/>
            <w:hideMark/>
          </w:tcPr>
          <w:p w14:paraId="624D93C9"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D.2R</w:t>
            </w:r>
          </w:p>
        </w:tc>
        <w:tc>
          <w:tcPr>
            <w:tcW w:w="636" w:type="pct"/>
            <w:tcBorders>
              <w:top w:val="nil"/>
              <w:left w:val="nil"/>
              <w:bottom w:val="nil"/>
              <w:right w:val="nil"/>
            </w:tcBorders>
            <w:noWrap/>
            <w:vAlign w:val="bottom"/>
            <w:hideMark/>
          </w:tcPr>
          <w:p w14:paraId="552B6387"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14 854 634</w:t>
            </w:r>
          </w:p>
        </w:tc>
        <w:tc>
          <w:tcPr>
            <w:tcW w:w="613" w:type="pct"/>
            <w:tcBorders>
              <w:top w:val="nil"/>
              <w:left w:val="nil"/>
              <w:bottom w:val="nil"/>
              <w:right w:val="nil"/>
            </w:tcBorders>
            <w:noWrap/>
            <w:vAlign w:val="bottom"/>
            <w:hideMark/>
          </w:tcPr>
          <w:p w14:paraId="7C962641"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15 147 175</w:t>
            </w:r>
          </w:p>
        </w:tc>
        <w:tc>
          <w:tcPr>
            <w:tcW w:w="602" w:type="pct"/>
            <w:tcBorders>
              <w:top w:val="nil"/>
              <w:left w:val="nil"/>
              <w:bottom w:val="nil"/>
              <w:right w:val="nil"/>
            </w:tcBorders>
            <w:noWrap/>
            <w:vAlign w:val="bottom"/>
            <w:hideMark/>
          </w:tcPr>
          <w:p w14:paraId="27468141"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17 500 614</w:t>
            </w:r>
          </w:p>
        </w:tc>
        <w:tc>
          <w:tcPr>
            <w:tcW w:w="597" w:type="pct"/>
            <w:tcBorders>
              <w:top w:val="nil"/>
              <w:left w:val="nil"/>
              <w:bottom w:val="nil"/>
              <w:right w:val="nil"/>
            </w:tcBorders>
            <w:noWrap/>
            <w:vAlign w:val="bottom"/>
            <w:hideMark/>
          </w:tcPr>
          <w:p w14:paraId="56D954FB"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16 466 534</w:t>
            </w:r>
          </w:p>
        </w:tc>
        <w:tc>
          <w:tcPr>
            <w:tcW w:w="521" w:type="pct"/>
            <w:tcBorders>
              <w:top w:val="nil"/>
              <w:left w:val="nil"/>
              <w:bottom w:val="nil"/>
              <w:right w:val="nil"/>
            </w:tcBorders>
            <w:noWrap/>
            <w:vAlign w:val="bottom"/>
            <w:hideMark/>
          </w:tcPr>
          <w:p w14:paraId="6A9E0E21"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-1 034 080</w:t>
            </w:r>
          </w:p>
        </w:tc>
      </w:tr>
      <w:tr w:rsidR="003C3314" w:rsidRPr="00EC245B" w14:paraId="6E6666BD" w14:textId="77777777" w:rsidTr="003C3314">
        <w:trPr>
          <w:trHeight w:val="280"/>
        </w:trPr>
        <w:tc>
          <w:tcPr>
            <w:tcW w:w="1415" w:type="pct"/>
            <w:tcBorders>
              <w:top w:val="nil"/>
              <w:left w:val="nil"/>
              <w:bottom w:val="nil"/>
              <w:right w:val="nil"/>
            </w:tcBorders>
            <w:vAlign w:val="center"/>
            <w:hideMark/>
          </w:tcPr>
          <w:p w14:paraId="6DCF8CB4" w14:textId="69C9E503" w:rsidR="002E7D0E" w:rsidRPr="00EC245B" w:rsidRDefault="00AD5DB8" w:rsidP="00AD5DB8">
            <w:pPr>
              <w:spacing w:line="240" w:lineRule="auto"/>
              <w:ind w:left="170" w:hanging="170"/>
              <w:rPr>
                <w:rFonts w:eastAsia="Times New Roman" w:cs="Times New Roman"/>
                <w:sz w:val="16"/>
                <w:szCs w:val="16"/>
                <w:lang w:eastAsia="sk-SK"/>
              </w:rPr>
            </w:pPr>
            <w:r w:rsidRPr="00EC245B">
              <w:rPr>
                <w:rFonts w:eastAsia="Times New Roman" w:cs="Times New Roman"/>
                <w:sz w:val="16"/>
                <w:szCs w:val="16"/>
                <w:lang w:eastAsia="sk-SK"/>
              </w:rPr>
              <w:t xml:space="preserve">    </w:t>
            </w:r>
            <w:r w:rsidR="002E7D0E" w:rsidRPr="00EC245B">
              <w:rPr>
                <w:rFonts w:eastAsia="Times New Roman" w:cs="Times New Roman"/>
                <w:sz w:val="16"/>
                <w:szCs w:val="16"/>
                <w:lang w:eastAsia="sk-SK"/>
              </w:rPr>
              <w:t>Bežné dane z dôchodkov,</w:t>
            </w:r>
            <w:r w:rsidRPr="00EC245B">
              <w:rPr>
                <w:rFonts w:eastAsia="Times New Roman" w:cs="Times New Roman"/>
                <w:sz w:val="16"/>
                <w:szCs w:val="16"/>
                <w:lang w:eastAsia="sk-SK"/>
              </w:rPr>
              <w:t xml:space="preserve"> </w:t>
            </w:r>
            <w:r w:rsidR="002E7D0E" w:rsidRPr="00EC245B">
              <w:rPr>
                <w:rFonts w:eastAsia="Times New Roman" w:cs="Times New Roman"/>
                <w:sz w:val="16"/>
                <w:szCs w:val="16"/>
                <w:lang w:eastAsia="sk-SK"/>
              </w:rPr>
              <w:t>majetku</w:t>
            </w:r>
          </w:p>
        </w:tc>
        <w:tc>
          <w:tcPr>
            <w:tcW w:w="617" w:type="pct"/>
            <w:tcBorders>
              <w:top w:val="nil"/>
              <w:left w:val="nil"/>
              <w:bottom w:val="nil"/>
              <w:right w:val="nil"/>
            </w:tcBorders>
            <w:noWrap/>
            <w:vAlign w:val="center"/>
            <w:hideMark/>
          </w:tcPr>
          <w:p w14:paraId="4E55B66C"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D.5R</w:t>
            </w:r>
          </w:p>
        </w:tc>
        <w:tc>
          <w:tcPr>
            <w:tcW w:w="636" w:type="pct"/>
            <w:tcBorders>
              <w:top w:val="nil"/>
              <w:left w:val="nil"/>
              <w:bottom w:val="nil"/>
              <w:right w:val="nil"/>
            </w:tcBorders>
            <w:noWrap/>
            <w:vAlign w:val="bottom"/>
            <w:hideMark/>
          </w:tcPr>
          <w:p w14:paraId="49442FC4"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9 734 509</w:t>
            </w:r>
          </w:p>
        </w:tc>
        <w:tc>
          <w:tcPr>
            <w:tcW w:w="613" w:type="pct"/>
            <w:tcBorders>
              <w:top w:val="nil"/>
              <w:left w:val="nil"/>
              <w:bottom w:val="nil"/>
              <w:right w:val="nil"/>
            </w:tcBorders>
            <w:noWrap/>
            <w:vAlign w:val="bottom"/>
            <w:hideMark/>
          </w:tcPr>
          <w:p w14:paraId="57E94692"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10 668 624</w:t>
            </w:r>
          </w:p>
        </w:tc>
        <w:tc>
          <w:tcPr>
            <w:tcW w:w="602" w:type="pct"/>
            <w:tcBorders>
              <w:top w:val="nil"/>
              <w:left w:val="nil"/>
              <w:bottom w:val="nil"/>
              <w:right w:val="nil"/>
            </w:tcBorders>
            <w:noWrap/>
            <w:vAlign w:val="bottom"/>
            <w:hideMark/>
          </w:tcPr>
          <w:p w14:paraId="2B453D1C"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11 763 424</w:t>
            </w:r>
          </w:p>
        </w:tc>
        <w:tc>
          <w:tcPr>
            <w:tcW w:w="597" w:type="pct"/>
            <w:tcBorders>
              <w:top w:val="nil"/>
              <w:left w:val="nil"/>
              <w:bottom w:val="nil"/>
              <w:right w:val="nil"/>
            </w:tcBorders>
            <w:noWrap/>
            <w:vAlign w:val="bottom"/>
            <w:hideMark/>
          </w:tcPr>
          <w:p w14:paraId="1A462E7F"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11 156 034</w:t>
            </w:r>
          </w:p>
        </w:tc>
        <w:tc>
          <w:tcPr>
            <w:tcW w:w="521" w:type="pct"/>
            <w:tcBorders>
              <w:top w:val="nil"/>
              <w:left w:val="nil"/>
              <w:bottom w:val="nil"/>
              <w:right w:val="nil"/>
            </w:tcBorders>
            <w:noWrap/>
            <w:vAlign w:val="bottom"/>
            <w:hideMark/>
          </w:tcPr>
          <w:p w14:paraId="11727104"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-607 390</w:t>
            </w:r>
          </w:p>
        </w:tc>
      </w:tr>
      <w:tr w:rsidR="003C3314" w:rsidRPr="00EC245B" w14:paraId="1276B2E5" w14:textId="77777777" w:rsidTr="003C3314">
        <w:trPr>
          <w:trHeight w:val="280"/>
        </w:trPr>
        <w:tc>
          <w:tcPr>
            <w:tcW w:w="1415" w:type="pct"/>
            <w:tcBorders>
              <w:top w:val="nil"/>
              <w:left w:val="nil"/>
              <w:bottom w:val="nil"/>
              <w:right w:val="nil"/>
            </w:tcBorders>
            <w:noWrap/>
            <w:vAlign w:val="center"/>
            <w:hideMark/>
          </w:tcPr>
          <w:p w14:paraId="69805B04" w14:textId="77777777" w:rsidR="002E7D0E" w:rsidRPr="00EC245B" w:rsidRDefault="002E7D0E" w:rsidP="002E7D0E">
            <w:pPr>
              <w:spacing w:line="240" w:lineRule="auto"/>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Príspevky na sociálne zabezpečenie</w:t>
            </w:r>
          </w:p>
        </w:tc>
        <w:tc>
          <w:tcPr>
            <w:tcW w:w="617" w:type="pct"/>
            <w:tcBorders>
              <w:top w:val="nil"/>
              <w:left w:val="nil"/>
              <w:bottom w:val="nil"/>
              <w:right w:val="nil"/>
            </w:tcBorders>
            <w:noWrap/>
            <w:vAlign w:val="center"/>
            <w:hideMark/>
          </w:tcPr>
          <w:p w14:paraId="7C309A1E" w14:textId="77777777" w:rsidR="002E7D0E" w:rsidRPr="00EC245B" w:rsidRDefault="002E7D0E" w:rsidP="002E7D0E">
            <w:pPr>
              <w:spacing w:line="240" w:lineRule="auto"/>
              <w:jc w:val="center"/>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D.61R</w:t>
            </w:r>
          </w:p>
        </w:tc>
        <w:tc>
          <w:tcPr>
            <w:tcW w:w="636" w:type="pct"/>
            <w:tcBorders>
              <w:top w:val="nil"/>
              <w:left w:val="nil"/>
              <w:bottom w:val="nil"/>
              <w:right w:val="nil"/>
            </w:tcBorders>
            <w:noWrap/>
            <w:vAlign w:val="bottom"/>
            <w:hideMark/>
          </w:tcPr>
          <w:p w14:paraId="6F955FCA"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18 945 663</w:t>
            </w:r>
          </w:p>
        </w:tc>
        <w:tc>
          <w:tcPr>
            <w:tcW w:w="613" w:type="pct"/>
            <w:tcBorders>
              <w:top w:val="nil"/>
              <w:left w:val="nil"/>
              <w:bottom w:val="nil"/>
              <w:right w:val="nil"/>
            </w:tcBorders>
            <w:noWrap/>
            <w:vAlign w:val="bottom"/>
            <w:hideMark/>
          </w:tcPr>
          <w:p w14:paraId="5088C1FE"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20 964 663</w:t>
            </w:r>
          </w:p>
        </w:tc>
        <w:tc>
          <w:tcPr>
            <w:tcW w:w="602" w:type="pct"/>
            <w:tcBorders>
              <w:top w:val="nil"/>
              <w:left w:val="nil"/>
              <w:bottom w:val="nil"/>
              <w:right w:val="nil"/>
            </w:tcBorders>
            <w:noWrap/>
            <w:vAlign w:val="bottom"/>
            <w:hideMark/>
          </w:tcPr>
          <w:p w14:paraId="2986FF9F"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21 960 413</w:t>
            </w:r>
          </w:p>
        </w:tc>
        <w:tc>
          <w:tcPr>
            <w:tcW w:w="597" w:type="pct"/>
            <w:tcBorders>
              <w:top w:val="nil"/>
              <w:left w:val="nil"/>
              <w:bottom w:val="nil"/>
              <w:right w:val="nil"/>
            </w:tcBorders>
            <w:noWrap/>
            <w:vAlign w:val="bottom"/>
            <w:hideMark/>
          </w:tcPr>
          <w:p w14:paraId="3B094224"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22 412 686</w:t>
            </w:r>
          </w:p>
        </w:tc>
        <w:tc>
          <w:tcPr>
            <w:tcW w:w="521" w:type="pct"/>
            <w:tcBorders>
              <w:top w:val="nil"/>
              <w:left w:val="nil"/>
              <w:bottom w:val="nil"/>
              <w:right w:val="nil"/>
            </w:tcBorders>
            <w:noWrap/>
            <w:vAlign w:val="bottom"/>
            <w:hideMark/>
          </w:tcPr>
          <w:p w14:paraId="6D3B2E93"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452 273</w:t>
            </w:r>
          </w:p>
        </w:tc>
      </w:tr>
      <w:tr w:rsidR="003C3314" w:rsidRPr="00EC245B" w14:paraId="5F7DF3A0" w14:textId="77777777" w:rsidTr="003C3314">
        <w:trPr>
          <w:trHeight w:val="280"/>
        </w:trPr>
        <w:tc>
          <w:tcPr>
            <w:tcW w:w="1415" w:type="pct"/>
            <w:tcBorders>
              <w:top w:val="nil"/>
              <w:left w:val="nil"/>
              <w:bottom w:val="nil"/>
              <w:right w:val="nil"/>
            </w:tcBorders>
            <w:noWrap/>
            <w:vAlign w:val="center"/>
            <w:hideMark/>
          </w:tcPr>
          <w:p w14:paraId="6EB9A779" w14:textId="77777777" w:rsidR="002E7D0E" w:rsidRPr="00EC245B" w:rsidRDefault="002E7D0E" w:rsidP="002E7D0E">
            <w:pPr>
              <w:spacing w:line="240" w:lineRule="auto"/>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Nedaňové príjmy</w:t>
            </w:r>
          </w:p>
        </w:tc>
        <w:tc>
          <w:tcPr>
            <w:tcW w:w="617" w:type="pct"/>
            <w:tcBorders>
              <w:top w:val="nil"/>
              <w:left w:val="nil"/>
              <w:bottom w:val="nil"/>
              <w:right w:val="nil"/>
            </w:tcBorders>
            <w:noWrap/>
            <w:vAlign w:val="center"/>
            <w:hideMark/>
          </w:tcPr>
          <w:p w14:paraId="635AB435" w14:textId="77777777" w:rsidR="002E7D0E" w:rsidRPr="00EC245B" w:rsidRDefault="002E7D0E" w:rsidP="002E7D0E">
            <w:pPr>
              <w:spacing w:line="240" w:lineRule="auto"/>
              <w:rPr>
                <w:rFonts w:eastAsia="Times New Roman" w:cs="Times New Roman"/>
                <w:b/>
                <w:bCs/>
                <w:color w:val="000000"/>
                <w:sz w:val="16"/>
                <w:szCs w:val="16"/>
                <w:lang w:eastAsia="sk-SK"/>
              </w:rPr>
            </w:pPr>
          </w:p>
        </w:tc>
        <w:tc>
          <w:tcPr>
            <w:tcW w:w="636" w:type="pct"/>
            <w:tcBorders>
              <w:top w:val="nil"/>
              <w:left w:val="nil"/>
              <w:bottom w:val="nil"/>
              <w:right w:val="nil"/>
            </w:tcBorders>
            <w:noWrap/>
            <w:vAlign w:val="bottom"/>
            <w:hideMark/>
          </w:tcPr>
          <w:p w14:paraId="29C03AC9"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4 598 095</w:t>
            </w:r>
          </w:p>
        </w:tc>
        <w:tc>
          <w:tcPr>
            <w:tcW w:w="613" w:type="pct"/>
            <w:tcBorders>
              <w:top w:val="nil"/>
              <w:left w:val="nil"/>
              <w:bottom w:val="nil"/>
              <w:right w:val="nil"/>
            </w:tcBorders>
            <w:noWrap/>
            <w:vAlign w:val="bottom"/>
            <w:hideMark/>
          </w:tcPr>
          <w:p w14:paraId="4E9BE937"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4 991 729</w:t>
            </w:r>
          </w:p>
        </w:tc>
        <w:tc>
          <w:tcPr>
            <w:tcW w:w="602" w:type="pct"/>
            <w:tcBorders>
              <w:top w:val="nil"/>
              <w:left w:val="nil"/>
              <w:bottom w:val="nil"/>
              <w:right w:val="nil"/>
            </w:tcBorders>
            <w:noWrap/>
            <w:vAlign w:val="bottom"/>
            <w:hideMark/>
          </w:tcPr>
          <w:p w14:paraId="4E4EC5A9"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5 240 621</w:t>
            </w:r>
          </w:p>
        </w:tc>
        <w:tc>
          <w:tcPr>
            <w:tcW w:w="597" w:type="pct"/>
            <w:tcBorders>
              <w:top w:val="nil"/>
              <w:left w:val="nil"/>
              <w:bottom w:val="nil"/>
              <w:right w:val="nil"/>
            </w:tcBorders>
            <w:noWrap/>
            <w:vAlign w:val="bottom"/>
            <w:hideMark/>
          </w:tcPr>
          <w:p w14:paraId="3F01C6B3"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5 314 709</w:t>
            </w:r>
          </w:p>
        </w:tc>
        <w:tc>
          <w:tcPr>
            <w:tcW w:w="521" w:type="pct"/>
            <w:tcBorders>
              <w:top w:val="nil"/>
              <w:left w:val="nil"/>
              <w:bottom w:val="nil"/>
              <w:right w:val="nil"/>
            </w:tcBorders>
            <w:noWrap/>
            <w:vAlign w:val="bottom"/>
            <w:hideMark/>
          </w:tcPr>
          <w:p w14:paraId="4230A6DB"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74 088</w:t>
            </w:r>
          </w:p>
        </w:tc>
      </w:tr>
      <w:tr w:rsidR="003C3314" w:rsidRPr="00EC245B" w14:paraId="07D02F8D" w14:textId="77777777" w:rsidTr="003C3314">
        <w:trPr>
          <w:trHeight w:val="280"/>
        </w:trPr>
        <w:tc>
          <w:tcPr>
            <w:tcW w:w="1415" w:type="pct"/>
            <w:tcBorders>
              <w:top w:val="nil"/>
              <w:left w:val="nil"/>
              <w:bottom w:val="nil"/>
              <w:right w:val="nil"/>
            </w:tcBorders>
            <w:noWrap/>
            <w:vAlign w:val="center"/>
            <w:hideMark/>
          </w:tcPr>
          <w:p w14:paraId="7DF839AE"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Tržby</w:t>
            </w:r>
          </w:p>
        </w:tc>
        <w:tc>
          <w:tcPr>
            <w:tcW w:w="617" w:type="pct"/>
            <w:tcBorders>
              <w:top w:val="nil"/>
              <w:left w:val="nil"/>
              <w:bottom w:val="nil"/>
              <w:right w:val="nil"/>
            </w:tcBorders>
            <w:noWrap/>
            <w:vAlign w:val="center"/>
            <w:hideMark/>
          </w:tcPr>
          <w:p w14:paraId="79C3C52A" w14:textId="77777777" w:rsidR="003C3314"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P.11+P.12+</w:t>
            </w:r>
          </w:p>
          <w:p w14:paraId="36C9D261" w14:textId="4913056B"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P.131</w:t>
            </w:r>
          </w:p>
        </w:tc>
        <w:tc>
          <w:tcPr>
            <w:tcW w:w="636" w:type="pct"/>
            <w:tcBorders>
              <w:top w:val="nil"/>
              <w:left w:val="nil"/>
              <w:bottom w:val="nil"/>
              <w:right w:val="nil"/>
            </w:tcBorders>
            <w:noWrap/>
            <w:vAlign w:val="bottom"/>
            <w:hideMark/>
          </w:tcPr>
          <w:p w14:paraId="7798AAFA"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3 387 460</w:t>
            </w:r>
          </w:p>
        </w:tc>
        <w:tc>
          <w:tcPr>
            <w:tcW w:w="613" w:type="pct"/>
            <w:tcBorders>
              <w:top w:val="nil"/>
              <w:left w:val="nil"/>
              <w:bottom w:val="nil"/>
              <w:right w:val="nil"/>
            </w:tcBorders>
            <w:noWrap/>
            <w:vAlign w:val="bottom"/>
            <w:hideMark/>
          </w:tcPr>
          <w:p w14:paraId="36E42D8F"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3 621 875</w:t>
            </w:r>
          </w:p>
        </w:tc>
        <w:tc>
          <w:tcPr>
            <w:tcW w:w="602" w:type="pct"/>
            <w:tcBorders>
              <w:top w:val="nil"/>
              <w:left w:val="nil"/>
              <w:bottom w:val="nil"/>
              <w:right w:val="nil"/>
            </w:tcBorders>
            <w:noWrap/>
            <w:vAlign w:val="bottom"/>
            <w:hideMark/>
          </w:tcPr>
          <w:p w14:paraId="6AB4A0C9"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3 961 207</w:t>
            </w:r>
          </w:p>
        </w:tc>
        <w:tc>
          <w:tcPr>
            <w:tcW w:w="597" w:type="pct"/>
            <w:tcBorders>
              <w:top w:val="nil"/>
              <w:left w:val="nil"/>
              <w:bottom w:val="nil"/>
              <w:right w:val="nil"/>
            </w:tcBorders>
            <w:noWrap/>
            <w:vAlign w:val="bottom"/>
            <w:hideMark/>
          </w:tcPr>
          <w:p w14:paraId="2E89370E"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3 846 489</w:t>
            </w:r>
          </w:p>
        </w:tc>
        <w:tc>
          <w:tcPr>
            <w:tcW w:w="521" w:type="pct"/>
            <w:tcBorders>
              <w:top w:val="nil"/>
              <w:left w:val="nil"/>
              <w:bottom w:val="nil"/>
              <w:right w:val="nil"/>
            </w:tcBorders>
            <w:noWrap/>
            <w:vAlign w:val="bottom"/>
            <w:hideMark/>
          </w:tcPr>
          <w:p w14:paraId="6111ED79"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-114 718</w:t>
            </w:r>
          </w:p>
        </w:tc>
      </w:tr>
      <w:tr w:rsidR="003C3314" w:rsidRPr="00EC245B" w14:paraId="51EC6E8C" w14:textId="77777777" w:rsidTr="003C3314">
        <w:trPr>
          <w:trHeight w:val="280"/>
        </w:trPr>
        <w:tc>
          <w:tcPr>
            <w:tcW w:w="1415" w:type="pct"/>
            <w:tcBorders>
              <w:top w:val="nil"/>
              <w:left w:val="nil"/>
              <w:bottom w:val="nil"/>
              <w:right w:val="nil"/>
            </w:tcBorders>
            <w:noWrap/>
            <w:vAlign w:val="center"/>
            <w:hideMark/>
          </w:tcPr>
          <w:p w14:paraId="58BCD99C"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Dôchodky z majetku</w:t>
            </w:r>
          </w:p>
        </w:tc>
        <w:tc>
          <w:tcPr>
            <w:tcW w:w="617" w:type="pct"/>
            <w:tcBorders>
              <w:top w:val="nil"/>
              <w:left w:val="nil"/>
              <w:bottom w:val="nil"/>
              <w:right w:val="nil"/>
            </w:tcBorders>
            <w:noWrap/>
            <w:vAlign w:val="center"/>
            <w:hideMark/>
          </w:tcPr>
          <w:p w14:paraId="5FF52803"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D.4R</w:t>
            </w:r>
          </w:p>
        </w:tc>
        <w:tc>
          <w:tcPr>
            <w:tcW w:w="636" w:type="pct"/>
            <w:tcBorders>
              <w:top w:val="nil"/>
              <w:left w:val="nil"/>
              <w:bottom w:val="nil"/>
              <w:right w:val="nil"/>
            </w:tcBorders>
            <w:noWrap/>
            <w:vAlign w:val="bottom"/>
            <w:hideMark/>
          </w:tcPr>
          <w:p w14:paraId="5B0CDBF9"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1 210 635</w:t>
            </w:r>
          </w:p>
        </w:tc>
        <w:tc>
          <w:tcPr>
            <w:tcW w:w="613" w:type="pct"/>
            <w:tcBorders>
              <w:top w:val="nil"/>
              <w:left w:val="nil"/>
              <w:bottom w:val="nil"/>
              <w:right w:val="nil"/>
            </w:tcBorders>
            <w:noWrap/>
            <w:vAlign w:val="bottom"/>
            <w:hideMark/>
          </w:tcPr>
          <w:p w14:paraId="175FB3FB"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1 369 854</w:t>
            </w:r>
          </w:p>
        </w:tc>
        <w:tc>
          <w:tcPr>
            <w:tcW w:w="602" w:type="pct"/>
            <w:tcBorders>
              <w:top w:val="nil"/>
              <w:left w:val="nil"/>
              <w:bottom w:val="nil"/>
              <w:right w:val="nil"/>
            </w:tcBorders>
            <w:noWrap/>
            <w:vAlign w:val="bottom"/>
            <w:hideMark/>
          </w:tcPr>
          <w:p w14:paraId="4D885376"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1 279 414</w:t>
            </w:r>
          </w:p>
        </w:tc>
        <w:tc>
          <w:tcPr>
            <w:tcW w:w="597" w:type="pct"/>
            <w:tcBorders>
              <w:top w:val="nil"/>
              <w:left w:val="nil"/>
              <w:bottom w:val="nil"/>
              <w:right w:val="nil"/>
            </w:tcBorders>
            <w:noWrap/>
            <w:vAlign w:val="bottom"/>
            <w:hideMark/>
          </w:tcPr>
          <w:p w14:paraId="01F6C750"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1 468 220</w:t>
            </w:r>
          </w:p>
        </w:tc>
        <w:tc>
          <w:tcPr>
            <w:tcW w:w="521" w:type="pct"/>
            <w:tcBorders>
              <w:top w:val="nil"/>
              <w:left w:val="nil"/>
              <w:bottom w:val="nil"/>
              <w:right w:val="nil"/>
            </w:tcBorders>
            <w:noWrap/>
            <w:vAlign w:val="bottom"/>
            <w:hideMark/>
          </w:tcPr>
          <w:p w14:paraId="7348FBAF"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188 806</w:t>
            </w:r>
          </w:p>
        </w:tc>
      </w:tr>
      <w:tr w:rsidR="003C3314" w:rsidRPr="00EC245B" w14:paraId="2FD669B6" w14:textId="77777777" w:rsidTr="003C3314">
        <w:trPr>
          <w:trHeight w:val="280"/>
        </w:trPr>
        <w:tc>
          <w:tcPr>
            <w:tcW w:w="1415" w:type="pct"/>
            <w:tcBorders>
              <w:top w:val="nil"/>
              <w:left w:val="nil"/>
              <w:bottom w:val="nil"/>
              <w:right w:val="nil"/>
            </w:tcBorders>
            <w:noWrap/>
            <w:vAlign w:val="center"/>
            <w:hideMark/>
          </w:tcPr>
          <w:p w14:paraId="7659D915" w14:textId="77777777" w:rsidR="002E7D0E" w:rsidRPr="00EC245B" w:rsidRDefault="002E7D0E" w:rsidP="002E7D0E">
            <w:pPr>
              <w:spacing w:line="240" w:lineRule="auto"/>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Granty a transfery</w:t>
            </w:r>
          </w:p>
        </w:tc>
        <w:tc>
          <w:tcPr>
            <w:tcW w:w="617" w:type="pct"/>
            <w:tcBorders>
              <w:top w:val="nil"/>
              <w:left w:val="nil"/>
              <w:bottom w:val="nil"/>
              <w:right w:val="nil"/>
            </w:tcBorders>
            <w:noWrap/>
            <w:vAlign w:val="center"/>
            <w:hideMark/>
          </w:tcPr>
          <w:p w14:paraId="6FE9EDDE" w14:textId="77777777" w:rsidR="002E7D0E" w:rsidRPr="00EC245B" w:rsidRDefault="002E7D0E" w:rsidP="002E7D0E">
            <w:pPr>
              <w:spacing w:line="240" w:lineRule="auto"/>
              <w:jc w:val="center"/>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D.39+D.7R+D.9R</w:t>
            </w:r>
          </w:p>
        </w:tc>
        <w:tc>
          <w:tcPr>
            <w:tcW w:w="636" w:type="pct"/>
            <w:tcBorders>
              <w:top w:val="nil"/>
              <w:left w:val="nil"/>
              <w:bottom w:val="nil"/>
              <w:right w:val="nil"/>
            </w:tcBorders>
            <w:noWrap/>
            <w:vAlign w:val="bottom"/>
            <w:hideMark/>
          </w:tcPr>
          <w:p w14:paraId="7C574592"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5 069 152</w:t>
            </w:r>
          </w:p>
        </w:tc>
        <w:tc>
          <w:tcPr>
            <w:tcW w:w="613" w:type="pct"/>
            <w:tcBorders>
              <w:top w:val="nil"/>
              <w:left w:val="nil"/>
              <w:bottom w:val="nil"/>
              <w:right w:val="nil"/>
            </w:tcBorders>
            <w:noWrap/>
            <w:vAlign w:val="bottom"/>
            <w:hideMark/>
          </w:tcPr>
          <w:p w14:paraId="3B14EFD8"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3 016 935</w:t>
            </w:r>
          </w:p>
        </w:tc>
        <w:tc>
          <w:tcPr>
            <w:tcW w:w="602" w:type="pct"/>
            <w:tcBorders>
              <w:top w:val="nil"/>
              <w:left w:val="nil"/>
              <w:bottom w:val="nil"/>
              <w:right w:val="nil"/>
            </w:tcBorders>
            <w:noWrap/>
            <w:vAlign w:val="bottom"/>
            <w:hideMark/>
          </w:tcPr>
          <w:p w14:paraId="2D420A69"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3 430 533</w:t>
            </w:r>
          </w:p>
        </w:tc>
        <w:tc>
          <w:tcPr>
            <w:tcW w:w="597" w:type="pct"/>
            <w:tcBorders>
              <w:top w:val="nil"/>
              <w:left w:val="nil"/>
              <w:bottom w:val="nil"/>
              <w:right w:val="nil"/>
            </w:tcBorders>
            <w:noWrap/>
            <w:vAlign w:val="bottom"/>
            <w:hideMark/>
          </w:tcPr>
          <w:p w14:paraId="599628EC"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4 131 191</w:t>
            </w:r>
          </w:p>
        </w:tc>
        <w:tc>
          <w:tcPr>
            <w:tcW w:w="521" w:type="pct"/>
            <w:tcBorders>
              <w:top w:val="nil"/>
              <w:left w:val="nil"/>
              <w:bottom w:val="nil"/>
              <w:right w:val="nil"/>
            </w:tcBorders>
            <w:noWrap/>
            <w:vAlign w:val="bottom"/>
            <w:hideMark/>
          </w:tcPr>
          <w:p w14:paraId="70ACCA36"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700 658</w:t>
            </w:r>
          </w:p>
        </w:tc>
      </w:tr>
      <w:tr w:rsidR="003C3314" w:rsidRPr="00EC245B" w14:paraId="4CB952B4" w14:textId="77777777" w:rsidTr="003C3314">
        <w:trPr>
          <w:trHeight w:val="280"/>
        </w:trPr>
        <w:tc>
          <w:tcPr>
            <w:tcW w:w="1415" w:type="pct"/>
            <w:tcBorders>
              <w:top w:val="nil"/>
              <w:left w:val="nil"/>
              <w:bottom w:val="nil"/>
              <w:right w:val="nil"/>
            </w:tcBorders>
            <w:noWrap/>
            <w:vAlign w:val="center"/>
            <w:hideMark/>
          </w:tcPr>
          <w:p w14:paraId="4FA23AC4" w14:textId="6F9B7FBE" w:rsidR="002E7D0E" w:rsidRPr="00EC245B" w:rsidRDefault="002E7D0E" w:rsidP="00442412">
            <w:pPr>
              <w:spacing w:line="240" w:lineRule="auto"/>
              <w:ind w:firstLine="214"/>
              <w:rPr>
                <w:rFonts w:eastAsia="Times New Roman" w:cs="Times New Roman"/>
                <w:color w:val="000000"/>
                <w:sz w:val="16"/>
                <w:szCs w:val="16"/>
                <w:lang w:eastAsia="sk-SK"/>
              </w:rPr>
            </w:pPr>
            <w:r w:rsidRPr="00EC245B">
              <w:rPr>
                <w:rFonts w:eastAsia="Times New Roman" w:cs="Times New Roman"/>
                <w:color w:val="000000"/>
                <w:sz w:val="16"/>
                <w:szCs w:val="16"/>
                <w:lang w:eastAsia="sk-SK"/>
              </w:rPr>
              <w:t>z toho: z EÚ</w:t>
            </w:r>
          </w:p>
        </w:tc>
        <w:tc>
          <w:tcPr>
            <w:tcW w:w="617" w:type="pct"/>
            <w:tcBorders>
              <w:top w:val="nil"/>
              <w:left w:val="nil"/>
              <w:bottom w:val="nil"/>
              <w:right w:val="nil"/>
            </w:tcBorders>
            <w:noWrap/>
            <w:vAlign w:val="center"/>
            <w:hideMark/>
          </w:tcPr>
          <w:p w14:paraId="1DB54E44" w14:textId="77777777" w:rsidR="002E7D0E" w:rsidRPr="00EC245B" w:rsidRDefault="002E7D0E" w:rsidP="002E7D0E">
            <w:pPr>
              <w:spacing w:line="240" w:lineRule="auto"/>
              <w:rPr>
                <w:rFonts w:eastAsia="Times New Roman" w:cs="Times New Roman"/>
                <w:color w:val="000000"/>
                <w:sz w:val="16"/>
                <w:szCs w:val="16"/>
                <w:lang w:eastAsia="sk-SK"/>
              </w:rPr>
            </w:pPr>
          </w:p>
        </w:tc>
        <w:tc>
          <w:tcPr>
            <w:tcW w:w="636" w:type="pct"/>
            <w:tcBorders>
              <w:top w:val="nil"/>
              <w:left w:val="nil"/>
              <w:bottom w:val="nil"/>
              <w:right w:val="nil"/>
            </w:tcBorders>
            <w:noWrap/>
            <w:vAlign w:val="bottom"/>
            <w:hideMark/>
          </w:tcPr>
          <w:p w14:paraId="4F88511B"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3 649 926</w:t>
            </w:r>
          </w:p>
        </w:tc>
        <w:tc>
          <w:tcPr>
            <w:tcW w:w="613" w:type="pct"/>
            <w:tcBorders>
              <w:top w:val="nil"/>
              <w:left w:val="nil"/>
              <w:bottom w:val="nil"/>
              <w:right w:val="nil"/>
            </w:tcBorders>
            <w:noWrap/>
            <w:vAlign w:val="bottom"/>
            <w:hideMark/>
          </w:tcPr>
          <w:p w14:paraId="3B9C60CF"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2 095 948</w:t>
            </w:r>
          </w:p>
        </w:tc>
        <w:tc>
          <w:tcPr>
            <w:tcW w:w="602" w:type="pct"/>
            <w:tcBorders>
              <w:top w:val="nil"/>
              <w:left w:val="nil"/>
              <w:bottom w:val="nil"/>
              <w:right w:val="nil"/>
            </w:tcBorders>
            <w:noWrap/>
            <w:vAlign w:val="bottom"/>
            <w:hideMark/>
          </w:tcPr>
          <w:p w14:paraId="793AC388"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2 379 285</w:t>
            </w:r>
          </w:p>
        </w:tc>
        <w:tc>
          <w:tcPr>
            <w:tcW w:w="597" w:type="pct"/>
            <w:tcBorders>
              <w:top w:val="nil"/>
              <w:left w:val="nil"/>
              <w:bottom w:val="nil"/>
              <w:right w:val="nil"/>
            </w:tcBorders>
            <w:noWrap/>
            <w:vAlign w:val="bottom"/>
            <w:hideMark/>
          </w:tcPr>
          <w:p w14:paraId="5E6C2C8B"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3 162 614</w:t>
            </w:r>
          </w:p>
        </w:tc>
        <w:tc>
          <w:tcPr>
            <w:tcW w:w="521" w:type="pct"/>
            <w:tcBorders>
              <w:top w:val="nil"/>
              <w:left w:val="nil"/>
              <w:bottom w:val="nil"/>
              <w:right w:val="nil"/>
            </w:tcBorders>
            <w:noWrap/>
            <w:vAlign w:val="bottom"/>
            <w:hideMark/>
          </w:tcPr>
          <w:p w14:paraId="76F5BF50"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783 329</w:t>
            </w:r>
          </w:p>
        </w:tc>
      </w:tr>
      <w:tr w:rsidR="003C3314" w:rsidRPr="00EC245B" w14:paraId="38BB1571" w14:textId="77777777" w:rsidTr="003C3314">
        <w:trPr>
          <w:trHeight w:val="280"/>
        </w:trPr>
        <w:tc>
          <w:tcPr>
            <w:tcW w:w="1415" w:type="pct"/>
            <w:tcBorders>
              <w:top w:val="nil"/>
              <w:left w:val="nil"/>
              <w:bottom w:val="nil"/>
              <w:right w:val="nil"/>
            </w:tcBorders>
            <w:noWrap/>
            <w:vAlign w:val="center"/>
            <w:hideMark/>
          </w:tcPr>
          <w:p w14:paraId="7CA699EE"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Ostatné bežné transfery</w:t>
            </w:r>
          </w:p>
        </w:tc>
        <w:tc>
          <w:tcPr>
            <w:tcW w:w="617" w:type="pct"/>
            <w:tcBorders>
              <w:top w:val="nil"/>
              <w:left w:val="nil"/>
              <w:bottom w:val="nil"/>
              <w:right w:val="nil"/>
            </w:tcBorders>
            <w:noWrap/>
            <w:vAlign w:val="center"/>
            <w:hideMark/>
          </w:tcPr>
          <w:p w14:paraId="1E6C37CC"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D.7R</w:t>
            </w:r>
          </w:p>
        </w:tc>
        <w:tc>
          <w:tcPr>
            <w:tcW w:w="636" w:type="pct"/>
            <w:tcBorders>
              <w:top w:val="nil"/>
              <w:left w:val="nil"/>
              <w:bottom w:val="nil"/>
              <w:right w:val="nil"/>
            </w:tcBorders>
            <w:noWrap/>
            <w:vAlign w:val="bottom"/>
            <w:hideMark/>
          </w:tcPr>
          <w:p w14:paraId="38A55C29"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2 515 063</w:t>
            </w:r>
          </w:p>
        </w:tc>
        <w:tc>
          <w:tcPr>
            <w:tcW w:w="613" w:type="pct"/>
            <w:tcBorders>
              <w:top w:val="nil"/>
              <w:left w:val="nil"/>
              <w:bottom w:val="nil"/>
              <w:right w:val="nil"/>
            </w:tcBorders>
            <w:noWrap/>
            <w:vAlign w:val="bottom"/>
            <w:hideMark/>
          </w:tcPr>
          <w:p w14:paraId="3ACD5C93"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2 117 352</w:t>
            </w:r>
          </w:p>
        </w:tc>
        <w:tc>
          <w:tcPr>
            <w:tcW w:w="602" w:type="pct"/>
            <w:tcBorders>
              <w:top w:val="nil"/>
              <w:left w:val="nil"/>
              <w:bottom w:val="nil"/>
              <w:right w:val="nil"/>
            </w:tcBorders>
            <w:noWrap/>
            <w:vAlign w:val="bottom"/>
            <w:hideMark/>
          </w:tcPr>
          <w:p w14:paraId="73653869"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2 997 645</w:t>
            </w:r>
          </w:p>
        </w:tc>
        <w:tc>
          <w:tcPr>
            <w:tcW w:w="597" w:type="pct"/>
            <w:tcBorders>
              <w:top w:val="nil"/>
              <w:left w:val="nil"/>
              <w:bottom w:val="nil"/>
              <w:right w:val="nil"/>
            </w:tcBorders>
            <w:noWrap/>
            <w:vAlign w:val="bottom"/>
            <w:hideMark/>
          </w:tcPr>
          <w:p w14:paraId="0D31F927"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2 140 122</w:t>
            </w:r>
          </w:p>
        </w:tc>
        <w:tc>
          <w:tcPr>
            <w:tcW w:w="521" w:type="pct"/>
            <w:tcBorders>
              <w:top w:val="nil"/>
              <w:left w:val="nil"/>
              <w:bottom w:val="nil"/>
              <w:right w:val="nil"/>
            </w:tcBorders>
            <w:noWrap/>
            <w:vAlign w:val="bottom"/>
            <w:hideMark/>
          </w:tcPr>
          <w:p w14:paraId="512FFAF3"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-857 523</w:t>
            </w:r>
          </w:p>
        </w:tc>
      </w:tr>
      <w:tr w:rsidR="003C3314" w:rsidRPr="00EC245B" w14:paraId="6D86E91C" w14:textId="77777777" w:rsidTr="003C3314">
        <w:trPr>
          <w:trHeight w:val="280"/>
        </w:trPr>
        <w:tc>
          <w:tcPr>
            <w:tcW w:w="1415" w:type="pct"/>
            <w:tcBorders>
              <w:top w:val="nil"/>
              <w:left w:val="nil"/>
              <w:bottom w:val="single" w:sz="4" w:space="0" w:color="auto"/>
              <w:right w:val="nil"/>
            </w:tcBorders>
            <w:noWrap/>
            <w:vAlign w:val="center"/>
            <w:hideMark/>
          </w:tcPr>
          <w:p w14:paraId="7C326FBB"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Kapitálové transfery</w:t>
            </w:r>
          </w:p>
        </w:tc>
        <w:tc>
          <w:tcPr>
            <w:tcW w:w="617" w:type="pct"/>
            <w:tcBorders>
              <w:top w:val="nil"/>
              <w:left w:val="nil"/>
              <w:bottom w:val="single" w:sz="4" w:space="0" w:color="auto"/>
              <w:right w:val="nil"/>
            </w:tcBorders>
            <w:noWrap/>
            <w:vAlign w:val="center"/>
            <w:hideMark/>
          </w:tcPr>
          <w:p w14:paraId="35F5576A"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D.9R</w:t>
            </w:r>
          </w:p>
        </w:tc>
        <w:tc>
          <w:tcPr>
            <w:tcW w:w="636" w:type="pct"/>
            <w:tcBorders>
              <w:top w:val="nil"/>
              <w:left w:val="nil"/>
              <w:bottom w:val="single" w:sz="4" w:space="0" w:color="auto"/>
              <w:right w:val="nil"/>
            </w:tcBorders>
            <w:noWrap/>
            <w:vAlign w:val="bottom"/>
            <w:hideMark/>
          </w:tcPr>
          <w:p w14:paraId="2027485D"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2 554 089</w:t>
            </w:r>
          </w:p>
        </w:tc>
        <w:tc>
          <w:tcPr>
            <w:tcW w:w="613" w:type="pct"/>
            <w:tcBorders>
              <w:top w:val="nil"/>
              <w:left w:val="nil"/>
              <w:bottom w:val="single" w:sz="4" w:space="0" w:color="auto"/>
              <w:right w:val="nil"/>
            </w:tcBorders>
            <w:noWrap/>
            <w:vAlign w:val="bottom"/>
            <w:hideMark/>
          </w:tcPr>
          <w:p w14:paraId="1E0FDCDF"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899 583</w:t>
            </w:r>
          </w:p>
        </w:tc>
        <w:tc>
          <w:tcPr>
            <w:tcW w:w="602" w:type="pct"/>
            <w:tcBorders>
              <w:top w:val="nil"/>
              <w:left w:val="nil"/>
              <w:bottom w:val="single" w:sz="4" w:space="0" w:color="auto"/>
              <w:right w:val="nil"/>
            </w:tcBorders>
            <w:noWrap/>
            <w:vAlign w:val="bottom"/>
            <w:hideMark/>
          </w:tcPr>
          <w:p w14:paraId="61991C9E"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432 888</w:t>
            </w:r>
          </w:p>
        </w:tc>
        <w:tc>
          <w:tcPr>
            <w:tcW w:w="597" w:type="pct"/>
            <w:tcBorders>
              <w:top w:val="nil"/>
              <w:left w:val="nil"/>
              <w:bottom w:val="single" w:sz="4" w:space="0" w:color="auto"/>
              <w:right w:val="nil"/>
            </w:tcBorders>
            <w:noWrap/>
            <w:vAlign w:val="bottom"/>
            <w:hideMark/>
          </w:tcPr>
          <w:p w14:paraId="49EBCFC9"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1 991 069</w:t>
            </w:r>
          </w:p>
        </w:tc>
        <w:tc>
          <w:tcPr>
            <w:tcW w:w="521" w:type="pct"/>
            <w:tcBorders>
              <w:top w:val="nil"/>
              <w:left w:val="nil"/>
              <w:bottom w:val="single" w:sz="4" w:space="0" w:color="auto"/>
              <w:right w:val="nil"/>
            </w:tcBorders>
            <w:noWrap/>
            <w:vAlign w:val="bottom"/>
            <w:hideMark/>
          </w:tcPr>
          <w:p w14:paraId="768F2B8E"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1 558 181</w:t>
            </w:r>
          </w:p>
        </w:tc>
      </w:tr>
      <w:tr w:rsidR="003C3314" w:rsidRPr="00EC245B" w14:paraId="21B08A1B" w14:textId="77777777" w:rsidTr="003C3314">
        <w:trPr>
          <w:trHeight w:val="280"/>
        </w:trPr>
        <w:tc>
          <w:tcPr>
            <w:tcW w:w="1415" w:type="pct"/>
            <w:tcBorders>
              <w:top w:val="single" w:sz="4" w:space="0" w:color="auto"/>
              <w:left w:val="nil"/>
              <w:bottom w:val="nil"/>
              <w:right w:val="nil"/>
            </w:tcBorders>
            <w:vAlign w:val="center"/>
            <w:hideMark/>
          </w:tcPr>
          <w:p w14:paraId="6BA9C131" w14:textId="77777777" w:rsidR="002E7D0E" w:rsidRPr="00EC245B" w:rsidRDefault="002E7D0E" w:rsidP="002E7D0E">
            <w:pPr>
              <w:spacing w:line="240" w:lineRule="auto"/>
              <w:jc w:val="both"/>
              <w:rPr>
                <w:rFonts w:eastAsia="Times New Roman" w:cs="Times New Roman"/>
                <w:b/>
                <w:bCs/>
                <w:sz w:val="16"/>
                <w:szCs w:val="16"/>
                <w:lang w:eastAsia="sk-SK"/>
              </w:rPr>
            </w:pPr>
            <w:r w:rsidRPr="00EC245B">
              <w:rPr>
                <w:rFonts w:eastAsia="Times New Roman" w:cs="Times New Roman"/>
                <w:b/>
                <w:bCs/>
                <w:sz w:val="16"/>
                <w:szCs w:val="16"/>
                <w:lang w:eastAsia="sk-SK"/>
              </w:rPr>
              <w:t>Výdavky spolu</w:t>
            </w:r>
          </w:p>
        </w:tc>
        <w:tc>
          <w:tcPr>
            <w:tcW w:w="617" w:type="pct"/>
            <w:tcBorders>
              <w:top w:val="nil"/>
              <w:left w:val="nil"/>
              <w:bottom w:val="nil"/>
              <w:right w:val="nil"/>
            </w:tcBorders>
            <w:vAlign w:val="center"/>
            <w:hideMark/>
          </w:tcPr>
          <w:p w14:paraId="6A6575E6" w14:textId="77777777"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TE</w:t>
            </w:r>
          </w:p>
        </w:tc>
        <w:tc>
          <w:tcPr>
            <w:tcW w:w="636" w:type="pct"/>
            <w:tcBorders>
              <w:top w:val="nil"/>
              <w:left w:val="nil"/>
              <w:bottom w:val="nil"/>
              <w:right w:val="nil"/>
            </w:tcBorders>
            <w:noWrap/>
            <w:vAlign w:val="bottom"/>
            <w:hideMark/>
          </w:tcPr>
          <w:p w14:paraId="5168F78F"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59 758 500</w:t>
            </w:r>
          </w:p>
        </w:tc>
        <w:tc>
          <w:tcPr>
            <w:tcW w:w="613" w:type="pct"/>
            <w:tcBorders>
              <w:top w:val="nil"/>
              <w:left w:val="nil"/>
              <w:bottom w:val="nil"/>
              <w:right w:val="nil"/>
            </w:tcBorders>
            <w:noWrap/>
            <w:vAlign w:val="bottom"/>
            <w:hideMark/>
          </w:tcPr>
          <w:p w14:paraId="42EDFE38"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61 751 895</w:t>
            </w:r>
          </w:p>
        </w:tc>
        <w:tc>
          <w:tcPr>
            <w:tcW w:w="602" w:type="pct"/>
            <w:tcBorders>
              <w:top w:val="nil"/>
              <w:left w:val="nil"/>
              <w:bottom w:val="nil"/>
              <w:right w:val="nil"/>
            </w:tcBorders>
            <w:noWrap/>
            <w:vAlign w:val="bottom"/>
            <w:hideMark/>
          </w:tcPr>
          <w:p w14:paraId="3F3E78F2"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66 498 949</w:t>
            </w:r>
          </w:p>
        </w:tc>
        <w:tc>
          <w:tcPr>
            <w:tcW w:w="597" w:type="pct"/>
            <w:tcBorders>
              <w:top w:val="nil"/>
              <w:left w:val="nil"/>
              <w:bottom w:val="nil"/>
              <w:right w:val="nil"/>
            </w:tcBorders>
            <w:noWrap/>
            <w:vAlign w:val="bottom"/>
            <w:hideMark/>
          </w:tcPr>
          <w:p w14:paraId="5AB2A425"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65 567 459</w:t>
            </w:r>
          </w:p>
        </w:tc>
        <w:tc>
          <w:tcPr>
            <w:tcW w:w="521" w:type="pct"/>
            <w:tcBorders>
              <w:top w:val="nil"/>
              <w:left w:val="nil"/>
              <w:bottom w:val="nil"/>
              <w:right w:val="nil"/>
            </w:tcBorders>
            <w:noWrap/>
            <w:vAlign w:val="bottom"/>
            <w:hideMark/>
          </w:tcPr>
          <w:p w14:paraId="124FFD2E"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-931 490</w:t>
            </w:r>
          </w:p>
        </w:tc>
      </w:tr>
      <w:tr w:rsidR="003C3314" w:rsidRPr="00EC245B" w14:paraId="0631BF73" w14:textId="77777777" w:rsidTr="003C3314">
        <w:trPr>
          <w:trHeight w:val="280"/>
        </w:trPr>
        <w:tc>
          <w:tcPr>
            <w:tcW w:w="1415" w:type="pct"/>
            <w:tcBorders>
              <w:top w:val="nil"/>
              <w:left w:val="nil"/>
              <w:bottom w:val="single" w:sz="4" w:space="0" w:color="auto"/>
              <w:right w:val="nil"/>
            </w:tcBorders>
            <w:noWrap/>
            <w:vAlign w:val="center"/>
            <w:hideMark/>
          </w:tcPr>
          <w:p w14:paraId="0CAEF0B9" w14:textId="77777777"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 xml:space="preserve"> v % HDP</w:t>
            </w:r>
          </w:p>
        </w:tc>
        <w:tc>
          <w:tcPr>
            <w:tcW w:w="617" w:type="pct"/>
            <w:tcBorders>
              <w:top w:val="nil"/>
              <w:left w:val="nil"/>
              <w:bottom w:val="single" w:sz="4" w:space="0" w:color="auto"/>
              <w:right w:val="nil"/>
            </w:tcBorders>
            <w:noWrap/>
            <w:vAlign w:val="center"/>
            <w:hideMark/>
          </w:tcPr>
          <w:p w14:paraId="2E55A48D" w14:textId="77777777"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 </w:t>
            </w:r>
          </w:p>
        </w:tc>
        <w:tc>
          <w:tcPr>
            <w:tcW w:w="636" w:type="pct"/>
            <w:tcBorders>
              <w:top w:val="nil"/>
              <w:left w:val="nil"/>
              <w:bottom w:val="single" w:sz="4" w:space="0" w:color="auto"/>
              <w:right w:val="nil"/>
            </w:tcBorders>
            <w:noWrap/>
            <w:vAlign w:val="bottom"/>
            <w:hideMark/>
          </w:tcPr>
          <w:p w14:paraId="269689AB"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48,4</w:t>
            </w:r>
          </w:p>
        </w:tc>
        <w:tc>
          <w:tcPr>
            <w:tcW w:w="613" w:type="pct"/>
            <w:tcBorders>
              <w:top w:val="nil"/>
              <w:left w:val="nil"/>
              <w:bottom w:val="single" w:sz="4" w:space="0" w:color="auto"/>
              <w:right w:val="nil"/>
            </w:tcBorders>
            <w:noWrap/>
            <w:vAlign w:val="bottom"/>
            <w:hideMark/>
          </w:tcPr>
          <w:p w14:paraId="782C33CB"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47,4</w:t>
            </w:r>
          </w:p>
        </w:tc>
        <w:tc>
          <w:tcPr>
            <w:tcW w:w="602" w:type="pct"/>
            <w:tcBorders>
              <w:top w:val="nil"/>
              <w:left w:val="nil"/>
              <w:bottom w:val="single" w:sz="4" w:space="0" w:color="auto"/>
              <w:right w:val="nil"/>
            </w:tcBorders>
            <w:noWrap/>
            <w:vAlign w:val="bottom"/>
            <w:hideMark/>
          </w:tcPr>
          <w:p w14:paraId="52CBE84F"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47,5</w:t>
            </w:r>
          </w:p>
        </w:tc>
        <w:tc>
          <w:tcPr>
            <w:tcW w:w="597" w:type="pct"/>
            <w:tcBorders>
              <w:top w:val="nil"/>
              <w:left w:val="nil"/>
              <w:bottom w:val="single" w:sz="4" w:space="0" w:color="auto"/>
              <w:right w:val="nil"/>
            </w:tcBorders>
            <w:noWrap/>
            <w:vAlign w:val="bottom"/>
            <w:hideMark/>
          </w:tcPr>
          <w:p w14:paraId="739BF863"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47,9</w:t>
            </w:r>
          </w:p>
        </w:tc>
        <w:tc>
          <w:tcPr>
            <w:tcW w:w="521" w:type="pct"/>
            <w:tcBorders>
              <w:top w:val="nil"/>
              <w:left w:val="nil"/>
              <w:bottom w:val="single" w:sz="4" w:space="0" w:color="auto"/>
              <w:right w:val="nil"/>
            </w:tcBorders>
            <w:noWrap/>
            <w:vAlign w:val="bottom"/>
            <w:hideMark/>
          </w:tcPr>
          <w:p w14:paraId="4194D810"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0,4</w:t>
            </w:r>
          </w:p>
        </w:tc>
      </w:tr>
      <w:tr w:rsidR="003C3314" w:rsidRPr="00EC245B" w14:paraId="3E10876D" w14:textId="77777777" w:rsidTr="003C3314">
        <w:trPr>
          <w:trHeight w:val="280"/>
        </w:trPr>
        <w:tc>
          <w:tcPr>
            <w:tcW w:w="1415" w:type="pct"/>
            <w:tcBorders>
              <w:top w:val="nil"/>
              <w:left w:val="nil"/>
              <w:bottom w:val="nil"/>
              <w:right w:val="nil"/>
            </w:tcBorders>
            <w:noWrap/>
            <w:vAlign w:val="center"/>
            <w:hideMark/>
          </w:tcPr>
          <w:p w14:paraId="3D8A45E4" w14:textId="77777777" w:rsidR="002E7D0E" w:rsidRPr="00EC245B" w:rsidRDefault="002E7D0E" w:rsidP="002E7D0E">
            <w:pPr>
              <w:spacing w:line="240" w:lineRule="auto"/>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Bežné výdavky</w:t>
            </w:r>
          </w:p>
        </w:tc>
        <w:tc>
          <w:tcPr>
            <w:tcW w:w="617" w:type="pct"/>
            <w:tcBorders>
              <w:top w:val="nil"/>
              <w:left w:val="nil"/>
              <w:bottom w:val="nil"/>
              <w:right w:val="nil"/>
            </w:tcBorders>
            <w:noWrap/>
            <w:vAlign w:val="center"/>
            <w:hideMark/>
          </w:tcPr>
          <w:p w14:paraId="7CA80E9F" w14:textId="77777777" w:rsidR="002E7D0E" w:rsidRPr="00EC245B" w:rsidRDefault="002E7D0E" w:rsidP="002E7D0E">
            <w:pPr>
              <w:spacing w:line="240" w:lineRule="auto"/>
              <w:rPr>
                <w:rFonts w:eastAsia="Times New Roman" w:cs="Times New Roman"/>
                <w:b/>
                <w:bCs/>
                <w:color w:val="000000"/>
                <w:sz w:val="16"/>
                <w:szCs w:val="16"/>
                <w:lang w:eastAsia="sk-SK"/>
              </w:rPr>
            </w:pPr>
          </w:p>
        </w:tc>
        <w:tc>
          <w:tcPr>
            <w:tcW w:w="636" w:type="pct"/>
            <w:tcBorders>
              <w:top w:val="nil"/>
              <w:left w:val="nil"/>
              <w:bottom w:val="nil"/>
              <w:right w:val="nil"/>
            </w:tcBorders>
            <w:noWrap/>
            <w:vAlign w:val="bottom"/>
            <w:hideMark/>
          </w:tcPr>
          <w:p w14:paraId="5645DEF3"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53 054 456</w:t>
            </w:r>
          </w:p>
        </w:tc>
        <w:tc>
          <w:tcPr>
            <w:tcW w:w="613" w:type="pct"/>
            <w:tcBorders>
              <w:top w:val="nil"/>
              <w:left w:val="nil"/>
              <w:bottom w:val="nil"/>
              <w:right w:val="nil"/>
            </w:tcBorders>
            <w:noWrap/>
            <w:vAlign w:val="bottom"/>
            <w:hideMark/>
          </w:tcPr>
          <w:p w14:paraId="5186ED6A"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56 476 918</w:t>
            </w:r>
          </w:p>
        </w:tc>
        <w:tc>
          <w:tcPr>
            <w:tcW w:w="602" w:type="pct"/>
            <w:tcBorders>
              <w:top w:val="nil"/>
              <w:left w:val="nil"/>
              <w:bottom w:val="nil"/>
              <w:right w:val="nil"/>
            </w:tcBorders>
            <w:noWrap/>
            <w:vAlign w:val="bottom"/>
            <w:hideMark/>
          </w:tcPr>
          <w:p w14:paraId="404ECCE1"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59 485 327</w:t>
            </w:r>
          </w:p>
        </w:tc>
        <w:tc>
          <w:tcPr>
            <w:tcW w:w="597" w:type="pct"/>
            <w:tcBorders>
              <w:top w:val="nil"/>
              <w:left w:val="nil"/>
              <w:bottom w:val="nil"/>
              <w:right w:val="nil"/>
            </w:tcBorders>
            <w:noWrap/>
            <w:vAlign w:val="bottom"/>
            <w:hideMark/>
          </w:tcPr>
          <w:p w14:paraId="2A16B79F"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58 264 888</w:t>
            </w:r>
          </w:p>
        </w:tc>
        <w:tc>
          <w:tcPr>
            <w:tcW w:w="521" w:type="pct"/>
            <w:tcBorders>
              <w:top w:val="nil"/>
              <w:left w:val="nil"/>
              <w:bottom w:val="nil"/>
              <w:right w:val="nil"/>
            </w:tcBorders>
            <w:noWrap/>
            <w:vAlign w:val="bottom"/>
            <w:hideMark/>
          </w:tcPr>
          <w:p w14:paraId="448F071C"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-1 220 439</w:t>
            </w:r>
          </w:p>
        </w:tc>
      </w:tr>
      <w:tr w:rsidR="003C3314" w:rsidRPr="00EC245B" w14:paraId="0AC0DF92" w14:textId="77777777" w:rsidTr="003C3314">
        <w:trPr>
          <w:trHeight w:val="280"/>
        </w:trPr>
        <w:tc>
          <w:tcPr>
            <w:tcW w:w="1415" w:type="pct"/>
            <w:tcBorders>
              <w:top w:val="nil"/>
              <w:left w:val="nil"/>
              <w:bottom w:val="nil"/>
              <w:right w:val="nil"/>
            </w:tcBorders>
            <w:noWrap/>
            <w:vAlign w:val="center"/>
            <w:hideMark/>
          </w:tcPr>
          <w:p w14:paraId="1B283AAA"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Kompenzácie zamestnancov</w:t>
            </w:r>
          </w:p>
        </w:tc>
        <w:tc>
          <w:tcPr>
            <w:tcW w:w="617" w:type="pct"/>
            <w:tcBorders>
              <w:top w:val="nil"/>
              <w:left w:val="nil"/>
              <w:bottom w:val="nil"/>
              <w:right w:val="nil"/>
            </w:tcBorders>
            <w:noWrap/>
            <w:vAlign w:val="center"/>
            <w:hideMark/>
          </w:tcPr>
          <w:p w14:paraId="715F4BF8"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D.1P</w:t>
            </w:r>
          </w:p>
        </w:tc>
        <w:tc>
          <w:tcPr>
            <w:tcW w:w="636" w:type="pct"/>
            <w:tcBorders>
              <w:top w:val="nil"/>
              <w:left w:val="nil"/>
              <w:bottom w:val="nil"/>
              <w:right w:val="nil"/>
            </w:tcBorders>
            <w:noWrap/>
            <w:vAlign w:val="bottom"/>
            <w:hideMark/>
          </w:tcPr>
          <w:p w14:paraId="6FF25C7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13 550 980</w:t>
            </w:r>
          </w:p>
        </w:tc>
        <w:tc>
          <w:tcPr>
            <w:tcW w:w="613" w:type="pct"/>
            <w:tcBorders>
              <w:top w:val="nil"/>
              <w:left w:val="nil"/>
              <w:bottom w:val="nil"/>
              <w:right w:val="nil"/>
            </w:tcBorders>
            <w:noWrap/>
            <w:vAlign w:val="bottom"/>
            <w:hideMark/>
          </w:tcPr>
          <w:p w14:paraId="3FD2D065"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14 847 296</w:t>
            </w:r>
          </w:p>
        </w:tc>
        <w:tc>
          <w:tcPr>
            <w:tcW w:w="602" w:type="pct"/>
            <w:tcBorders>
              <w:top w:val="nil"/>
              <w:left w:val="nil"/>
              <w:bottom w:val="nil"/>
              <w:right w:val="nil"/>
            </w:tcBorders>
            <w:noWrap/>
            <w:vAlign w:val="bottom"/>
            <w:hideMark/>
          </w:tcPr>
          <w:p w14:paraId="15919A5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15 131 906</w:t>
            </w:r>
          </w:p>
        </w:tc>
        <w:tc>
          <w:tcPr>
            <w:tcW w:w="597" w:type="pct"/>
            <w:tcBorders>
              <w:top w:val="nil"/>
              <w:left w:val="nil"/>
              <w:bottom w:val="nil"/>
              <w:right w:val="nil"/>
            </w:tcBorders>
            <w:noWrap/>
            <w:vAlign w:val="bottom"/>
            <w:hideMark/>
          </w:tcPr>
          <w:p w14:paraId="0DD9F749"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16 046 188</w:t>
            </w:r>
          </w:p>
        </w:tc>
        <w:tc>
          <w:tcPr>
            <w:tcW w:w="521" w:type="pct"/>
            <w:tcBorders>
              <w:top w:val="nil"/>
              <w:left w:val="nil"/>
              <w:bottom w:val="nil"/>
              <w:right w:val="nil"/>
            </w:tcBorders>
            <w:noWrap/>
            <w:vAlign w:val="bottom"/>
            <w:hideMark/>
          </w:tcPr>
          <w:p w14:paraId="7DF06789"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914 282</w:t>
            </w:r>
          </w:p>
        </w:tc>
      </w:tr>
      <w:tr w:rsidR="003C3314" w:rsidRPr="00EC245B" w14:paraId="77FA2D62" w14:textId="77777777" w:rsidTr="003C3314">
        <w:trPr>
          <w:trHeight w:val="280"/>
        </w:trPr>
        <w:tc>
          <w:tcPr>
            <w:tcW w:w="1415" w:type="pct"/>
            <w:tcBorders>
              <w:top w:val="nil"/>
              <w:left w:val="nil"/>
              <w:bottom w:val="nil"/>
              <w:right w:val="nil"/>
            </w:tcBorders>
            <w:noWrap/>
            <w:vAlign w:val="center"/>
            <w:hideMark/>
          </w:tcPr>
          <w:p w14:paraId="244D8DA0"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Medzispotreba</w:t>
            </w:r>
          </w:p>
        </w:tc>
        <w:tc>
          <w:tcPr>
            <w:tcW w:w="617" w:type="pct"/>
            <w:tcBorders>
              <w:top w:val="nil"/>
              <w:left w:val="nil"/>
              <w:bottom w:val="nil"/>
              <w:right w:val="nil"/>
            </w:tcBorders>
            <w:noWrap/>
            <w:vAlign w:val="center"/>
            <w:hideMark/>
          </w:tcPr>
          <w:p w14:paraId="4E3F05B2"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P.2</w:t>
            </w:r>
          </w:p>
        </w:tc>
        <w:tc>
          <w:tcPr>
            <w:tcW w:w="636" w:type="pct"/>
            <w:tcBorders>
              <w:top w:val="nil"/>
              <w:left w:val="nil"/>
              <w:bottom w:val="nil"/>
              <w:right w:val="nil"/>
            </w:tcBorders>
            <w:noWrap/>
            <w:vAlign w:val="bottom"/>
            <w:hideMark/>
          </w:tcPr>
          <w:p w14:paraId="62CA5DF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6 675 677</w:t>
            </w:r>
          </w:p>
        </w:tc>
        <w:tc>
          <w:tcPr>
            <w:tcW w:w="613" w:type="pct"/>
            <w:tcBorders>
              <w:top w:val="nil"/>
              <w:left w:val="nil"/>
              <w:bottom w:val="nil"/>
              <w:right w:val="nil"/>
            </w:tcBorders>
            <w:noWrap/>
            <w:vAlign w:val="bottom"/>
            <w:hideMark/>
          </w:tcPr>
          <w:p w14:paraId="0882F66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7 422 960</w:t>
            </w:r>
          </w:p>
        </w:tc>
        <w:tc>
          <w:tcPr>
            <w:tcW w:w="602" w:type="pct"/>
            <w:tcBorders>
              <w:top w:val="nil"/>
              <w:left w:val="nil"/>
              <w:bottom w:val="nil"/>
              <w:right w:val="nil"/>
            </w:tcBorders>
            <w:noWrap/>
            <w:vAlign w:val="bottom"/>
            <w:hideMark/>
          </w:tcPr>
          <w:p w14:paraId="233410C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8 175 103</w:t>
            </w:r>
          </w:p>
        </w:tc>
        <w:tc>
          <w:tcPr>
            <w:tcW w:w="597" w:type="pct"/>
            <w:tcBorders>
              <w:top w:val="nil"/>
              <w:left w:val="nil"/>
              <w:bottom w:val="nil"/>
              <w:right w:val="nil"/>
            </w:tcBorders>
            <w:noWrap/>
            <w:vAlign w:val="bottom"/>
            <w:hideMark/>
          </w:tcPr>
          <w:p w14:paraId="1F73AA8F"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7 801 830</w:t>
            </w:r>
          </w:p>
        </w:tc>
        <w:tc>
          <w:tcPr>
            <w:tcW w:w="521" w:type="pct"/>
            <w:tcBorders>
              <w:top w:val="nil"/>
              <w:left w:val="nil"/>
              <w:bottom w:val="nil"/>
              <w:right w:val="nil"/>
            </w:tcBorders>
            <w:noWrap/>
            <w:vAlign w:val="bottom"/>
            <w:hideMark/>
          </w:tcPr>
          <w:p w14:paraId="3362FFC0"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-373 273</w:t>
            </w:r>
          </w:p>
        </w:tc>
      </w:tr>
      <w:tr w:rsidR="003C3314" w:rsidRPr="00EC245B" w14:paraId="44F0C131" w14:textId="77777777" w:rsidTr="003C3314">
        <w:trPr>
          <w:trHeight w:val="280"/>
        </w:trPr>
        <w:tc>
          <w:tcPr>
            <w:tcW w:w="1415" w:type="pct"/>
            <w:tcBorders>
              <w:top w:val="nil"/>
              <w:left w:val="nil"/>
              <w:bottom w:val="nil"/>
              <w:right w:val="nil"/>
            </w:tcBorders>
            <w:noWrap/>
            <w:vAlign w:val="center"/>
            <w:hideMark/>
          </w:tcPr>
          <w:p w14:paraId="53ABF120"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Dane</w:t>
            </w:r>
          </w:p>
        </w:tc>
        <w:tc>
          <w:tcPr>
            <w:tcW w:w="617" w:type="pct"/>
            <w:tcBorders>
              <w:top w:val="nil"/>
              <w:left w:val="nil"/>
              <w:bottom w:val="nil"/>
              <w:right w:val="nil"/>
            </w:tcBorders>
            <w:noWrap/>
            <w:vAlign w:val="center"/>
            <w:hideMark/>
          </w:tcPr>
          <w:p w14:paraId="064E4174"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D.2P+D.5P</w:t>
            </w:r>
          </w:p>
        </w:tc>
        <w:tc>
          <w:tcPr>
            <w:tcW w:w="636" w:type="pct"/>
            <w:tcBorders>
              <w:top w:val="nil"/>
              <w:left w:val="nil"/>
              <w:bottom w:val="nil"/>
              <w:right w:val="nil"/>
            </w:tcBorders>
            <w:noWrap/>
            <w:vAlign w:val="bottom"/>
            <w:hideMark/>
          </w:tcPr>
          <w:p w14:paraId="0331B70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101 644</w:t>
            </w:r>
          </w:p>
        </w:tc>
        <w:tc>
          <w:tcPr>
            <w:tcW w:w="613" w:type="pct"/>
            <w:tcBorders>
              <w:top w:val="nil"/>
              <w:left w:val="nil"/>
              <w:bottom w:val="nil"/>
              <w:right w:val="nil"/>
            </w:tcBorders>
            <w:noWrap/>
            <w:vAlign w:val="bottom"/>
            <w:hideMark/>
          </w:tcPr>
          <w:p w14:paraId="2547C171"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179 175</w:t>
            </w:r>
          </w:p>
        </w:tc>
        <w:tc>
          <w:tcPr>
            <w:tcW w:w="602" w:type="pct"/>
            <w:tcBorders>
              <w:top w:val="nil"/>
              <w:left w:val="nil"/>
              <w:bottom w:val="nil"/>
              <w:right w:val="nil"/>
            </w:tcBorders>
            <w:noWrap/>
            <w:vAlign w:val="bottom"/>
            <w:hideMark/>
          </w:tcPr>
          <w:p w14:paraId="4CD4D87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161 471</w:t>
            </w:r>
          </w:p>
        </w:tc>
        <w:tc>
          <w:tcPr>
            <w:tcW w:w="597" w:type="pct"/>
            <w:tcBorders>
              <w:top w:val="nil"/>
              <w:left w:val="nil"/>
              <w:bottom w:val="nil"/>
              <w:right w:val="nil"/>
            </w:tcBorders>
            <w:noWrap/>
            <w:vAlign w:val="bottom"/>
            <w:hideMark/>
          </w:tcPr>
          <w:p w14:paraId="1C81BBA8"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209 640</w:t>
            </w:r>
          </w:p>
        </w:tc>
        <w:tc>
          <w:tcPr>
            <w:tcW w:w="521" w:type="pct"/>
            <w:tcBorders>
              <w:top w:val="nil"/>
              <w:left w:val="nil"/>
              <w:bottom w:val="nil"/>
              <w:right w:val="nil"/>
            </w:tcBorders>
            <w:noWrap/>
            <w:vAlign w:val="bottom"/>
            <w:hideMark/>
          </w:tcPr>
          <w:p w14:paraId="3808CEC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48 169</w:t>
            </w:r>
          </w:p>
        </w:tc>
      </w:tr>
      <w:tr w:rsidR="003C3314" w:rsidRPr="00EC245B" w14:paraId="4B67444A" w14:textId="77777777" w:rsidTr="003C3314">
        <w:trPr>
          <w:trHeight w:val="280"/>
        </w:trPr>
        <w:tc>
          <w:tcPr>
            <w:tcW w:w="1415" w:type="pct"/>
            <w:tcBorders>
              <w:top w:val="nil"/>
              <w:left w:val="nil"/>
              <w:bottom w:val="nil"/>
              <w:right w:val="nil"/>
            </w:tcBorders>
            <w:noWrap/>
            <w:vAlign w:val="center"/>
            <w:hideMark/>
          </w:tcPr>
          <w:p w14:paraId="63305109"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Subvencie</w:t>
            </w:r>
          </w:p>
        </w:tc>
        <w:tc>
          <w:tcPr>
            <w:tcW w:w="617" w:type="pct"/>
            <w:tcBorders>
              <w:top w:val="nil"/>
              <w:left w:val="nil"/>
              <w:bottom w:val="nil"/>
              <w:right w:val="nil"/>
            </w:tcBorders>
            <w:noWrap/>
            <w:vAlign w:val="center"/>
            <w:hideMark/>
          </w:tcPr>
          <w:p w14:paraId="4FA1B71C"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D.3P</w:t>
            </w:r>
          </w:p>
        </w:tc>
        <w:tc>
          <w:tcPr>
            <w:tcW w:w="636" w:type="pct"/>
            <w:tcBorders>
              <w:top w:val="nil"/>
              <w:left w:val="nil"/>
              <w:bottom w:val="nil"/>
              <w:right w:val="nil"/>
            </w:tcBorders>
            <w:noWrap/>
            <w:vAlign w:val="bottom"/>
            <w:hideMark/>
          </w:tcPr>
          <w:p w14:paraId="09FA9C25"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4 196 050</w:t>
            </w:r>
          </w:p>
        </w:tc>
        <w:tc>
          <w:tcPr>
            <w:tcW w:w="613" w:type="pct"/>
            <w:tcBorders>
              <w:top w:val="nil"/>
              <w:left w:val="nil"/>
              <w:bottom w:val="nil"/>
              <w:right w:val="nil"/>
            </w:tcBorders>
            <w:noWrap/>
            <w:vAlign w:val="bottom"/>
            <w:hideMark/>
          </w:tcPr>
          <w:p w14:paraId="6E44EB4A"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2 208 702</w:t>
            </w:r>
          </w:p>
        </w:tc>
        <w:tc>
          <w:tcPr>
            <w:tcW w:w="602" w:type="pct"/>
            <w:tcBorders>
              <w:top w:val="nil"/>
              <w:left w:val="nil"/>
              <w:bottom w:val="nil"/>
              <w:right w:val="nil"/>
            </w:tcBorders>
            <w:noWrap/>
            <w:vAlign w:val="bottom"/>
            <w:hideMark/>
          </w:tcPr>
          <w:p w14:paraId="65036A65"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1 479 850</w:t>
            </w:r>
          </w:p>
        </w:tc>
        <w:tc>
          <w:tcPr>
            <w:tcW w:w="597" w:type="pct"/>
            <w:tcBorders>
              <w:top w:val="nil"/>
              <w:left w:val="nil"/>
              <w:bottom w:val="nil"/>
              <w:right w:val="nil"/>
            </w:tcBorders>
            <w:noWrap/>
            <w:vAlign w:val="bottom"/>
            <w:hideMark/>
          </w:tcPr>
          <w:p w14:paraId="4F158FEA"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1 751 075</w:t>
            </w:r>
          </w:p>
        </w:tc>
        <w:tc>
          <w:tcPr>
            <w:tcW w:w="521" w:type="pct"/>
            <w:tcBorders>
              <w:top w:val="nil"/>
              <w:left w:val="nil"/>
              <w:bottom w:val="nil"/>
              <w:right w:val="nil"/>
            </w:tcBorders>
            <w:noWrap/>
            <w:vAlign w:val="bottom"/>
            <w:hideMark/>
          </w:tcPr>
          <w:p w14:paraId="093EDB14"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271 225</w:t>
            </w:r>
          </w:p>
        </w:tc>
      </w:tr>
      <w:tr w:rsidR="003C3314" w:rsidRPr="00EC245B" w14:paraId="4A64B5D5" w14:textId="77777777" w:rsidTr="003C3314">
        <w:trPr>
          <w:trHeight w:val="280"/>
        </w:trPr>
        <w:tc>
          <w:tcPr>
            <w:tcW w:w="1415" w:type="pct"/>
            <w:tcBorders>
              <w:top w:val="nil"/>
              <w:left w:val="nil"/>
              <w:bottom w:val="nil"/>
              <w:right w:val="nil"/>
            </w:tcBorders>
            <w:noWrap/>
            <w:vAlign w:val="center"/>
            <w:hideMark/>
          </w:tcPr>
          <w:p w14:paraId="53B3A34C"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Dôchodky z majetku</w:t>
            </w:r>
          </w:p>
        </w:tc>
        <w:tc>
          <w:tcPr>
            <w:tcW w:w="617" w:type="pct"/>
            <w:tcBorders>
              <w:top w:val="nil"/>
              <w:left w:val="nil"/>
              <w:bottom w:val="nil"/>
              <w:right w:val="nil"/>
            </w:tcBorders>
            <w:noWrap/>
            <w:vAlign w:val="center"/>
            <w:hideMark/>
          </w:tcPr>
          <w:p w14:paraId="2D8C8156"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D.4P</w:t>
            </w:r>
          </w:p>
        </w:tc>
        <w:tc>
          <w:tcPr>
            <w:tcW w:w="636" w:type="pct"/>
            <w:tcBorders>
              <w:top w:val="nil"/>
              <w:left w:val="nil"/>
              <w:bottom w:val="nil"/>
              <w:right w:val="nil"/>
            </w:tcBorders>
            <w:noWrap/>
            <w:vAlign w:val="bottom"/>
            <w:hideMark/>
          </w:tcPr>
          <w:p w14:paraId="024A9B36"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1 428 032</w:t>
            </w:r>
          </w:p>
        </w:tc>
        <w:tc>
          <w:tcPr>
            <w:tcW w:w="613" w:type="pct"/>
            <w:tcBorders>
              <w:top w:val="nil"/>
              <w:left w:val="nil"/>
              <w:bottom w:val="nil"/>
              <w:right w:val="nil"/>
            </w:tcBorders>
            <w:noWrap/>
            <w:vAlign w:val="bottom"/>
            <w:hideMark/>
          </w:tcPr>
          <w:p w14:paraId="0331075D"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1 850 045</w:t>
            </w:r>
          </w:p>
        </w:tc>
        <w:tc>
          <w:tcPr>
            <w:tcW w:w="602" w:type="pct"/>
            <w:tcBorders>
              <w:top w:val="nil"/>
              <w:left w:val="nil"/>
              <w:bottom w:val="nil"/>
              <w:right w:val="nil"/>
            </w:tcBorders>
            <w:noWrap/>
            <w:vAlign w:val="bottom"/>
            <w:hideMark/>
          </w:tcPr>
          <w:p w14:paraId="0AF43CBA"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2 158 970</w:t>
            </w:r>
          </w:p>
        </w:tc>
        <w:tc>
          <w:tcPr>
            <w:tcW w:w="597" w:type="pct"/>
            <w:tcBorders>
              <w:top w:val="nil"/>
              <w:left w:val="nil"/>
              <w:bottom w:val="nil"/>
              <w:right w:val="nil"/>
            </w:tcBorders>
            <w:noWrap/>
            <w:vAlign w:val="bottom"/>
            <w:hideMark/>
          </w:tcPr>
          <w:p w14:paraId="56CA700D"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2 118 558</w:t>
            </w:r>
          </w:p>
        </w:tc>
        <w:tc>
          <w:tcPr>
            <w:tcW w:w="521" w:type="pct"/>
            <w:tcBorders>
              <w:top w:val="nil"/>
              <w:left w:val="nil"/>
              <w:bottom w:val="nil"/>
              <w:right w:val="nil"/>
            </w:tcBorders>
            <w:noWrap/>
            <w:vAlign w:val="bottom"/>
            <w:hideMark/>
          </w:tcPr>
          <w:p w14:paraId="2F3975B0"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-40 412</w:t>
            </w:r>
          </w:p>
        </w:tc>
      </w:tr>
      <w:tr w:rsidR="003C3314" w:rsidRPr="00EC245B" w14:paraId="027993A9" w14:textId="77777777" w:rsidTr="003C3314">
        <w:trPr>
          <w:trHeight w:val="280"/>
        </w:trPr>
        <w:tc>
          <w:tcPr>
            <w:tcW w:w="1415" w:type="pct"/>
            <w:tcBorders>
              <w:top w:val="nil"/>
              <w:left w:val="nil"/>
              <w:bottom w:val="nil"/>
              <w:right w:val="nil"/>
            </w:tcBorders>
            <w:noWrap/>
            <w:vAlign w:val="center"/>
            <w:hideMark/>
          </w:tcPr>
          <w:p w14:paraId="14A07E81"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Celkové sociálne transfery</w:t>
            </w:r>
          </w:p>
        </w:tc>
        <w:tc>
          <w:tcPr>
            <w:tcW w:w="617" w:type="pct"/>
            <w:tcBorders>
              <w:top w:val="nil"/>
              <w:left w:val="nil"/>
              <w:bottom w:val="nil"/>
              <w:right w:val="nil"/>
            </w:tcBorders>
            <w:noWrap/>
            <w:vAlign w:val="center"/>
            <w:hideMark/>
          </w:tcPr>
          <w:p w14:paraId="6C21D155"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D.6P</w:t>
            </w:r>
          </w:p>
        </w:tc>
        <w:tc>
          <w:tcPr>
            <w:tcW w:w="636" w:type="pct"/>
            <w:tcBorders>
              <w:top w:val="nil"/>
              <w:left w:val="nil"/>
              <w:bottom w:val="nil"/>
              <w:right w:val="nil"/>
            </w:tcBorders>
            <w:noWrap/>
            <w:vAlign w:val="bottom"/>
            <w:hideMark/>
          </w:tcPr>
          <w:p w14:paraId="6868AC1A"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24 445 514</w:t>
            </w:r>
          </w:p>
        </w:tc>
        <w:tc>
          <w:tcPr>
            <w:tcW w:w="613" w:type="pct"/>
            <w:tcBorders>
              <w:top w:val="nil"/>
              <w:left w:val="nil"/>
              <w:bottom w:val="nil"/>
              <w:right w:val="nil"/>
            </w:tcBorders>
            <w:noWrap/>
            <w:vAlign w:val="bottom"/>
            <w:hideMark/>
          </w:tcPr>
          <w:p w14:paraId="129F55F6"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27 303 871</w:t>
            </w:r>
          </w:p>
        </w:tc>
        <w:tc>
          <w:tcPr>
            <w:tcW w:w="602" w:type="pct"/>
            <w:tcBorders>
              <w:top w:val="nil"/>
              <w:left w:val="nil"/>
              <w:bottom w:val="nil"/>
              <w:right w:val="nil"/>
            </w:tcBorders>
            <w:noWrap/>
            <w:vAlign w:val="bottom"/>
            <w:hideMark/>
          </w:tcPr>
          <w:p w14:paraId="05B18328"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28 245 665</w:t>
            </w:r>
          </w:p>
        </w:tc>
        <w:tc>
          <w:tcPr>
            <w:tcW w:w="597" w:type="pct"/>
            <w:tcBorders>
              <w:top w:val="nil"/>
              <w:left w:val="nil"/>
              <w:bottom w:val="nil"/>
              <w:right w:val="nil"/>
            </w:tcBorders>
            <w:noWrap/>
            <w:vAlign w:val="bottom"/>
            <w:hideMark/>
          </w:tcPr>
          <w:p w14:paraId="06013F45"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27 518 190</w:t>
            </w:r>
          </w:p>
        </w:tc>
        <w:tc>
          <w:tcPr>
            <w:tcW w:w="521" w:type="pct"/>
            <w:tcBorders>
              <w:top w:val="nil"/>
              <w:left w:val="nil"/>
              <w:bottom w:val="nil"/>
              <w:right w:val="nil"/>
            </w:tcBorders>
            <w:noWrap/>
            <w:vAlign w:val="bottom"/>
            <w:hideMark/>
          </w:tcPr>
          <w:p w14:paraId="78E4F435" w14:textId="77777777" w:rsidR="002E7D0E" w:rsidRPr="00EC245B" w:rsidRDefault="002E7D0E" w:rsidP="002E7D0E">
            <w:pPr>
              <w:spacing w:line="240" w:lineRule="auto"/>
              <w:jc w:val="right"/>
              <w:rPr>
                <w:rFonts w:eastAsia="Times New Roman" w:cs="Times New Roman"/>
                <w:color w:val="000000"/>
                <w:sz w:val="16"/>
                <w:szCs w:val="16"/>
                <w:lang w:eastAsia="sk-SK"/>
              </w:rPr>
            </w:pPr>
            <w:r w:rsidRPr="00EC245B">
              <w:rPr>
                <w:rFonts w:eastAsia="Times New Roman" w:cs="Times New Roman"/>
                <w:color w:val="000000"/>
                <w:sz w:val="16"/>
                <w:szCs w:val="16"/>
                <w:lang w:eastAsia="sk-SK"/>
              </w:rPr>
              <w:t>-727 475</w:t>
            </w:r>
          </w:p>
        </w:tc>
      </w:tr>
      <w:tr w:rsidR="003C3314" w:rsidRPr="00EC245B" w14:paraId="49FE6EAB" w14:textId="77777777" w:rsidTr="003C3314">
        <w:trPr>
          <w:trHeight w:val="280"/>
        </w:trPr>
        <w:tc>
          <w:tcPr>
            <w:tcW w:w="1415" w:type="pct"/>
            <w:tcBorders>
              <w:top w:val="nil"/>
              <w:left w:val="nil"/>
              <w:bottom w:val="nil"/>
              <w:right w:val="nil"/>
            </w:tcBorders>
            <w:noWrap/>
            <w:vAlign w:val="center"/>
            <w:hideMark/>
          </w:tcPr>
          <w:p w14:paraId="0D227E5C" w14:textId="63E6D568" w:rsidR="002E7D0E" w:rsidRPr="00EC245B" w:rsidRDefault="00AD5DB8" w:rsidP="00AD5DB8">
            <w:pPr>
              <w:spacing w:line="240" w:lineRule="auto"/>
              <w:ind w:left="160" w:hangingChars="100" w:hanging="160"/>
              <w:rPr>
                <w:rFonts w:eastAsia="Times New Roman" w:cs="Times New Roman"/>
                <w:color w:val="000000"/>
                <w:sz w:val="16"/>
                <w:szCs w:val="16"/>
                <w:lang w:eastAsia="sk-SK"/>
              </w:rPr>
            </w:pPr>
            <w:r w:rsidRPr="00EC245B">
              <w:rPr>
                <w:rFonts w:eastAsia="Times New Roman" w:cs="Times New Roman"/>
                <w:color w:val="000000"/>
                <w:sz w:val="16"/>
                <w:szCs w:val="16"/>
                <w:lang w:eastAsia="sk-SK"/>
              </w:rPr>
              <w:t xml:space="preserve">    </w:t>
            </w:r>
            <w:r w:rsidR="002E7D0E" w:rsidRPr="00EC245B">
              <w:rPr>
                <w:rFonts w:eastAsia="Times New Roman" w:cs="Times New Roman"/>
                <w:color w:val="000000"/>
                <w:sz w:val="16"/>
                <w:szCs w:val="16"/>
                <w:lang w:eastAsia="sk-SK"/>
              </w:rPr>
              <w:t xml:space="preserve"> - Sociálne dávky okrem naturálnych soc. transf.</w:t>
            </w:r>
          </w:p>
        </w:tc>
        <w:tc>
          <w:tcPr>
            <w:tcW w:w="617" w:type="pct"/>
            <w:tcBorders>
              <w:top w:val="nil"/>
              <w:left w:val="nil"/>
              <w:bottom w:val="nil"/>
              <w:right w:val="nil"/>
            </w:tcBorders>
            <w:noWrap/>
            <w:vAlign w:val="center"/>
            <w:hideMark/>
          </w:tcPr>
          <w:p w14:paraId="7F56393B"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D.62P</w:t>
            </w:r>
          </w:p>
        </w:tc>
        <w:tc>
          <w:tcPr>
            <w:tcW w:w="636" w:type="pct"/>
            <w:tcBorders>
              <w:top w:val="nil"/>
              <w:left w:val="nil"/>
              <w:bottom w:val="nil"/>
              <w:right w:val="nil"/>
            </w:tcBorders>
            <w:noWrap/>
            <w:vAlign w:val="bottom"/>
            <w:hideMark/>
          </w:tcPr>
          <w:p w14:paraId="29DE8AE8"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20 154 949</w:t>
            </w:r>
          </w:p>
        </w:tc>
        <w:tc>
          <w:tcPr>
            <w:tcW w:w="613" w:type="pct"/>
            <w:tcBorders>
              <w:top w:val="nil"/>
              <w:left w:val="nil"/>
              <w:bottom w:val="nil"/>
              <w:right w:val="nil"/>
            </w:tcBorders>
            <w:noWrap/>
            <w:vAlign w:val="bottom"/>
            <w:hideMark/>
          </w:tcPr>
          <w:p w14:paraId="5983A1FF"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22 414 734</w:t>
            </w:r>
          </w:p>
        </w:tc>
        <w:tc>
          <w:tcPr>
            <w:tcW w:w="602" w:type="pct"/>
            <w:tcBorders>
              <w:top w:val="nil"/>
              <w:left w:val="nil"/>
              <w:bottom w:val="nil"/>
              <w:right w:val="nil"/>
            </w:tcBorders>
            <w:noWrap/>
            <w:vAlign w:val="bottom"/>
            <w:hideMark/>
          </w:tcPr>
          <w:p w14:paraId="29EAAAED"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22 551 202</w:t>
            </w:r>
          </w:p>
        </w:tc>
        <w:tc>
          <w:tcPr>
            <w:tcW w:w="597" w:type="pct"/>
            <w:tcBorders>
              <w:top w:val="nil"/>
              <w:left w:val="nil"/>
              <w:bottom w:val="nil"/>
              <w:right w:val="nil"/>
            </w:tcBorders>
            <w:noWrap/>
            <w:vAlign w:val="bottom"/>
            <w:hideMark/>
          </w:tcPr>
          <w:p w14:paraId="2AAC002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22 307 162</w:t>
            </w:r>
          </w:p>
        </w:tc>
        <w:tc>
          <w:tcPr>
            <w:tcW w:w="521" w:type="pct"/>
            <w:tcBorders>
              <w:top w:val="nil"/>
              <w:left w:val="nil"/>
              <w:bottom w:val="nil"/>
              <w:right w:val="nil"/>
            </w:tcBorders>
            <w:noWrap/>
            <w:vAlign w:val="bottom"/>
            <w:hideMark/>
          </w:tcPr>
          <w:p w14:paraId="238F42B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-244 040</w:t>
            </w:r>
          </w:p>
        </w:tc>
      </w:tr>
      <w:tr w:rsidR="003C3314" w:rsidRPr="00EC245B" w14:paraId="1772C61B" w14:textId="77777777" w:rsidTr="003C3314">
        <w:trPr>
          <w:trHeight w:val="280"/>
        </w:trPr>
        <w:tc>
          <w:tcPr>
            <w:tcW w:w="1415" w:type="pct"/>
            <w:tcBorders>
              <w:top w:val="nil"/>
              <w:left w:val="nil"/>
              <w:bottom w:val="nil"/>
              <w:right w:val="nil"/>
            </w:tcBorders>
            <w:noWrap/>
            <w:vAlign w:val="center"/>
            <w:hideMark/>
          </w:tcPr>
          <w:p w14:paraId="40E88551"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 xml:space="preserve"> - Naturálne sociálne transfery</w:t>
            </w:r>
          </w:p>
        </w:tc>
        <w:tc>
          <w:tcPr>
            <w:tcW w:w="617" w:type="pct"/>
            <w:tcBorders>
              <w:top w:val="nil"/>
              <w:left w:val="nil"/>
              <w:bottom w:val="nil"/>
              <w:right w:val="nil"/>
            </w:tcBorders>
            <w:noWrap/>
            <w:vAlign w:val="center"/>
            <w:hideMark/>
          </w:tcPr>
          <w:p w14:paraId="334F3D2F"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D.632P</w:t>
            </w:r>
          </w:p>
        </w:tc>
        <w:tc>
          <w:tcPr>
            <w:tcW w:w="636" w:type="pct"/>
            <w:tcBorders>
              <w:top w:val="nil"/>
              <w:left w:val="nil"/>
              <w:bottom w:val="nil"/>
              <w:right w:val="nil"/>
            </w:tcBorders>
            <w:noWrap/>
            <w:vAlign w:val="bottom"/>
            <w:hideMark/>
          </w:tcPr>
          <w:p w14:paraId="01EAF5DE"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4 290 565</w:t>
            </w:r>
          </w:p>
        </w:tc>
        <w:tc>
          <w:tcPr>
            <w:tcW w:w="613" w:type="pct"/>
            <w:tcBorders>
              <w:top w:val="nil"/>
              <w:left w:val="nil"/>
              <w:bottom w:val="nil"/>
              <w:right w:val="nil"/>
            </w:tcBorders>
            <w:noWrap/>
            <w:vAlign w:val="bottom"/>
            <w:hideMark/>
          </w:tcPr>
          <w:p w14:paraId="2DE6E53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4 889 137</w:t>
            </w:r>
          </w:p>
        </w:tc>
        <w:tc>
          <w:tcPr>
            <w:tcW w:w="602" w:type="pct"/>
            <w:tcBorders>
              <w:top w:val="nil"/>
              <w:left w:val="nil"/>
              <w:bottom w:val="nil"/>
              <w:right w:val="nil"/>
            </w:tcBorders>
            <w:noWrap/>
            <w:vAlign w:val="bottom"/>
            <w:hideMark/>
          </w:tcPr>
          <w:p w14:paraId="0DF374B4"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5 694 463</w:t>
            </w:r>
          </w:p>
        </w:tc>
        <w:tc>
          <w:tcPr>
            <w:tcW w:w="597" w:type="pct"/>
            <w:tcBorders>
              <w:top w:val="nil"/>
              <w:left w:val="nil"/>
              <w:bottom w:val="nil"/>
              <w:right w:val="nil"/>
            </w:tcBorders>
            <w:noWrap/>
            <w:vAlign w:val="bottom"/>
            <w:hideMark/>
          </w:tcPr>
          <w:p w14:paraId="4FD0D716"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5 211 028</w:t>
            </w:r>
          </w:p>
        </w:tc>
        <w:tc>
          <w:tcPr>
            <w:tcW w:w="521" w:type="pct"/>
            <w:tcBorders>
              <w:top w:val="nil"/>
              <w:left w:val="nil"/>
              <w:bottom w:val="nil"/>
              <w:right w:val="nil"/>
            </w:tcBorders>
            <w:noWrap/>
            <w:vAlign w:val="bottom"/>
            <w:hideMark/>
          </w:tcPr>
          <w:p w14:paraId="19D83B97"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-483 435</w:t>
            </w:r>
          </w:p>
        </w:tc>
      </w:tr>
      <w:tr w:rsidR="003C3314" w:rsidRPr="00EC245B" w14:paraId="2947F54B" w14:textId="77777777" w:rsidTr="003C3314">
        <w:trPr>
          <w:trHeight w:val="280"/>
        </w:trPr>
        <w:tc>
          <w:tcPr>
            <w:tcW w:w="1415" w:type="pct"/>
            <w:tcBorders>
              <w:top w:val="nil"/>
              <w:left w:val="nil"/>
              <w:bottom w:val="nil"/>
              <w:right w:val="nil"/>
            </w:tcBorders>
            <w:noWrap/>
            <w:vAlign w:val="center"/>
            <w:hideMark/>
          </w:tcPr>
          <w:p w14:paraId="2926C0C4"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Ostatné bežné transfery</w:t>
            </w:r>
          </w:p>
        </w:tc>
        <w:tc>
          <w:tcPr>
            <w:tcW w:w="617" w:type="pct"/>
            <w:tcBorders>
              <w:top w:val="nil"/>
              <w:left w:val="nil"/>
              <w:bottom w:val="nil"/>
              <w:right w:val="nil"/>
            </w:tcBorders>
            <w:noWrap/>
            <w:vAlign w:val="center"/>
            <w:hideMark/>
          </w:tcPr>
          <w:p w14:paraId="4EBDF991"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D.7P</w:t>
            </w:r>
          </w:p>
        </w:tc>
        <w:tc>
          <w:tcPr>
            <w:tcW w:w="636" w:type="pct"/>
            <w:tcBorders>
              <w:top w:val="nil"/>
              <w:left w:val="nil"/>
              <w:bottom w:val="nil"/>
              <w:right w:val="nil"/>
            </w:tcBorders>
            <w:noWrap/>
            <w:vAlign w:val="bottom"/>
            <w:hideMark/>
          </w:tcPr>
          <w:p w14:paraId="691C0BC3"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2 656 559</w:t>
            </w:r>
          </w:p>
        </w:tc>
        <w:tc>
          <w:tcPr>
            <w:tcW w:w="613" w:type="pct"/>
            <w:tcBorders>
              <w:top w:val="nil"/>
              <w:left w:val="nil"/>
              <w:bottom w:val="nil"/>
              <w:right w:val="nil"/>
            </w:tcBorders>
            <w:noWrap/>
            <w:vAlign w:val="bottom"/>
            <w:hideMark/>
          </w:tcPr>
          <w:p w14:paraId="73FC1ABE"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2 664 869</w:t>
            </w:r>
          </w:p>
        </w:tc>
        <w:tc>
          <w:tcPr>
            <w:tcW w:w="602" w:type="pct"/>
            <w:tcBorders>
              <w:top w:val="nil"/>
              <w:left w:val="nil"/>
              <w:bottom w:val="nil"/>
              <w:right w:val="nil"/>
            </w:tcBorders>
            <w:noWrap/>
            <w:vAlign w:val="bottom"/>
            <w:hideMark/>
          </w:tcPr>
          <w:p w14:paraId="299AE23C"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4 132 362</w:t>
            </w:r>
          </w:p>
        </w:tc>
        <w:tc>
          <w:tcPr>
            <w:tcW w:w="597" w:type="pct"/>
            <w:tcBorders>
              <w:top w:val="nil"/>
              <w:left w:val="nil"/>
              <w:bottom w:val="nil"/>
              <w:right w:val="nil"/>
            </w:tcBorders>
            <w:noWrap/>
            <w:vAlign w:val="bottom"/>
            <w:hideMark/>
          </w:tcPr>
          <w:p w14:paraId="35E5F156"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2 819 407</w:t>
            </w:r>
          </w:p>
        </w:tc>
        <w:tc>
          <w:tcPr>
            <w:tcW w:w="521" w:type="pct"/>
            <w:tcBorders>
              <w:top w:val="nil"/>
              <w:left w:val="nil"/>
              <w:bottom w:val="nil"/>
              <w:right w:val="nil"/>
            </w:tcBorders>
            <w:noWrap/>
            <w:vAlign w:val="bottom"/>
            <w:hideMark/>
          </w:tcPr>
          <w:p w14:paraId="51684C67"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-1 312 955</w:t>
            </w:r>
          </w:p>
        </w:tc>
      </w:tr>
      <w:tr w:rsidR="003C3314" w:rsidRPr="00EC245B" w14:paraId="1D4E9B8A" w14:textId="77777777" w:rsidTr="003C3314">
        <w:trPr>
          <w:trHeight w:val="280"/>
        </w:trPr>
        <w:tc>
          <w:tcPr>
            <w:tcW w:w="1415" w:type="pct"/>
            <w:tcBorders>
              <w:top w:val="nil"/>
              <w:left w:val="nil"/>
              <w:bottom w:val="nil"/>
              <w:right w:val="nil"/>
            </w:tcBorders>
            <w:noWrap/>
            <w:vAlign w:val="center"/>
            <w:hideMark/>
          </w:tcPr>
          <w:p w14:paraId="489A0AF9" w14:textId="77777777" w:rsidR="002E7D0E" w:rsidRPr="00EC245B" w:rsidRDefault="002E7D0E" w:rsidP="002E7D0E">
            <w:pPr>
              <w:spacing w:line="240" w:lineRule="auto"/>
              <w:ind w:firstLineChars="100" w:firstLine="161"/>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Kapitálové výdavky</w:t>
            </w:r>
          </w:p>
        </w:tc>
        <w:tc>
          <w:tcPr>
            <w:tcW w:w="617" w:type="pct"/>
            <w:tcBorders>
              <w:top w:val="nil"/>
              <w:left w:val="nil"/>
              <w:bottom w:val="nil"/>
              <w:right w:val="nil"/>
            </w:tcBorders>
            <w:noWrap/>
            <w:vAlign w:val="center"/>
            <w:hideMark/>
          </w:tcPr>
          <w:p w14:paraId="58A3CC4B" w14:textId="77777777" w:rsidR="002E7D0E" w:rsidRPr="00EC245B" w:rsidRDefault="002E7D0E" w:rsidP="002E7D0E">
            <w:pPr>
              <w:spacing w:line="240" w:lineRule="auto"/>
              <w:ind w:firstLineChars="100" w:firstLine="161"/>
              <w:rPr>
                <w:rFonts w:eastAsia="Times New Roman" w:cs="Times New Roman"/>
                <w:b/>
                <w:bCs/>
                <w:color w:val="000000"/>
                <w:sz w:val="16"/>
                <w:szCs w:val="16"/>
                <w:lang w:eastAsia="sk-SK"/>
              </w:rPr>
            </w:pPr>
          </w:p>
        </w:tc>
        <w:tc>
          <w:tcPr>
            <w:tcW w:w="636" w:type="pct"/>
            <w:tcBorders>
              <w:top w:val="nil"/>
              <w:left w:val="nil"/>
              <w:bottom w:val="nil"/>
              <w:right w:val="nil"/>
            </w:tcBorders>
            <w:noWrap/>
            <w:vAlign w:val="bottom"/>
            <w:hideMark/>
          </w:tcPr>
          <w:p w14:paraId="1EE15149"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6 704 044</w:t>
            </w:r>
          </w:p>
        </w:tc>
        <w:tc>
          <w:tcPr>
            <w:tcW w:w="613" w:type="pct"/>
            <w:tcBorders>
              <w:top w:val="nil"/>
              <w:left w:val="nil"/>
              <w:bottom w:val="nil"/>
              <w:right w:val="nil"/>
            </w:tcBorders>
            <w:noWrap/>
            <w:vAlign w:val="bottom"/>
            <w:hideMark/>
          </w:tcPr>
          <w:p w14:paraId="44F8108C"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5 274 977</w:t>
            </w:r>
          </w:p>
        </w:tc>
        <w:tc>
          <w:tcPr>
            <w:tcW w:w="602" w:type="pct"/>
            <w:tcBorders>
              <w:top w:val="nil"/>
              <w:left w:val="nil"/>
              <w:bottom w:val="nil"/>
              <w:right w:val="nil"/>
            </w:tcBorders>
            <w:noWrap/>
            <w:vAlign w:val="bottom"/>
            <w:hideMark/>
          </w:tcPr>
          <w:p w14:paraId="7B9F9915"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7 013 622</w:t>
            </w:r>
          </w:p>
        </w:tc>
        <w:tc>
          <w:tcPr>
            <w:tcW w:w="597" w:type="pct"/>
            <w:tcBorders>
              <w:top w:val="nil"/>
              <w:left w:val="nil"/>
              <w:bottom w:val="nil"/>
              <w:right w:val="nil"/>
            </w:tcBorders>
            <w:noWrap/>
            <w:vAlign w:val="bottom"/>
            <w:hideMark/>
          </w:tcPr>
          <w:p w14:paraId="34C0ACBF"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7 302 571</w:t>
            </w:r>
          </w:p>
        </w:tc>
        <w:tc>
          <w:tcPr>
            <w:tcW w:w="521" w:type="pct"/>
            <w:tcBorders>
              <w:top w:val="nil"/>
              <w:left w:val="nil"/>
              <w:bottom w:val="nil"/>
              <w:right w:val="nil"/>
            </w:tcBorders>
            <w:noWrap/>
            <w:vAlign w:val="bottom"/>
            <w:hideMark/>
          </w:tcPr>
          <w:p w14:paraId="5EAFE770" w14:textId="77777777" w:rsidR="002E7D0E" w:rsidRPr="00EC245B" w:rsidRDefault="002E7D0E" w:rsidP="002E7D0E">
            <w:pPr>
              <w:spacing w:line="240" w:lineRule="auto"/>
              <w:jc w:val="right"/>
              <w:rPr>
                <w:rFonts w:eastAsia="Times New Roman" w:cs="Times New Roman"/>
                <w:b/>
                <w:bCs/>
                <w:sz w:val="16"/>
                <w:szCs w:val="16"/>
                <w:lang w:eastAsia="sk-SK"/>
              </w:rPr>
            </w:pPr>
            <w:r w:rsidRPr="00EC245B">
              <w:rPr>
                <w:rFonts w:eastAsia="Times New Roman" w:cs="Times New Roman"/>
                <w:b/>
                <w:bCs/>
                <w:sz w:val="16"/>
                <w:szCs w:val="16"/>
                <w:lang w:eastAsia="sk-SK"/>
              </w:rPr>
              <w:t>288 949</w:t>
            </w:r>
          </w:p>
        </w:tc>
      </w:tr>
      <w:tr w:rsidR="003C3314" w:rsidRPr="00EC245B" w14:paraId="7CA68A84" w14:textId="77777777" w:rsidTr="003C3314">
        <w:trPr>
          <w:trHeight w:val="280"/>
        </w:trPr>
        <w:tc>
          <w:tcPr>
            <w:tcW w:w="1415" w:type="pct"/>
            <w:tcBorders>
              <w:top w:val="nil"/>
              <w:left w:val="nil"/>
              <w:bottom w:val="nil"/>
              <w:right w:val="nil"/>
            </w:tcBorders>
            <w:noWrap/>
            <w:vAlign w:val="center"/>
            <w:hideMark/>
          </w:tcPr>
          <w:p w14:paraId="6BB1CD87"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Kapitálové investície</w:t>
            </w:r>
          </w:p>
        </w:tc>
        <w:tc>
          <w:tcPr>
            <w:tcW w:w="617" w:type="pct"/>
            <w:tcBorders>
              <w:top w:val="nil"/>
              <w:left w:val="nil"/>
              <w:bottom w:val="nil"/>
              <w:right w:val="nil"/>
            </w:tcBorders>
            <w:noWrap/>
            <w:vAlign w:val="center"/>
            <w:hideMark/>
          </w:tcPr>
          <w:p w14:paraId="1F26B06D"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P.5L</w:t>
            </w:r>
          </w:p>
        </w:tc>
        <w:tc>
          <w:tcPr>
            <w:tcW w:w="636" w:type="pct"/>
            <w:tcBorders>
              <w:top w:val="nil"/>
              <w:left w:val="nil"/>
              <w:bottom w:val="nil"/>
              <w:right w:val="nil"/>
            </w:tcBorders>
            <w:noWrap/>
            <w:vAlign w:val="bottom"/>
            <w:hideMark/>
          </w:tcPr>
          <w:p w14:paraId="2A4B0D28"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4 738 729</w:t>
            </w:r>
          </w:p>
        </w:tc>
        <w:tc>
          <w:tcPr>
            <w:tcW w:w="613" w:type="pct"/>
            <w:tcBorders>
              <w:top w:val="nil"/>
              <w:left w:val="nil"/>
              <w:bottom w:val="nil"/>
              <w:right w:val="nil"/>
            </w:tcBorders>
            <w:noWrap/>
            <w:vAlign w:val="bottom"/>
            <w:hideMark/>
          </w:tcPr>
          <w:p w14:paraId="1C447CE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4 693 784</w:t>
            </w:r>
          </w:p>
        </w:tc>
        <w:tc>
          <w:tcPr>
            <w:tcW w:w="602" w:type="pct"/>
            <w:tcBorders>
              <w:top w:val="nil"/>
              <w:left w:val="nil"/>
              <w:bottom w:val="nil"/>
              <w:right w:val="nil"/>
            </w:tcBorders>
            <w:noWrap/>
            <w:vAlign w:val="bottom"/>
            <w:hideMark/>
          </w:tcPr>
          <w:p w14:paraId="0A78FE7E"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6 028 539</w:t>
            </w:r>
          </w:p>
        </w:tc>
        <w:tc>
          <w:tcPr>
            <w:tcW w:w="597" w:type="pct"/>
            <w:tcBorders>
              <w:top w:val="nil"/>
              <w:left w:val="nil"/>
              <w:bottom w:val="nil"/>
              <w:right w:val="nil"/>
            </w:tcBorders>
            <w:noWrap/>
            <w:vAlign w:val="bottom"/>
            <w:hideMark/>
          </w:tcPr>
          <w:p w14:paraId="5EC7E750"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6 318 453</w:t>
            </w:r>
          </w:p>
        </w:tc>
        <w:tc>
          <w:tcPr>
            <w:tcW w:w="521" w:type="pct"/>
            <w:tcBorders>
              <w:top w:val="nil"/>
              <w:left w:val="nil"/>
              <w:bottom w:val="nil"/>
              <w:right w:val="nil"/>
            </w:tcBorders>
            <w:noWrap/>
            <w:vAlign w:val="bottom"/>
            <w:hideMark/>
          </w:tcPr>
          <w:p w14:paraId="3601C31A"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289 914</w:t>
            </w:r>
          </w:p>
        </w:tc>
      </w:tr>
      <w:tr w:rsidR="003C3314" w:rsidRPr="00EC245B" w14:paraId="0219B23C" w14:textId="77777777" w:rsidTr="003C3314">
        <w:trPr>
          <w:trHeight w:val="280"/>
        </w:trPr>
        <w:tc>
          <w:tcPr>
            <w:tcW w:w="1415" w:type="pct"/>
            <w:tcBorders>
              <w:top w:val="nil"/>
              <w:left w:val="nil"/>
              <w:bottom w:val="nil"/>
              <w:right w:val="nil"/>
            </w:tcBorders>
            <w:noWrap/>
            <w:vAlign w:val="center"/>
            <w:hideMark/>
          </w:tcPr>
          <w:p w14:paraId="1C1CF480" w14:textId="6AF0707C" w:rsidR="002E7D0E" w:rsidRPr="00EC245B" w:rsidRDefault="00AD5DB8" w:rsidP="00AD5DB8">
            <w:pPr>
              <w:spacing w:line="240" w:lineRule="auto"/>
              <w:ind w:left="160" w:hangingChars="100" w:hanging="160"/>
              <w:rPr>
                <w:rFonts w:eastAsia="Times New Roman" w:cs="Times New Roman"/>
                <w:color w:val="000000"/>
                <w:sz w:val="16"/>
                <w:szCs w:val="16"/>
                <w:lang w:eastAsia="sk-SK"/>
              </w:rPr>
            </w:pPr>
            <w:r w:rsidRPr="00EC245B">
              <w:rPr>
                <w:rFonts w:eastAsia="Times New Roman" w:cs="Times New Roman"/>
                <w:color w:val="000000"/>
                <w:sz w:val="16"/>
                <w:szCs w:val="16"/>
                <w:lang w:eastAsia="sk-SK"/>
              </w:rPr>
              <w:t xml:space="preserve">    </w:t>
            </w:r>
            <w:r w:rsidR="002E7D0E" w:rsidRPr="00EC245B">
              <w:rPr>
                <w:rFonts w:eastAsia="Times New Roman" w:cs="Times New Roman"/>
                <w:color w:val="000000"/>
                <w:sz w:val="16"/>
                <w:szCs w:val="16"/>
                <w:lang w:eastAsia="sk-SK"/>
              </w:rPr>
              <w:t xml:space="preserve"> - Tvorba hrubého fixného kapitálu</w:t>
            </w:r>
          </w:p>
        </w:tc>
        <w:tc>
          <w:tcPr>
            <w:tcW w:w="617" w:type="pct"/>
            <w:tcBorders>
              <w:top w:val="nil"/>
              <w:left w:val="nil"/>
              <w:bottom w:val="nil"/>
              <w:right w:val="nil"/>
            </w:tcBorders>
            <w:noWrap/>
            <w:vAlign w:val="center"/>
            <w:hideMark/>
          </w:tcPr>
          <w:p w14:paraId="1DDC806F"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P.51G</w:t>
            </w:r>
          </w:p>
        </w:tc>
        <w:tc>
          <w:tcPr>
            <w:tcW w:w="636" w:type="pct"/>
            <w:tcBorders>
              <w:top w:val="nil"/>
              <w:left w:val="nil"/>
              <w:bottom w:val="nil"/>
              <w:right w:val="nil"/>
            </w:tcBorders>
            <w:noWrap/>
            <w:vAlign w:val="bottom"/>
            <w:hideMark/>
          </w:tcPr>
          <w:p w14:paraId="2F37E310"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4 538 092</w:t>
            </w:r>
          </w:p>
        </w:tc>
        <w:tc>
          <w:tcPr>
            <w:tcW w:w="613" w:type="pct"/>
            <w:tcBorders>
              <w:top w:val="nil"/>
              <w:left w:val="nil"/>
              <w:bottom w:val="nil"/>
              <w:right w:val="nil"/>
            </w:tcBorders>
            <w:noWrap/>
            <w:vAlign w:val="bottom"/>
            <w:hideMark/>
          </w:tcPr>
          <w:p w14:paraId="0E0EB44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4 624 989</w:t>
            </w:r>
          </w:p>
        </w:tc>
        <w:tc>
          <w:tcPr>
            <w:tcW w:w="602" w:type="pct"/>
            <w:tcBorders>
              <w:top w:val="nil"/>
              <w:left w:val="nil"/>
              <w:bottom w:val="nil"/>
              <w:right w:val="nil"/>
            </w:tcBorders>
            <w:noWrap/>
            <w:vAlign w:val="bottom"/>
            <w:hideMark/>
          </w:tcPr>
          <w:p w14:paraId="6525FA7A"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5 922 814</w:t>
            </w:r>
          </w:p>
        </w:tc>
        <w:tc>
          <w:tcPr>
            <w:tcW w:w="597" w:type="pct"/>
            <w:tcBorders>
              <w:top w:val="nil"/>
              <w:left w:val="nil"/>
              <w:bottom w:val="nil"/>
              <w:right w:val="nil"/>
            </w:tcBorders>
            <w:noWrap/>
            <w:vAlign w:val="bottom"/>
            <w:hideMark/>
          </w:tcPr>
          <w:p w14:paraId="7D07047E"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6 191 979</w:t>
            </w:r>
          </w:p>
        </w:tc>
        <w:tc>
          <w:tcPr>
            <w:tcW w:w="521" w:type="pct"/>
            <w:tcBorders>
              <w:top w:val="nil"/>
              <w:left w:val="nil"/>
              <w:bottom w:val="nil"/>
              <w:right w:val="nil"/>
            </w:tcBorders>
            <w:noWrap/>
            <w:vAlign w:val="bottom"/>
            <w:hideMark/>
          </w:tcPr>
          <w:p w14:paraId="11443E60"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269 165</w:t>
            </w:r>
          </w:p>
        </w:tc>
      </w:tr>
      <w:tr w:rsidR="003C3314" w:rsidRPr="00EC245B" w14:paraId="39F46258" w14:textId="77777777" w:rsidTr="003C3314">
        <w:trPr>
          <w:trHeight w:val="280"/>
        </w:trPr>
        <w:tc>
          <w:tcPr>
            <w:tcW w:w="1415" w:type="pct"/>
            <w:tcBorders>
              <w:top w:val="nil"/>
              <w:left w:val="nil"/>
              <w:bottom w:val="nil"/>
              <w:right w:val="nil"/>
            </w:tcBorders>
            <w:noWrap/>
            <w:vAlign w:val="center"/>
            <w:hideMark/>
          </w:tcPr>
          <w:p w14:paraId="2ED7549B" w14:textId="78B83B22" w:rsidR="002E7D0E" w:rsidRPr="00EC245B" w:rsidRDefault="00AD5DB8" w:rsidP="00AD5DB8">
            <w:pPr>
              <w:spacing w:line="240" w:lineRule="auto"/>
              <w:ind w:left="160" w:hangingChars="100" w:hanging="160"/>
              <w:rPr>
                <w:rFonts w:eastAsia="Times New Roman" w:cs="Times New Roman"/>
                <w:color w:val="000000"/>
                <w:sz w:val="16"/>
                <w:szCs w:val="16"/>
                <w:lang w:eastAsia="sk-SK"/>
              </w:rPr>
            </w:pPr>
            <w:r w:rsidRPr="00EC245B">
              <w:rPr>
                <w:rFonts w:eastAsia="Times New Roman" w:cs="Times New Roman"/>
                <w:color w:val="000000"/>
                <w:sz w:val="16"/>
                <w:szCs w:val="16"/>
                <w:lang w:eastAsia="sk-SK"/>
              </w:rPr>
              <w:t xml:space="preserve">   </w:t>
            </w:r>
            <w:r w:rsidR="002E7D0E" w:rsidRPr="00EC245B">
              <w:rPr>
                <w:rFonts w:eastAsia="Times New Roman" w:cs="Times New Roman"/>
                <w:color w:val="000000"/>
                <w:sz w:val="16"/>
                <w:szCs w:val="16"/>
                <w:lang w:eastAsia="sk-SK"/>
              </w:rPr>
              <w:t xml:space="preserve"> - Zmena st. zásob</w:t>
            </w:r>
            <w:r w:rsidRPr="00EC245B">
              <w:rPr>
                <w:rFonts w:eastAsia="Times New Roman" w:cs="Times New Roman"/>
                <w:color w:val="000000"/>
                <w:sz w:val="16"/>
                <w:szCs w:val="16"/>
                <w:lang w:eastAsia="sk-SK"/>
              </w:rPr>
              <w:t xml:space="preserve"> </w:t>
            </w:r>
            <w:r w:rsidR="002E7D0E" w:rsidRPr="00EC245B">
              <w:rPr>
                <w:rFonts w:eastAsia="Times New Roman" w:cs="Times New Roman"/>
                <w:color w:val="000000"/>
                <w:sz w:val="16"/>
                <w:szCs w:val="16"/>
                <w:lang w:eastAsia="sk-SK"/>
              </w:rPr>
              <w:t>+</w:t>
            </w:r>
            <w:r w:rsidRPr="00EC245B">
              <w:rPr>
                <w:rFonts w:eastAsia="Times New Roman" w:cs="Times New Roman"/>
                <w:color w:val="000000"/>
                <w:sz w:val="16"/>
                <w:szCs w:val="16"/>
                <w:lang w:eastAsia="sk-SK"/>
              </w:rPr>
              <w:t xml:space="preserve"> </w:t>
            </w:r>
            <w:r w:rsidR="002E7D0E" w:rsidRPr="00EC245B">
              <w:rPr>
                <w:rFonts w:eastAsia="Times New Roman" w:cs="Times New Roman"/>
                <w:color w:val="000000"/>
                <w:sz w:val="16"/>
                <w:szCs w:val="16"/>
                <w:lang w:eastAsia="sk-SK"/>
              </w:rPr>
              <w:t>Nadobudnutie - Úbytok cenností</w:t>
            </w:r>
          </w:p>
        </w:tc>
        <w:tc>
          <w:tcPr>
            <w:tcW w:w="617" w:type="pct"/>
            <w:tcBorders>
              <w:top w:val="nil"/>
              <w:left w:val="nil"/>
              <w:bottom w:val="nil"/>
              <w:right w:val="nil"/>
            </w:tcBorders>
            <w:noWrap/>
            <w:vAlign w:val="center"/>
            <w:hideMark/>
          </w:tcPr>
          <w:p w14:paraId="15D5899E"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P.5M</w:t>
            </w:r>
          </w:p>
        </w:tc>
        <w:tc>
          <w:tcPr>
            <w:tcW w:w="636" w:type="pct"/>
            <w:tcBorders>
              <w:top w:val="nil"/>
              <w:left w:val="nil"/>
              <w:bottom w:val="nil"/>
              <w:right w:val="nil"/>
            </w:tcBorders>
            <w:noWrap/>
            <w:vAlign w:val="bottom"/>
            <w:hideMark/>
          </w:tcPr>
          <w:p w14:paraId="3C0D2B9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149 735</w:t>
            </w:r>
          </w:p>
        </w:tc>
        <w:tc>
          <w:tcPr>
            <w:tcW w:w="613" w:type="pct"/>
            <w:tcBorders>
              <w:top w:val="nil"/>
              <w:left w:val="nil"/>
              <w:bottom w:val="nil"/>
              <w:right w:val="nil"/>
            </w:tcBorders>
            <w:noWrap/>
            <w:vAlign w:val="bottom"/>
            <w:hideMark/>
          </w:tcPr>
          <w:p w14:paraId="604D4A37"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69 064</w:t>
            </w:r>
          </w:p>
        </w:tc>
        <w:tc>
          <w:tcPr>
            <w:tcW w:w="602" w:type="pct"/>
            <w:tcBorders>
              <w:top w:val="nil"/>
              <w:left w:val="nil"/>
              <w:bottom w:val="nil"/>
              <w:right w:val="nil"/>
            </w:tcBorders>
            <w:noWrap/>
            <w:vAlign w:val="bottom"/>
            <w:hideMark/>
          </w:tcPr>
          <w:p w14:paraId="10251971"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97 020</w:t>
            </w:r>
          </w:p>
        </w:tc>
        <w:tc>
          <w:tcPr>
            <w:tcW w:w="597" w:type="pct"/>
            <w:tcBorders>
              <w:top w:val="nil"/>
              <w:left w:val="nil"/>
              <w:bottom w:val="nil"/>
              <w:right w:val="nil"/>
            </w:tcBorders>
            <w:noWrap/>
            <w:vAlign w:val="bottom"/>
            <w:hideMark/>
          </w:tcPr>
          <w:p w14:paraId="7A4DC862"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76 097</w:t>
            </w:r>
          </w:p>
        </w:tc>
        <w:tc>
          <w:tcPr>
            <w:tcW w:w="521" w:type="pct"/>
            <w:tcBorders>
              <w:top w:val="nil"/>
              <w:left w:val="nil"/>
              <w:bottom w:val="nil"/>
              <w:right w:val="nil"/>
            </w:tcBorders>
            <w:noWrap/>
            <w:vAlign w:val="bottom"/>
            <w:hideMark/>
          </w:tcPr>
          <w:p w14:paraId="150D4A9F"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-20 923</w:t>
            </w:r>
          </w:p>
        </w:tc>
      </w:tr>
      <w:tr w:rsidR="003C3314" w:rsidRPr="00EC245B" w14:paraId="19CAD91D" w14:textId="77777777" w:rsidTr="003C3314">
        <w:trPr>
          <w:trHeight w:val="280"/>
        </w:trPr>
        <w:tc>
          <w:tcPr>
            <w:tcW w:w="1415" w:type="pct"/>
            <w:tcBorders>
              <w:top w:val="nil"/>
              <w:left w:val="nil"/>
              <w:bottom w:val="nil"/>
              <w:right w:val="nil"/>
            </w:tcBorders>
            <w:noWrap/>
            <w:vAlign w:val="center"/>
            <w:hideMark/>
          </w:tcPr>
          <w:p w14:paraId="6F6DA6BA" w14:textId="14E06172" w:rsidR="002E7D0E" w:rsidRPr="00EC245B" w:rsidRDefault="002E7D0E" w:rsidP="00AD5DB8">
            <w:pPr>
              <w:spacing w:line="240" w:lineRule="auto"/>
              <w:ind w:left="160" w:hangingChars="100" w:hanging="160"/>
              <w:rPr>
                <w:rFonts w:eastAsia="Times New Roman" w:cs="Times New Roman"/>
                <w:color w:val="000000"/>
                <w:sz w:val="16"/>
                <w:szCs w:val="16"/>
                <w:lang w:eastAsia="sk-SK"/>
              </w:rPr>
            </w:pPr>
            <w:r w:rsidRPr="00EC245B">
              <w:rPr>
                <w:rFonts w:eastAsia="Times New Roman" w:cs="Times New Roman"/>
                <w:color w:val="000000"/>
                <w:sz w:val="16"/>
                <w:szCs w:val="16"/>
                <w:lang w:eastAsia="sk-SK"/>
              </w:rPr>
              <w:t xml:space="preserve"> </w:t>
            </w:r>
            <w:r w:rsidR="00AD5DB8" w:rsidRPr="00EC245B">
              <w:rPr>
                <w:rFonts w:eastAsia="Times New Roman" w:cs="Times New Roman"/>
                <w:color w:val="000000"/>
                <w:sz w:val="16"/>
                <w:szCs w:val="16"/>
                <w:lang w:eastAsia="sk-SK"/>
              </w:rPr>
              <w:t xml:space="preserve">   </w:t>
            </w:r>
            <w:r w:rsidRPr="00EC245B">
              <w:rPr>
                <w:rFonts w:eastAsia="Times New Roman" w:cs="Times New Roman"/>
                <w:color w:val="000000"/>
                <w:sz w:val="16"/>
                <w:szCs w:val="16"/>
                <w:lang w:eastAsia="sk-SK"/>
              </w:rPr>
              <w:t>- Nadobud. mínus úbytok nef. neproduk. aktív</w:t>
            </w:r>
          </w:p>
        </w:tc>
        <w:tc>
          <w:tcPr>
            <w:tcW w:w="617" w:type="pct"/>
            <w:tcBorders>
              <w:top w:val="nil"/>
              <w:left w:val="nil"/>
              <w:bottom w:val="nil"/>
              <w:right w:val="nil"/>
            </w:tcBorders>
            <w:noWrap/>
            <w:vAlign w:val="center"/>
            <w:hideMark/>
          </w:tcPr>
          <w:p w14:paraId="5CA228D3"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NP</w:t>
            </w:r>
          </w:p>
        </w:tc>
        <w:tc>
          <w:tcPr>
            <w:tcW w:w="636" w:type="pct"/>
            <w:tcBorders>
              <w:top w:val="nil"/>
              <w:left w:val="nil"/>
              <w:bottom w:val="nil"/>
              <w:right w:val="nil"/>
            </w:tcBorders>
            <w:noWrap/>
            <w:vAlign w:val="bottom"/>
            <w:hideMark/>
          </w:tcPr>
          <w:p w14:paraId="54051F36"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50 902</w:t>
            </w:r>
          </w:p>
        </w:tc>
        <w:tc>
          <w:tcPr>
            <w:tcW w:w="613" w:type="pct"/>
            <w:tcBorders>
              <w:top w:val="nil"/>
              <w:left w:val="nil"/>
              <w:bottom w:val="nil"/>
              <w:right w:val="nil"/>
            </w:tcBorders>
            <w:noWrap/>
            <w:vAlign w:val="bottom"/>
            <w:hideMark/>
          </w:tcPr>
          <w:p w14:paraId="638B3E6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-269</w:t>
            </w:r>
          </w:p>
        </w:tc>
        <w:tc>
          <w:tcPr>
            <w:tcW w:w="602" w:type="pct"/>
            <w:tcBorders>
              <w:top w:val="nil"/>
              <w:left w:val="nil"/>
              <w:bottom w:val="nil"/>
              <w:right w:val="nil"/>
            </w:tcBorders>
            <w:noWrap/>
            <w:vAlign w:val="bottom"/>
            <w:hideMark/>
          </w:tcPr>
          <w:p w14:paraId="6FE68CF9"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8 705</w:t>
            </w:r>
          </w:p>
        </w:tc>
        <w:tc>
          <w:tcPr>
            <w:tcW w:w="597" w:type="pct"/>
            <w:tcBorders>
              <w:top w:val="nil"/>
              <w:left w:val="nil"/>
              <w:bottom w:val="nil"/>
              <w:right w:val="nil"/>
            </w:tcBorders>
            <w:noWrap/>
            <w:vAlign w:val="bottom"/>
            <w:hideMark/>
          </w:tcPr>
          <w:p w14:paraId="7ABB2131"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50 377</w:t>
            </w:r>
          </w:p>
        </w:tc>
        <w:tc>
          <w:tcPr>
            <w:tcW w:w="521" w:type="pct"/>
            <w:tcBorders>
              <w:top w:val="nil"/>
              <w:left w:val="nil"/>
              <w:bottom w:val="nil"/>
              <w:right w:val="nil"/>
            </w:tcBorders>
            <w:noWrap/>
            <w:vAlign w:val="bottom"/>
            <w:hideMark/>
          </w:tcPr>
          <w:p w14:paraId="77F55500"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41 672</w:t>
            </w:r>
          </w:p>
        </w:tc>
      </w:tr>
      <w:tr w:rsidR="003C3314" w:rsidRPr="00EC245B" w14:paraId="6F9EC0A0" w14:textId="77777777" w:rsidTr="003C3314">
        <w:trPr>
          <w:trHeight w:val="280"/>
        </w:trPr>
        <w:tc>
          <w:tcPr>
            <w:tcW w:w="1415" w:type="pct"/>
            <w:tcBorders>
              <w:top w:val="nil"/>
              <w:left w:val="nil"/>
              <w:bottom w:val="single" w:sz="4" w:space="0" w:color="auto"/>
              <w:right w:val="nil"/>
            </w:tcBorders>
            <w:noWrap/>
            <w:vAlign w:val="center"/>
            <w:hideMark/>
          </w:tcPr>
          <w:p w14:paraId="15F7E79C" w14:textId="77777777" w:rsidR="002E7D0E" w:rsidRPr="00EC245B" w:rsidRDefault="002E7D0E" w:rsidP="002E7D0E">
            <w:pPr>
              <w:spacing w:line="240" w:lineRule="auto"/>
              <w:ind w:firstLineChars="100" w:firstLine="160"/>
              <w:rPr>
                <w:rFonts w:eastAsia="Times New Roman" w:cs="Times New Roman"/>
                <w:color w:val="000000"/>
                <w:sz w:val="16"/>
                <w:szCs w:val="16"/>
                <w:lang w:eastAsia="sk-SK"/>
              </w:rPr>
            </w:pPr>
            <w:r w:rsidRPr="00EC245B">
              <w:rPr>
                <w:rFonts w:eastAsia="Times New Roman" w:cs="Times New Roman"/>
                <w:color w:val="000000"/>
                <w:sz w:val="16"/>
                <w:szCs w:val="16"/>
                <w:lang w:eastAsia="sk-SK"/>
              </w:rPr>
              <w:t>Kapitálové transfery</w:t>
            </w:r>
          </w:p>
        </w:tc>
        <w:tc>
          <w:tcPr>
            <w:tcW w:w="617" w:type="pct"/>
            <w:tcBorders>
              <w:top w:val="nil"/>
              <w:left w:val="nil"/>
              <w:bottom w:val="single" w:sz="4" w:space="0" w:color="auto"/>
              <w:right w:val="nil"/>
            </w:tcBorders>
            <w:noWrap/>
            <w:vAlign w:val="center"/>
            <w:hideMark/>
          </w:tcPr>
          <w:p w14:paraId="627CF661" w14:textId="77777777" w:rsidR="002E7D0E" w:rsidRPr="00EC245B" w:rsidRDefault="002E7D0E" w:rsidP="002E7D0E">
            <w:pPr>
              <w:spacing w:line="240" w:lineRule="auto"/>
              <w:jc w:val="center"/>
              <w:rPr>
                <w:rFonts w:eastAsia="Times New Roman" w:cs="Times New Roman"/>
                <w:color w:val="000000"/>
                <w:sz w:val="16"/>
                <w:szCs w:val="16"/>
                <w:lang w:eastAsia="sk-SK"/>
              </w:rPr>
            </w:pPr>
            <w:r w:rsidRPr="00EC245B">
              <w:rPr>
                <w:rFonts w:eastAsia="Times New Roman" w:cs="Times New Roman"/>
                <w:color w:val="000000"/>
                <w:sz w:val="16"/>
                <w:szCs w:val="16"/>
                <w:lang w:eastAsia="sk-SK"/>
              </w:rPr>
              <w:t>D.9P</w:t>
            </w:r>
          </w:p>
        </w:tc>
        <w:tc>
          <w:tcPr>
            <w:tcW w:w="636" w:type="pct"/>
            <w:tcBorders>
              <w:top w:val="nil"/>
              <w:left w:val="nil"/>
              <w:bottom w:val="nil"/>
              <w:right w:val="nil"/>
            </w:tcBorders>
            <w:noWrap/>
            <w:vAlign w:val="bottom"/>
            <w:hideMark/>
          </w:tcPr>
          <w:p w14:paraId="6F04D59B"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1 965 315</w:t>
            </w:r>
          </w:p>
        </w:tc>
        <w:tc>
          <w:tcPr>
            <w:tcW w:w="613" w:type="pct"/>
            <w:tcBorders>
              <w:top w:val="nil"/>
              <w:left w:val="nil"/>
              <w:bottom w:val="nil"/>
              <w:right w:val="nil"/>
            </w:tcBorders>
            <w:noWrap/>
            <w:vAlign w:val="bottom"/>
            <w:hideMark/>
          </w:tcPr>
          <w:p w14:paraId="27838A81"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581 193</w:t>
            </w:r>
          </w:p>
        </w:tc>
        <w:tc>
          <w:tcPr>
            <w:tcW w:w="602" w:type="pct"/>
            <w:tcBorders>
              <w:top w:val="nil"/>
              <w:left w:val="nil"/>
              <w:bottom w:val="nil"/>
              <w:right w:val="nil"/>
            </w:tcBorders>
            <w:noWrap/>
            <w:vAlign w:val="bottom"/>
            <w:hideMark/>
          </w:tcPr>
          <w:p w14:paraId="7C653F9E"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985 083</w:t>
            </w:r>
          </w:p>
        </w:tc>
        <w:tc>
          <w:tcPr>
            <w:tcW w:w="597" w:type="pct"/>
            <w:tcBorders>
              <w:top w:val="nil"/>
              <w:left w:val="nil"/>
              <w:bottom w:val="nil"/>
              <w:right w:val="nil"/>
            </w:tcBorders>
            <w:noWrap/>
            <w:vAlign w:val="bottom"/>
            <w:hideMark/>
          </w:tcPr>
          <w:p w14:paraId="5346788C"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984 118</w:t>
            </w:r>
          </w:p>
        </w:tc>
        <w:tc>
          <w:tcPr>
            <w:tcW w:w="521" w:type="pct"/>
            <w:tcBorders>
              <w:top w:val="nil"/>
              <w:left w:val="nil"/>
              <w:bottom w:val="nil"/>
              <w:right w:val="nil"/>
            </w:tcBorders>
            <w:noWrap/>
            <w:vAlign w:val="bottom"/>
            <w:hideMark/>
          </w:tcPr>
          <w:p w14:paraId="518B7F48" w14:textId="77777777" w:rsidR="002E7D0E" w:rsidRPr="00EC245B" w:rsidRDefault="002E7D0E" w:rsidP="002E7D0E">
            <w:pPr>
              <w:spacing w:line="240" w:lineRule="auto"/>
              <w:jc w:val="right"/>
              <w:rPr>
                <w:rFonts w:eastAsia="Times New Roman" w:cs="Times New Roman"/>
                <w:sz w:val="16"/>
                <w:szCs w:val="16"/>
                <w:lang w:eastAsia="sk-SK"/>
              </w:rPr>
            </w:pPr>
            <w:r w:rsidRPr="00EC245B">
              <w:rPr>
                <w:rFonts w:eastAsia="Times New Roman" w:cs="Times New Roman"/>
                <w:sz w:val="16"/>
                <w:szCs w:val="16"/>
                <w:lang w:eastAsia="sk-SK"/>
              </w:rPr>
              <w:t>-965</w:t>
            </w:r>
          </w:p>
        </w:tc>
      </w:tr>
      <w:tr w:rsidR="003C3314" w:rsidRPr="00EC245B" w14:paraId="0FFCD657" w14:textId="77777777" w:rsidTr="003C3314">
        <w:trPr>
          <w:trHeight w:val="280"/>
        </w:trPr>
        <w:tc>
          <w:tcPr>
            <w:tcW w:w="1415" w:type="pct"/>
            <w:tcBorders>
              <w:top w:val="single" w:sz="4" w:space="0" w:color="auto"/>
              <w:left w:val="nil"/>
              <w:bottom w:val="nil"/>
              <w:right w:val="nil"/>
            </w:tcBorders>
            <w:vAlign w:val="center"/>
            <w:hideMark/>
          </w:tcPr>
          <w:p w14:paraId="3850A14D" w14:textId="0733378A" w:rsidR="002E7D0E" w:rsidRPr="00EC245B" w:rsidRDefault="002E7D0E" w:rsidP="002E7D0E">
            <w:pPr>
              <w:spacing w:line="240" w:lineRule="auto"/>
              <w:jc w:val="both"/>
              <w:rPr>
                <w:rFonts w:eastAsia="Times New Roman" w:cs="Times New Roman"/>
                <w:b/>
                <w:bCs/>
                <w:sz w:val="16"/>
                <w:szCs w:val="16"/>
                <w:lang w:eastAsia="sk-SK"/>
              </w:rPr>
            </w:pPr>
            <w:r w:rsidRPr="00EC245B">
              <w:rPr>
                <w:rFonts w:eastAsia="Times New Roman" w:cs="Times New Roman"/>
                <w:b/>
                <w:bCs/>
                <w:sz w:val="16"/>
                <w:szCs w:val="16"/>
                <w:lang w:eastAsia="sk-SK"/>
              </w:rPr>
              <w:t>Čisté pôžičky poskytnuté (+) / prijaté (-)</w:t>
            </w:r>
            <w:r w:rsidR="00E85579" w:rsidRPr="00EC245B">
              <w:rPr>
                <w:rFonts w:eastAsia="Times New Roman" w:cs="Times New Roman"/>
                <w:b/>
                <w:bCs/>
                <w:sz w:val="16"/>
                <w:szCs w:val="16"/>
                <w:lang w:eastAsia="sk-SK"/>
              </w:rPr>
              <w:t xml:space="preserve"> </w:t>
            </w:r>
          </w:p>
        </w:tc>
        <w:tc>
          <w:tcPr>
            <w:tcW w:w="617" w:type="pct"/>
            <w:tcBorders>
              <w:top w:val="nil"/>
              <w:left w:val="nil"/>
              <w:bottom w:val="nil"/>
              <w:right w:val="nil"/>
            </w:tcBorders>
            <w:vAlign w:val="center"/>
            <w:hideMark/>
          </w:tcPr>
          <w:p w14:paraId="0848E576" w14:textId="77777777" w:rsidR="002E7D0E" w:rsidRPr="00EC245B" w:rsidRDefault="002E7D0E" w:rsidP="002E7D0E">
            <w:pPr>
              <w:spacing w:line="240" w:lineRule="auto"/>
              <w:jc w:val="center"/>
              <w:rPr>
                <w:rFonts w:eastAsia="Times New Roman" w:cs="Times New Roman"/>
                <w:b/>
                <w:bCs/>
                <w:sz w:val="16"/>
                <w:szCs w:val="16"/>
                <w:lang w:eastAsia="sk-SK"/>
              </w:rPr>
            </w:pPr>
            <w:r w:rsidRPr="00EC245B">
              <w:rPr>
                <w:rFonts w:eastAsia="Times New Roman" w:cs="Times New Roman"/>
                <w:b/>
                <w:bCs/>
                <w:sz w:val="16"/>
                <w:szCs w:val="16"/>
                <w:lang w:eastAsia="sk-SK"/>
              </w:rPr>
              <w:t>B.9</w:t>
            </w:r>
          </w:p>
        </w:tc>
        <w:tc>
          <w:tcPr>
            <w:tcW w:w="636" w:type="pct"/>
            <w:tcBorders>
              <w:top w:val="single" w:sz="4" w:space="0" w:color="auto"/>
              <w:left w:val="nil"/>
              <w:bottom w:val="nil"/>
              <w:right w:val="nil"/>
            </w:tcBorders>
            <w:noWrap/>
            <w:vAlign w:val="bottom"/>
            <w:hideMark/>
          </w:tcPr>
          <w:p w14:paraId="6F979537"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-6 556 447</w:t>
            </w:r>
          </w:p>
        </w:tc>
        <w:tc>
          <w:tcPr>
            <w:tcW w:w="613" w:type="pct"/>
            <w:tcBorders>
              <w:top w:val="single" w:sz="4" w:space="0" w:color="auto"/>
              <w:left w:val="nil"/>
              <w:bottom w:val="nil"/>
              <w:right w:val="nil"/>
            </w:tcBorders>
            <w:noWrap/>
            <w:vAlign w:val="bottom"/>
            <w:hideMark/>
          </w:tcPr>
          <w:p w14:paraId="25444569"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-6 962 769</w:t>
            </w:r>
          </w:p>
        </w:tc>
        <w:tc>
          <w:tcPr>
            <w:tcW w:w="602" w:type="pct"/>
            <w:tcBorders>
              <w:top w:val="single" w:sz="4" w:space="0" w:color="auto"/>
              <w:left w:val="nil"/>
              <w:bottom w:val="nil"/>
              <w:right w:val="nil"/>
            </w:tcBorders>
            <w:noWrap/>
            <w:vAlign w:val="bottom"/>
            <w:hideMark/>
          </w:tcPr>
          <w:p w14:paraId="47278C4F"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-6 603 344</w:t>
            </w:r>
          </w:p>
        </w:tc>
        <w:tc>
          <w:tcPr>
            <w:tcW w:w="597" w:type="pct"/>
            <w:tcBorders>
              <w:top w:val="single" w:sz="4" w:space="0" w:color="auto"/>
              <w:left w:val="nil"/>
              <w:bottom w:val="nil"/>
              <w:right w:val="nil"/>
            </w:tcBorders>
            <w:noWrap/>
            <w:vAlign w:val="bottom"/>
            <w:hideMark/>
          </w:tcPr>
          <w:p w14:paraId="533E9142"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-6 086 305</w:t>
            </w:r>
          </w:p>
        </w:tc>
        <w:tc>
          <w:tcPr>
            <w:tcW w:w="521" w:type="pct"/>
            <w:tcBorders>
              <w:top w:val="single" w:sz="4" w:space="0" w:color="auto"/>
              <w:left w:val="nil"/>
              <w:bottom w:val="nil"/>
              <w:right w:val="nil"/>
            </w:tcBorders>
            <w:noWrap/>
            <w:vAlign w:val="bottom"/>
            <w:hideMark/>
          </w:tcPr>
          <w:p w14:paraId="225773A9"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517 039</w:t>
            </w:r>
          </w:p>
        </w:tc>
      </w:tr>
      <w:tr w:rsidR="003C3314" w:rsidRPr="00EC245B" w14:paraId="2F115AA4" w14:textId="77777777" w:rsidTr="00C23948">
        <w:trPr>
          <w:trHeight w:val="241"/>
        </w:trPr>
        <w:tc>
          <w:tcPr>
            <w:tcW w:w="1415" w:type="pct"/>
            <w:tcBorders>
              <w:top w:val="nil"/>
              <w:left w:val="nil"/>
              <w:bottom w:val="single" w:sz="4" w:space="0" w:color="auto"/>
              <w:right w:val="nil"/>
            </w:tcBorders>
            <w:noWrap/>
            <w:vAlign w:val="center"/>
            <w:hideMark/>
          </w:tcPr>
          <w:p w14:paraId="71B78711" w14:textId="77777777"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 xml:space="preserve"> v % HDP</w:t>
            </w:r>
          </w:p>
        </w:tc>
        <w:tc>
          <w:tcPr>
            <w:tcW w:w="617" w:type="pct"/>
            <w:tcBorders>
              <w:top w:val="nil"/>
              <w:left w:val="nil"/>
              <w:bottom w:val="single" w:sz="4" w:space="0" w:color="auto"/>
              <w:right w:val="nil"/>
            </w:tcBorders>
            <w:noWrap/>
            <w:vAlign w:val="center"/>
            <w:hideMark/>
          </w:tcPr>
          <w:p w14:paraId="28C5919C" w14:textId="77777777"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 </w:t>
            </w:r>
          </w:p>
        </w:tc>
        <w:tc>
          <w:tcPr>
            <w:tcW w:w="636" w:type="pct"/>
            <w:tcBorders>
              <w:top w:val="nil"/>
              <w:left w:val="nil"/>
              <w:bottom w:val="single" w:sz="4" w:space="0" w:color="auto"/>
              <w:right w:val="nil"/>
            </w:tcBorders>
            <w:noWrap/>
            <w:vAlign w:val="bottom"/>
            <w:hideMark/>
          </w:tcPr>
          <w:p w14:paraId="3E6FE005"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-5,3</w:t>
            </w:r>
          </w:p>
        </w:tc>
        <w:tc>
          <w:tcPr>
            <w:tcW w:w="613" w:type="pct"/>
            <w:tcBorders>
              <w:top w:val="nil"/>
              <w:left w:val="nil"/>
              <w:bottom w:val="single" w:sz="4" w:space="0" w:color="auto"/>
              <w:right w:val="nil"/>
            </w:tcBorders>
            <w:noWrap/>
            <w:vAlign w:val="bottom"/>
            <w:hideMark/>
          </w:tcPr>
          <w:p w14:paraId="64F1EB31"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-5,3</w:t>
            </w:r>
          </w:p>
        </w:tc>
        <w:tc>
          <w:tcPr>
            <w:tcW w:w="602" w:type="pct"/>
            <w:tcBorders>
              <w:top w:val="nil"/>
              <w:left w:val="nil"/>
              <w:bottom w:val="single" w:sz="4" w:space="0" w:color="auto"/>
              <w:right w:val="nil"/>
            </w:tcBorders>
            <w:noWrap/>
            <w:vAlign w:val="bottom"/>
            <w:hideMark/>
          </w:tcPr>
          <w:p w14:paraId="2FD8ACAA"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-4,7</w:t>
            </w:r>
          </w:p>
        </w:tc>
        <w:tc>
          <w:tcPr>
            <w:tcW w:w="597" w:type="pct"/>
            <w:tcBorders>
              <w:top w:val="nil"/>
              <w:left w:val="nil"/>
              <w:bottom w:val="single" w:sz="4" w:space="0" w:color="auto"/>
              <w:right w:val="nil"/>
            </w:tcBorders>
            <w:noWrap/>
            <w:vAlign w:val="bottom"/>
            <w:hideMark/>
          </w:tcPr>
          <w:p w14:paraId="2664C4E2"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-4,5</w:t>
            </w:r>
          </w:p>
        </w:tc>
        <w:tc>
          <w:tcPr>
            <w:tcW w:w="521" w:type="pct"/>
            <w:tcBorders>
              <w:top w:val="nil"/>
              <w:left w:val="nil"/>
              <w:bottom w:val="single" w:sz="4" w:space="0" w:color="auto"/>
              <w:right w:val="nil"/>
            </w:tcBorders>
            <w:noWrap/>
            <w:vAlign w:val="bottom"/>
            <w:hideMark/>
          </w:tcPr>
          <w:p w14:paraId="02E1E4C0"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0,3</w:t>
            </w:r>
          </w:p>
        </w:tc>
      </w:tr>
      <w:tr w:rsidR="003C3314" w:rsidRPr="00EC245B" w14:paraId="33AA21D0" w14:textId="77777777" w:rsidTr="003C3314">
        <w:trPr>
          <w:trHeight w:val="280"/>
        </w:trPr>
        <w:tc>
          <w:tcPr>
            <w:tcW w:w="1415" w:type="pct"/>
            <w:tcBorders>
              <w:top w:val="nil"/>
              <w:left w:val="nil"/>
              <w:bottom w:val="single" w:sz="4" w:space="0" w:color="auto"/>
              <w:right w:val="nil"/>
            </w:tcBorders>
            <w:noWrap/>
            <w:vAlign w:val="center"/>
            <w:hideMark/>
          </w:tcPr>
          <w:p w14:paraId="47CF0498" w14:textId="2FA2FBEE"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HDP v b.c.</w:t>
            </w:r>
          </w:p>
        </w:tc>
        <w:tc>
          <w:tcPr>
            <w:tcW w:w="617" w:type="pct"/>
            <w:tcBorders>
              <w:top w:val="nil"/>
              <w:left w:val="nil"/>
              <w:bottom w:val="single" w:sz="4" w:space="0" w:color="auto"/>
              <w:right w:val="nil"/>
            </w:tcBorders>
            <w:noWrap/>
            <w:vAlign w:val="center"/>
            <w:hideMark/>
          </w:tcPr>
          <w:p w14:paraId="6BF022D8" w14:textId="77777777" w:rsidR="002E7D0E" w:rsidRPr="00EC245B" w:rsidRDefault="002E7D0E" w:rsidP="002E7D0E">
            <w:pPr>
              <w:spacing w:line="240" w:lineRule="auto"/>
              <w:rPr>
                <w:rFonts w:eastAsia="Times New Roman" w:cs="Times New Roman"/>
                <w:b/>
                <w:bCs/>
                <w:sz w:val="16"/>
                <w:szCs w:val="16"/>
                <w:lang w:eastAsia="sk-SK"/>
              </w:rPr>
            </w:pPr>
            <w:r w:rsidRPr="00EC245B">
              <w:rPr>
                <w:rFonts w:eastAsia="Times New Roman" w:cs="Times New Roman"/>
                <w:b/>
                <w:bCs/>
                <w:sz w:val="16"/>
                <w:szCs w:val="16"/>
                <w:lang w:eastAsia="sk-SK"/>
              </w:rPr>
              <w:t> </w:t>
            </w:r>
          </w:p>
        </w:tc>
        <w:tc>
          <w:tcPr>
            <w:tcW w:w="636" w:type="pct"/>
            <w:tcBorders>
              <w:top w:val="nil"/>
              <w:left w:val="nil"/>
              <w:bottom w:val="single" w:sz="4" w:space="0" w:color="auto"/>
              <w:right w:val="nil"/>
            </w:tcBorders>
            <w:noWrap/>
            <w:vAlign w:val="bottom"/>
            <w:hideMark/>
          </w:tcPr>
          <w:p w14:paraId="76759A52"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123 538 698</w:t>
            </w:r>
          </w:p>
        </w:tc>
        <w:tc>
          <w:tcPr>
            <w:tcW w:w="613" w:type="pct"/>
            <w:tcBorders>
              <w:top w:val="nil"/>
              <w:left w:val="nil"/>
              <w:bottom w:val="single" w:sz="4" w:space="0" w:color="auto"/>
              <w:right w:val="nil"/>
            </w:tcBorders>
            <w:noWrap/>
            <w:vAlign w:val="bottom"/>
            <w:hideMark/>
          </w:tcPr>
          <w:p w14:paraId="18AE44B0"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130 207 520</w:t>
            </w:r>
          </w:p>
        </w:tc>
        <w:tc>
          <w:tcPr>
            <w:tcW w:w="602" w:type="pct"/>
            <w:tcBorders>
              <w:top w:val="nil"/>
              <w:left w:val="nil"/>
              <w:bottom w:val="single" w:sz="4" w:space="0" w:color="auto"/>
              <w:right w:val="nil"/>
            </w:tcBorders>
            <w:noWrap/>
            <w:vAlign w:val="bottom"/>
            <w:hideMark/>
          </w:tcPr>
          <w:p w14:paraId="708DC204"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139 901 356</w:t>
            </w:r>
          </w:p>
        </w:tc>
        <w:tc>
          <w:tcPr>
            <w:tcW w:w="597" w:type="pct"/>
            <w:tcBorders>
              <w:top w:val="nil"/>
              <w:left w:val="nil"/>
              <w:bottom w:val="single" w:sz="4" w:space="0" w:color="auto"/>
              <w:right w:val="nil"/>
            </w:tcBorders>
            <w:noWrap/>
            <w:vAlign w:val="bottom"/>
            <w:hideMark/>
          </w:tcPr>
          <w:p w14:paraId="0959087F"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136 754 312</w:t>
            </w:r>
          </w:p>
        </w:tc>
        <w:tc>
          <w:tcPr>
            <w:tcW w:w="521" w:type="pct"/>
            <w:tcBorders>
              <w:top w:val="nil"/>
              <w:left w:val="nil"/>
              <w:bottom w:val="single" w:sz="4" w:space="0" w:color="auto"/>
              <w:right w:val="nil"/>
            </w:tcBorders>
            <w:noWrap/>
            <w:vAlign w:val="bottom"/>
            <w:hideMark/>
          </w:tcPr>
          <w:p w14:paraId="37A79920" w14:textId="77777777" w:rsidR="002E7D0E" w:rsidRPr="00EC245B" w:rsidRDefault="002E7D0E" w:rsidP="002E7D0E">
            <w:pPr>
              <w:spacing w:line="240" w:lineRule="auto"/>
              <w:jc w:val="right"/>
              <w:rPr>
                <w:rFonts w:eastAsia="Times New Roman" w:cs="Times New Roman"/>
                <w:b/>
                <w:bCs/>
                <w:color w:val="000000"/>
                <w:sz w:val="16"/>
                <w:szCs w:val="16"/>
                <w:lang w:eastAsia="sk-SK"/>
              </w:rPr>
            </w:pPr>
            <w:r w:rsidRPr="00EC245B">
              <w:rPr>
                <w:rFonts w:eastAsia="Times New Roman" w:cs="Times New Roman"/>
                <w:b/>
                <w:bCs/>
                <w:color w:val="000000"/>
                <w:sz w:val="16"/>
                <w:szCs w:val="16"/>
                <w:lang w:eastAsia="sk-SK"/>
              </w:rPr>
              <w:t>-3 147 044</w:t>
            </w:r>
          </w:p>
        </w:tc>
      </w:tr>
    </w:tbl>
    <w:p w14:paraId="3AA6A630" w14:textId="6B4A61BA" w:rsidR="009A05C7" w:rsidRPr="0050710A" w:rsidRDefault="001B6E92" w:rsidP="002E56EB">
      <w:pPr>
        <w:tabs>
          <w:tab w:val="right" w:pos="9070"/>
        </w:tabs>
        <w:spacing w:line="240" w:lineRule="auto"/>
        <w:jc w:val="both"/>
        <w:rPr>
          <w:szCs w:val="24"/>
          <w:highlight w:val="yellow"/>
        </w:rPr>
      </w:pPr>
      <w:r w:rsidRPr="003C3314">
        <w:rPr>
          <w:rFonts w:cs="Times New Roman"/>
          <w:sz w:val="18"/>
          <w:szCs w:val="18"/>
        </w:rPr>
        <w:tab/>
      </w:r>
      <w:r w:rsidR="009A05C7" w:rsidRPr="003C3314">
        <w:rPr>
          <w:rFonts w:cs="Times New Roman"/>
          <w:sz w:val="18"/>
          <w:szCs w:val="18"/>
        </w:rPr>
        <w:t>Zdroj: ŠÚ SR</w:t>
      </w:r>
      <w:r w:rsidR="003C3314" w:rsidRPr="003C3314">
        <w:rPr>
          <w:rFonts w:cs="Times New Roman"/>
          <w:sz w:val="18"/>
          <w:szCs w:val="18"/>
        </w:rPr>
        <w:t>, MF SR</w:t>
      </w:r>
    </w:p>
    <w:p w14:paraId="58A19EE6" w14:textId="5377A12F" w:rsidR="009A05C7" w:rsidRPr="0050710A" w:rsidRDefault="009A05C7" w:rsidP="00C62162">
      <w:pPr>
        <w:spacing w:after="120" w:line="240" w:lineRule="auto"/>
        <w:jc w:val="both"/>
        <w:rPr>
          <w:szCs w:val="24"/>
          <w:highlight w:val="yellow"/>
        </w:rPr>
      </w:pPr>
      <w:r w:rsidRPr="001B0F8C">
        <w:rPr>
          <w:b/>
          <w:szCs w:val="24"/>
        </w:rPr>
        <w:lastRenderedPageBreak/>
        <w:t xml:space="preserve">Na úrovni celej verejnej správy bola oproti rozpočtu zaznamenaná pozitívna odchýlka v sume </w:t>
      </w:r>
      <w:r w:rsidR="001B0F8C" w:rsidRPr="001B0F8C">
        <w:rPr>
          <w:b/>
          <w:szCs w:val="24"/>
        </w:rPr>
        <w:t>517</w:t>
      </w:r>
      <w:r w:rsidRPr="001B0F8C">
        <w:rPr>
          <w:b/>
          <w:szCs w:val="24"/>
        </w:rPr>
        <w:t> </w:t>
      </w:r>
      <w:r w:rsidR="001B0F8C" w:rsidRPr="001B0F8C">
        <w:rPr>
          <w:b/>
          <w:szCs w:val="24"/>
        </w:rPr>
        <w:t>039</w:t>
      </w:r>
      <w:r w:rsidRPr="001B0F8C">
        <w:rPr>
          <w:b/>
          <w:szCs w:val="24"/>
        </w:rPr>
        <w:t> tis. eur resp. o 0,</w:t>
      </w:r>
      <w:r w:rsidR="001B0F8C" w:rsidRPr="001B0F8C">
        <w:rPr>
          <w:b/>
          <w:szCs w:val="24"/>
        </w:rPr>
        <w:t>3</w:t>
      </w:r>
      <w:r w:rsidRPr="001B0F8C">
        <w:rPr>
          <w:b/>
          <w:szCs w:val="24"/>
        </w:rPr>
        <w:t> p. b.</w:t>
      </w:r>
    </w:p>
    <w:p w14:paraId="4B59B5E5" w14:textId="701F424F" w:rsidR="009A05C7" w:rsidRPr="001B0F8C" w:rsidRDefault="009A05C7" w:rsidP="00C62162">
      <w:pPr>
        <w:spacing w:after="120" w:line="240" w:lineRule="auto"/>
        <w:jc w:val="both"/>
        <w:rPr>
          <w:szCs w:val="24"/>
        </w:rPr>
      </w:pPr>
      <w:r w:rsidRPr="001B0F8C">
        <w:rPr>
          <w:b/>
          <w:szCs w:val="24"/>
        </w:rPr>
        <w:t>Príjmy verejnej správy</w:t>
      </w:r>
      <w:r w:rsidRPr="001B0F8C">
        <w:rPr>
          <w:szCs w:val="24"/>
        </w:rPr>
        <w:t xml:space="preserve"> </w:t>
      </w:r>
      <w:r w:rsidRPr="001B0F8C">
        <w:rPr>
          <w:b/>
          <w:szCs w:val="24"/>
        </w:rPr>
        <w:t>v metodike ESA 2010</w:t>
      </w:r>
      <w:r w:rsidRPr="001B0F8C">
        <w:rPr>
          <w:szCs w:val="24"/>
        </w:rPr>
        <w:t xml:space="preserve"> boli oproti rozpočtu na rok 202</w:t>
      </w:r>
      <w:r w:rsidR="001B0F8C" w:rsidRPr="001B0F8C">
        <w:rPr>
          <w:szCs w:val="24"/>
        </w:rPr>
        <w:t>5</w:t>
      </w:r>
      <w:r w:rsidRPr="001B0F8C">
        <w:rPr>
          <w:szCs w:val="24"/>
        </w:rPr>
        <w:t xml:space="preserve"> úhrnom </w:t>
      </w:r>
      <w:r w:rsidR="001B0F8C" w:rsidRPr="001B0F8C">
        <w:rPr>
          <w:szCs w:val="24"/>
        </w:rPr>
        <w:t>nižšie</w:t>
      </w:r>
      <w:r w:rsidRPr="001B0F8C">
        <w:rPr>
          <w:szCs w:val="24"/>
        </w:rPr>
        <w:t xml:space="preserve"> o </w:t>
      </w:r>
      <w:r w:rsidR="001B0F8C" w:rsidRPr="001B0F8C">
        <w:rPr>
          <w:szCs w:val="24"/>
        </w:rPr>
        <w:t>414</w:t>
      </w:r>
      <w:r w:rsidRPr="001B0F8C">
        <w:rPr>
          <w:szCs w:val="24"/>
        </w:rPr>
        <w:t> </w:t>
      </w:r>
      <w:r w:rsidR="001B0F8C" w:rsidRPr="001B0F8C">
        <w:rPr>
          <w:szCs w:val="24"/>
        </w:rPr>
        <w:t>451</w:t>
      </w:r>
      <w:r w:rsidRPr="001B0F8C">
        <w:rPr>
          <w:szCs w:val="24"/>
        </w:rPr>
        <w:t> tis. eur (</w:t>
      </w:r>
      <w:r w:rsidR="001B0F8C" w:rsidRPr="001B0F8C">
        <w:rPr>
          <w:szCs w:val="24"/>
        </w:rPr>
        <w:t>0,7</w:t>
      </w:r>
      <w:r w:rsidRPr="001B0F8C">
        <w:rPr>
          <w:szCs w:val="24"/>
        </w:rPr>
        <w:t> % HDP), z toho daňové príjmy poklesli o</w:t>
      </w:r>
      <w:r w:rsidR="001B0F8C" w:rsidRPr="001B0F8C">
        <w:rPr>
          <w:szCs w:val="24"/>
        </w:rPr>
        <w:t> 1 641</w:t>
      </w:r>
      <w:r w:rsidRPr="001B0F8C">
        <w:rPr>
          <w:szCs w:val="24"/>
        </w:rPr>
        <w:t> </w:t>
      </w:r>
      <w:r w:rsidR="001B0F8C" w:rsidRPr="001B0F8C">
        <w:rPr>
          <w:szCs w:val="24"/>
        </w:rPr>
        <w:t>470</w:t>
      </w:r>
      <w:r w:rsidRPr="001B0F8C">
        <w:rPr>
          <w:szCs w:val="24"/>
        </w:rPr>
        <w:t> tis. eur. Príspevky na sociálne zabezpečenie vzrástli o </w:t>
      </w:r>
      <w:r w:rsidR="001B0F8C" w:rsidRPr="001B0F8C">
        <w:rPr>
          <w:szCs w:val="24"/>
        </w:rPr>
        <w:t>452</w:t>
      </w:r>
      <w:r w:rsidRPr="001B0F8C">
        <w:rPr>
          <w:szCs w:val="24"/>
        </w:rPr>
        <w:t> </w:t>
      </w:r>
      <w:r w:rsidR="001B0F8C" w:rsidRPr="001B0F8C">
        <w:rPr>
          <w:szCs w:val="24"/>
        </w:rPr>
        <w:t>273</w:t>
      </w:r>
      <w:r w:rsidRPr="001B0F8C">
        <w:rPr>
          <w:szCs w:val="24"/>
        </w:rPr>
        <w:t> tis. eur, nedaňové príjmy vzrástli o </w:t>
      </w:r>
      <w:r w:rsidR="001B0F8C" w:rsidRPr="001B0F8C">
        <w:rPr>
          <w:szCs w:val="24"/>
        </w:rPr>
        <w:t>74</w:t>
      </w:r>
      <w:r w:rsidRPr="001B0F8C">
        <w:rPr>
          <w:szCs w:val="24"/>
        </w:rPr>
        <w:t> </w:t>
      </w:r>
      <w:r w:rsidR="001B0F8C" w:rsidRPr="001B0F8C">
        <w:rPr>
          <w:szCs w:val="24"/>
        </w:rPr>
        <w:t>088</w:t>
      </w:r>
      <w:r w:rsidRPr="001B0F8C">
        <w:rPr>
          <w:szCs w:val="24"/>
        </w:rPr>
        <w:t> tis. eur a granty a transfery o </w:t>
      </w:r>
      <w:r w:rsidR="001B0F8C" w:rsidRPr="001B0F8C">
        <w:rPr>
          <w:szCs w:val="24"/>
        </w:rPr>
        <w:t>700</w:t>
      </w:r>
      <w:r w:rsidRPr="001B0F8C">
        <w:rPr>
          <w:szCs w:val="24"/>
        </w:rPr>
        <w:t> </w:t>
      </w:r>
      <w:r w:rsidR="001B0F8C" w:rsidRPr="001B0F8C">
        <w:rPr>
          <w:szCs w:val="24"/>
        </w:rPr>
        <w:t>658</w:t>
      </w:r>
      <w:r w:rsidRPr="001B0F8C">
        <w:rPr>
          <w:szCs w:val="24"/>
        </w:rPr>
        <w:t> tis. eur.</w:t>
      </w:r>
    </w:p>
    <w:p w14:paraId="4BA3F1F3" w14:textId="24E82C37" w:rsidR="009A05C7" w:rsidRPr="00A3627F" w:rsidRDefault="009A05C7" w:rsidP="00C62162">
      <w:pPr>
        <w:spacing w:after="120" w:line="240" w:lineRule="auto"/>
        <w:jc w:val="both"/>
        <w:rPr>
          <w:szCs w:val="24"/>
        </w:rPr>
      </w:pPr>
      <w:r w:rsidRPr="001B0F8C">
        <w:rPr>
          <w:b/>
          <w:szCs w:val="24"/>
        </w:rPr>
        <w:t>Výdavky verejnej správy v metodike ESA 2010</w:t>
      </w:r>
      <w:r w:rsidRPr="001B0F8C">
        <w:rPr>
          <w:szCs w:val="24"/>
        </w:rPr>
        <w:t xml:space="preserve"> boli </w:t>
      </w:r>
      <w:r w:rsidR="001B0F8C" w:rsidRPr="001B0F8C">
        <w:rPr>
          <w:szCs w:val="24"/>
        </w:rPr>
        <w:t>niž</w:t>
      </w:r>
      <w:r w:rsidRPr="001B0F8C">
        <w:rPr>
          <w:szCs w:val="24"/>
        </w:rPr>
        <w:t>šie o </w:t>
      </w:r>
      <w:r w:rsidR="001B0F8C" w:rsidRPr="001B0F8C">
        <w:rPr>
          <w:szCs w:val="24"/>
        </w:rPr>
        <w:t>931</w:t>
      </w:r>
      <w:r w:rsidRPr="001B0F8C">
        <w:rPr>
          <w:szCs w:val="24"/>
        </w:rPr>
        <w:t> </w:t>
      </w:r>
      <w:r w:rsidR="001B0F8C" w:rsidRPr="001B0F8C">
        <w:rPr>
          <w:szCs w:val="24"/>
        </w:rPr>
        <w:t>490</w:t>
      </w:r>
      <w:r w:rsidRPr="001B0F8C">
        <w:rPr>
          <w:szCs w:val="24"/>
        </w:rPr>
        <w:t xml:space="preserve"> tis. eur oproti rozpočtu (0,4 % HDP), z toho bežné výdavky </w:t>
      </w:r>
      <w:r w:rsidR="00C62162">
        <w:rPr>
          <w:szCs w:val="24"/>
        </w:rPr>
        <w:t>klesli</w:t>
      </w:r>
      <w:r w:rsidRPr="001B0F8C">
        <w:rPr>
          <w:szCs w:val="24"/>
        </w:rPr>
        <w:t xml:space="preserve"> o</w:t>
      </w:r>
      <w:r w:rsidR="001B0F8C" w:rsidRPr="001B0F8C">
        <w:rPr>
          <w:szCs w:val="24"/>
        </w:rPr>
        <w:t> 1 220</w:t>
      </w:r>
      <w:r w:rsidRPr="001B0F8C">
        <w:rPr>
          <w:szCs w:val="24"/>
        </w:rPr>
        <w:t> </w:t>
      </w:r>
      <w:r w:rsidR="001B0F8C" w:rsidRPr="001B0F8C">
        <w:rPr>
          <w:szCs w:val="24"/>
        </w:rPr>
        <w:t>439</w:t>
      </w:r>
      <w:r w:rsidRPr="001B0F8C">
        <w:rPr>
          <w:szCs w:val="24"/>
        </w:rPr>
        <w:t xml:space="preserve"> tis. eur a kapitálové výdavky </w:t>
      </w:r>
      <w:r w:rsidR="001B0F8C" w:rsidRPr="001B0F8C">
        <w:rPr>
          <w:szCs w:val="24"/>
        </w:rPr>
        <w:t>vzrá</w:t>
      </w:r>
      <w:r w:rsidRPr="001B0F8C">
        <w:rPr>
          <w:szCs w:val="24"/>
        </w:rPr>
        <w:t>s</w:t>
      </w:r>
      <w:r w:rsidR="001B0F8C" w:rsidRPr="001B0F8C">
        <w:rPr>
          <w:szCs w:val="24"/>
        </w:rPr>
        <w:t>t</w:t>
      </w:r>
      <w:r w:rsidRPr="001B0F8C">
        <w:rPr>
          <w:szCs w:val="24"/>
        </w:rPr>
        <w:t xml:space="preserve">li </w:t>
      </w:r>
      <w:r w:rsidRPr="00A3627F">
        <w:rPr>
          <w:szCs w:val="24"/>
        </w:rPr>
        <w:t>o </w:t>
      </w:r>
      <w:r w:rsidR="001B0F8C" w:rsidRPr="00A3627F">
        <w:rPr>
          <w:szCs w:val="24"/>
        </w:rPr>
        <w:t>288</w:t>
      </w:r>
      <w:r w:rsidRPr="00A3627F">
        <w:rPr>
          <w:szCs w:val="24"/>
        </w:rPr>
        <w:t> </w:t>
      </w:r>
      <w:r w:rsidR="001B0F8C" w:rsidRPr="00A3627F">
        <w:rPr>
          <w:szCs w:val="24"/>
        </w:rPr>
        <w:t>949</w:t>
      </w:r>
      <w:r w:rsidRPr="00A3627F">
        <w:rPr>
          <w:szCs w:val="24"/>
        </w:rPr>
        <w:t> tis. eur.</w:t>
      </w:r>
    </w:p>
    <w:p w14:paraId="6B85D65C" w14:textId="6831F6C5" w:rsidR="009A05C7" w:rsidRPr="004C3E27" w:rsidRDefault="009A05C7" w:rsidP="00532D85">
      <w:pPr>
        <w:spacing w:line="240" w:lineRule="auto"/>
        <w:jc w:val="both"/>
        <w:rPr>
          <w:szCs w:val="24"/>
        </w:rPr>
      </w:pPr>
      <w:r w:rsidRPr="004C3E27">
        <w:rPr>
          <w:szCs w:val="24"/>
        </w:rPr>
        <w:t>Nasledujúca tabuľka poskytuje prehľad najvýznamnejších položiek (príjmov, výdavkov resp. celkový výsledok hospodárenia subjektov verejnej správy) a ich vplyv na</w:t>
      </w:r>
      <w:r w:rsidR="00832E5F">
        <w:rPr>
          <w:szCs w:val="24"/>
        </w:rPr>
        <w:t> </w:t>
      </w:r>
      <w:r w:rsidRPr="004C3E27">
        <w:rPr>
          <w:szCs w:val="24"/>
        </w:rPr>
        <w:t>dosiahnuté saldo verejnej správy za rok 202</w:t>
      </w:r>
      <w:r w:rsidR="00A3627F" w:rsidRPr="004C3E27">
        <w:rPr>
          <w:szCs w:val="24"/>
        </w:rPr>
        <w:t>5</w:t>
      </w:r>
      <w:r w:rsidRPr="004C3E27">
        <w:rPr>
          <w:szCs w:val="24"/>
        </w:rPr>
        <w:t xml:space="preserve"> oproti rozpočtu.</w:t>
      </w:r>
    </w:p>
    <w:p w14:paraId="163E2A20" w14:textId="77777777" w:rsidR="00402102" w:rsidRPr="0050710A" w:rsidRDefault="00402102" w:rsidP="00532D85">
      <w:pPr>
        <w:spacing w:line="240" w:lineRule="auto"/>
        <w:jc w:val="both"/>
        <w:rPr>
          <w:szCs w:val="24"/>
          <w:highlight w:val="yellow"/>
        </w:rPr>
      </w:pPr>
    </w:p>
    <w:p w14:paraId="17162625" w14:textId="4D459415" w:rsidR="00D96E6C" w:rsidRDefault="00D96E6C" w:rsidP="00532D85">
      <w:pPr>
        <w:pStyle w:val="Popis"/>
        <w:jc w:val="both"/>
        <w:rPr>
          <w:lang w:eastAsia="sk-SK"/>
        </w:rPr>
      </w:pPr>
      <w:bookmarkStart w:id="42" w:name="_Toc196313633"/>
      <w:bookmarkStart w:id="43" w:name="_Toc227670143"/>
      <w:r w:rsidRPr="00E85579">
        <w:rPr>
          <w:lang w:eastAsia="sk-SK"/>
        </w:rPr>
        <w:t xml:space="preserve">Tabuľka </w:t>
      </w:r>
      <w:r w:rsidR="003B7AF0" w:rsidRPr="00E85579">
        <w:rPr>
          <w:i/>
          <w:lang w:eastAsia="sk-SK"/>
        </w:rPr>
        <w:fldChar w:fldCharType="begin"/>
      </w:r>
      <w:r w:rsidR="003B7AF0" w:rsidRPr="00E85579">
        <w:rPr>
          <w:lang w:eastAsia="sk-SK"/>
        </w:rPr>
        <w:instrText xml:space="preserve"> SEQ Tabuľka \* ARABIC </w:instrText>
      </w:r>
      <w:r w:rsidR="003B7AF0" w:rsidRPr="00E85579">
        <w:rPr>
          <w:i/>
          <w:lang w:eastAsia="sk-SK"/>
        </w:rPr>
        <w:fldChar w:fldCharType="separate"/>
      </w:r>
      <w:r w:rsidR="00396BE8">
        <w:rPr>
          <w:noProof/>
          <w:lang w:eastAsia="sk-SK"/>
        </w:rPr>
        <w:t>7</w:t>
      </w:r>
      <w:r w:rsidR="003B7AF0" w:rsidRPr="00E85579">
        <w:rPr>
          <w:i/>
          <w:lang w:eastAsia="sk-SK"/>
        </w:rPr>
        <w:fldChar w:fldCharType="end"/>
      </w:r>
      <w:r w:rsidRPr="00E85579">
        <w:rPr>
          <w:lang w:eastAsia="sk-SK"/>
        </w:rPr>
        <w:t xml:space="preserve"> - Saldo verejnej správy </w:t>
      </w:r>
      <w:r w:rsidR="001D18C1" w:rsidRPr="00E85579">
        <w:t xml:space="preserve">v metodike </w:t>
      </w:r>
      <w:r w:rsidRPr="00E85579">
        <w:rPr>
          <w:lang w:eastAsia="sk-SK"/>
        </w:rPr>
        <w:t>ESA2010 - rozdiel oproti rozpočtu</w:t>
      </w:r>
      <w:bookmarkEnd w:id="42"/>
      <w:bookmarkEnd w:id="43"/>
    </w:p>
    <w:tbl>
      <w:tblPr>
        <w:tblW w:w="5000" w:type="pct"/>
        <w:tblCellMar>
          <w:left w:w="70" w:type="dxa"/>
          <w:right w:w="70" w:type="dxa"/>
        </w:tblCellMar>
        <w:tblLook w:val="04A0" w:firstRow="1" w:lastRow="0" w:firstColumn="1" w:lastColumn="0" w:noHBand="0" w:noVBand="1"/>
      </w:tblPr>
      <w:tblGrid>
        <w:gridCol w:w="6414"/>
        <w:gridCol w:w="1710"/>
        <w:gridCol w:w="946"/>
      </w:tblGrid>
      <w:tr w:rsidR="004A59F5" w:rsidRPr="004A59F5" w14:paraId="1C9D2E9B" w14:textId="77777777" w:rsidTr="004A59F5">
        <w:trPr>
          <w:trHeight w:val="283"/>
          <w:tblHeader/>
        </w:trPr>
        <w:tc>
          <w:tcPr>
            <w:tcW w:w="2844" w:type="pct"/>
            <w:vMerge w:val="restart"/>
            <w:tcBorders>
              <w:top w:val="single" w:sz="4" w:space="0" w:color="auto"/>
              <w:left w:val="nil"/>
              <w:bottom w:val="single" w:sz="4" w:space="0" w:color="000000"/>
              <w:right w:val="nil"/>
            </w:tcBorders>
            <w:vAlign w:val="center"/>
            <w:hideMark/>
          </w:tcPr>
          <w:p w14:paraId="7213CFC5"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v tis. eur</w:t>
            </w:r>
          </w:p>
        </w:tc>
        <w:tc>
          <w:tcPr>
            <w:tcW w:w="1289" w:type="pct"/>
            <w:tcBorders>
              <w:top w:val="single" w:sz="4" w:space="0" w:color="auto"/>
              <w:left w:val="nil"/>
              <w:bottom w:val="nil"/>
              <w:right w:val="nil"/>
            </w:tcBorders>
            <w:noWrap/>
            <w:vAlign w:val="center"/>
            <w:hideMark/>
          </w:tcPr>
          <w:p w14:paraId="7D16BE16" w14:textId="77777777" w:rsidR="004A59F5" w:rsidRPr="004A59F5" w:rsidRDefault="004A59F5" w:rsidP="004A59F5">
            <w:pPr>
              <w:spacing w:line="240" w:lineRule="auto"/>
              <w:jc w:val="center"/>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2025</w:t>
            </w:r>
          </w:p>
        </w:tc>
        <w:tc>
          <w:tcPr>
            <w:tcW w:w="867" w:type="pct"/>
            <w:tcBorders>
              <w:top w:val="single" w:sz="4" w:space="0" w:color="auto"/>
              <w:left w:val="nil"/>
              <w:bottom w:val="nil"/>
              <w:right w:val="nil"/>
            </w:tcBorders>
            <w:noWrap/>
            <w:vAlign w:val="center"/>
            <w:hideMark/>
          </w:tcPr>
          <w:p w14:paraId="6C874634" w14:textId="77777777" w:rsidR="004A59F5" w:rsidRPr="004A59F5" w:rsidRDefault="004A59F5" w:rsidP="004A59F5">
            <w:pPr>
              <w:spacing w:line="240" w:lineRule="auto"/>
              <w:jc w:val="center"/>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Rozdiel</w:t>
            </w:r>
          </w:p>
        </w:tc>
      </w:tr>
      <w:tr w:rsidR="004A59F5" w:rsidRPr="004A59F5" w14:paraId="10FF1BD7" w14:textId="77777777" w:rsidTr="00F8195D">
        <w:trPr>
          <w:trHeight w:val="189"/>
          <w:tblHeader/>
        </w:trPr>
        <w:tc>
          <w:tcPr>
            <w:tcW w:w="2844" w:type="pct"/>
            <w:vMerge/>
            <w:tcBorders>
              <w:top w:val="single" w:sz="4" w:space="0" w:color="auto"/>
              <w:left w:val="nil"/>
              <w:bottom w:val="single" w:sz="4" w:space="0" w:color="000000"/>
              <w:right w:val="nil"/>
            </w:tcBorders>
            <w:vAlign w:val="center"/>
            <w:hideMark/>
          </w:tcPr>
          <w:p w14:paraId="5511B192" w14:textId="77777777" w:rsidR="004A59F5" w:rsidRPr="004A59F5" w:rsidRDefault="004A59F5" w:rsidP="004A59F5">
            <w:pPr>
              <w:spacing w:line="240" w:lineRule="auto"/>
              <w:rPr>
                <w:rFonts w:eastAsia="Times New Roman" w:cs="Times New Roman"/>
                <w:b/>
                <w:bCs/>
                <w:color w:val="000000"/>
                <w:sz w:val="18"/>
                <w:szCs w:val="18"/>
                <w:lang w:eastAsia="sk-SK"/>
              </w:rPr>
            </w:pPr>
          </w:p>
        </w:tc>
        <w:tc>
          <w:tcPr>
            <w:tcW w:w="1289" w:type="pct"/>
            <w:tcBorders>
              <w:top w:val="nil"/>
              <w:left w:val="nil"/>
              <w:bottom w:val="single" w:sz="4" w:space="0" w:color="auto"/>
              <w:right w:val="nil"/>
            </w:tcBorders>
            <w:noWrap/>
            <w:vAlign w:val="center"/>
            <w:hideMark/>
          </w:tcPr>
          <w:p w14:paraId="22D60FE6" w14:textId="77777777" w:rsidR="004A59F5" w:rsidRPr="004A59F5" w:rsidRDefault="004A59F5" w:rsidP="004A59F5">
            <w:pPr>
              <w:spacing w:line="240" w:lineRule="auto"/>
              <w:jc w:val="center"/>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Rozdiel S-R</w:t>
            </w:r>
          </w:p>
        </w:tc>
        <w:tc>
          <w:tcPr>
            <w:tcW w:w="867" w:type="pct"/>
            <w:tcBorders>
              <w:top w:val="nil"/>
              <w:left w:val="nil"/>
              <w:bottom w:val="single" w:sz="4" w:space="0" w:color="auto"/>
              <w:right w:val="nil"/>
            </w:tcBorders>
            <w:noWrap/>
            <w:vAlign w:val="center"/>
            <w:hideMark/>
          </w:tcPr>
          <w:p w14:paraId="092CA693" w14:textId="77777777" w:rsidR="004A59F5" w:rsidRPr="004A59F5" w:rsidRDefault="004A59F5" w:rsidP="004A59F5">
            <w:pPr>
              <w:spacing w:line="240" w:lineRule="auto"/>
              <w:jc w:val="center"/>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 HDP)</w:t>
            </w:r>
          </w:p>
        </w:tc>
      </w:tr>
      <w:tr w:rsidR="004A59F5" w:rsidRPr="004A59F5" w14:paraId="4EB1EDD2" w14:textId="77777777" w:rsidTr="004A59F5">
        <w:trPr>
          <w:trHeight w:val="280"/>
        </w:trPr>
        <w:tc>
          <w:tcPr>
            <w:tcW w:w="2844" w:type="pct"/>
            <w:tcBorders>
              <w:top w:val="nil"/>
              <w:left w:val="nil"/>
              <w:bottom w:val="nil"/>
              <w:right w:val="nil"/>
            </w:tcBorders>
            <w:vAlign w:val="center"/>
            <w:hideMark/>
          </w:tcPr>
          <w:p w14:paraId="25DBB0B1"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 xml:space="preserve">Saldo verejnej správy - rozpočet </w:t>
            </w:r>
          </w:p>
        </w:tc>
        <w:tc>
          <w:tcPr>
            <w:tcW w:w="1289" w:type="pct"/>
            <w:tcBorders>
              <w:top w:val="nil"/>
              <w:left w:val="nil"/>
              <w:bottom w:val="nil"/>
              <w:right w:val="nil"/>
            </w:tcBorders>
            <w:noWrap/>
            <w:vAlign w:val="center"/>
            <w:hideMark/>
          </w:tcPr>
          <w:p w14:paraId="781648DE"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-6 603 344</w:t>
            </w:r>
          </w:p>
        </w:tc>
        <w:tc>
          <w:tcPr>
            <w:tcW w:w="867" w:type="pct"/>
            <w:tcBorders>
              <w:top w:val="nil"/>
              <w:left w:val="nil"/>
              <w:bottom w:val="nil"/>
              <w:right w:val="nil"/>
            </w:tcBorders>
            <w:noWrap/>
            <w:vAlign w:val="center"/>
            <w:hideMark/>
          </w:tcPr>
          <w:p w14:paraId="09F6734C"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0,00</w:t>
            </w:r>
          </w:p>
        </w:tc>
      </w:tr>
      <w:tr w:rsidR="004A59F5" w:rsidRPr="004A59F5" w14:paraId="3D962426" w14:textId="77777777" w:rsidTr="004A59F5">
        <w:trPr>
          <w:trHeight w:val="280"/>
        </w:trPr>
        <w:tc>
          <w:tcPr>
            <w:tcW w:w="2844" w:type="pct"/>
            <w:tcBorders>
              <w:top w:val="nil"/>
              <w:left w:val="nil"/>
              <w:bottom w:val="nil"/>
              <w:right w:val="nil"/>
            </w:tcBorders>
            <w:vAlign w:val="center"/>
            <w:hideMark/>
          </w:tcPr>
          <w:p w14:paraId="1AFD6882"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1. Daňové a odvodové príjmy verejnej správy</w:t>
            </w:r>
          </w:p>
        </w:tc>
        <w:tc>
          <w:tcPr>
            <w:tcW w:w="1289" w:type="pct"/>
            <w:tcBorders>
              <w:top w:val="nil"/>
              <w:left w:val="nil"/>
              <w:bottom w:val="nil"/>
              <w:right w:val="nil"/>
            </w:tcBorders>
            <w:noWrap/>
            <w:vAlign w:val="center"/>
            <w:hideMark/>
          </w:tcPr>
          <w:p w14:paraId="069F0731"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-1 189 197</w:t>
            </w:r>
          </w:p>
        </w:tc>
        <w:tc>
          <w:tcPr>
            <w:tcW w:w="867" w:type="pct"/>
            <w:tcBorders>
              <w:top w:val="nil"/>
              <w:left w:val="nil"/>
              <w:bottom w:val="nil"/>
              <w:right w:val="nil"/>
            </w:tcBorders>
            <w:noWrap/>
            <w:vAlign w:val="center"/>
            <w:hideMark/>
          </w:tcPr>
          <w:p w14:paraId="1DE38C9D"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-0,87</w:t>
            </w:r>
          </w:p>
        </w:tc>
      </w:tr>
      <w:tr w:rsidR="004A59F5" w:rsidRPr="004A59F5" w14:paraId="5B2481CE" w14:textId="77777777" w:rsidTr="004A59F5">
        <w:trPr>
          <w:trHeight w:val="280"/>
        </w:trPr>
        <w:tc>
          <w:tcPr>
            <w:tcW w:w="2844" w:type="pct"/>
            <w:tcBorders>
              <w:top w:val="nil"/>
              <w:left w:val="nil"/>
              <w:bottom w:val="nil"/>
              <w:right w:val="nil"/>
            </w:tcBorders>
            <w:vAlign w:val="center"/>
            <w:hideMark/>
          </w:tcPr>
          <w:p w14:paraId="43F599B9"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ESA daňové príjmy</w:t>
            </w:r>
          </w:p>
        </w:tc>
        <w:tc>
          <w:tcPr>
            <w:tcW w:w="1289" w:type="pct"/>
            <w:tcBorders>
              <w:top w:val="nil"/>
              <w:left w:val="nil"/>
              <w:bottom w:val="nil"/>
              <w:right w:val="nil"/>
            </w:tcBorders>
            <w:noWrap/>
            <w:vAlign w:val="center"/>
            <w:hideMark/>
          </w:tcPr>
          <w:p w14:paraId="401738D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-1 641 470</w:t>
            </w:r>
          </w:p>
        </w:tc>
        <w:tc>
          <w:tcPr>
            <w:tcW w:w="867" w:type="pct"/>
            <w:tcBorders>
              <w:top w:val="nil"/>
              <w:left w:val="nil"/>
              <w:bottom w:val="nil"/>
              <w:right w:val="nil"/>
            </w:tcBorders>
            <w:noWrap/>
            <w:vAlign w:val="center"/>
            <w:hideMark/>
          </w:tcPr>
          <w:p w14:paraId="55EC0910"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-1,20</w:t>
            </w:r>
          </w:p>
        </w:tc>
      </w:tr>
      <w:tr w:rsidR="004A59F5" w:rsidRPr="004A59F5" w14:paraId="4F03D404" w14:textId="77777777" w:rsidTr="004A59F5">
        <w:trPr>
          <w:trHeight w:val="280"/>
        </w:trPr>
        <w:tc>
          <w:tcPr>
            <w:tcW w:w="2844" w:type="pct"/>
            <w:tcBorders>
              <w:top w:val="nil"/>
              <w:left w:val="nil"/>
              <w:bottom w:val="nil"/>
              <w:right w:val="nil"/>
            </w:tcBorders>
            <w:vAlign w:val="center"/>
            <w:hideMark/>
          </w:tcPr>
          <w:p w14:paraId="22949142"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z toho: imputácia daňových príjmov za zelenú energiu</w:t>
            </w:r>
          </w:p>
        </w:tc>
        <w:tc>
          <w:tcPr>
            <w:tcW w:w="1289" w:type="pct"/>
            <w:tcBorders>
              <w:top w:val="nil"/>
              <w:left w:val="nil"/>
              <w:bottom w:val="nil"/>
              <w:right w:val="nil"/>
            </w:tcBorders>
            <w:noWrap/>
            <w:vAlign w:val="center"/>
            <w:hideMark/>
          </w:tcPr>
          <w:p w14:paraId="38954727"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-106 744</w:t>
            </w:r>
          </w:p>
        </w:tc>
        <w:tc>
          <w:tcPr>
            <w:tcW w:w="867" w:type="pct"/>
            <w:tcBorders>
              <w:top w:val="nil"/>
              <w:left w:val="nil"/>
              <w:bottom w:val="nil"/>
              <w:right w:val="nil"/>
            </w:tcBorders>
            <w:noWrap/>
            <w:vAlign w:val="center"/>
            <w:hideMark/>
          </w:tcPr>
          <w:p w14:paraId="51D76328"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-0,08</w:t>
            </w:r>
          </w:p>
        </w:tc>
      </w:tr>
      <w:tr w:rsidR="004A59F5" w:rsidRPr="004A59F5" w14:paraId="4933FD49" w14:textId="77777777" w:rsidTr="004A59F5">
        <w:trPr>
          <w:trHeight w:val="280"/>
        </w:trPr>
        <w:tc>
          <w:tcPr>
            <w:tcW w:w="2844" w:type="pct"/>
            <w:tcBorders>
              <w:top w:val="nil"/>
              <w:left w:val="nil"/>
              <w:bottom w:val="nil"/>
              <w:right w:val="nil"/>
            </w:tcBorders>
            <w:vAlign w:val="center"/>
            <w:hideMark/>
          </w:tcPr>
          <w:p w14:paraId="60E9792A"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ESA odvodové príjmy</w:t>
            </w:r>
          </w:p>
        </w:tc>
        <w:tc>
          <w:tcPr>
            <w:tcW w:w="1289" w:type="pct"/>
            <w:tcBorders>
              <w:top w:val="nil"/>
              <w:left w:val="nil"/>
              <w:bottom w:val="nil"/>
              <w:right w:val="nil"/>
            </w:tcBorders>
            <w:noWrap/>
            <w:vAlign w:val="center"/>
            <w:hideMark/>
          </w:tcPr>
          <w:p w14:paraId="77DA26AF" w14:textId="77777777" w:rsidR="004A59F5" w:rsidRPr="004A59F5" w:rsidRDefault="004A59F5" w:rsidP="004A59F5">
            <w:pPr>
              <w:spacing w:line="240" w:lineRule="auto"/>
              <w:jc w:val="right"/>
              <w:rPr>
                <w:rFonts w:eastAsia="Times New Roman" w:cs="Times New Roman"/>
                <w:sz w:val="18"/>
                <w:szCs w:val="18"/>
                <w:lang w:eastAsia="sk-SK"/>
              </w:rPr>
            </w:pPr>
            <w:r w:rsidRPr="004A59F5">
              <w:rPr>
                <w:rFonts w:eastAsia="Times New Roman" w:cs="Times New Roman"/>
                <w:sz w:val="18"/>
                <w:szCs w:val="18"/>
                <w:lang w:eastAsia="sk-SK"/>
              </w:rPr>
              <w:t>452 273</w:t>
            </w:r>
          </w:p>
        </w:tc>
        <w:tc>
          <w:tcPr>
            <w:tcW w:w="867" w:type="pct"/>
            <w:tcBorders>
              <w:top w:val="nil"/>
              <w:left w:val="nil"/>
              <w:bottom w:val="nil"/>
              <w:right w:val="nil"/>
            </w:tcBorders>
            <w:noWrap/>
            <w:vAlign w:val="center"/>
            <w:hideMark/>
          </w:tcPr>
          <w:p w14:paraId="070AED08"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0,33</w:t>
            </w:r>
          </w:p>
        </w:tc>
      </w:tr>
      <w:tr w:rsidR="004A59F5" w:rsidRPr="004A59F5" w14:paraId="6330AD5F" w14:textId="77777777" w:rsidTr="004A59F5">
        <w:trPr>
          <w:trHeight w:val="280"/>
        </w:trPr>
        <w:tc>
          <w:tcPr>
            <w:tcW w:w="2844" w:type="pct"/>
            <w:tcBorders>
              <w:top w:val="nil"/>
              <w:left w:val="nil"/>
              <w:bottom w:val="nil"/>
              <w:right w:val="nil"/>
            </w:tcBorders>
            <w:vAlign w:val="center"/>
            <w:hideMark/>
          </w:tcPr>
          <w:p w14:paraId="6A88A7E4"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2. Vplyv iných ako daňových príjmov štátneho rozpočtu</w:t>
            </w:r>
          </w:p>
        </w:tc>
        <w:tc>
          <w:tcPr>
            <w:tcW w:w="1289" w:type="pct"/>
            <w:tcBorders>
              <w:top w:val="nil"/>
              <w:left w:val="nil"/>
              <w:bottom w:val="nil"/>
              <w:right w:val="nil"/>
            </w:tcBorders>
            <w:noWrap/>
            <w:vAlign w:val="center"/>
            <w:hideMark/>
          </w:tcPr>
          <w:p w14:paraId="179DD5E2"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1 485 228</w:t>
            </w:r>
          </w:p>
        </w:tc>
        <w:tc>
          <w:tcPr>
            <w:tcW w:w="867" w:type="pct"/>
            <w:tcBorders>
              <w:top w:val="nil"/>
              <w:left w:val="nil"/>
              <w:bottom w:val="nil"/>
              <w:right w:val="nil"/>
            </w:tcBorders>
            <w:noWrap/>
            <w:vAlign w:val="center"/>
            <w:hideMark/>
          </w:tcPr>
          <w:p w14:paraId="1D2302D7"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1,09</w:t>
            </w:r>
          </w:p>
        </w:tc>
      </w:tr>
      <w:tr w:rsidR="004A59F5" w:rsidRPr="004A59F5" w14:paraId="5421EEB8" w14:textId="77777777" w:rsidTr="004A59F5">
        <w:trPr>
          <w:trHeight w:val="520"/>
        </w:trPr>
        <w:tc>
          <w:tcPr>
            <w:tcW w:w="2844" w:type="pct"/>
            <w:tcBorders>
              <w:top w:val="nil"/>
              <w:left w:val="nil"/>
              <w:bottom w:val="nil"/>
              <w:right w:val="nil"/>
            </w:tcBorders>
            <w:vAlign w:val="center"/>
            <w:hideMark/>
          </w:tcPr>
          <w:p w14:paraId="5D780959" w14:textId="60D09E64" w:rsidR="004A59F5" w:rsidRPr="004A59F5" w:rsidRDefault="004A59F5" w:rsidP="00D33464">
            <w:pPr>
              <w:spacing w:line="240" w:lineRule="auto"/>
              <w:ind w:left="340" w:hanging="340"/>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príjmy z dividend a z odvodov zo zisku (vrátane časového rozlíšenia a po vylúčení superdividendy a imputovaných dividend)</w:t>
            </w:r>
          </w:p>
        </w:tc>
        <w:tc>
          <w:tcPr>
            <w:tcW w:w="1289" w:type="pct"/>
            <w:tcBorders>
              <w:top w:val="nil"/>
              <w:left w:val="nil"/>
              <w:bottom w:val="nil"/>
              <w:right w:val="nil"/>
            </w:tcBorders>
            <w:noWrap/>
            <w:vAlign w:val="center"/>
            <w:hideMark/>
          </w:tcPr>
          <w:p w14:paraId="610B947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264 201</w:t>
            </w:r>
          </w:p>
        </w:tc>
        <w:tc>
          <w:tcPr>
            <w:tcW w:w="867" w:type="pct"/>
            <w:tcBorders>
              <w:top w:val="nil"/>
              <w:left w:val="nil"/>
              <w:bottom w:val="nil"/>
              <w:right w:val="nil"/>
            </w:tcBorders>
            <w:noWrap/>
            <w:vAlign w:val="center"/>
            <w:hideMark/>
          </w:tcPr>
          <w:p w14:paraId="144C749A"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0,19</w:t>
            </w:r>
          </w:p>
        </w:tc>
      </w:tr>
      <w:tr w:rsidR="004A59F5" w:rsidRPr="004A59F5" w14:paraId="5CE2FA1B" w14:textId="77777777" w:rsidTr="004A59F5">
        <w:trPr>
          <w:trHeight w:val="280"/>
        </w:trPr>
        <w:tc>
          <w:tcPr>
            <w:tcW w:w="2844" w:type="pct"/>
            <w:tcBorders>
              <w:top w:val="nil"/>
              <w:left w:val="nil"/>
              <w:bottom w:val="nil"/>
              <w:right w:val="nil"/>
            </w:tcBorders>
            <w:vAlign w:val="center"/>
            <w:hideMark/>
          </w:tcPr>
          <w:p w14:paraId="34CFDA38" w14:textId="0E0667C2"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zmena stavu pohľadávok po vylúčení preddavkov na vojen.</w:t>
            </w:r>
            <w:r>
              <w:rPr>
                <w:rFonts w:eastAsia="Times New Roman" w:cs="Times New Roman"/>
                <w:color w:val="000000"/>
                <w:sz w:val="18"/>
                <w:szCs w:val="18"/>
                <w:lang w:eastAsia="sk-SK"/>
              </w:rPr>
              <w:t xml:space="preserve"> </w:t>
            </w:r>
            <w:r w:rsidRPr="004A59F5">
              <w:rPr>
                <w:rFonts w:eastAsia="Times New Roman" w:cs="Times New Roman"/>
                <w:color w:val="000000"/>
                <w:sz w:val="18"/>
                <w:szCs w:val="18"/>
                <w:lang w:eastAsia="sk-SK"/>
              </w:rPr>
              <w:t>techniku</w:t>
            </w:r>
          </w:p>
        </w:tc>
        <w:tc>
          <w:tcPr>
            <w:tcW w:w="1289" w:type="pct"/>
            <w:tcBorders>
              <w:top w:val="nil"/>
              <w:left w:val="nil"/>
              <w:bottom w:val="nil"/>
              <w:right w:val="nil"/>
            </w:tcBorders>
            <w:noWrap/>
            <w:vAlign w:val="center"/>
            <w:hideMark/>
          </w:tcPr>
          <w:p w14:paraId="24F353D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-41 359</w:t>
            </w:r>
          </w:p>
        </w:tc>
        <w:tc>
          <w:tcPr>
            <w:tcW w:w="867" w:type="pct"/>
            <w:tcBorders>
              <w:top w:val="nil"/>
              <w:left w:val="nil"/>
              <w:bottom w:val="nil"/>
              <w:right w:val="nil"/>
            </w:tcBorders>
            <w:noWrap/>
            <w:vAlign w:val="center"/>
            <w:hideMark/>
          </w:tcPr>
          <w:p w14:paraId="25E4FDA2"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-0,03</w:t>
            </w:r>
          </w:p>
        </w:tc>
      </w:tr>
      <w:tr w:rsidR="004A59F5" w:rsidRPr="004A59F5" w14:paraId="12867274" w14:textId="77777777" w:rsidTr="004A59F5">
        <w:trPr>
          <w:trHeight w:val="280"/>
        </w:trPr>
        <w:tc>
          <w:tcPr>
            <w:tcW w:w="2844" w:type="pct"/>
            <w:tcBorders>
              <w:top w:val="nil"/>
              <w:left w:val="nil"/>
              <w:bottom w:val="nil"/>
              <w:right w:val="nil"/>
            </w:tcBorders>
            <w:vAlign w:val="center"/>
            <w:hideMark/>
          </w:tcPr>
          <w:p w14:paraId="0AA1B7E0"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EÚ príjmy po vylúčení EÚ tokov mimo sektor</w:t>
            </w:r>
          </w:p>
        </w:tc>
        <w:tc>
          <w:tcPr>
            <w:tcW w:w="1289" w:type="pct"/>
            <w:tcBorders>
              <w:top w:val="nil"/>
              <w:left w:val="nil"/>
              <w:bottom w:val="nil"/>
              <w:right w:val="nil"/>
            </w:tcBorders>
            <w:noWrap/>
            <w:vAlign w:val="center"/>
            <w:hideMark/>
          </w:tcPr>
          <w:p w14:paraId="7917CC9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100 768</w:t>
            </w:r>
          </w:p>
        </w:tc>
        <w:tc>
          <w:tcPr>
            <w:tcW w:w="867" w:type="pct"/>
            <w:tcBorders>
              <w:top w:val="nil"/>
              <w:left w:val="nil"/>
              <w:bottom w:val="nil"/>
              <w:right w:val="nil"/>
            </w:tcBorders>
            <w:noWrap/>
            <w:vAlign w:val="center"/>
            <w:hideMark/>
          </w:tcPr>
          <w:p w14:paraId="211089E2"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0,07</w:t>
            </w:r>
          </w:p>
        </w:tc>
      </w:tr>
      <w:tr w:rsidR="004A59F5" w:rsidRPr="004A59F5" w14:paraId="6B0F7ECA" w14:textId="77777777" w:rsidTr="004A59F5">
        <w:trPr>
          <w:trHeight w:val="280"/>
        </w:trPr>
        <w:tc>
          <w:tcPr>
            <w:tcW w:w="2844" w:type="pct"/>
            <w:tcBorders>
              <w:top w:val="nil"/>
              <w:left w:val="nil"/>
              <w:bottom w:val="nil"/>
              <w:right w:val="nil"/>
            </w:tcBorders>
            <w:vAlign w:val="center"/>
            <w:hideMark/>
          </w:tcPr>
          <w:p w14:paraId="4AE18D54"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príjmy z POO</w:t>
            </w:r>
          </w:p>
        </w:tc>
        <w:tc>
          <w:tcPr>
            <w:tcW w:w="1289" w:type="pct"/>
            <w:tcBorders>
              <w:top w:val="nil"/>
              <w:left w:val="nil"/>
              <w:bottom w:val="nil"/>
              <w:right w:val="nil"/>
            </w:tcBorders>
            <w:noWrap/>
            <w:vAlign w:val="center"/>
            <w:hideMark/>
          </w:tcPr>
          <w:p w14:paraId="49F7AA67"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757 228</w:t>
            </w:r>
          </w:p>
        </w:tc>
        <w:tc>
          <w:tcPr>
            <w:tcW w:w="867" w:type="pct"/>
            <w:tcBorders>
              <w:top w:val="nil"/>
              <w:left w:val="nil"/>
              <w:bottom w:val="nil"/>
              <w:right w:val="nil"/>
            </w:tcBorders>
            <w:noWrap/>
            <w:vAlign w:val="center"/>
            <w:hideMark/>
          </w:tcPr>
          <w:p w14:paraId="3D5117EC"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0,55</w:t>
            </w:r>
          </w:p>
        </w:tc>
      </w:tr>
      <w:tr w:rsidR="004A59F5" w:rsidRPr="004A59F5" w14:paraId="3692D814" w14:textId="77777777" w:rsidTr="004A59F5">
        <w:trPr>
          <w:trHeight w:val="280"/>
        </w:trPr>
        <w:tc>
          <w:tcPr>
            <w:tcW w:w="2844" w:type="pct"/>
            <w:tcBorders>
              <w:top w:val="nil"/>
              <w:left w:val="nil"/>
              <w:bottom w:val="nil"/>
              <w:right w:val="nil"/>
            </w:tcBorders>
            <w:vAlign w:val="center"/>
            <w:hideMark/>
          </w:tcPr>
          <w:p w14:paraId="4C800537"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UMTS Licencie</w:t>
            </w:r>
          </w:p>
        </w:tc>
        <w:tc>
          <w:tcPr>
            <w:tcW w:w="1289" w:type="pct"/>
            <w:tcBorders>
              <w:top w:val="nil"/>
              <w:left w:val="nil"/>
              <w:bottom w:val="nil"/>
              <w:right w:val="nil"/>
            </w:tcBorders>
            <w:noWrap/>
            <w:vAlign w:val="center"/>
            <w:hideMark/>
          </w:tcPr>
          <w:p w14:paraId="6654F64E"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-71 766</w:t>
            </w:r>
          </w:p>
        </w:tc>
        <w:tc>
          <w:tcPr>
            <w:tcW w:w="867" w:type="pct"/>
            <w:tcBorders>
              <w:top w:val="nil"/>
              <w:left w:val="nil"/>
              <w:bottom w:val="nil"/>
              <w:right w:val="nil"/>
            </w:tcBorders>
            <w:noWrap/>
            <w:vAlign w:val="center"/>
            <w:hideMark/>
          </w:tcPr>
          <w:p w14:paraId="6479FAAE"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-0,05</w:t>
            </w:r>
          </w:p>
        </w:tc>
      </w:tr>
      <w:tr w:rsidR="004A59F5" w:rsidRPr="004A59F5" w14:paraId="7EF9808D" w14:textId="77777777" w:rsidTr="004A59F5">
        <w:trPr>
          <w:trHeight w:val="280"/>
        </w:trPr>
        <w:tc>
          <w:tcPr>
            <w:tcW w:w="2844" w:type="pct"/>
            <w:tcBorders>
              <w:top w:val="nil"/>
              <w:left w:val="nil"/>
              <w:bottom w:val="nil"/>
              <w:right w:val="nil"/>
            </w:tcBorders>
            <w:vAlign w:val="center"/>
            <w:hideMark/>
          </w:tcPr>
          <w:p w14:paraId="3A783C33"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iné nedaňové príjmy (bez EÚ zdrojov, spolufinancovania a POO)</w:t>
            </w:r>
          </w:p>
        </w:tc>
        <w:tc>
          <w:tcPr>
            <w:tcW w:w="1289" w:type="pct"/>
            <w:tcBorders>
              <w:top w:val="nil"/>
              <w:left w:val="nil"/>
              <w:bottom w:val="nil"/>
              <w:right w:val="nil"/>
            </w:tcBorders>
            <w:noWrap/>
            <w:vAlign w:val="center"/>
            <w:hideMark/>
          </w:tcPr>
          <w:p w14:paraId="31AA4E90"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99 020</w:t>
            </w:r>
          </w:p>
        </w:tc>
        <w:tc>
          <w:tcPr>
            <w:tcW w:w="867" w:type="pct"/>
            <w:tcBorders>
              <w:top w:val="nil"/>
              <w:left w:val="nil"/>
              <w:bottom w:val="nil"/>
              <w:right w:val="nil"/>
            </w:tcBorders>
            <w:noWrap/>
            <w:vAlign w:val="center"/>
            <w:hideMark/>
          </w:tcPr>
          <w:p w14:paraId="6D94C29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0,07</w:t>
            </w:r>
          </w:p>
        </w:tc>
      </w:tr>
      <w:tr w:rsidR="004A59F5" w:rsidRPr="004A59F5" w14:paraId="4AD36E2B" w14:textId="77777777" w:rsidTr="004A59F5">
        <w:trPr>
          <w:trHeight w:val="263"/>
        </w:trPr>
        <w:tc>
          <w:tcPr>
            <w:tcW w:w="2844" w:type="pct"/>
            <w:tcBorders>
              <w:top w:val="nil"/>
              <w:left w:val="nil"/>
              <w:bottom w:val="nil"/>
              <w:right w:val="nil"/>
            </w:tcBorders>
            <w:vAlign w:val="center"/>
            <w:hideMark/>
          </w:tcPr>
          <w:p w14:paraId="44C5AADE" w14:textId="3000EF49" w:rsidR="004A59F5" w:rsidRPr="004A59F5" w:rsidRDefault="00927963" w:rsidP="004A59F5">
            <w:pPr>
              <w:spacing w:line="240" w:lineRule="auto"/>
              <w:rPr>
                <w:rFonts w:eastAsia="Times New Roman" w:cs="Times New Roman"/>
                <w:sz w:val="18"/>
                <w:szCs w:val="18"/>
                <w:lang w:eastAsia="sk-SK"/>
              </w:rPr>
            </w:pPr>
            <w:r w:rsidRPr="004A59F5">
              <w:rPr>
                <w:rFonts w:eastAsia="Times New Roman" w:cs="Times New Roman"/>
                <w:color w:val="000000"/>
                <w:sz w:val="18"/>
                <w:szCs w:val="18"/>
                <w:lang w:eastAsia="sk-SK"/>
              </w:rPr>
              <w:t xml:space="preserve">     -</w:t>
            </w:r>
            <w:r w:rsidR="004A59F5" w:rsidRPr="004A59F5">
              <w:rPr>
                <w:rFonts w:eastAsia="Times New Roman" w:cs="Times New Roman"/>
                <w:sz w:val="18"/>
                <w:szCs w:val="18"/>
                <w:lang w:eastAsia="sk-SK"/>
              </w:rPr>
              <w:t xml:space="preserve"> imputácia daň. príjmov za predané emisné povolenky z EU Modernizačného f.</w:t>
            </w:r>
          </w:p>
        </w:tc>
        <w:tc>
          <w:tcPr>
            <w:tcW w:w="1289" w:type="pct"/>
            <w:tcBorders>
              <w:top w:val="nil"/>
              <w:left w:val="nil"/>
              <w:bottom w:val="nil"/>
              <w:right w:val="nil"/>
            </w:tcBorders>
            <w:noWrap/>
            <w:vAlign w:val="center"/>
            <w:hideMark/>
          </w:tcPr>
          <w:p w14:paraId="6E38D40C"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249 420</w:t>
            </w:r>
          </w:p>
        </w:tc>
        <w:tc>
          <w:tcPr>
            <w:tcW w:w="867" w:type="pct"/>
            <w:tcBorders>
              <w:top w:val="nil"/>
              <w:left w:val="nil"/>
              <w:bottom w:val="nil"/>
              <w:right w:val="nil"/>
            </w:tcBorders>
            <w:noWrap/>
            <w:vAlign w:val="center"/>
            <w:hideMark/>
          </w:tcPr>
          <w:p w14:paraId="152BC28E"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0,18</w:t>
            </w:r>
          </w:p>
        </w:tc>
      </w:tr>
      <w:tr w:rsidR="004A59F5" w:rsidRPr="004A59F5" w14:paraId="1342EAD1" w14:textId="77777777" w:rsidTr="004A59F5">
        <w:trPr>
          <w:trHeight w:val="280"/>
        </w:trPr>
        <w:tc>
          <w:tcPr>
            <w:tcW w:w="2844" w:type="pct"/>
            <w:tcBorders>
              <w:top w:val="nil"/>
              <w:left w:val="nil"/>
              <w:bottom w:val="nil"/>
              <w:right w:val="nil"/>
            </w:tcBorders>
            <w:vAlign w:val="center"/>
            <w:hideMark/>
          </w:tcPr>
          <w:p w14:paraId="2C364462"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ostatné</w:t>
            </w:r>
          </w:p>
        </w:tc>
        <w:tc>
          <w:tcPr>
            <w:tcW w:w="1289" w:type="pct"/>
            <w:tcBorders>
              <w:top w:val="nil"/>
              <w:left w:val="nil"/>
              <w:bottom w:val="nil"/>
              <w:right w:val="nil"/>
            </w:tcBorders>
            <w:noWrap/>
            <w:vAlign w:val="center"/>
            <w:hideMark/>
          </w:tcPr>
          <w:p w14:paraId="38EA387F"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127 716</w:t>
            </w:r>
          </w:p>
        </w:tc>
        <w:tc>
          <w:tcPr>
            <w:tcW w:w="867" w:type="pct"/>
            <w:tcBorders>
              <w:top w:val="nil"/>
              <w:left w:val="nil"/>
              <w:bottom w:val="nil"/>
              <w:right w:val="nil"/>
            </w:tcBorders>
            <w:noWrap/>
            <w:vAlign w:val="center"/>
            <w:hideMark/>
          </w:tcPr>
          <w:p w14:paraId="0C86324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0,09</w:t>
            </w:r>
          </w:p>
        </w:tc>
      </w:tr>
      <w:tr w:rsidR="004A59F5" w:rsidRPr="004A59F5" w14:paraId="48FA4E16" w14:textId="77777777" w:rsidTr="004A59F5">
        <w:trPr>
          <w:trHeight w:val="280"/>
        </w:trPr>
        <w:tc>
          <w:tcPr>
            <w:tcW w:w="2844" w:type="pct"/>
            <w:tcBorders>
              <w:top w:val="nil"/>
              <w:left w:val="nil"/>
              <w:bottom w:val="nil"/>
              <w:right w:val="nil"/>
            </w:tcBorders>
            <w:vAlign w:val="center"/>
            <w:hideMark/>
          </w:tcPr>
          <w:p w14:paraId="0937096E"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3. Vplyv vybraných výdavkov štátneho rozpočtu</w:t>
            </w:r>
          </w:p>
        </w:tc>
        <w:tc>
          <w:tcPr>
            <w:tcW w:w="1289" w:type="pct"/>
            <w:tcBorders>
              <w:top w:val="nil"/>
              <w:left w:val="nil"/>
              <w:bottom w:val="nil"/>
              <w:right w:val="nil"/>
            </w:tcBorders>
            <w:noWrap/>
            <w:vAlign w:val="center"/>
            <w:hideMark/>
          </w:tcPr>
          <w:p w14:paraId="1F71689A"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1 708 655</w:t>
            </w:r>
          </w:p>
        </w:tc>
        <w:tc>
          <w:tcPr>
            <w:tcW w:w="867" w:type="pct"/>
            <w:tcBorders>
              <w:top w:val="nil"/>
              <w:left w:val="nil"/>
              <w:bottom w:val="nil"/>
              <w:right w:val="nil"/>
            </w:tcBorders>
            <w:noWrap/>
            <w:vAlign w:val="center"/>
            <w:hideMark/>
          </w:tcPr>
          <w:p w14:paraId="5CC692CB"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1,25</w:t>
            </w:r>
          </w:p>
        </w:tc>
      </w:tr>
      <w:tr w:rsidR="004A59F5" w:rsidRPr="004A59F5" w14:paraId="33E3CEC8" w14:textId="77777777" w:rsidTr="004A59F5">
        <w:trPr>
          <w:trHeight w:val="280"/>
        </w:trPr>
        <w:tc>
          <w:tcPr>
            <w:tcW w:w="2844" w:type="pct"/>
            <w:tcBorders>
              <w:top w:val="nil"/>
              <w:left w:val="nil"/>
              <w:bottom w:val="nil"/>
              <w:right w:val="nil"/>
            </w:tcBorders>
            <w:vAlign w:val="center"/>
            <w:hideMark/>
          </w:tcPr>
          <w:p w14:paraId="459281C0"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EÚ výdavky po vylúčení EÚ tokov mimo sektor</w:t>
            </w:r>
          </w:p>
        </w:tc>
        <w:tc>
          <w:tcPr>
            <w:tcW w:w="1289" w:type="pct"/>
            <w:tcBorders>
              <w:top w:val="nil"/>
              <w:left w:val="nil"/>
              <w:bottom w:val="nil"/>
              <w:right w:val="nil"/>
            </w:tcBorders>
            <w:noWrap/>
            <w:vAlign w:val="center"/>
            <w:hideMark/>
          </w:tcPr>
          <w:p w14:paraId="208881D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-100 768</w:t>
            </w:r>
          </w:p>
        </w:tc>
        <w:tc>
          <w:tcPr>
            <w:tcW w:w="867" w:type="pct"/>
            <w:tcBorders>
              <w:top w:val="nil"/>
              <w:left w:val="nil"/>
              <w:bottom w:val="nil"/>
              <w:right w:val="nil"/>
            </w:tcBorders>
            <w:noWrap/>
            <w:vAlign w:val="center"/>
            <w:hideMark/>
          </w:tcPr>
          <w:p w14:paraId="2FE9B57A"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-0,07</w:t>
            </w:r>
          </w:p>
        </w:tc>
      </w:tr>
      <w:tr w:rsidR="004A59F5" w:rsidRPr="004A59F5" w14:paraId="74816DCD" w14:textId="77777777" w:rsidTr="004A59F5">
        <w:trPr>
          <w:trHeight w:val="280"/>
        </w:trPr>
        <w:tc>
          <w:tcPr>
            <w:tcW w:w="2844" w:type="pct"/>
            <w:tcBorders>
              <w:top w:val="nil"/>
              <w:left w:val="nil"/>
              <w:bottom w:val="nil"/>
              <w:right w:val="nil"/>
            </w:tcBorders>
            <w:vAlign w:val="center"/>
            <w:hideMark/>
          </w:tcPr>
          <w:p w14:paraId="458090BE"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výdavky POO</w:t>
            </w:r>
          </w:p>
        </w:tc>
        <w:tc>
          <w:tcPr>
            <w:tcW w:w="1289" w:type="pct"/>
            <w:tcBorders>
              <w:top w:val="nil"/>
              <w:left w:val="nil"/>
              <w:bottom w:val="nil"/>
              <w:right w:val="nil"/>
            </w:tcBorders>
            <w:noWrap/>
            <w:vAlign w:val="center"/>
            <w:hideMark/>
          </w:tcPr>
          <w:p w14:paraId="703DAAC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-757 228</w:t>
            </w:r>
          </w:p>
        </w:tc>
        <w:tc>
          <w:tcPr>
            <w:tcW w:w="867" w:type="pct"/>
            <w:tcBorders>
              <w:top w:val="nil"/>
              <w:left w:val="nil"/>
              <w:bottom w:val="nil"/>
              <w:right w:val="nil"/>
            </w:tcBorders>
            <w:noWrap/>
            <w:vAlign w:val="center"/>
            <w:hideMark/>
          </w:tcPr>
          <w:p w14:paraId="08CE7C41"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-0,55</w:t>
            </w:r>
          </w:p>
        </w:tc>
      </w:tr>
      <w:tr w:rsidR="004A59F5" w:rsidRPr="004A59F5" w14:paraId="4220E3FB" w14:textId="77777777" w:rsidTr="004A59F5">
        <w:trPr>
          <w:trHeight w:val="280"/>
        </w:trPr>
        <w:tc>
          <w:tcPr>
            <w:tcW w:w="2844" w:type="pct"/>
            <w:tcBorders>
              <w:top w:val="nil"/>
              <w:left w:val="nil"/>
              <w:bottom w:val="nil"/>
              <w:right w:val="nil"/>
            </w:tcBorders>
            <w:vAlign w:val="center"/>
            <w:hideMark/>
          </w:tcPr>
          <w:p w14:paraId="245E4769"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spolufinancovanie k EÚ zdrojom</w:t>
            </w:r>
          </w:p>
        </w:tc>
        <w:tc>
          <w:tcPr>
            <w:tcW w:w="1289" w:type="pct"/>
            <w:tcBorders>
              <w:top w:val="nil"/>
              <w:left w:val="nil"/>
              <w:bottom w:val="nil"/>
              <w:right w:val="nil"/>
            </w:tcBorders>
            <w:noWrap/>
            <w:vAlign w:val="center"/>
            <w:hideMark/>
          </w:tcPr>
          <w:p w14:paraId="4FE65D6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-116 091</w:t>
            </w:r>
          </w:p>
        </w:tc>
        <w:tc>
          <w:tcPr>
            <w:tcW w:w="867" w:type="pct"/>
            <w:tcBorders>
              <w:top w:val="nil"/>
              <w:left w:val="nil"/>
              <w:bottom w:val="nil"/>
              <w:right w:val="nil"/>
            </w:tcBorders>
            <w:noWrap/>
            <w:vAlign w:val="center"/>
            <w:hideMark/>
          </w:tcPr>
          <w:p w14:paraId="53997B6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-0,08</w:t>
            </w:r>
          </w:p>
        </w:tc>
      </w:tr>
      <w:tr w:rsidR="004A59F5" w:rsidRPr="004A59F5" w14:paraId="4727506F" w14:textId="77777777" w:rsidTr="004A59F5">
        <w:trPr>
          <w:trHeight w:val="280"/>
        </w:trPr>
        <w:tc>
          <w:tcPr>
            <w:tcW w:w="2844" w:type="pct"/>
            <w:tcBorders>
              <w:top w:val="nil"/>
              <w:left w:val="nil"/>
              <w:bottom w:val="nil"/>
              <w:right w:val="nil"/>
            </w:tcBorders>
            <w:vAlign w:val="center"/>
            <w:hideMark/>
          </w:tcPr>
          <w:p w14:paraId="02D6F6CB"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odvod do rozpočtu EÚ</w:t>
            </w:r>
          </w:p>
        </w:tc>
        <w:tc>
          <w:tcPr>
            <w:tcW w:w="1289" w:type="pct"/>
            <w:tcBorders>
              <w:top w:val="nil"/>
              <w:left w:val="nil"/>
              <w:bottom w:val="nil"/>
              <w:right w:val="nil"/>
            </w:tcBorders>
            <w:noWrap/>
            <w:vAlign w:val="center"/>
            <w:hideMark/>
          </w:tcPr>
          <w:p w14:paraId="0BC67EB9"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-26 225</w:t>
            </w:r>
          </w:p>
        </w:tc>
        <w:tc>
          <w:tcPr>
            <w:tcW w:w="867" w:type="pct"/>
            <w:tcBorders>
              <w:top w:val="nil"/>
              <w:left w:val="nil"/>
              <w:bottom w:val="nil"/>
              <w:right w:val="nil"/>
            </w:tcBorders>
            <w:noWrap/>
            <w:vAlign w:val="center"/>
            <w:hideMark/>
          </w:tcPr>
          <w:p w14:paraId="58F842C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-0,02</w:t>
            </w:r>
          </w:p>
        </w:tc>
      </w:tr>
      <w:tr w:rsidR="004A59F5" w:rsidRPr="004A59F5" w14:paraId="5101232F" w14:textId="77777777" w:rsidTr="004A59F5">
        <w:trPr>
          <w:trHeight w:val="280"/>
        </w:trPr>
        <w:tc>
          <w:tcPr>
            <w:tcW w:w="2844" w:type="pct"/>
            <w:tcBorders>
              <w:top w:val="nil"/>
              <w:left w:val="nil"/>
              <w:bottom w:val="nil"/>
              <w:right w:val="nil"/>
            </w:tcBorders>
            <w:vAlign w:val="center"/>
            <w:hideMark/>
          </w:tcPr>
          <w:p w14:paraId="4A45960E"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korekcie k fondom EÚ </w:t>
            </w:r>
          </w:p>
        </w:tc>
        <w:tc>
          <w:tcPr>
            <w:tcW w:w="1289" w:type="pct"/>
            <w:tcBorders>
              <w:top w:val="nil"/>
              <w:left w:val="nil"/>
              <w:bottom w:val="nil"/>
              <w:right w:val="nil"/>
            </w:tcBorders>
            <w:noWrap/>
            <w:vAlign w:val="center"/>
            <w:hideMark/>
          </w:tcPr>
          <w:p w14:paraId="6A9A67D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-44 617</w:t>
            </w:r>
          </w:p>
        </w:tc>
        <w:tc>
          <w:tcPr>
            <w:tcW w:w="867" w:type="pct"/>
            <w:tcBorders>
              <w:top w:val="nil"/>
              <w:left w:val="nil"/>
              <w:bottom w:val="nil"/>
              <w:right w:val="nil"/>
            </w:tcBorders>
            <w:noWrap/>
            <w:vAlign w:val="center"/>
            <w:hideMark/>
          </w:tcPr>
          <w:p w14:paraId="408F356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-0,03</w:t>
            </w:r>
          </w:p>
        </w:tc>
      </w:tr>
      <w:tr w:rsidR="004A59F5" w:rsidRPr="004A59F5" w14:paraId="6AFACCC6" w14:textId="77777777" w:rsidTr="004A59F5">
        <w:trPr>
          <w:trHeight w:val="520"/>
        </w:trPr>
        <w:tc>
          <w:tcPr>
            <w:tcW w:w="2844" w:type="pct"/>
            <w:tcBorders>
              <w:top w:val="nil"/>
              <w:left w:val="nil"/>
              <w:bottom w:val="nil"/>
              <w:right w:val="nil"/>
            </w:tcBorders>
            <w:vAlign w:val="center"/>
            <w:hideMark/>
          </w:tcPr>
          <w:p w14:paraId="33AFAFB2"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upravujúca položka-očistenie vplyvu príjmov PJ za prostriedky EÚ </w:t>
            </w:r>
            <w:r w:rsidRPr="004A59F5">
              <w:rPr>
                <w:rFonts w:eastAsia="Times New Roman" w:cs="Times New Roman"/>
                <w:color w:val="000000"/>
                <w:sz w:val="18"/>
                <w:szCs w:val="18"/>
                <w:lang w:eastAsia="sk-SK"/>
              </w:rPr>
              <w:br/>
              <w:t xml:space="preserve">       z uhradených korekcií nahlásených v roku rozhodnutia </w:t>
            </w:r>
          </w:p>
        </w:tc>
        <w:tc>
          <w:tcPr>
            <w:tcW w:w="1289" w:type="pct"/>
            <w:tcBorders>
              <w:top w:val="nil"/>
              <w:left w:val="nil"/>
              <w:bottom w:val="nil"/>
              <w:right w:val="nil"/>
            </w:tcBorders>
            <w:noWrap/>
            <w:vAlign w:val="center"/>
            <w:hideMark/>
          </w:tcPr>
          <w:p w14:paraId="75F40F89"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-36 546</w:t>
            </w:r>
          </w:p>
        </w:tc>
        <w:tc>
          <w:tcPr>
            <w:tcW w:w="867" w:type="pct"/>
            <w:tcBorders>
              <w:top w:val="nil"/>
              <w:left w:val="nil"/>
              <w:bottom w:val="nil"/>
              <w:right w:val="nil"/>
            </w:tcBorders>
            <w:noWrap/>
            <w:vAlign w:val="center"/>
            <w:hideMark/>
          </w:tcPr>
          <w:p w14:paraId="2F04ECB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-0,03</w:t>
            </w:r>
          </w:p>
        </w:tc>
      </w:tr>
      <w:tr w:rsidR="004A59F5" w:rsidRPr="004A59F5" w14:paraId="264058AC" w14:textId="77777777" w:rsidTr="004A59F5">
        <w:trPr>
          <w:trHeight w:val="280"/>
        </w:trPr>
        <w:tc>
          <w:tcPr>
            <w:tcW w:w="2844" w:type="pct"/>
            <w:tcBorders>
              <w:top w:val="nil"/>
              <w:left w:val="nil"/>
              <w:bottom w:val="nil"/>
              <w:right w:val="nil"/>
            </w:tcBorders>
            <w:vAlign w:val="center"/>
            <w:hideMark/>
          </w:tcPr>
          <w:p w14:paraId="328EB806"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transfer Sociálnej poisťovni a zdravotnej poisťovni</w:t>
            </w:r>
          </w:p>
        </w:tc>
        <w:tc>
          <w:tcPr>
            <w:tcW w:w="1289" w:type="pct"/>
            <w:tcBorders>
              <w:top w:val="nil"/>
              <w:left w:val="nil"/>
              <w:bottom w:val="nil"/>
              <w:right w:val="nil"/>
            </w:tcBorders>
            <w:noWrap/>
            <w:vAlign w:val="center"/>
            <w:hideMark/>
          </w:tcPr>
          <w:p w14:paraId="28368DD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292 480</w:t>
            </w:r>
          </w:p>
        </w:tc>
        <w:tc>
          <w:tcPr>
            <w:tcW w:w="867" w:type="pct"/>
            <w:tcBorders>
              <w:top w:val="nil"/>
              <w:left w:val="nil"/>
              <w:bottom w:val="nil"/>
              <w:right w:val="nil"/>
            </w:tcBorders>
            <w:noWrap/>
            <w:vAlign w:val="center"/>
            <w:hideMark/>
          </w:tcPr>
          <w:p w14:paraId="4FEBDB1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0,21</w:t>
            </w:r>
          </w:p>
        </w:tc>
      </w:tr>
      <w:tr w:rsidR="004A59F5" w:rsidRPr="004A59F5" w14:paraId="083EDBBB" w14:textId="77777777" w:rsidTr="004A59F5">
        <w:trPr>
          <w:trHeight w:val="280"/>
        </w:trPr>
        <w:tc>
          <w:tcPr>
            <w:tcW w:w="2844" w:type="pct"/>
            <w:tcBorders>
              <w:top w:val="nil"/>
              <w:left w:val="nil"/>
              <w:bottom w:val="nil"/>
              <w:right w:val="nil"/>
            </w:tcBorders>
            <w:vAlign w:val="center"/>
            <w:hideMark/>
          </w:tcPr>
          <w:p w14:paraId="0D968020"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imputácia výdavkových subvencií na zelenú energiu</w:t>
            </w:r>
          </w:p>
        </w:tc>
        <w:tc>
          <w:tcPr>
            <w:tcW w:w="1289" w:type="pct"/>
            <w:tcBorders>
              <w:top w:val="nil"/>
              <w:left w:val="nil"/>
              <w:bottom w:val="nil"/>
              <w:right w:val="nil"/>
            </w:tcBorders>
            <w:noWrap/>
            <w:vAlign w:val="center"/>
            <w:hideMark/>
          </w:tcPr>
          <w:p w14:paraId="61BE0398"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56 732</w:t>
            </w:r>
          </w:p>
        </w:tc>
        <w:tc>
          <w:tcPr>
            <w:tcW w:w="867" w:type="pct"/>
            <w:tcBorders>
              <w:top w:val="nil"/>
              <w:left w:val="nil"/>
              <w:bottom w:val="nil"/>
              <w:right w:val="nil"/>
            </w:tcBorders>
            <w:noWrap/>
            <w:vAlign w:val="center"/>
            <w:hideMark/>
          </w:tcPr>
          <w:p w14:paraId="519CD25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0,04</w:t>
            </w:r>
          </w:p>
        </w:tc>
      </w:tr>
      <w:tr w:rsidR="004A59F5" w:rsidRPr="004A59F5" w14:paraId="3007FAED" w14:textId="77777777" w:rsidTr="004A59F5">
        <w:trPr>
          <w:trHeight w:val="280"/>
        </w:trPr>
        <w:tc>
          <w:tcPr>
            <w:tcW w:w="2844" w:type="pct"/>
            <w:tcBorders>
              <w:top w:val="nil"/>
              <w:left w:val="nil"/>
              <w:bottom w:val="nil"/>
              <w:right w:val="nil"/>
            </w:tcBorders>
            <w:noWrap/>
            <w:vAlign w:val="center"/>
            <w:hideMark/>
          </w:tcPr>
          <w:p w14:paraId="6E805345" w14:textId="3F9CCE3E" w:rsidR="004A59F5" w:rsidRPr="004A59F5" w:rsidRDefault="004A59F5" w:rsidP="004A59F5">
            <w:pPr>
              <w:spacing w:line="240" w:lineRule="auto"/>
              <w:rPr>
                <w:rFonts w:eastAsia="Times New Roman" w:cs="Times New Roman"/>
                <w:sz w:val="18"/>
                <w:szCs w:val="18"/>
                <w:lang w:eastAsia="sk-SK"/>
              </w:rPr>
            </w:pPr>
            <w:r w:rsidRPr="004A59F5">
              <w:rPr>
                <w:rFonts w:eastAsia="Times New Roman" w:cs="Times New Roman"/>
                <w:sz w:val="18"/>
                <w:szCs w:val="18"/>
                <w:lang w:eastAsia="sk-SK"/>
              </w:rPr>
              <w:t xml:space="preserve"> </w:t>
            </w:r>
            <w:r w:rsidR="00D33464">
              <w:rPr>
                <w:rFonts w:eastAsia="Times New Roman" w:cs="Times New Roman"/>
                <w:sz w:val="18"/>
                <w:szCs w:val="18"/>
                <w:lang w:eastAsia="sk-SK"/>
              </w:rPr>
              <w:t xml:space="preserve">    </w:t>
            </w:r>
            <w:r w:rsidRPr="004A59F5">
              <w:rPr>
                <w:rFonts w:eastAsia="Times New Roman" w:cs="Times New Roman"/>
                <w:sz w:val="18"/>
                <w:szCs w:val="18"/>
                <w:lang w:eastAsia="sk-SK"/>
              </w:rPr>
              <w:t xml:space="preserve">- imputácia započítaného výdavku na energopomoc SPP a MH Teplárenský holding </w:t>
            </w:r>
          </w:p>
        </w:tc>
        <w:tc>
          <w:tcPr>
            <w:tcW w:w="1289" w:type="pct"/>
            <w:tcBorders>
              <w:top w:val="nil"/>
              <w:left w:val="nil"/>
              <w:bottom w:val="nil"/>
              <w:right w:val="nil"/>
            </w:tcBorders>
            <w:noWrap/>
            <w:vAlign w:val="center"/>
            <w:hideMark/>
          </w:tcPr>
          <w:p w14:paraId="4C078310"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-87 846</w:t>
            </w:r>
          </w:p>
        </w:tc>
        <w:tc>
          <w:tcPr>
            <w:tcW w:w="867" w:type="pct"/>
            <w:tcBorders>
              <w:top w:val="nil"/>
              <w:left w:val="nil"/>
              <w:bottom w:val="nil"/>
              <w:right w:val="nil"/>
            </w:tcBorders>
            <w:noWrap/>
            <w:vAlign w:val="center"/>
            <w:hideMark/>
          </w:tcPr>
          <w:p w14:paraId="573BE689"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-0,06</w:t>
            </w:r>
          </w:p>
        </w:tc>
      </w:tr>
      <w:tr w:rsidR="004A59F5" w:rsidRPr="004A59F5" w14:paraId="5295B9C6" w14:textId="77777777" w:rsidTr="004A59F5">
        <w:trPr>
          <w:trHeight w:val="280"/>
        </w:trPr>
        <w:tc>
          <w:tcPr>
            <w:tcW w:w="2844" w:type="pct"/>
            <w:tcBorders>
              <w:top w:val="nil"/>
              <w:left w:val="nil"/>
              <w:bottom w:val="nil"/>
              <w:right w:val="nil"/>
            </w:tcBorders>
            <w:noWrap/>
            <w:vAlign w:val="center"/>
            <w:hideMark/>
          </w:tcPr>
          <w:p w14:paraId="3D3211D1" w14:textId="36ACD1C0" w:rsidR="004A59F5" w:rsidRPr="004A59F5" w:rsidRDefault="00D33464" w:rsidP="004A59F5">
            <w:pPr>
              <w:spacing w:line="240" w:lineRule="auto"/>
              <w:rPr>
                <w:rFonts w:eastAsia="Times New Roman" w:cs="Times New Roman"/>
                <w:sz w:val="18"/>
                <w:szCs w:val="18"/>
                <w:lang w:eastAsia="sk-SK"/>
              </w:rPr>
            </w:pPr>
            <w:r>
              <w:rPr>
                <w:rFonts w:eastAsia="Times New Roman" w:cs="Times New Roman"/>
                <w:color w:val="000000"/>
                <w:sz w:val="18"/>
                <w:szCs w:val="18"/>
                <w:lang w:eastAsia="sk-SK"/>
              </w:rPr>
              <w:t xml:space="preserve"> </w:t>
            </w:r>
            <w:r w:rsidRPr="004A59F5">
              <w:rPr>
                <w:rFonts w:eastAsia="Times New Roman" w:cs="Times New Roman"/>
                <w:color w:val="000000"/>
                <w:sz w:val="18"/>
                <w:szCs w:val="18"/>
                <w:lang w:eastAsia="sk-SK"/>
              </w:rPr>
              <w:t xml:space="preserve">    - </w:t>
            </w:r>
            <w:r w:rsidR="004A59F5" w:rsidRPr="004A59F5">
              <w:rPr>
                <w:rFonts w:eastAsia="Times New Roman" w:cs="Times New Roman"/>
                <w:sz w:val="18"/>
                <w:szCs w:val="18"/>
                <w:lang w:eastAsia="sk-SK"/>
              </w:rPr>
              <w:t xml:space="preserve">MHSR-všeob. hosp. záujem naplnenia zásobníkov plynu </w:t>
            </w:r>
          </w:p>
        </w:tc>
        <w:tc>
          <w:tcPr>
            <w:tcW w:w="1289" w:type="pct"/>
            <w:tcBorders>
              <w:top w:val="nil"/>
              <w:left w:val="nil"/>
              <w:bottom w:val="nil"/>
              <w:right w:val="nil"/>
            </w:tcBorders>
            <w:noWrap/>
            <w:vAlign w:val="center"/>
            <w:hideMark/>
          </w:tcPr>
          <w:p w14:paraId="44E24FD9"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-40 000</w:t>
            </w:r>
          </w:p>
        </w:tc>
        <w:tc>
          <w:tcPr>
            <w:tcW w:w="867" w:type="pct"/>
            <w:tcBorders>
              <w:top w:val="nil"/>
              <w:left w:val="nil"/>
              <w:bottom w:val="nil"/>
              <w:right w:val="nil"/>
            </w:tcBorders>
            <w:noWrap/>
            <w:vAlign w:val="center"/>
            <w:hideMark/>
          </w:tcPr>
          <w:p w14:paraId="391E1844"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-0,03</w:t>
            </w:r>
          </w:p>
        </w:tc>
      </w:tr>
      <w:tr w:rsidR="004A59F5" w:rsidRPr="004A59F5" w14:paraId="653BA101" w14:textId="77777777" w:rsidTr="004A59F5">
        <w:trPr>
          <w:trHeight w:val="272"/>
        </w:trPr>
        <w:tc>
          <w:tcPr>
            <w:tcW w:w="2844" w:type="pct"/>
            <w:tcBorders>
              <w:top w:val="nil"/>
              <w:left w:val="nil"/>
              <w:bottom w:val="nil"/>
              <w:right w:val="nil"/>
            </w:tcBorders>
            <w:vAlign w:val="center"/>
            <w:hideMark/>
          </w:tcPr>
          <w:p w14:paraId="5504CF4C"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zmena stavu záväzkov</w:t>
            </w:r>
          </w:p>
        </w:tc>
        <w:tc>
          <w:tcPr>
            <w:tcW w:w="1289" w:type="pct"/>
            <w:tcBorders>
              <w:top w:val="nil"/>
              <w:left w:val="nil"/>
              <w:bottom w:val="nil"/>
              <w:right w:val="nil"/>
            </w:tcBorders>
            <w:noWrap/>
            <w:vAlign w:val="center"/>
            <w:hideMark/>
          </w:tcPr>
          <w:p w14:paraId="349185CE"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53 060</w:t>
            </w:r>
          </w:p>
        </w:tc>
        <w:tc>
          <w:tcPr>
            <w:tcW w:w="867" w:type="pct"/>
            <w:tcBorders>
              <w:top w:val="nil"/>
              <w:left w:val="nil"/>
              <w:bottom w:val="nil"/>
              <w:right w:val="nil"/>
            </w:tcBorders>
            <w:noWrap/>
            <w:vAlign w:val="center"/>
            <w:hideMark/>
          </w:tcPr>
          <w:p w14:paraId="4DC6F897"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0,04</w:t>
            </w:r>
          </w:p>
        </w:tc>
      </w:tr>
      <w:tr w:rsidR="004A59F5" w:rsidRPr="004A59F5" w14:paraId="0F3D5F80" w14:textId="77777777" w:rsidTr="004A59F5">
        <w:trPr>
          <w:trHeight w:val="280"/>
        </w:trPr>
        <w:tc>
          <w:tcPr>
            <w:tcW w:w="2844" w:type="pct"/>
            <w:tcBorders>
              <w:top w:val="nil"/>
              <w:left w:val="nil"/>
              <w:bottom w:val="nil"/>
              <w:right w:val="nil"/>
            </w:tcBorders>
            <w:vAlign w:val="center"/>
            <w:hideMark/>
          </w:tcPr>
          <w:p w14:paraId="3B9C8FA3"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zaplatené preddavky na dlhod. hm. majetok na vojenskú techniku</w:t>
            </w:r>
          </w:p>
        </w:tc>
        <w:tc>
          <w:tcPr>
            <w:tcW w:w="1289" w:type="pct"/>
            <w:tcBorders>
              <w:top w:val="nil"/>
              <w:left w:val="nil"/>
              <w:bottom w:val="nil"/>
              <w:right w:val="nil"/>
            </w:tcBorders>
            <w:noWrap/>
            <w:vAlign w:val="center"/>
            <w:hideMark/>
          </w:tcPr>
          <w:p w14:paraId="003F25C1"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617 731</w:t>
            </w:r>
          </w:p>
        </w:tc>
        <w:tc>
          <w:tcPr>
            <w:tcW w:w="867" w:type="pct"/>
            <w:tcBorders>
              <w:top w:val="nil"/>
              <w:left w:val="nil"/>
              <w:bottom w:val="nil"/>
              <w:right w:val="nil"/>
            </w:tcBorders>
            <w:noWrap/>
            <w:vAlign w:val="center"/>
            <w:hideMark/>
          </w:tcPr>
          <w:p w14:paraId="1197FFCF"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0,45</w:t>
            </w:r>
          </w:p>
        </w:tc>
      </w:tr>
      <w:tr w:rsidR="004A59F5" w:rsidRPr="004A59F5" w14:paraId="6FE3749A" w14:textId="77777777" w:rsidTr="004A59F5">
        <w:trPr>
          <w:trHeight w:val="138"/>
        </w:trPr>
        <w:tc>
          <w:tcPr>
            <w:tcW w:w="2844" w:type="pct"/>
            <w:tcBorders>
              <w:top w:val="nil"/>
              <w:left w:val="nil"/>
              <w:bottom w:val="nil"/>
              <w:right w:val="nil"/>
            </w:tcBorders>
            <w:vAlign w:val="center"/>
            <w:hideMark/>
          </w:tcPr>
          <w:p w14:paraId="4085754B"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výdavky na tovary a služby (630 bez EÚ zdrojov, spolufinancovania a POO)</w:t>
            </w:r>
          </w:p>
        </w:tc>
        <w:tc>
          <w:tcPr>
            <w:tcW w:w="1289" w:type="pct"/>
            <w:tcBorders>
              <w:top w:val="nil"/>
              <w:left w:val="nil"/>
              <w:bottom w:val="nil"/>
              <w:right w:val="nil"/>
            </w:tcBorders>
            <w:noWrap/>
            <w:vAlign w:val="center"/>
            <w:hideMark/>
          </w:tcPr>
          <w:p w14:paraId="5AF1885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387 204</w:t>
            </w:r>
          </w:p>
        </w:tc>
        <w:tc>
          <w:tcPr>
            <w:tcW w:w="867" w:type="pct"/>
            <w:tcBorders>
              <w:top w:val="nil"/>
              <w:left w:val="nil"/>
              <w:bottom w:val="nil"/>
              <w:right w:val="nil"/>
            </w:tcBorders>
            <w:noWrap/>
            <w:vAlign w:val="center"/>
            <w:hideMark/>
          </w:tcPr>
          <w:p w14:paraId="7F07F8DF"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0,28</w:t>
            </w:r>
          </w:p>
        </w:tc>
      </w:tr>
      <w:tr w:rsidR="004A59F5" w:rsidRPr="004A59F5" w14:paraId="0EFFEC8A" w14:textId="77777777" w:rsidTr="004A59F5">
        <w:trPr>
          <w:trHeight w:val="520"/>
        </w:trPr>
        <w:tc>
          <w:tcPr>
            <w:tcW w:w="2844" w:type="pct"/>
            <w:tcBorders>
              <w:top w:val="nil"/>
              <w:left w:val="nil"/>
              <w:bottom w:val="nil"/>
              <w:right w:val="nil"/>
            </w:tcBorders>
            <w:vAlign w:val="center"/>
            <w:hideMark/>
          </w:tcPr>
          <w:p w14:paraId="03FD1FE0" w14:textId="77777777" w:rsidR="004A59F5" w:rsidRPr="004A59F5" w:rsidRDefault="004A59F5" w:rsidP="00D33464">
            <w:pPr>
              <w:spacing w:line="240" w:lineRule="auto"/>
              <w:ind w:left="340" w:hanging="340"/>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výdavky na obstarávanie kapitálových aktív (710 bez EÚ zdrojov, spolufinancovania a POO)</w:t>
            </w:r>
          </w:p>
        </w:tc>
        <w:tc>
          <w:tcPr>
            <w:tcW w:w="1289" w:type="pct"/>
            <w:tcBorders>
              <w:top w:val="nil"/>
              <w:left w:val="nil"/>
              <w:bottom w:val="nil"/>
              <w:right w:val="nil"/>
            </w:tcBorders>
            <w:noWrap/>
            <w:vAlign w:val="center"/>
            <w:hideMark/>
          </w:tcPr>
          <w:p w14:paraId="20BC857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386 758</w:t>
            </w:r>
          </w:p>
        </w:tc>
        <w:tc>
          <w:tcPr>
            <w:tcW w:w="867" w:type="pct"/>
            <w:tcBorders>
              <w:top w:val="nil"/>
              <w:left w:val="nil"/>
              <w:bottom w:val="nil"/>
              <w:right w:val="nil"/>
            </w:tcBorders>
            <w:noWrap/>
            <w:vAlign w:val="center"/>
            <w:hideMark/>
          </w:tcPr>
          <w:p w14:paraId="7B588C01"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0,28</w:t>
            </w:r>
          </w:p>
        </w:tc>
      </w:tr>
      <w:tr w:rsidR="004A59F5" w:rsidRPr="004A59F5" w14:paraId="7993B7CB" w14:textId="77777777" w:rsidTr="004A59F5">
        <w:trPr>
          <w:trHeight w:val="191"/>
        </w:trPr>
        <w:tc>
          <w:tcPr>
            <w:tcW w:w="2844" w:type="pct"/>
            <w:tcBorders>
              <w:top w:val="nil"/>
              <w:left w:val="nil"/>
              <w:bottom w:val="nil"/>
              <w:right w:val="nil"/>
            </w:tcBorders>
            <w:vAlign w:val="center"/>
            <w:hideMark/>
          </w:tcPr>
          <w:p w14:paraId="0B222C73" w14:textId="444C732D" w:rsidR="004A59F5" w:rsidRPr="004A59F5" w:rsidRDefault="00D33464" w:rsidP="004A59F5">
            <w:pPr>
              <w:spacing w:line="240" w:lineRule="auto"/>
              <w:rPr>
                <w:rFonts w:eastAsia="Times New Roman" w:cs="Times New Roman"/>
                <w:sz w:val="18"/>
                <w:szCs w:val="18"/>
                <w:lang w:eastAsia="sk-SK"/>
              </w:rPr>
            </w:pPr>
            <w:r>
              <w:rPr>
                <w:rFonts w:eastAsia="Times New Roman" w:cs="Times New Roman"/>
                <w:color w:val="000000"/>
                <w:sz w:val="18"/>
                <w:szCs w:val="18"/>
                <w:lang w:eastAsia="sk-SK"/>
              </w:rPr>
              <w:t xml:space="preserve"> </w:t>
            </w:r>
            <w:r w:rsidRPr="004A59F5">
              <w:rPr>
                <w:rFonts w:eastAsia="Times New Roman" w:cs="Times New Roman"/>
                <w:color w:val="000000"/>
                <w:sz w:val="18"/>
                <w:szCs w:val="18"/>
                <w:lang w:eastAsia="sk-SK"/>
              </w:rPr>
              <w:t xml:space="preserve">    -</w:t>
            </w:r>
            <w:r w:rsidR="004A59F5" w:rsidRPr="004A59F5">
              <w:rPr>
                <w:rFonts w:eastAsia="Times New Roman" w:cs="Times New Roman"/>
                <w:sz w:val="18"/>
                <w:szCs w:val="18"/>
                <w:lang w:eastAsia="sk-SK"/>
              </w:rPr>
              <w:t xml:space="preserve"> imputácia daň. výdavkov za predané emisné povolenky z EU Modernizačného f.</w:t>
            </w:r>
          </w:p>
        </w:tc>
        <w:tc>
          <w:tcPr>
            <w:tcW w:w="1289" w:type="pct"/>
            <w:tcBorders>
              <w:top w:val="nil"/>
              <w:left w:val="nil"/>
              <w:bottom w:val="nil"/>
              <w:right w:val="nil"/>
            </w:tcBorders>
            <w:noWrap/>
            <w:vAlign w:val="center"/>
            <w:hideMark/>
          </w:tcPr>
          <w:p w14:paraId="390FE1B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-249 420</w:t>
            </w:r>
          </w:p>
        </w:tc>
        <w:tc>
          <w:tcPr>
            <w:tcW w:w="867" w:type="pct"/>
            <w:tcBorders>
              <w:top w:val="nil"/>
              <w:left w:val="nil"/>
              <w:bottom w:val="nil"/>
              <w:right w:val="nil"/>
            </w:tcBorders>
            <w:noWrap/>
            <w:vAlign w:val="center"/>
            <w:hideMark/>
          </w:tcPr>
          <w:p w14:paraId="3153DEB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-0,18</w:t>
            </w:r>
          </w:p>
        </w:tc>
      </w:tr>
      <w:tr w:rsidR="004A59F5" w:rsidRPr="004A59F5" w14:paraId="1145E7DF" w14:textId="77777777" w:rsidTr="004A59F5">
        <w:trPr>
          <w:trHeight w:val="280"/>
        </w:trPr>
        <w:tc>
          <w:tcPr>
            <w:tcW w:w="2844" w:type="pct"/>
            <w:tcBorders>
              <w:top w:val="nil"/>
              <w:left w:val="nil"/>
              <w:bottom w:val="nil"/>
              <w:right w:val="nil"/>
            </w:tcBorders>
            <w:vAlign w:val="center"/>
            <w:hideMark/>
          </w:tcPr>
          <w:p w14:paraId="32FED21F"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lastRenderedPageBreak/>
              <w:t xml:space="preserve">     - výdavky na transfery (640)</w:t>
            </w:r>
          </w:p>
        </w:tc>
        <w:tc>
          <w:tcPr>
            <w:tcW w:w="1289" w:type="pct"/>
            <w:tcBorders>
              <w:top w:val="nil"/>
              <w:left w:val="nil"/>
              <w:bottom w:val="nil"/>
              <w:right w:val="nil"/>
            </w:tcBorders>
            <w:noWrap/>
            <w:vAlign w:val="center"/>
            <w:hideMark/>
          </w:tcPr>
          <w:p w14:paraId="74CFADF9"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1 364 849</w:t>
            </w:r>
          </w:p>
        </w:tc>
        <w:tc>
          <w:tcPr>
            <w:tcW w:w="867" w:type="pct"/>
            <w:tcBorders>
              <w:top w:val="nil"/>
              <w:left w:val="nil"/>
              <w:bottom w:val="nil"/>
              <w:right w:val="nil"/>
            </w:tcBorders>
            <w:noWrap/>
            <w:vAlign w:val="center"/>
            <w:hideMark/>
          </w:tcPr>
          <w:p w14:paraId="5E522AEE"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1,00</w:t>
            </w:r>
          </w:p>
        </w:tc>
      </w:tr>
      <w:tr w:rsidR="004A59F5" w:rsidRPr="004A59F5" w14:paraId="0EAD13E0" w14:textId="77777777" w:rsidTr="004A59F5">
        <w:trPr>
          <w:trHeight w:val="280"/>
        </w:trPr>
        <w:tc>
          <w:tcPr>
            <w:tcW w:w="2844" w:type="pct"/>
            <w:tcBorders>
              <w:top w:val="nil"/>
              <w:left w:val="nil"/>
              <w:bottom w:val="nil"/>
              <w:right w:val="nil"/>
            </w:tcBorders>
            <w:vAlign w:val="center"/>
            <w:hideMark/>
          </w:tcPr>
          <w:p w14:paraId="41DD0FB5"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z toho transfer do ŠFA (641)</w:t>
            </w:r>
          </w:p>
        </w:tc>
        <w:tc>
          <w:tcPr>
            <w:tcW w:w="1289" w:type="pct"/>
            <w:tcBorders>
              <w:top w:val="nil"/>
              <w:left w:val="nil"/>
              <w:bottom w:val="nil"/>
              <w:right w:val="nil"/>
            </w:tcBorders>
            <w:noWrap/>
            <w:vAlign w:val="center"/>
            <w:hideMark/>
          </w:tcPr>
          <w:p w14:paraId="58B06759"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750 000</w:t>
            </w:r>
          </w:p>
        </w:tc>
        <w:tc>
          <w:tcPr>
            <w:tcW w:w="867" w:type="pct"/>
            <w:tcBorders>
              <w:top w:val="nil"/>
              <w:left w:val="nil"/>
              <w:bottom w:val="nil"/>
              <w:right w:val="nil"/>
            </w:tcBorders>
            <w:noWrap/>
            <w:vAlign w:val="center"/>
            <w:hideMark/>
          </w:tcPr>
          <w:p w14:paraId="02799DF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0,55</w:t>
            </w:r>
          </w:p>
        </w:tc>
      </w:tr>
      <w:tr w:rsidR="004A59F5" w:rsidRPr="004A59F5" w14:paraId="4F0594B6" w14:textId="77777777" w:rsidTr="004A59F5">
        <w:trPr>
          <w:trHeight w:val="280"/>
        </w:trPr>
        <w:tc>
          <w:tcPr>
            <w:tcW w:w="2844" w:type="pct"/>
            <w:tcBorders>
              <w:top w:val="nil"/>
              <w:left w:val="nil"/>
              <w:bottom w:val="nil"/>
              <w:right w:val="nil"/>
            </w:tcBorders>
            <w:vAlign w:val="center"/>
            <w:hideMark/>
          </w:tcPr>
          <w:p w14:paraId="20E02C61" w14:textId="60CF9F6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z toho transfer do </w:t>
            </w:r>
            <w:r w:rsidR="0061079A" w:rsidRPr="004A59F5">
              <w:rPr>
                <w:rFonts w:eastAsia="Times New Roman" w:cs="Times New Roman"/>
                <w:color w:val="000000"/>
                <w:sz w:val="18"/>
                <w:szCs w:val="18"/>
                <w:lang w:eastAsia="sk-SK"/>
              </w:rPr>
              <w:t>sociálnej</w:t>
            </w:r>
            <w:r w:rsidRPr="004A59F5">
              <w:rPr>
                <w:rFonts w:eastAsia="Times New Roman" w:cs="Times New Roman"/>
                <w:color w:val="000000"/>
                <w:sz w:val="18"/>
                <w:szCs w:val="18"/>
                <w:lang w:eastAsia="sk-SK"/>
              </w:rPr>
              <w:t xml:space="preserve"> a zdravotnej </w:t>
            </w:r>
            <w:r w:rsidR="0061079A" w:rsidRPr="004A59F5">
              <w:rPr>
                <w:rFonts w:eastAsia="Times New Roman" w:cs="Times New Roman"/>
                <w:color w:val="000000"/>
                <w:sz w:val="18"/>
                <w:szCs w:val="18"/>
                <w:lang w:eastAsia="sk-SK"/>
              </w:rPr>
              <w:t>poisťovne</w:t>
            </w:r>
            <w:r w:rsidRPr="004A59F5">
              <w:rPr>
                <w:rFonts w:eastAsia="Times New Roman" w:cs="Times New Roman"/>
                <w:color w:val="000000"/>
                <w:sz w:val="18"/>
                <w:szCs w:val="18"/>
                <w:lang w:eastAsia="sk-SK"/>
              </w:rPr>
              <w:t xml:space="preserve"> (641)</w:t>
            </w:r>
          </w:p>
        </w:tc>
        <w:tc>
          <w:tcPr>
            <w:tcW w:w="1289" w:type="pct"/>
            <w:tcBorders>
              <w:top w:val="nil"/>
              <w:left w:val="nil"/>
              <w:bottom w:val="nil"/>
              <w:right w:val="nil"/>
            </w:tcBorders>
            <w:noWrap/>
            <w:vAlign w:val="center"/>
            <w:hideMark/>
          </w:tcPr>
          <w:p w14:paraId="531351F7"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292 480</w:t>
            </w:r>
          </w:p>
        </w:tc>
        <w:tc>
          <w:tcPr>
            <w:tcW w:w="867" w:type="pct"/>
            <w:tcBorders>
              <w:top w:val="nil"/>
              <w:left w:val="nil"/>
              <w:bottom w:val="nil"/>
              <w:right w:val="nil"/>
            </w:tcBorders>
            <w:noWrap/>
            <w:vAlign w:val="center"/>
            <w:hideMark/>
          </w:tcPr>
          <w:p w14:paraId="273C4A92"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0,21</w:t>
            </w:r>
          </w:p>
        </w:tc>
      </w:tr>
      <w:tr w:rsidR="004A59F5" w:rsidRPr="004A59F5" w14:paraId="382C362C" w14:textId="77777777" w:rsidTr="004A59F5">
        <w:trPr>
          <w:trHeight w:val="280"/>
        </w:trPr>
        <w:tc>
          <w:tcPr>
            <w:tcW w:w="2844" w:type="pct"/>
            <w:tcBorders>
              <w:top w:val="nil"/>
              <w:left w:val="nil"/>
              <w:bottom w:val="nil"/>
              <w:right w:val="nil"/>
            </w:tcBorders>
            <w:vAlign w:val="center"/>
            <w:hideMark/>
          </w:tcPr>
          <w:p w14:paraId="2426E382"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z toho transfer z VPS 642 200</w:t>
            </w:r>
          </w:p>
        </w:tc>
        <w:tc>
          <w:tcPr>
            <w:tcW w:w="1289" w:type="pct"/>
            <w:tcBorders>
              <w:top w:val="nil"/>
              <w:left w:val="nil"/>
              <w:bottom w:val="nil"/>
              <w:right w:val="nil"/>
            </w:tcBorders>
            <w:noWrap/>
            <w:vAlign w:val="center"/>
            <w:hideMark/>
          </w:tcPr>
          <w:p w14:paraId="02F2C07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424 610</w:t>
            </w:r>
          </w:p>
        </w:tc>
        <w:tc>
          <w:tcPr>
            <w:tcW w:w="867" w:type="pct"/>
            <w:tcBorders>
              <w:top w:val="nil"/>
              <w:left w:val="nil"/>
              <w:bottom w:val="nil"/>
              <w:right w:val="nil"/>
            </w:tcBorders>
            <w:noWrap/>
            <w:vAlign w:val="center"/>
            <w:hideMark/>
          </w:tcPr>
          <w:p w14:paraId="35CDEDE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0,31</w:t>
            </w:r>
          </w:p>
        </w:tc>
      </w:tr>
      <w:tr w:rsidR="004A59F5" w:rsidRPr="004A59F5" w14:paraId="3B1F9C37" w14:textId="77777777" w:rsidTr="004A59F5">
        <w:trPr>
          <w:trHeight w:val="280"/>
        </w:trPr>
        <w:tc>
          <w:tcPr>
            <w:tcW w:w="2844" w:type="pct"/>
            <w:tcBorders>
              <w:top w:val="nil"/>
              <w:left w:val="nil"/>
              <w:bottom w:val="nil"/>
              <w:right w:val="nil"/>
            </w:tcBorders>
            <w:vAlign w:val="center"/>
            <w:hideMark/>
          </w:tcPr>
          <w:p w14:paraId="13270782"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ostatné</w:t>
            </w:r>
          </w:p>
        </w:tc>
        <w:tc>
          <w:tcPr>
            <w:tcW w:w="1289" w:type="pct"/>
            <w:tcBorders>
              <w:top w:val="nil"/>
              <w:left w:val="nil"/>
              <w:bottom w:val="nil"/>
              <w:right w:val="nil"/>
            </w:tcBorders>
            <w:noWrap/>
            <w:vAlign w:val="center"/>
            <w:hideMark/>
          </w:tcPr>
          <w:p w14:paraId="5B57D1AE"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8 582</w:t>
            </w:r>
          </w:p>
        </w:tc>
        <w:tc>
          <w:tcPr>
            <w:tcW w:w="867" w:type="pct"/>
            <w:tcBorders>
              <w:top w:val="nil"/>
              <w:left w:val="nil"/>
              <w:bottom w:val="nil"/>
              <w:right w:val="nil"/>
            </w:tcBorders>
            <w:noWrap/>
            <w:vAlign w:val="center"/>
            <w:hideMark/>
          </w:tcPr>
          <w:p w14:paraId="5313D6A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0,01</w:t>
            </w:r>
          </w:p>
        </w:tc>
      </w:tr>
      <w:tr w:rsidR="004A59F5" w:rsidRPr="004A59F5" w14:paraId="22BA9C41" w14:textId="77777777" w:rsidTr="004A59F5">
        <w:trPr>
          <w:trHeight w:val="280"/>
        </w:trPr>
        <w:tc>
          <w:tcPr>
            <w:tcW w:w="2844" w:type="pct"/>
            <w:tcBorders>
              <w:top w:val="nil"/>
              <w:left w:val="nil"/>
              <w:bottom w:val="nil"/>
              <w:right w:val="nil"/>
            </w:tcBorders>
            <w:vAlign w:val="center"/>
            <w:hideMark/>
          </w:tcPr>
          <w:p w14:paraId="46B8BD00"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4. Vplyv hospodárenia samostatných účtov (vrátane ŠFA) bez daní</w:t>
            </w:r>
          </w:p>
        </w:tc>
        <w:tc>
          <w:tcPr>
            <w:tcW w:w="1289" w:type="pct"/>
            <w:tcBorders>
              <w:top w:val="nil"/>
              <w:left w:val="nil"/>
              <w:bottom w:val="nil"/>
              <w:right w:val="nil"/>
            </w:tcBorders>
            <w:noWrap/>
            <w:vAlign w:val="center"/>
            <w:hideMark/>
          </w:tcPr>
          <w:p w14:paraId="38378CBB"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-1 555 486</w:t>
            </w:r>
          </w:p>
        </w:tc>
        <w:tc>
          <w:tcPr>
            <w:tcW w:w="867" w:type="pct"/>
            <w:tcBorders>
              <w:top w:val="nil"/>
              <w:left w:val="nil"/>
              <w:bottom w:val="nil"/>
              <w:right w:val="nil"/>
            </w:tcBorders>
            <w:noWrap/>
            <w:vAlign w:val="center"/>
            <w:hideMark/>
          </w:tcPr>
          <w:p w14:paraId="461EB2B5"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-1,14</w:t>
            </w:r>
          </w:p>
        </w:tc>
      </w:tr>
      <w:tr w:rsidR="004A59F5" w:rsidRPr="004A59F5" w14:paraId="07F67381" w14:textId="77777777" w:rsidTr="004A59F5">
        <w:trPr>
          <w:trHeight w:val="520"/>
        </w:trPr>
        <w:tc>
          <w:tcPr>
            <w:tcW w:w="2844" w:type="pct"/>
            <w:tcBorders>
              <w:top w:val="nil"/>
              <w:left w:val="nil"/>
              <w:bottom w:val="nil"/>
              <w:right w:val="nil"/>
            </w:tcBorders>
            <w:vAlign w:val="center"/>
            <w:hideMark/>
          </w:tcPr>
          <w:p w14:paraId="6C091C90" w14:textId="2FB6D92A"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 xml:space="preserve">5. Vplyv akruálnych príjmov a výdavkov súvisiacich s </w:t>
            </w:r>
            <w:r w:rsidR="0061079A" w:rsidRPr="004A59F5">
              <w:rPr>
                <w:rFonts w:eastAsia="Times New Roman" w:cs="Times New Roman"/>
                <w:b/>
                <w:bCs/>
                <w:color w:val="000000"/>
                <w:sz w:val="18"/>
                <w:szCs w:val="18"/>
                <w:lang w:eastAsia="sk-SK"/>
              </w:rPr>
              <w:t>obsluhou</w:t>
            </w:r>
            <w:r w:rsidRPr="004A59F5">
              <w:rPr>
                <w:rFonts w:eastAsia="Times New Roman" w:cs="Times New Roman"/>
                <w:b/>
                <w:bCs/>
                <w:color w:val="000000"/>
                <w:sz w:val="18"/>
                <w:szCs w:val="18"/>
                <w:lang w:eastAsia="sk-SK"/>
              </w:rPr>
              <w:t xml:space="preserve"> </w:t>
            </w:r>
            <w:r w:rsidRPr="004A59F5">
              <w:rPr>
                <w:rFonts w:eastAsia="Times New Roman" w:cs="Times New Roman"/>
                <w:b/>
                <w:bCs/>
                <w:color w:val="000000"/>
                <w:sz w:val="18"/>
                <w:szCs w:val="18"/>
                <w:lang w:eastAsia="sk-SK"/>
              </w:rPr>
              <w:br/>
              <w:t xml:space="preserve">    štátneho dlhu</w:t>
            </w:r>
          </w:p>
        </w:tc>
        <w:tc>
          <w:tcPr>
            <w:tcW w:w="1289" w:type="pct"/>
            <w:tcBorders>
              <w:top w:val="nil"/>
              <w:left w:val="nil"/>
              <w:bottom w:val="nil"/>
              <w:right w:val="nil"/>
            </w:tcBorders>
            <w:noWrap/>
            <w:vAlign w:val="center"/>
            <w:hideMark/>
          </w:tcPr>
          <w:p w14:paraId="3499ADEF"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-69 760</w:t>
            </w:r>
          </w:p>
        </w:tc>
        <w:tc>
          <w:tcPr>
            <w:tcW w:w="867" w:type="pct"/>
            <w:tcBorders>
              <w:top w:val="nil"/>
              <w:left w:val="nil"/>
              <w:bottom w:val="nil"/>
              <w:right w:val="nil"/>
            </w:tcBorders>
            <w:noWrap/>
            <w:vAlign w:val="center"/>
            <w:hideMark/>
          </w:tcPr>
          <w:p w14:paraId="06B279C7"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-0,05</w:t>
            </w:r>
          </w:p>
        </w:tc>
      </w:tr>
      <w:tr w:rsidR="004A59F5" w:rsidRPr="004A59F5" w14:paraId="7C2231BC" w14:textId="77777777" w:rsidTr="004A59F5">
        <w:trPr>
          <w:trHeight w:val="280"/>
        </w:trPr>
        <w:tc>
          <w:tcPr>
            <w:tcW w:w="2844" w:type="pct"/>
            <w:tcBorders>
              <w:top w:val="nil"/>
              <w:left w:val="nil"/>
              <w:bottom w:val="nil"/>
              <w:right w:val="nil"/>
            </w:tcBorders>
            <w:vAlign w:val="center"/>
            <w:hideMark/>
          </w:tcPr>
          <w:p w14:paraId="14B9D5C9"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6. Výdavky sociálneho a zdravotného poistenia</w:t>
            </w:r>
          </w:p>
        </w:tc>
        <w:tc>
          <w:tcPr>
            <w:tcW w:w="1289" w:type="pct"/>
            <w:tcBorders>
              <w:top w:val="nil"/>
              <w:left w:val="nil"/>
              <w:bottom w:val="nil"/>
              <w:right w:val="nil"/>
            </w:tcBorders>
            <w:noWrap/>
            <w:vAlign w:val="center"/>
            <w:hideMark/>
          </w:tcPr>
          <w:p w14:paraId="384B4328"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226 475</w:t>
            </w:r>
          </w:p>
        </w:tc>
        <w:tc>
          <w:tcPr>
            <w:tcW w:w="867" w:type="pct"/>
            <w:tcBorders>
              <w:top w:val="nil"/>
              <w:left w:val="nil"/>
              <w:bottom w:val="nil"/>
              <w:right w:val="nil"/>
            </w:tcBorders>
            <w:noWrap/>
            <w:vAlign w:val="center"/>
            <w:hideMark/>
          </w:tcPr>
          <w:p w14:paraId="3A5C25C8"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0,17</w:t>
            </w:r>
          </w:p>
        </w:tc>
      </w:tr>
      <w:tr w:rsidR="004A59F5" w:rsidRPr="004A59F5" w14:paraId="243489D2" w14:textId="77777777" w:rsidTr="004A59F5">
        <w:trPr>
          <w:trHeight w:val="280"/>
        </w:trPr>
        <w:tc>
          <w:tcPr>
            <w:tcW w:w="2844" w:type="pct"/>
            <w:tcBorders>
              <w:top w:val="nil"/>
              <w:left w:val="nil"/>
              <w:bottom w:val="nil"/>
              <w:right w:val="nil"/>
            </w:tcBorders>
            <w:noWrap/>
            <w:vAlign w:val="center"/>
            <w:hideMark/>
          </w:tcPr>
          <w:p w14:paraId="46DAEF75"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výdavky zo sociálneho poistenia</w:t>
            </w:r>
          </w:p>
        </w:tc>
        <w:tc>
          <w:tcPr>
            <w:tcW w:w="1289" w:type="pct"/>
            <w:tcBorders>
              <w:top w:val="nil"/>
              <w:left w:val="nil"/>
              <w:bottom w:val="nil"/>
              <w:right w:val="nil"/>
            </w:tcBorders>
            <w:noWrap/>
            <w:vAlign w:val="center"/>
            <w:hideMark/>
          </w:tcPr>
          <w:p w14:paraId="5821469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250 329</w:t>
            </w:r>
          </w:p>
        </w:tc>
        <w:tc>
          <w:tcPr>
            <w:tcW w:w="867" w:type="pct"/>
            <w:tcBorders>
              <w:top w:val="nil"/>
              <w:left w:val="nil"/>
              <w:bottom w:val="nil"/>
              <w:right w:val="nil"/>
            </w:tcBorders>
            <w:noWrap/>
            <w:vAlign w:val="center"/>
            <w:hideMark/>
          </w:tcPr>
          <w:p w14:paraId="0F9D64E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0,18</w:t>
            </w:r>
          </w:p>
        </w:tc>
      </w:tr>
      <w:tr w:rsidR="004A59F5" w:rsidRPr="004A59F5" w14:paraId="2DC5615E" w14:textId="77777777" w:rsidTr="004A59F5">
        <w:trPr>
          <w:trHeight w:val="280"/>
        </w:trPr>
        <w:tc>
          <w:tcPr>
            <w:tcW w:w="2844" w:type="pct"/>
            <w:tcBorders>
              <w:top w:val="nil"/>
              <w:left w:val="nil"/>
              <w:bottom w:val="nil"/>
              <w:right w:val="nil"/>
            </w:tcBorders>
            <w:noWrap/>
            <w:vAlign w:val="center"/>
            <w:hideMark/>
          </w:tcPr>
          <w:p w14:paraId="0E9814F5"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výdavky zo zdravotného poistenia  (výdavky poistenia)</w:t>
            </w:r>
          </w:p>
        </w:tc>
        <w:tc>
          <w:tcPr>
            <w:tcW w:w="1289" w:type="pct"/>
            <w:tcBorders>
              <w:top w:val="nil"/>
              <w:left w:val="nil"/>
              <w:bottom w:val="nil"/>
              <w:right w:val="nil"/>
            </w:tcBorders>
            <w:noWrap/>
            <w:vAlign w:val="center"/>
            <w:hideMark/>
          </w:tcPr>
          <w:p w14:paraId="7B68C268" w14:textId="77777777" w:rsidR="004A59F5" w:rsidRPr="004A59F5" w:rsidRDefault="004A59F5" w:rsidP="004A59F5">
            <w:pPr>
              <w:spacing w:line="240" w:lineRule="auto"/>
              <w:jc w:val="right"/>
              <w:rPr>
                <w:rFonts w:eastAsia="Times New Roman" w:cs="Times New Roman"/>
                <w:sz w:val="18"/>
                <w:szCs w:val="18"/>
                <w:lang w:eastAsia="sk-SK"/>
              </w:rPr>
            </w:pPr>
            <w:r w:rsidRPr="004A59F5">
              <w:rPr>
                <w:rFonts w:eastAsia="Times New Roman" w:cs="Times New Roman"/>
                <w:sz w:val="18"/>
                <w:szCs w:val="18"/>
                <w:lang w:eastAsia="sk-SK"/>
              </w:rPr>
              <w:t>-23 854</w:t>
            </w:r>
          </w:p>
        </w:tc>
        <w:tc>
          <w:tcPr>
            <w:tcW w:w="867" w:type="pct"/>
            <w:tcBorders>
              <w:top w:val="nil"/>
              <w:left w:val="nil"/>
              <w:bottom w:val="nil"/>
              <w:right w:val="nil"/>
            </w:tcBorders>
            <w:noWrap/>
            <w:vAlign w:val="center"/>
            <w:hideMark/>
          </w:tcPr>
          <w:p w14:paraId="7CF713F4"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-0,02</w:t>
            </w:r>
          </w:p>
        </w:tc>
      </w:tr>
      <w:tr w:rsidR="004A59F5" w:rsidRPr="004A59F5" w14:paraId="5792FB9F" w14:textId="77777777" w:rsidTr="004A59F5">
        <w:trPr>
          <w:trHeight w:val="780"/>
        </w:trPr>
        <w:tc>
          <w:tcPr>
            <w:tcW w:w="2844" w:type="pct"/>
            <w:tcBorders>
              <w:top w:val="nil"/>
              <w:left w:val="nil"/>
              <w:bottom w:val="nil"/>
              <w:right w:val="nil"/>
            </w:tcBorders>
            <w:vAlign w:val="center"/>
            <w:hideMark/>
          </w:tcPr>
          <w:p w14:paraId="08351204"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7. Rozdiel v hospodárení fondov sociálneho zabezpečenia (okrem</w:t>
            </w:r>
            <w:r w:rsidRPr="004A59F5">
              <w:rPr>
                <w:rFonts w:eastAsia="Times New Roman" w:cs="Times New Roman"/>
                <w:b/>
                <w:bCs/>
                <w:color w:val="000000"/>
                <w:sz w:val="18"/>
                <w:szCs w:val="18"/>
                <w:lang w:eastAsia="sk-SK"/>
              </w:rPr>
              <w:br/>
              <w:t xml:space="preserve">   odvodových príjmov a výdavkov poistenia  verejného zdravotného</w:t>
            </w:r>
            <w:r w:rsidRPr="004A59F5">
              <w:rPr>
                <w:rFonts w:eastAsia="Times New Roman" w:cs="Times New Roman"/>
                <w:b/>
                <w:bCs/>
                <w:color w:val="000000"/>
                <w:sz w:val="18"/>
                <w:szCs w:val="18"/>
                <w:lang w:eastAsia="sk-SK"/>
              </w:rPr>
              <w:br/>
              <w:t xml:space="preserve">   poistenia a sociálneho poistenia)</w:t>
            </w:r>
          </w:p>
        </w:tc>
        <w:tc>
          <w:tcPr>
            <w:tcW w:w="1289" w:type="pct"/>
            <w:tcBorders>
              <w:top w:val="nil"/>
              <w:left w:val="nil"/>
              <w:bottom w:val="nil"/>
              <w:right w:val="nil"/>
            </w:tcBorders>
            <w:noWrap/>
            <w:vAlign w:val="center"/>
            <w:hideMark/>
          </w:tcPr>
          <w:p w14:paraId="7700E623" w14:textId="1A7AC8EB" w:rsidR="004A59F5" w:rsidRPr="004A59F5" w:rsidRDefault="004A59F5" w:rsidP="004A59F5">
            <w:pPr>
              <w:spacing w:line="240" w:lineRule="auto"/>
              <w:jc w:val="right"/>
              <w:rPr>
                <w:rFonts w:eastAsia="Times New Roman" w:cs="Times New Roman"/>
                <w:b/>
                <w:bCs/>
                <w:i/>
                <w:iCs/>
                <w:sz w:val="18"/>
                <w:szCs w:val="18"/>
                <w:lang w:eastAsia="sk-SK"/>
              </w:rPr>
            </w:pPr>
            <w:r w:rsidRPr="004A59F5">
              <w:rPr>
                <w:rFonts w:eastAsia="Times New Roman" w:cs="Times New Roman"/>
                <w:b/>
                <w:bCs/>
                <w:i/>
                <w:iCs/>
                <w:sz w:val="18"/>
                <w:szCs w:val="18"/>
                <w:lang w:eastAsia="sk-SK"/>
              </w:rPr>
              <w:t>-248 79</w:t>
            </w:r>
            <w:r w:rsidR="00F32546">
              <w:rPr>
                <w:rFonts w:eastAsia="Times New Roman" w:cs="Times New Roman"/>
                <w:b/>
                <w:bCs/>
                <w:i/>
                <w:iCs/>
                <w:sz w:val="18"/>
                <w:szCs w:val="18"/>
                <w:lang w:eastAsia="sk-SK"/>
              </w:rPr>
              <w:t>4</w:t>
            </w:r>
          </w:p>
        </w:tc>
        <w:tc>
          <w:tcPr>
            <w:tcW w:w="867" w:type="pct"/>
            <w:tcBorders>
              <w:top w:val="nil"/>
              <w:left w:val="nil"/>
              <w:bottom w:val="nil"/>
              <w:right w:val="nil"/>
            </w:tcBorders>
            <w:noWrap/>
            <w:vAlign w:val="center"/>
            <w:hideMark/>
          </w:tcPr>
          <w:p w14:paraId="7889BFE0"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-0,18</w:t>
            </w:r>
          </w:p>
        </w:tc>
      </w:tr>
      <w:tr w:rsidR="004A59F5" w:rsidRPr="004A59F5" w14:paraId="6E90EC7D" w14:textId="77777777" w:rsidTr="004D3DC4">
        <w:trPr>
          <w:trHeight w:val="68"/>
        </w:trPr>
        <w:tc>
          <w:tcPr>
            <w:tcW w:w="2844" w:type="pct"/>
            <w:tcBorders>
              <w:top w:val="nil"/>
              <w:left w:val="nil"/>
              <w:bottom w:val="nil"/>
              <w:right w:val="nil"/>
            </w:tcBorders>
            <w:noWrap/>
            <w:vAlign w:val="center"/>
            <w:hideMark/>
          </w:tcPr>
          <w:p w14:paraId="3CCBD75B"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transfer Sociálnej poisťovni zo štátneho rozpočtu</w:t>
            </w:r>
          </w:p>
        </w:tc>
        <w:tc>
          <w:tcPr>
            <w:tcW w:w="1289" w:type="pct"/>
            <w:tcBorders>
              <w:top w:val="nil"/>
              <w:left w:val="nil"/>
              <w:bottom w:val="nil"/>
              <w:right w:val="nil"/>
            </w:tcBorders>
            <w:noWrap/>
            <w:vAlign w:val="center"/>
            <w:hideMark/>
          </w:tcPr>
          <w:p w14:paraId="73119AAB" w14:textId="77777777" w:rsidR="004A59F5" w:rsidRPr="004A59F5" w:rsidRDefault="004A59F5" w:rsidP="004A59F5">
            <w:pPr>
              <w:spacing w:line="240" w:lineRule="auto"/>
              <w:jc w:val="right"/>
              <w:rPr>
                <w:rFonts w:eastAsia="Times New Roman" w:cs="Times New Roman"/>
                <w:sz w:val="18"/>
                <w:szCs w:val="18"/>
                <w:lang w:eastAsia="sk-SK"/>
              </w:rPr>
            </w:pPr>
            <w:r w:rsidRPr="004A59F5">
              <w:rPr>
                <w:rFonts w:eastAsia="Times New Roman" w:cs="Times New Roman"/>
                <w:sz w:val="18"/>
                <w:szCs w:val="18"/>
                <w:lang w:eastAsia="sk-SK"/>
              </w:rPr>
              <w:t>-292 480</w:t>
            </w:r>
          </w:p>
        </w:tc>
        <w:tc>
          <w:tcPr>
            <w:tcW w:w="867" w:type="pct"/>
            <w:tcBorders>
              <w:top w:val="nil"/>
              <w:left w:val="nil"/>
              <w:bottom w:val="nil"/>
              <w:right w:val="nil"/>
            </w:tcBorders>
            <w:noWrap/>
            <w:vAlign w:val="center"/>
            <w:hideMark/>
          </w:tcPr>
          <w:p w14:paraId="05677F72"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-0,21</w:t>
            </w:r>
          </w:p>
        </w:tc>
      </w:tr>
      <w:tr w:rsidR="004A59F5" w:rsidRPr="004A59F5" w14:paraId="13A12E93" w14:textId="77777777" w:rsidTr="004A59F5">
        <w:trPr>
          <w:trHeight w:val="435"/>
        </w:trPr>
        <w:tc>
          <w:tcPr>
            <w:tcW w:w="2844" w:type="pct"/>
            <w:tcBorders>
              <w:top w:val="nil"/>
              <w:left w:val="nil"/>
              <w:bottom w:val="nil"/>
              <w:right w:val="nil"/>
            </w:tcBorders>
            <w:vAlign w:val="center"/>
            <w:hideMark/>
          </w:tcPr>
          <w:p w14:paraId="48CD5A77"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výdavkový transfer z verejnej časti ZP do súkromnej časti ZP </w:t>
            </w:r>
            <w:r w:rsidRPr="004A59F5">
              <w:rPr>
                <w:rFonts w:eastAsia="Times New Roman" w:cs="Times New Roman"/>
                <w:color w:val="000000"/>
                <w:sz w:val="18"/>
                <w:szCs w:val="18"/>
                <w:lang w:eastAsia="sk-SK"/>
              </w:rPr>
              <w:br/>
              <w:t xml:space="preserve">        na výplatu akcionárovi</w:t>
            </w:r>
          </w:p>
        </w:tc>
        <w:tc>
          <w:tcPr>
            <w:tcW w:w="1289" w:type="pct"/>
            <w:tcBorders>
              <w:top w:val="nil"/>
              <w:left w:val="nil"/>
              <w:bottom w:val="nil"/>
              <w:right w:val="nil"/>
            </w:tcBorders>
            <w:noWrap/>
            <w:vAlign w:val="center"/>
            <w:hideMark/>
          </w:tcPr>
          <w:p w14:paraId="0914662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-29 384</w:t>
            </w:r>
          </w:p>
        </w:tc>
        <w:tc>
          <w:tcPr>
            <w:tcW w:w="867" w:type="pct"/>
            <w:tcBorders>
              <w:top w:val="nil"/>
              <w:left w:val="nil"/>
              <w:bottom w:val="nil"/>
              <w:right w:val="nil"/>
            </w:tcBorders>
            <w:noWrap/>
            <w:vAlign w:val="center"/>
            <w:hideMark/>
          </w:tcPr>
          <w:p w14:paraId="6EA0386A"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-0,02</w:t>
            </w:r>
          </w:p>
        </w:tc>
      </w:tr>
      <w:tr w:rsidR="004A59F5" w:rsidRPr="004A59F5" w14:paraId="18D87DB6" w14:textId="77777777" w:rsidTr="004A59F5">
        <w:trPr>
          <w:trHeight w:val="413"/>
        </w:trPr>
        <w:tc>
          <w:tcPr>
            <w:tcW w:w="2844" w:type="pct"/>
            <w:tcBorders>
              <w:top w:val="nil"/>
              <w:left w:val="nil"/>
              <w:bottom w:val="nil"/>
              <w:right w:val="nil"/>
            </w:tcBorders>
            <w:vAlign w:val="center"/>
            <w:hideMark/>
          </w:tcPr>
          <w:p w14:paraId="29847ED1"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platba za správu verejného zdravotného poistenia súkromným </w:t>
            </w:r>
            <w:r w:rsidRPr="004A59F5">
              <w:rPr>
                <w:rFonts w:eastAsia="Times New Roman" w:cs="Times New Roman"/>
                <w:color w:val="000000"/>
                <w:sz w:val="18"/>
                <w:szCs w:val="18"/>
                <w:lang w:eastAsia="sk-SK"/>
              </w:rPr>
              <w:br/>
              <w:t xml:space="preserve">       zdrav. poisťovniam</w:t>
            </w:r>
          </w:p>
        </w:tc>
        <w:tc>
          <w:tcPr>
            <w:tcW w:w="1289" w:type="pct"/>
            <w:tcBorders>
              <w:top w:val="nil"/>
              <w:left w:val="nil"/>
              <w:bottom w:val="nil"/>
              <w:right w:val="nil"/>
            </w:tcBorders>
            <w:noWrap/>
            <w:vAlign w:val="center"/>
            <w:hideMark/>
          </w:tcPr>
          <w:p w14:paraId="5B01E15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-115 601</w:t>
            </w:r>
          </w:p>
        </w:tc>
        <w:tc>
          <w:tcPr>
            <w:tcW w:w="867" w:type="pct"/>
            <w:tcBorders>
              <w:top w:val="nil"/>
              <w:left w:val="nil"/>
              <w:bottom w:val="nil"/>
              <w:right w:val="nil"/>
            </w:tcBorders>
            <w:noWrap/>
            <w:vAlign w:val="center"/>
            <w:hideMark/>
          </w:tcPr>
          <w:p w14:paraId="722F3A32"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-0,08</w:t>
            </w:r>
          </w:p>
        </w:tc>
      </w:tr>
      <w:tr w:rsidR="004A59F5" w:rsidRPr="004A59F5" w14:paraId="2A1F22F8" w14:textId="77777777" w:rsidTr="004A59F5">
        <w:trPr>
          <w:trHeight w:val="149"/>
        </w:trPr>
        <w:tc>
          <w:tcPr>
            <w:tcW w:w="2844" w:type="pct"/>
            <w:tcBorders>
              <w:top w:val="nil"/>
              <w:left w:val="nil"/>
              <w:bottom w:val="nil"/>
              <w:right w:val="nil"/>
            </w:tcBorders>
            <w:noWrap/>
            <w:vAlign w:val="center"/>
            <w:hideMark/>
          </w:tcPr>
          <w:p w14:paraId="445B782C"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ostatné</w:t>
            </w:r>
          </w:p>
        </w:tc>
        <w:tc>
          <w:tcPr>
            <w:tcW w:w="1289" w:type="pct"/>
            <w:tcBorders>
              <w:top w:val="nil"/>
              <w:left w:val="nil"/>
              <w:bottom w:val="nil"/>
              <w:right w:val="nil"/>
            </w:tcBorders>
            <w:noWrap/>
            <w:vAlign w:val="center"/>
            <w:hideMark/>
          </w:tcPr>
          <w:p w14:paraId="041E0DA6" w14:textId="40F2F9E9" w:rsidR="004A59F5" w:rsidRPr="004A59F5" w:rsidRDefault="004A59F5" w:rsidP="004A59F5">
            <w:pPr>
              <w:spacing w:line="240" w:lineRule="auto"/>
              <w:jc w:val="right"/>
              <w:rPr>
                <w:rFonts w:eastAsia="Times New Roman" w:cs="Times New Roman"/>
                <w:sz w:val="18"/>
                <w:szCs w:val="18"/>
                <w:lang w:eastAsia="sk-SK"/>
              </w:rPr>
            </w:pPr>
            <w:r w:rsidRPr="004A59F5">
              <w:rPr>
                <w:rFonts w:eastAsia="Times New Roman" w:cs="Times New Roman"/>
                <w:sz w:val="18"/>
                <w:szCs w:val="18"/>
                <w:lang w:eastAsia="sk-SK"/>
              </w:rPr>
              <w:t>188 67</w:t>
            </w:r>
            <w:r w:rsidR="00F32546">
              <w:rPr>
                <w:rFonts w:eastAsia="Times New Roman" w:cs="Times New Roman"/>
                <w:sz w:val="18"/>
                <w:szCs w:val="18"/>
                <w:lang w:eastAsia="sk-SK"/>
              </w:rPr>
              <w:t>1</w:t>
            </w:r>
          </w:p>
        </w:tc>
        <w:tc>
          <w:tcPr>
            <w:tcW w:w="867" w:type="pct"/>
            <w:tcBorders>
              <w:top w:val="nil"/>
              <w:left w:val="nil"/>
              <w:bottom w:val="nil"/>
              <w:right w:val="nil"/>
            </w:tcBorders>
            <w:noWrap/>
            <w:vAlign w:val="center"/>
            <w:hideMark/>
          </w:tcPr>
          <w:p w14:paraId="0FFE4EB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0,14</w:t>
            </w:r>
          </w:p>
        </w:tc>
      </w:tr>
      <w:tr w:rsidR="004A59F5" w:rsidRPr="004A59F5" w14:paraId="3E7EB5BB" w14:textId="77777777" w:rsidTr="004A59F5">
        <w:trPr>
          <w:trHeight w:val="365"/>
        </w:trPr>
        <w:tc>
          <w:tcPr>
            <w:tcW w:w="2844" w:type="pct"/>
            <w:tcBorders>
              <w:top w:val="nil"/>
              <w:left w:val="nil"/>
              <w:bottom w:val="nil"/>
              <w:right w:val="nil"/>
            </w:tcBorders>
            <w:vAlign w:val="center"/>
            <w:hideMark/>
          </w:tcPr>
          <w:p w14:paraId="078D3F11"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 xml:space="preserve">8. Rozdiel v hospodárení ústredných subjektov verejnej správy </w:t>
            </w:r>
            <w:r w:rsidRPr="004A59F5">
              <w:rPr>
                <w:rFonts w:eastAsia="Times New Roman" w:cs="Times New Roman"/>
                <w:b/>
                <w:bCs/>
                <w:color w:val="000000"/>
                <w:sz w:val="18"/>
                <w:szCs w:val="18"/>
                <w:lang w:eastAsia="sk-SK"/>
              </w:rPr>
              <w:br/>
              <w:t xml:space="preserve">    bez daňových príjmov</w:t>
            </w:r>
          </w:p>
        </w:tc>
        <w:tc>
          <w:tcPr>
            <w:tcW w:w="1289" w:type="pct"/>
            <w:tcBorders>
              <w:top w:val="nil"/>
              <w:left w:val="nil"/>
              <w:bottom w:val="nil"/>
              <w:right w:val="nil"/>
            </w:tcBorders>
            <w:noWrap/>
            <w:vAlign w:val="center"/>
            <w:hideMark/>
          </w:tcPr>
          <w:p w14:paraId="50B920C7"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12 325</w:t>
            </w:r>
          </w:p>
        </w:tc>
        <w:tc>
          <w:tcPr>
            <w:tcW w:w="867" w:type="pct"/>
            <w:tcBorders>
              <w:top w:val="nil"/>
              <w:left w:val="nil"/>
              <w:bottom w:val="nil"/>
              <w:right w:val="nil"/>
            </w:tcBorders>
            <w:noWrap/>
            <w:vAlign w:val="center"/>
            <w:hideMark/>
          </w:tcPr>
          <w:p w14:paraId="692B5592"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0,01</w:t>
            </w:r>
          </w:p>
        </w:tc>
      </w:tr>
      <w:tr w:rsidR="004A59F5" w:rsidRPr="004A59F5" w14:paraId="09CB56B2" w14:textId="77777777" w:rsidTr="004A59F5">
        <w:trPr>
          <w:trHeight w:val="280"/>
        </w:trPr>
        <w:tc>
          <w:tcPr>
            <w:tcW w:w="2844" w:type="pct"/>
            <w:tcBorders>
              <w:top w:val="nil"/>
              <w:left w:val="nil"/>
              <w:bottom w:val="nil"/>
              <w:right w:val="nil"/>
            </w:tcBorders>
            <w:vAlign w:val="center"/>
            <w:hideMark/>
          </w:tcPr>
          <w:p w14:paraId="1E0E8BCC"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obchodné spoločnosti štátu</w:t>
            </w:r>
          </w:p>
        </w:tc>
        <w:tc>
          <w:tcPr>
            <w:tcW w:w="1289" w:type="pct"/>
            <w:tcBorders>
              <w:top w:val="nil"/>
              <w:left w:val="nil"/>
              <w:bottom w:val="nil"/>
              <w:right w:val="nil"/>
            </w:tcBorders>
            <w:noWrap/>
            <w:vAlign w:val="center"/>
            <w:hideMark/>
          </w:tcPr>
          <w:p w14:paraId="2F15C1D0"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71 099</w:t>
            </w:r>
          </w:p>
        </w:tc>
        <w:tc>
          <w:tcPr>
            <w:tcW w:w="867" w:type="pct"/>
            <w:tcBorders>
              <w:top w:val="nil"/>
              <w:left w:val="nil"/>
              <w:bottom w:val="nil"/>
              <w:right w:val="nil"/>
            </w:tcBorders>
            <w:noWrap/>
            <w:vAlign w:val="center"/>
            <w:hideMark/>
          </w:tcPr>
          <w:p w14:paraId="70B924F2"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0,05</w:t>
            </w:r>
          </w:p>
        </w:tc>
      </w:tr>
      <w:tr w:rsidR="004A59F5" w:rsidRPr="004A59F5" w14:paraId="549B552E" w14:textId="77777777" w:rsidTr="004A59F5">
        <w:trPr>
          <w:trHeight w:val="280"/>
        </w:trPr>
        <w:tc>
          <w:tcPr>
            <w:tcW w:w="2844" w:type="pct"/>
            <w:tcBorders>
              <w:top w:val="nil"/>
              <w:left w:val="nil"/>
              <w:bottom w:val="nil"/>
              <w:right w:val="nil"/>
            </w:tcBorders>
            <w:vAlign w:val="center"/>
            <w:hideMark/>
          </w:tcPr>
          <w:p w14:paraId="58C9AB07"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Slovak Investment Holding (SIH)</w:t>
            </w:r>
          </w:p>
        </w:tc>
        <w:tc>
          <w:tcPr>
            <w:tcW w:w="1289" w:type="pct"/>
            <w:tcBorders>
              <w:top w:val="nil"/>
              <w:left w:val="nil"/>
              <w:bottom w:val="nil"/>
              <w:right w:val="nil"/>
            </w:tcBorders>
            <w:noWrap/>
            <w:vAlign w:val="center"/>
            <w:hideMark/>
          </w:tcPr>
          <w:p w14:paraId="4BB30681"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20 064</w:t>
            </w:r>
          </w:p>
        </w:tc>
        <w:tc>
          <w:tcPr>
            <w:tcW w:w="867" w:type="pct"/>
            <w:tcBorders>
              <w:top w:val="nil"/>
              <w:left w:val="nil"/>
              <w:bottom w:val="nil"/>
              <w:right w:val="nil"/>
            </w:tcBorders>
            <w:noWrap/>
            <w:vAlign w:val="center"/>
            <w:hideMark/>
          </w:tcPr>
          <w:p w14:paraId="2E0D705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0,01</w:t>
            </w:r>
          </w:p>
        </w:tc>
      </w:tr>
      <w:tr w:rsidR="004A59F5" w:rsidRPr="004A59F5" w14:paraId="1ECF7123" w14:textId="77777777" w:rsidTr="004A59F5">
        <w:trPr>
          <w:trHeight w:val="280"/>
        </w:trPr>
        <w:tc>
          <w:tcPr>
            <w:tcW w:w="2844" w:type="pct"/>
            <w:tcBorders>
              <w:top w:val="nil"/>
              <w:left w:val="nil"/>
              <w:bottom w:val="nil"/>
              <w:right w:val="nil"/>
            </w:tcBorders>
            <w:noWrap/>
            <w:vAlign w:val="center"/>
            <w:hideMark/>
          </w:tcPr>
          <w:p w14:paraId="661F998E" w14:textId="77777777" w:rsidR="004A59F5" w:rsidRPr="004A59F5" w:rsidRDefault="004A59F5" w:rsidP="004A59F5">
            <w:pPr>
              <w:spacing w:line="240" w:lineRule="auto"/>
              <w:rPr>
                <w:rFonts w:eastAsia="Times New Roman" w:cs="Times New Roman"/>
                <w:sz w:val="18"/>
                <w:szCs w:val="18"/>
                <w:lang w:eastAsia="sk-SK"/>
              </w:rPr>
            </w:pPr>
            <w:r w:rsidRPr="004A59F5">
              <w:rPr>
                <w:rFonts w:eastAsia="Times New Roman" w:cs="Times New Roman"/>
                <w:sz w:val="18"/>
                <w:szCs w:val="18"/>
                <w:lang w:eastAsia="sk-SK"/>
              </w:rPr>
              <w:t xml:space="preserve">     - Eximbanka</w:t>
            </w:r>
          </w:p>
        </w:tc>
        <w:tc>
          <w:tcPr>
            <w:tcW w:w="1289" w:type="pct"/>
            <w:tcBorders>
              <w:top w:val="nil"/>
              <w:left w:val="nil"/>
              <w:bottom w:val="nil"/>
              <w:right w:val="nil"/>
            </w:tcBorders>
            <w:noWrap/>
            <w:vAlign w:val="center"/>
            <w:hideMark/>
          </w:tcPr>
          <w:p w14:paraId="6552C03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19 402</w:t>
            </w:r>
          </w:p>
        </w:tc>
        <w:tc>
          <w:tcPr>
            <w:tcW w:w="867" w:type="pct"/>
            <w:tcBorders>
              <w:top w:val="nil"/>
              <w:left w:val="nil"/>
              <w:bottom w:val="nil"/>
              <w:right w:val="nil"/>
            </w:tcBorders>
            <w:noWrap/>
            <w:vAlign w:val="center"/>
            <w:hideMark/>
          </w:tcPr>
          <w:p w14:paraId="32A5D454"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0,01</w:t>
            </w:r>
          </w:p>
        </w:tc>
      </w:tr>
      <w:tr w:rsidR="004A59F5" w:rsidRPr="004A59F5" w14:paraId="635EBD1F" w14:textId="77777777" w:rsidTr="004A59F5">
        <w:trPr>
          <w:trHeight w:val="280"/>
        </w:trPr>
        <w:tc>
          <w:tcPr>
            <w:tcW w:w="2844" w:type="pct"/>
            <w:tcBorders>
              <w:top w:val="nil"/>
              <w:left w:val="nil"/>
              <w:bottom w:val="nil"/>
              <w:right w:val="nil"/>
            </w:tcBorders>
            <w:noWrap/>
            <w:vAlign w:val="center"/>
            <w:hideMark/>
          </w:tcPr>
          <w:p w14:paraId="1733FE4B" w14:textId="77777777" w:rsidR="004A59F5" w:rsidRPr="004A59F5" w:rsidRDefault="004A59F5" w:rsidP="004A59F5">
            <w:pPr>
              <w:spacing w:line="240" w:lineRule="auto"/>
              <w:rPr>
                <w:rFonts w:eastAsia="Times New Roman" w:cs="Times New Roman"/>
                <w:sz w:val="18"/>
                <w:szCs w:val="18"/>
                <w:lang w:eastAsia="sk-SK"/>
              </w:rPr>
            </w:pPr>
            <w:r w:rsidRPr="004A59F5">
              <w:rPr>
                <w:rFonts w:eastAsia="Times New Roman" w:cs="Times New Roman"/>
                <w:sz w:val="18"/>
                <w:szCs w:val="18"/>
                <w:lang w:eastAsia="sk-SK"/>
              </w:rPr>
              <w:t xml:space="preserve">     - zdravotnícke zariadenia ústredné</w:t>
            </w:r>
          </w:p>
        </w:tc>
        <w:tc>
          <w:tcPr>
            <w:tcW w:w="1289" w:type="pct"/>
            <w:tcBorders>
              <w:top w:val="nil"/>
              <w:left w:val="nil"/>
              <w:bottom w:val="nil"/>
              <w:right w:val="nil"/>
            </w:tcBorders>
            <w:noWrap/>
            <w:vAlign w:val="center"/>
            <w:hideMark/>
          </w:tcPr>
          <w:p w14:paraId="40AF4E0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-279 783</w:t>
            </w:r>
          </w:p>
        </w:tc>
        <w:tc>
          <w:tcPr>
            <w:tcW w:w="867" w:type="pct"/>
            <w:tcBorders>
              <w:top w:val="nil"/>
              <w:left w:val="nil"/>
              <w:bottom w:val="nil"/>
              <w:right w:val="nil"/>
            </w:tcBorders>
            <w:noWrap/>
            <w:vAlign w:val="center"/>
            <w:hideMark/>
          </w:tcPr>
          <w:p w14:paraId="205120A9"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-0,20</w:t>
            </w:r>
          </w:p>
        </w:tc>
      </w:tr>
      <w:tr w:rsidR="004A59F5" w:rsidRPr="004A59F5" w14:paraId="39B82059" w14:textId="77777777" w:rsidTr="004A59F5">
        <w:trPr>
          <w:trHeight w:val="280"/>
        </w:trPr>
        <w:tc>
          <w:tcPr>
            <w:tcW w:w="2844" w:type="pct"/>
            <w:tcBorders>
              <w:top w:val="nil"/>
              <w:left w:val="nil"/>
              <w:bottom w:val="nil"/>
              <w:right w:val="nil"/>
            </w:tcBorders>
            <w:noWrap/>
            <w:vAlign w:val="center"/>
            <w:hideMark/>
          </w:tcPr>
          <w:p w14:paraId="448A4446" w14:textId="77777777" w:rsidR="004A59F5" w:rsidRPr="004A59F5" w:rsidRDefault="004A59F5" w:rsidP="004A59F5">
            <w:pPr>
              <w:spacing w:line="240" w:lineRule="auto"/>
              <w:rPr>
                <w:rFonts w:eastAsia="Times New Roman" w:cs="Times New Roman"/>
                <w:sz w:val="18"/>
                <w:szCs w:val="18"/>
                <w:lang w:eastAsia="sk-SK"/>
              </w:rPr>
            </w:pPr>
            <w:r w:rsidRPr="004A59F5">
              <w:rPr>
                <w:rFonts w:eastAsia="Times New Roman" w:cs="Times New Roman"/>
                <w:sz w:val="18"/>
                <w:szCs w:val="18"/>
                <w:lang w:eastAsia="sk-SK"/>
              </w:rPr>
              <w:t xml:space="preserve">     - VVŠ</w:t>
            </w:r>
          </w:p>
        </w:tc>
        <w:tc>
          <w:tcPr>
            <w:tcW w:w="1289" w:type="pct"/>
            <w:tcBorders>
              <w:top w:val="nil"/>
              <w:left w:val="nil"/>
              <w:bottom w:val="nil"/>
              <w:right w:val="nil"/>
            </w:tcBorders>
            <w:noWrap/>
            <w:vAlign w:val="center"/>
            <w:hideMark/>
          </w:tcPr>
          <w:p w14:paraId="076A0E7F" w14:textId="77777777" w:rsidR="004A59F5" w:rsidRPr="004A59F5" w:rsidRDefault="004A59F5" w:rsidP="004A59F5">
            <w:pPr>
              <w:spacing w:line="240" w:lineRule="auto"/>
              <w:jc w:val="right"/>
              <w:rPr>
                <w:rFonts w:eastAsia="Times New Roman" w:cs="Times New Roman"/>
                <w:sz w:val="18"/>
                <w:szCs w:val="18"/>
                <w:lang w:eastAsia="sk-SK"/>
              </w:rPr>
            </w:pPr>
            <w:r w:rsidRPr="004A59F5">
              <w:rPr>
                <w:rFonts w:eastAsia="Times New Roman" w:cs="Times New Roman"/>
                <w:sz w:val="18"/>
                <w:szCs w:val="18"/>
                <w:lang w:eastAsia="sk-SK"/>
              </w:rPr>
              <w:t>61 223</w:t>
            </w:r>
          </w:p>
        </w:tc>
        <w:tc>
          <w:tcPr>
            <w:tcW w:w="867" w:type="pct"/>
            <w:tcBorders>
              <w:top w:val="nil"/>
              <w:left w:val="nil"/>
              <w:bottom w:val="nil"/>
              <w:right w:val="nil"/>
            </w:tcBorders>
            <w:noWrap/>
            <w:vAlign w:val="center"/>
            <w:hideMark/>
          </w:tcPr>
          <w:p w14:paraId="0ABAC22E"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0,04</w:t>
            </w:r>
          </w:p>
        </w:tc>
      </w:tr>
      <w:tr w:rsidR="004A59F5" w:rsidRPr="004A59F5" w14:paraId="11AB78B4" w14:textId="77777777" w:rsidTr="004A59F5">
        <w:trPr>
          <w:trHeight w:val="280"/>
        </w:trPr>
        <w:tc>
          <w:tcPr>
            <w:tcW w:w="2844" w:type="pct"/>
            <w:tcBorders>
              <w:top w:val="nil"/>
              <w:left w:val="nil"/>
              <w:bottom w:val="nil"/>
              <w:right w:val="nil"/>
            </w:tcBorders>
            <w:noWrap/>
            <w:vAlign w:val="center"/>
            <w:hideMark/>
          </w:tcPr>
          <w:p w14:paraId="67BDD4AA"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štátne fondy bez vplyvu príjmov z emisných kvót</w:t>
            </w:r>
          </w:p>
        </w:tc>
        <w:tc>
          <w:tcPr>
            <w:tcW w:w="1289" w:type="pct"/>
            <w:tcBorders>
              <w:top w:val="nil"/>
              <w:left w:val="nil"/>
              <w:bottom w:val="nil"/>
              <w:right w:val="nil"/>
            </w:tcBorders>
            <w:noWrap/>
            <w:vAlign w:val="center"/>
            <w:hideMark/>
          </w:tcPr>
          <w:p w14:paraId="789471E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72 774</w:t>
            </w:r>
          </w:p>
        </w:tc>
        <w:tc>
          <w:tcPr>
            <w:tcW w:w="867" w:type="pct"/>
            <w:tcBorders>
              <w:top w:val="nil"/>
              <w:left w:val="nil"/>
              <w:bottom w:val="nil"/>
              <w:right w:val="nil"/>
            </w:tcBorders>
            <w:noWrap/>
            <w:vAlign w:val="center"/>
            <w:hideMark/>
          </w:tcPr>
          <w:p w14:paraId="71E24CDC"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0,05</w:t>
            </w:r>
          </w:p>
        </w:tc>
      </w:tr>
      <w:tr w:rsidR="004A59F5" w:rsidRPr="004A59F5" w14:paraId="335983F9" w14:textId="77777777" w:rsidTr="004A59F5">
        <w:trPr>
          <w:trHeight w:val="280"/>
        </w:trPr>
        <w:tc>
          <w:tcPr>
            <w:tcW w:w="2844" w:type="pct"/>
            <w:tcBorders>
              <w:top w:val="nil"/>
              <w:left w:val="nil"/>
              <w:bottom w:val="nil"/>
              <w:right w:val="nil"/>
            </w:tcBorders>
            <w:noWrap/>
            <w:vAlign w:val="center"/>
            <w:hideMark/>
          </w:tcPr>
          <w:p w14:paraId="7A4250B4" w14:textId="77777777" w:rsidR="004A59F5" w:rsidRPr="004A59F5" w:rsidRDefault="004A59F5" w:rsidP="004A59F5">
            <w:pPr>
              <w:spacing w:line="240" w:lineRule="auto"/>
              <w:rPr>
                <w:rFonts w:eastAsia="Times New Roman" w:cs="Times New Roman"/>
                <w:sz w:val="18"/>
                <w:szCs w:val="18"/>
                <w:lang w:eastAsia="sk-SK"/>
              </w:rPr>
            </w:pPr>
            <w:r w:rsidRPr="004A59F5">
              <w:rPr>
                <w:rFonts w:eastAsia="Times New Roman" w:cs="Times New Roman"/>
                <w:sz w:val="18"/>
                <w:szCs w:val="18"/>
                <w:lang w:eastAsia="sk-SK"/>
              </w:rPr>
              <w:t xml:space="preserve">     - Slovenský pozemkový fond</w:t>
            </w:r>
          </w:p>
        </w:tc>
        <w:tc>
          <w:tcPr>
            <w:tcW w:w="1289" w:type="pct"/>
            <w:tcBorders>
              <w:top w:val="nil"/>
              <w:left w:val="nil"/>
              <w:bottom w:val="nil"/>
              <w:right w:val="nil"/>
            </w:tcBorders>
            <w:noWrap/>
            <w:vAlign w:val="center"/>
            <w:hideMark/>
          </w:tcPr>
          <w:p w14:paraId="5D1EF5E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30 732</w:t>
            </w:r>
          </w:p>
        </w:tc>
        <w:tc>
          <w:tcPr>
            <w:tcW w:w="867" w:type="pct"/>
            <w:tcBorders>
              <w:top w:val="nil"/>
              <w:left w:val="nil"/>
              <w:bottom w:val="nil"/>
              <w:right w:val="nil"/>
            </w:tcBorders>
            <w:noWrap/>
            <w:vAlign w:val="center"/>
            <w:hideMark/>
          </w:tcPr>
          <w:p w14:paraId="07CBDFE8"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0,02</w:t>
            </w:r>
          </w:p>
        </w:tc>
      </w:tr>
      <w:tr w:rsidR="004A59F5" w:rsidRPr="004A59F5" w14:paraId="254D0F78" w14:textId="77777777" w:rsidTr="004A59F5">
        <w:trPr>
          <w:trHeight w:val="280"/>
        </w:trPr>
        <w:tc>
          <w:tcPr>
            <w:tcW w:w="2844" w:type="pct"/>
            <w:tcBorders>
              <w:top w:val="nil"/>
              <w:left w:val="nil"/>
              <w:bottom w:val="nil"/>
              <w:right w:val="nil"/>
            </w:tcBorders>
            <w:noWrap/>
            <w:vAlign w:val="center"/>
            <w:hideMark/>
          </w:tcPr>
          <w:p w14:paraId="0C28C63F"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ostatné subjekty ústrednej správy, z toho:</w:t>
            </w:r>
          </w:p>
        </w:tc>
        <w:tc>
          <w:tcPr>
            <w:tcW w:w="1289" w:type="pct"/>
            <w:tcBorders>
              <w:top w:val="nil"/>
              <w:left w:val="nil"/>
              <w:bottom w:val="nil"/>
              <w:right w:val="nil"/>
            </w:tcBorders>
            <w:noWrap/>
            <w:vAlign w:val="center"/>
            <w:hideMark/>
          </w:tcPr>
          <w:p w14:paraId="134A09C0"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16 814</w:t>
            </w:r>
          </w:p>
        </w:tc>
        <w:tc>
          <w:tcPr>
            <w:tcW w:w="867" w:type="pct"/>
            <w:tcBorders>
              <w:top w:val="nil"/>
              <w:left w:val="nil"/>
              <w:bottom w:val="nil"/>
              <w:right w:val="nil"/>
            </w:tcBorders>
            <w:noWrap/>
            <w:vAlign w:val="center"/>
            <w:hideMark/>
          </w:tcPr>
          <w:p w14:paraId="1A64BA55"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0,01</w:t>
            </w:r>
          </w:p>
        </w:tc>
      </w:tr>
      <w:tr w:rsidR="004A59F5" w:rsidRPr="004A59F5" w14:paraId="18F91191" w14:textId="77777777" w:rsidTr="004A59F5">
        <w:trPr>
          <w:trHeight w:val="280"/>
        </w:trPr>
        <w:tc>
          <w:tcPr>
            <w:tcW w:w="2844" w:type="pct"/>
            <w:tcBorders>
              <w:top w:val="nil"/>
              <w:left w:val="nil"/>
              <w:bottom w:val="nil"/>
              <w:right w:val="nil"/>
            </w:tcBorders>
            <w:noWrap/>
            <w:vAlign w:val="center"/>
            <w:hideMark/>
          </w:tcPr>
          <w:p w14:paraId="1857381A" w14:textId="42C0B274"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Valaliky Industrial Park, s.</w:t>
            </w:r>
            <w:r w:rsidR="0061079A">
              <w:rPr>
                <w:rFonts w:eastAsia="Times New Roman" w:cs="Times New Roman"/>
                <w:color w:val="000000"/>
                <w:sz w:val="18"/>
                <w:szCs w:val="18"/>
                <w:lang w:eastAsia="sk-SK"/>
              </w:rPr>
              <w:t> </w:t>
            </w:r>
            <w:r w:rsidRPr="004A59F5">
              <w:rPr>
                <w:rFonts w:eastAsia="Times New Roman" w:cs="Times New Roman"/>
                <w:color w:val="000000"/>
                <w:sz w:val="18"/>
                <w:szCs w:val="18"/>
                <w:lang w:eastAsia="sk-SK"/>
              </w:rPr>
              <w:t>r.</w:t>
            </w:r>
            <w:r w:rsidR="0061079A">
              <w:rPr>
                <w:rFonts w:eastAsia="Times New Roman" w:cs="Times New Roman"/>
                <w:color w:val="000000"/>
                <w:sz w:val="18"/>
                <w:szCs w:val="18"/>
                <w:lang w:eastAsia="sk-SK"/>
              </w:rPr>
              <w:t> </w:t>
            </w:r>
            <w:r w:rsidRPr="004A59F5">
              <w:rPr>
                <w:rFonts w:eastAsia="Times New Roman" w:cs="Times New Roman"/>
                <w:color w:val="000000"/>
                <w:sz w:val="18"/>
                <w:szCs w:val="18"/>
                <w:lang w:eastAsia="sk-SK"/>
              </w:rPr>
              <w:t>o.</w:t>
            </w:r>
          </w:p>
        </w:tc>
        <w:tc>
          <w:tcPr>
            <w:tcW w:w="1289" w:type="pct"/>
            <w:tcBorders>
              <w:top w:val="nil"/>
              <w:left w:val="nil"/>
              <w:bottom w:val="nil"/>
              <w:right w:val="nil"/>
            </w:tcBorders>
            <w:noWrap/>
            <w:vAlign w:val="center"/>
            <w:hideMark/>
          </w:tcPr>
          <w:p w14:paraId="650FF830"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114 574</w:t>
            </w:r>
          </w:p>
        </w:tc>
        <w:tc>
          <w:tcPr>
            <w:tcW w:w="867" w:type="pct"/>
            <w:tcBorders>
              <w:top w:val="nil"/>
              <w:left w:val="nil"/>
              <w:bottom w:val="nil"/>
              <w:right w:val="nil"/>
            </w:tcBorders>
            <w:noWrap/>
            <w:vAlign w:val="center"/>
            <w:hideMark/>
          </w:tcPr>
          <w:p w14:paraId="30B132DD"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0,08</w:t>
            </w:r>
          </w:p>
        </w:tc>
      </w:tr>
      <w:tr w:rsidR="004A59F5" w:rsidRPr="004A59F5" w14:paraId="5B9A1E46" w14:textId="77777777" w:rsidTr="004A59F5">
        <w:trPr>
          <w:trHeight w:val="280"/>
        </w:trPr>
        <w:tc>
          <w:tcPr>
            <w:tcW w:w="2844" w:type="pct"/>
            <w:tcBorders>
              <w:top w:val="nil"/>
              <w:left w:val="nil"/>
              <w:bottom w:val="nil"/>
              <w:right w:val="nil"/>
            </w:tcBorders>
            <w:noWrap/>
            <w:vAlign w:val="center"/>
            <w:hideMark/>
          </w:tcPr>
          <w:p w14:paraId="2623B3E1" w14:textId="3F102E76"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Slovenský vodohospodársky podnik, š.</w:t>
            </w:r>
            <w:r w:rsidR="0061079A">
              <w:rPr>
                <w:rFonts w:eastAsia="Times New Roman" w:cs="Times New Roman"/>
                <w:color w:val="000000"/>
                <w:sz w:val="18"/>
                <w:szCs w:val="18"/>
                <w:lang w:eastAsia="sk-SK"/>
              </w:rPr>
              <w:t> </w:t>
            </w:r>
            <w:r w:rsidRPr="004A59F5">
              <w:rPr>
                <w:rFonts w:eastAsia="Times New Roman" w:cs="Times New Roman"/>
                <w:color w:val="000000"/>
                <w:sz w:val="18"/>
                <w:szCs w:val="18"/>
                <w:lang w:eastAsia="sk-SK"/>
              </w:rPr>
              <w:t>p.</w:t>
            </w:r>
          </w:p>
        </w:tc>
        <w:tc>
          <w:tcPr>
            <w:tcW w:w="1289" w:type="pct"/>
            <w:tcBorders>
              <w:top w:val="nil"/>
              <w:left w:val="nil"/>
              <w:bottom w:val="nil"/>
              <w:right w:val="nil"/>
            </w:tcBorders>
            <w:noWrap/>
            <w:vAlign w:val="center"/>
            <w:hideMark/>
          </w:tcPr>
          <w:p w14:paraId="42B88E2A"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-3 287</w:t>
            </w:r>
          </w:p>
        </w:tc>
        <w:tc>
          <w:tcPr>
            <w:tcW w:w="867" w:type="pct"/>
            <w:tcBorders>
              <w:top w:val="nil"/>
              <w:left w:val="nil"/>
              <w:bottom w:val="nil"/>
              <w:right w:val="nil"/>
            </w:tcBorders>
            <w:noWrap/>
            <w:vAlign w:val="center"/>
            <w:hideMark/>
          </w:tcPr>
          <w:p w14:paraId="3D32A96A"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0,00</w:t>
            </w:r>
          </w:p>
        </w:tc>
      </w:tr>
      <w:tr w:rsidR="004A59F5" w:rsidRPr="004A59F5" w14:paraId="0C71D93C" w14:textId="77777777" w:rsidTr="004A59F5">
        <w:trPr>
          <w:trHeight w:val="280"/>
        </w:trPr>
        <w:tc>
          <w:tcPr>
            <w:tcW w:w="2844" w:type="pct"/>
            <w:tcBorders>
              <w:top w:val="nil"/>
              <w:left w:val="nil"/>
              <w:bottom w:val="nil"/>
              <w:right w:val="nil"/>
            </w:tcBorders>
            <w:vAlign w:val="center"/>
            <w:hideMark/>
          </w:tcPr>
          <w:p w14:paraId="42884A4E"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9. Rozdiel v hospodárení územnej samosprávy bez daňových príjmov</w:t>
            </w:r>
          </w:p>
        </w:tc>
        <w:tc>
          <w:tcPr>
            <w:tcW w:w="1289" w:type="pct"/>
            <w:tcBorders>
              <w:top w:val="nil"/>
              <w:left w:val="nil"/>
              <w:bottom w:val="nil"/>
              <w:right w:val="nil"/>
            </w:tcBorders>
            <w:noWrap/>
            <w:vAlign w:val="center"/>
            <w:hideMark/>
          </w:tcPr>
          <w:p w14:paraId="01977B3D" w14:textId="77777777" w:rsidR="004A59F5" w:rsidRPr="004A59F5" w:rsidRDefault="004A59F5" w:rsidP="004A59F5">
            <w:pPr>
              <w:spacing w:line="240" w:lineRule="auto"/>
              <w:jc w:val="right"/>
              <w:rPr>
                <w:rFonts w:eastAsia="Times New Roman" w:cs="Times New Roman"/>
                <w:b/>
                <w:bCs/>
                <w:i/>
                <w:iCs/>
                <w:color w:val="000000"/>
                <w:sz w:val="18"/>
                <w:szCs w:val="18"/>
                <w:lang w:eastAsia="sk-SK"/>
              </w:rPr>
            </w:pPr>
            <w:r w:rsidRPr="004A59F5">
              <w:rPr>
                <w:rFonts w:eastAsia="Times New Roman" w:cs="Times New Roman"/>
                <w:b/>
                <w:bCs/>
                <w:i/>
                <w:iCs/>
                <w:color w:val="000000"/>
                <w:sz w:val="18"/>
                <w:szCs w:val="18"/>
                <w:lang w:eastAsia="sk-SK"/>
              </w:rPr>
              <w:t>147 593</w:t>
            </w:r>
          </w:p>
        </w:tc>
        <w:tc>
          <w:tcPr>
            <w:tcW w:w="867" w:type="pct"/>
            <w:tcBorders>
              <w:top w:val="nil"/>
              <w:left w:val="nil"/>
              <w:bottom w:val="nil"/>
              <w:right w:val="nil"/>
            </w:tcBorders>
            <w:noWrap/>
            <w:vAlign w:val="center"/>
            <w:hideMark/>
          </w:tcPr>
          <w:p w14:paraId="2B5F9207"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0,11</w:t>
            </w:r>
          </w:p>
        </w:tc>
      </w:tr>
      <w:tr w:rsidR="004A59F5" w:rsidRPr="004A59F5" w14:paraId="486F1ED9" w14:textId="77777777" w:rsidTr="004A59F5">
        <w:trPr>
          <w:trHeight w:val="280"/>
        </w:trPr>
        <w:tc>
          <w:tcPr>
            <w:tcW w:w="2844" w:type="pct"/>
            <w:tcBorders>
              <w:top w:val="nil"/>
              <w:left w:val="nil"/>
              <w:bottom w:val="nil"/>
              <w:right w:val="nil"/>
            </w:tcBorders>
            <w:vAlign w:val="center"/>
            <w:hideMark/>
          </w:tcPr>
          <w:p w14:paraId="06A784BE"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obce</w:t>
            </w:r>
          </w:p>
        </w:tc>
        <w:tc>
          <w:tcPr>
            <w:tcW w:w="1289" w:type="pct"/>
            <w:tcBorders>
              <w:top w:val="nil"/>
              <w:left w:val="nil"/>
              <w:bottom w:val="nil"/>
              <w:right w:val="nil"/>
            </w:tcBorders>
            <w:noWrap/>
            <w:vAlign w:val="center"/>
            <w:hideMark/>
          </w:tcPr>
          <w:p w14:paraId="639C0FC0"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-458</w:t>
            </w:r>
          </w:p>
        </w:tc>
        <w:tc>
          <w:tcPr>
            <w:tcW w:w="867" w:type="pct"/>
            <w:tcBorders>
              <w:top w:val="nil"/>
              <w:left w:val="nil"/>
              <w:bottom w:val="nil"/>
              <w:right w:val="nil"/>
            </w:tcBorders>
            <w:noWrap/>
            <w:vAlign w:val="center"/>
            <w:hideMark/>
          </w:tcPr>
          <w:p w14:paraId="75152D13"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0,00</w:t>
            </w:r>
          </w:p>
        </w:tc>
      </w:tr>
      <w:tr w:rsidR="004A59F5" w:rsidRPr="004A59F5" w14:paraId="38457E51" w14:textId="77777777" w:rsidTr="004A59F5">
        <w:trPr>
          <w:trHeight w:val="280"/>
        </w:trPr>
        <w:tc>
          <w:tcPr>
            <w:tcW w:w="2844" w:type="pct"/>
            <w:tcBorders>
              <w:top w:val="nil"/>
              <w:left w:val="nil"/>
              <w:bottom w:val="nil"/>
              <w:right w:val="nil"/>
            </w:tcBorders>
            <w:vAlign w:val="center"/>
            <w:hideMark/>
          </w:tcPr>
          <w:p w14:paraId="69FF48DD"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VÚC</w:t>
            </w:r>
          </w:p>
        </w:tc>
        <w:tc>
          <w:tcPr>
            <w:tcW w:w="1289" w:type="pct"/>
            <w:tcBorders>
              <w:top w:val="nil"/>
              <w:left w:val="nil"/>
              <w:bottom w:val="nil"/>
              <w:right w:val="nil"/>
            </w:tcBorders>
            <w:noWrap/>
            <w:vAlign w:val="center"/>
            <w:hideMark/>
          </w:tcPr>
          <w:p w14:paraId="019B44EB"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95 488</w:t>
            </w:r>
          </w:p>
        </w:tc>
        <w:tc>
          <w:tcPr>
            <w:tcW w:w="867" w:type="pct"/>
            <w:tcBorders>
              <w:top w:val="nil"/>
              <w:left w:val="nil"/>
              <w:bottom w:val="nil"/>
              <w:right w:val="nil"/>
            </w:tcBorders>
            <w:noWrap/>
            <w:vAlign w:val="center"/>
            <w:hideMark/>
          </w:tcPr>
          <w:p w14:paraId="3CAF9DCC"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0,07</w:t>
            </w:r>
          </w:p>
        </w:tc>
      </w:tr>
      <w:tr w:rsidR="004A59F5" w:rsidRPr="004A59F5" w14:paraId="181BA63C" w14:textId="77777777" w:rsidTr="004A59F5">
        <w:trPr>
          <w:trHeight w:val="280"/>
        </w:trPr>
        <w:tc>
          <w:tcPr>
            <w:tcW w:w="2844" w:type="pct"/>
            <w:tcBorders>
              <w:top w:val="nil"/>
              <w:left w:val="nil"/>
              <w:bottom w:val="nil"/>
              <w:right w:val="nil"/>
            </w:tcBorders>
            <w:vAlign w:val="center"/>
            <w:hideMark/>
          </w:tcPr>
          <w:p w14:paraId="5D0BBB3F"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dopravné podniky</w:t>
            </w:r>
          </w:p>
        </w:tc>
        <w:tc>
          <w:tcPr>
            <w:tcW w:w="1289" w:type="pct"/>
            <w:tcBorders>
              <w:top w:val="nil"/>
              <w:left w:val="nil"/>
              <w:bottom w:val="nil"/>
              <w:right w:val="nil"/>
            </w:tcBorders>
            <w:noWrap/>
            <w:vAlign w:val="center"/>
            <w:hideMark/>
          </w:tcPr>
          <w:p w14:paraId="261B4737"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98 086</w:t>
            </w:r>
          </w:p>
        </w:tc>
        <w:tc>
          <w:tcPr>
            <w:tcW w:w="867" w:type="pct"/>
            <w:tcBorders>
              <w:top w:val="nil"/>
              <w:left w:val="nil"/>
              <w:bottom w:val="nil"/>
              <w:right w:val="nil"/>
            </w:tcBorders>
            <w:noWrap/>
            <w:vAlign w:val="center"/>
            <w:hideMark/>
          </w:tcPr>
          <w:p w14:paraId="7F87CEF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0,07</w:t>
            </w:r>
          </w:p>
        </w:tc>
      </w:tr>
      <w:tr w:rsidR="004A59F5" w:rsidRPr="004A59F5" w14:paraId="46E8376A" w14:textId="77777777" w:rsidTr="004A59F5">
        <w:trPr>
          <w:trHeight w:val="280"/>
        </w:trPr>
        <w:tc>
          <w:tcPr>
            <w:tcW w:w="2844" w:type="pct"/>
            <w:tcBorders>
              <w:top w:val="nil"/>
              <w:left w:val="nil"/>
              <w:bottom w:val="nil"/>
              <w:right w:val="nil"/>
            </w:tcBorders>
            <w:vAlign w:val="center"/>
            <w:hideMark/>
          </w:tcPr>
          <w:p w14:paraId="77C510CE"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príspevkové organizácie obcí a VÚC</w:t>
            </w:r>
          </w:p>
        </w:tc>
        <w:tc>
          <w:tcPr>
            <w:tcW w:w="1289" w:type="pct"/>
            <w:tcBorders>
              <w:top w:val="nil"/>
              <w:left w:val="nil"/>
              <w:bottom w:val="nil"/>
              <w:right w:val="nil"/>
            </w:tcBorders>
            <w:noWrap/>
            <w:vAlign w:val="center"/>
            <w:hideMark/>
          </w:tcPr>
          <w:p w14:paraId="5E2293D6"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-3 368</w:t>
            </w:r>
          </w:p>
        </w:tc>
        <w:tc>
          <w:tcPr>
            <w:tcW w:w="867" w:type="pct"/>
            <w:tcBorders>
              <w:top w:val="nil"/>
              <w:left w:val="nil"/>
              <w:bottom w:val="nil"/>
              <w:right w:val="nil"/>
            </w:tcBorders>
            <w:noWrap/>
            <w:vAlign w:val="center"/>
            <w:hideMark/>
          </w:tcPr>
          <w:p w14:paraId="6F8E733F"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0,00</w:t>
            </w:r>
          </w:p>
        </w:tc>
      </w:tr>
      <w:tr w:rsidR="004A59F5" w:rsidRPr="004A59F5" w14:paraId="73CC688F" w14:textId="77777777" w:rsidTr="004A59F5">
        <w:trPr>
          <w:trHeight w:val="280"/>
        </w:trPr>
        <w:tc>
          <w:tcPr>
            <w:tcW w:w="2844" w:type="pct"/>
            <w:tcBorders>
              <w:top w:val="nil"/>
              <w:left w:val="nil"/>
              <w:bottom w:val="nil"/>
              <w:right w:val="nil"/>
            </w:tcBorders>
            <w:vAlign w:val="center"/>
            <w:hideMark/>
          </w:tcPr>
          <w:p w14:paraId="55A2BD57"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zdravotnícke zariadenia územnej samosprávy</w:t>
            </w:r>
          </w:p>
        </w:tc>
        <w:tc>
          <w:tcPr>
            <w:tcW w:w="1289" w:type="pct"/>
            <w:tcBorders>
              <w:top w:val="nil"/>
              <w:left w:val="nil"/>
              <w:bottom w:val="nil"/>
              <w:right w:val="nil"/>
            </w:tcBorders>
            <w:noWrap/>
            <w:vAlign w:val="center"/>
            <w:hideMark/>
          </w:tcPr>
          <w:p w14:paraId="5F4698A8"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-18 177</w:t>
            </w:r>
          </w:p>
        </w:tc>
        <w:tc>
          <w:tcPr>
            <w:tcW w:w="867" w:type="pct"/>
            <w:tcBorders>
              <w:top w:val="nil"/>
              <w:left w:val="nil"/>
              <w:bottom w:val="nil"/>
              <w:right w:val="nil"/>
            </w:tcBorders>
            <w:noWrap/>
            <w:vAlign w:val="center"/>
            <w:hideMark/>
          </w:tcPr>
          <w:p w14:paraId="325B4E02"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-0,01</w:t>
            </w:r>
          </w:p>
        </w:tc>
      </w:tr>
      <w:tr w:rsidR="004A59F5" w:rsidRPr="004A59F5" w14:paraId="678A2298" w14:textId="77777777" w:rsidTr="004A59F5">
        <w:trPr>
          <w:trHeight w:val="280"/>
        </w:trPr>
        <w:tc>
          <w:tcPr>
            <w:tcW w:w="2844" w:type="pct"/>
            <w:tcBorders>
              <w:top w:val="nil"/>
              <w:left w:val="nil"/>
              <w:bottom w:val="nil"/>
              <w:right w:val="nil"/>
            </w:tcBorders>
            <w:vAlign w:val="center"/>
            <w:hideMark/>
          </w:tcPr>
          <w:p w14:paraId="03D41AE2" w14:textId="77777777" w:rsidR="004A59F5" w:rsidRPr="004A59F5" w:rsidRDefault="004A59F5" w:rsidP="004A59F5">
            <w:pPr>
              <w:spacing w:line="240" w:lineRule="auto"/>
              <w:rPr>
                <w:rFonts w:eastAsia="Times New Roman" w:cs="Times New Roman"/>
                <w:color w:val="000000"/>
                <w:sz w:val="18"/>
                <w:szCs w:val="18"/>
                <w:lang w:eastAsia="sk-SK"/>
              </w:rPr>
            </w:pPr>
            <w:r w:rsidRPr="004A59F5">
              <w:rPr>
                <w:rFonts w:eastAsia="Times New Roman" w:cs="Times New Roman"/>
                <w:color w:val="000000"/>
                <w:sz w:val="18"/>
                <w:szCs w:val="18"/>
                <w:lang w:eastAsia="sk-SK"/>
              </w:rPr>
              <w:t xml:space="preserve">     - ostatné subjekty územnej samosprávy</w:t>
            </w:r>
          </w:p>
        </w:tc>
        <w:tc>
          <w:tcPr>
            <w:tcW w:w="1289" w:type="pct"/>
            <w:tcBorders>
              <w:top w:val="nil"/>
              <w:left w:val="nil"/>
              <w:bottom w:val="nil"/>
              <w:right w:val="nil"/>
            </w:tcBorders>
            <w:noWrap/>
            <w:vAlign w:val="center"/>
            <w:hideMark/>
          </w:tcPr>
          <w:p w14:paraId="7B17F6FC"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-23 978</w:t>
            </w:r>
          </w:p>
        </w:tc>
        <w:tc>
          <w:tcPr>
            <w:tcW w:w="867" w:type="pct"/>
            <w:tcBorders>
              <w:top w:val="nil"/>
              <w:left w:val="nil"/>
              <w:bottom w:val="nil"/>
              <w:right w:val="nil"/>
            </w:tcBorders>
            <w:noWrap/>
            <w:vAlign w:val="center"/>
            <w:hideMark/>
          </w:tcPr>
          <w:p w14:paraId="616B2C2A" w14:textId="77777777" w:rsidR="004A59F5" w:rsidRPr="004A59F5" w:rsidRDefault="004A59F5" w:rsidP="004A59F5">
            <w:pPr>
              <w:spacing w:line="240" w:lineRule="auto"/>
              <w:jc w:val="right"/>
              <w:rPr>
                <w:rFonts w:eastAsia="Times New Roman" w:cs="Times New Roman"/>
                <w:color w:val="000000"/>
                <w:sz w:val="18"/>
                <w:szCs w:val="18"/>
                <w:lang w:eastAsia="sk-SK"/>
              </w:rPr>
            </w:pPr>
            <w:r w:rsidRPr="004A59F5">
              <w:rPr>
                <w:rFonts w:eastAsia="Times New Roman" w:cs="Times New Roman"/>
                <w:color w:val="000000"/>
                <w:sz w:val="18"/>
                <w:szCs w:val="18"/>
                <w:lang w:eastAsia="sk-SK"/>
              </w:rPr>
              <w:t>-0,02</w:t>
            </w:r>
          </w:p>
        </w:tc>
      </w:tr>
      <w:tr w:rsidR="004A59F5" w:rsidRPr="004A59F5" w14:paraId="479B367D" w14:textId="77777777" w:rsidTr="004A59F5">
        <w:trPr>
          <w:trHeight w:val="280"/>
        </w:trPr>
        <w:tc>
          <w:tcPr>
            <w:tcW w:w="2844" w:type="pct"/>
            <w:tcBorders>
              <w:top w:val="nil"/>
              <w:left w:val="nil"/>
              <w:bottom w:val="single" w:sz="4" w:space="0" w:color="auto"/>
              <w:right w:val="nil"/>
            </w:tcBorders>
            <w:vAlign w:val="center"/>
            <w:hideMark/>
          </w:tcPr>
          <w:p w14:paraId="395E0B2B" w14:textId="77777777" w:rsidR="004A59F5" w:rsidRPr="004A59F5" w:rsidRDefault="004A59F5" w:rsidP="004A59F5">
            <w:pPr>
              <w:spacing w:line="240" w:lineRule="auto"/>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Saldo verejnej správy - skutočnosť</w:t>
            </w:r>
          </w:p>
        </w:tc>
        <w:tc>
          <w:tcPr>
            <w:tcW w:w="1289" w:type="pct"/>
            <w:tcBorders>
              <w:top w:val="nil"/>
              <w:left w:val="nil"/>
              <w:bottom w:val="single" w:sz="4" w:space="0" w:color="auto"/>
              <w:right w:val="nil"/>
            </w:tcBorders>
            <w:noWrap/>
            <w:vAlign w:val="center"/>
            <w:hideMark/>
          </w:tcPr>
          <w:p w14:paraId="67DF4450" w14:textId="375D7C0D"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-6 086 30</w:t>
            </w:r>
            <w:r w:rsidR="00F32546">
              <w:rPr>
                <w:rFonts w:eastAsia="Times New Roman" w:cs="Times New Roman"/>
                <w:b/>
                <w:bCs/>
                <w:color w:val="000000"/>
                <w:sz w:val="18"/>
                <w:szCs w:val="18"/>
                <w:lang w:eastAsia="sk-SK"/>
              </w:rPr>
              <w:t>5</w:t>
            </w:r>
          </w:p>
        </w:tc>
        <w:tc>
          <w:tcPr>
            <w:tcW w:w="867" w:type="pct"/>
            <w:tcBorders>
              <w:top w:val="nil"/>
              <w:left w:val="nil"/>
              <w:bottom w:val="single" w:sz="4" w:space="0" w:color="auto"/>
              <w:right w:val="nil"/>
            </w:tcBorders>
            <w:noWrap/>
            <w:vAlign w:val="center"/>
            <w:hideMark/>
          </w:tcPr>
          <w:p w14:paraId="7B4CAD24" w14:textId="77777777" w:rsidR="004A59F5" w:rsidRPr="004A59F5" w:rsidRDefault="004A59F5" w:rsidP="004A59F5">
            <w:pPr>
              <w:spacing w:line="240" w:lineRule="auto"/>
              <w:jc w:val="right"/>
              <w:rPr>
                <w:rFonts w:eastAsia="Times New Roman" w:cs="Times New Roman"/>
                <w:b/>
                <w:bCs/>
                <w:color w:val="000000"/>
                <w:sz w:val="18"/>
                <w:szCs w:val="18"/>
                <w:lang w:eastAsia="sk-SK"/>
              </w:rPr>
            </w:pPr>
            <w:r w:rsidRPr="004A59F5">
              <w:rPr>
                <w:rFonts w:eastAsia="Times New Roman" w:cs="Times New Roman"/>
                <w:b/>
                <w:bCs/>
                <w:color w:val="000000"/>
                <w:sz w:val="18"/>
                <w:szCs w:val="18"/>
                <w:lang w:eastAsia="sk-SK"/>
              </w:rPr>
              <w:t>-4,45</w:t>
            </w:r>
          </w:p>
        </w:tc>
      </w:tr>
    </w:tbl>
    <w:p w14:paraId="287D4D06" w14:textId="77777777" w:rsidR="00FC6896" w:rsidRDefault="001B6E92" w:rsidP="0050431B">
      <w:pPr>
        <w:keepLines/>
        <w:tabs>
          <w:tab w:val="left" w:pos="0"/>
          <w:tab w:val="right" w:pos="9070"/>
        </w:tabs>
        <w:spacing w:line="240" w:lineRule="auto"/>
        <w:jc w:val="both"/>
        <w:rPr>
          <w:rFonts w:cs="Times New Roman"/>
          <w:sz w:val="18"/>
          <w:szCs w:val="18"/>
        </w:rPr>
      </w:pPr>
      <w:r w:rsidRPr="004A59F5">
        <w:rPr>
          <w:rFonts w:cs="Times New Roman"/>
          <w:sz w:val="18"/>
          <w:szCs w:val="18"/>
        </w:rPr>
        <w:t>Pozn.: (+) znamená pozitívny vplyv a (-) negatívny vplyv na saldo VS</w:t>
      </w:r>
      <w:r w:rsidRPr="004A59F5">
        <w:rPr>
          <w:rFonts w:cs="Times New Roman"/>
          <w:sz w:val="18"/>
          <w:szCs w:val="18"/>
        </w:rPr>
        <w:tab/>
        <w:t>Zdroj: MF SR</w:t>
      </w:r>
    </w:p>
    <w:p w14:paraId="05E9BE09" w14:textId="77777777" w:rsidR="00EC245B" w:rsidRDefault="00EC245B" w:rsidP="00FC6896">
      <w:pPr>
        <w:keepLines/>
        <w:tabs>
          <w:tab w:val="left" w:pos="0"/>
          <w:tab w:val="right" w:pos="9070"/>
        </w:tabs>
        <w:spacing w:line="240" w:lineRule="auto"/>
        <w:jc w:val="both"/>
        <w:rPr>
          <w:szCs w:val="24"/>
        </w:rPr>
      </w:pPr>
    </w:p>
    <w:p w14:paraId="73EC464C" w14:textId="27BC8291" w:rsidR="00FC6896" w:rsidRDefault="009A05C7" w:rsidP="00FC6896">
      <w:pPr>
        <w:keepLines/>
        <w:tabs>
          <w:tab w:val="left" w:pos="0"/>
          <w:tab w:val="right" w:pos="9070"/>
        </w:tabs>
        <w:spacing w:line="240" w:lineRule="auto"/>
        <w:jc w:val="both"/>
        <w:rPr>
          <w:szCs w:val="24"/>
        </w:rPr>
      </w:pPr>
      <w:r w:rsidRPr="005E34EF">
        <w:rPr>
          <w:szCs w:val="24"/>
        </w:rPr>
        <w:t>Vysvetlenie pozitívnej či negatívnej odchýlky od rozpočtu je v nasledujúcom texte pomocou opisu hotovostného plnenia rozpočtu resp. pri významných úpravách hotovostného plnenia aj pomocou vysvetlenia akrualizácie podľa metodiky ESA 2010.</w:t>
      </w:r>
      <w:r w:rsidRPr="005E34EF">
        <w:rPr>
          <w:color w:val="FF0000"/>
          <w:szCs w:val="24"/>
        </w:rPr>
        <w:t xml:space="preserve"> </w:t>
      </w:r>
      <w:r w:rsidRPr="005E34EF">
        <w:rPr>
          <w:szCs w:val="24"/>
        </w:rPr>
        <w:t>Výsledky hospodárenia podľa zložiek verejnej správy ako aj rozdiel medzi rozpočtom a skutočnosťou za rok 202</w:t>
      </w:r>
      <w:r w:rsidR="005E34EF" w:rsidRPr="005E34EF">
        <w:rPr>
          <w:szCs w:val="24"/>
        </w:rPr>
        <w:t>5</w:t>
      </w:r>
      <w:r w:rsidRPr="005E34EF">
        <w:rPr>
          <w:szCs w:val="24"/>
        </w:rPr>
        <w:t xml:space="preserve"> sú uvedené v tabuľke </w:t>
      </w:r>
      <w:r w:rsidRPr="005E34EF">
        <w:rPr>
          <w:b/>
          <w:szCs w:val="24"/>
        </w:rPr>
        <w:t>Schodok verejnej správy podľa jednotlivých (zložiek) subjektov</w:t>
      </w:r>
      <w:r w:rsidR="00BE4231">
        <w:rPr>
          <w:b/>
          <w:szCs w:val="24"/>
        </w:rPr>
        <w:t xml:space="preserve"> </w:t>
      </w:r>
      <w:r w:rsidRPr="005E34EF">
        <w:rPr>
          <w:szCs w:val="24"/>
        </w:rPr>
        <w:t>v závere kapitoly.</w:t>
      </w:r>
    </w:p>
    <w:p w14:paraId="01848DA2" w14:textId="732C0C13" w:rsidR="00EC245B" w:rsidRDefault="00EC245B">
      <w:pPr>
        <w:rPr>
          <w:szCs w:val="24"/>
        </w:rPr>
      </w:pPr>
      <w:r>
        <w:rPr>
          <w:szCs w:val="24"/>
        </w:rPr>
        <w:br w:type="page"/>
      </w:r>
    </w:p>
    <w:p w14:paraId="11B0F7DB" w14:textId="71073A0E" w:rsidR="0077421E" w:rsidRDefault="009A05C7" w:rsidP="000C46CA">
      <w:pPr>
        <w:spacing w:line="240" w:lineRule="auto"/>
        <w:jc w:val="both"/>
        <w:rPr>
          <w:b/>
          <w:color w:val="5B9BD5" w:themeColor="accent1"/>
          <w:szCs w:val="24"/>
        </w:rPr>
      </w:pPr>
      <w:r w:rsidRPr="000C46CA">
        <w:rPr>
          <w:b/>
          <w:color w:val="5B9BD5" w:themeColor="accent1"/>
          <w:szCs w:val="24"/>
        </w:rPr>
        <w:lastRenderedPageBreak/>
        <w:t>Celkové daňové a odvodové príjmy verejnej správy v metodike ESA</w:t>
      </w:r>
      <w:r w:rsidR="0077421E">
        <w:rPr>
          <w:b/>
          <w:color w:val="5B9BD5" w:themeColor="accent1"/>
          <w:szCs w:val="24"/>
        </w:rPr>
        <w:t> </w:t>
      </w:r>
      <w:r w:rsidRPr="000C46CA">
        <w:rPr>
          <w:b/>
          <w:color w:val="5B9BD5" w:themeColor="accent1"/>
          <w:szCs w:val="24"/>
        </w:rPr>
        <w:t>2010</w:t>
      </w:r>
    </w:p>
    <w:p w14:paraId="5716BA31" w14:textId="465C3EA1" w:rsidR="000C46CA" w:rsidRPr="000C46CA" w:rsidRDefault="000C46CA" w:rsidP="00247C84">
      <w:pPr>
        <w:spacing w:after="120" w:line="240" w:lineRule="auto"/>
        <w:jc w:val="both"/>
        <w:rPr>
          <w:szCs w:val="24"/>
        </w:rPr>
      </w:pPr>
      <w:r w:rsidRPr="000C46CA">
        <w:rPr>
          <w:szCs w:val="24"/>
        </w:rPr>
        <w:t xml:space="preserve">Daňové a odvodové príjmy boli na akruálnej báze </w:t>
      </w:r>
      <w:r w:rsidR="00BA6717">
        <w:rPr>
          <w:szCs w:val="24"/>
        </w:rPr>
        <w:t>horšie</w:t>
      </w:r>
      <w:r w:rsidR="00BA6717" w:rsidRPr="000C46CA">
        <w:rPr>
          <w:szCs w:val="24"/>
        </w:rPr>
        <w:t xml:space="preserve"> </w:t>
      </w:r>
      <w:r w:rsidRPr="000C46CA">
        <w:rPr>
          <w:szCs w:val="24"/>
        </w:rPr>
        <w:t>o</w:t>
      </w:r>
      <w:r w:rsidR="0077421E">
        <w:rPr>
          <w:szCs w:val="24"/>
        </w:rPr>
        <w:t> </w:t>
      </w:r>
      <w:r w:rsidRPr="000C46CA">
        <w:rPr>
          <w:szCs w:val="24"/>
        </w:rPr>
        <w:t>1</w:t>
      </w:r>
      <w:r w:rsidR="0077421E">
        <w:rPr>
          <w:szCs w:val="24"/>
        </w:rPr>
        <w:t> </w:t>
      </w:r>
      <w:r w:rsidRPr="000C46CA">
        <w:rPr>
          <w:szCs w:val="24"/>
        </w:rPr>
        <w:t>189</w:t>
      </w:r>
      <w:r w:rsidR="00BE4231">
        <w:rPr>
          <w:szCs w:val="24"/>
        </w:rPr>
        <w:t> </w:t>
      </w:r>
      <w:r w:rsidR="00927171">
        <w:rPr>
          <w:szCs w:val="24"/>
        </w:rPr>
        <w:t>197</w:t>
      </w:r>
      <w:r w:rsidR="00BE4231">
        <w:rPr>
          <w:szCs w:val="24"/>
        </w:rPr>
        <w:t> </w:t>
      </w:r>
      <w:r w:rsidR="00927171">
        <w:rPr>
          <w:szCs w:val="24"/>
        </w:rPr>
        <w:t>tis.</w:t>
      </w:r>
      <w:r w:rsidR="0077421E">
        <w:rPr>
          <w:szCs w:val="24"/>
        </w:rPr>
        <w:t> </w:t>
      </w:r>
      <w:r w:rsidRPr="000C46CA">
        <w:rPr>
          <w:szCs w:val="24"/>
        </w:rPr>
        <w:t>eur (0,87</w:t>
      </w:r>
      <w:r w:rsidR="0077421E">
        <w:rPr>
          <w:szCs w:val="24"/>
        </w:rPr>
        <w:t> </w:t>
      </w:r>
      <w:r w:rsidRPr="000C46CA">
        <w:rPr>
          <w:szCs w:val="24"/>
        </w:rPr>
        <w:t>% HDP). K poklesu najviac prispela daň z pridanej hodnoty (</w:t>
      </w:r>
      <w:r w:rsidR="00927171" w:rsidRPr="000C46CA">
        <w:rPr>
          <w:szCs w:val="24"/>
        </w:rPr>
        <w:t>81</w:t>
      </w:r>
      <w:r w:rsidR="00927171">
        <w:rPr>
          <w:szCs w:val="24"/>
        </w:rPr>
        <w:t>5</w:t>
      </w:r>
      <w:r w:rsidR="00BE4231">
        <w:rPr>
          <w:szCs w:val="24"/>
        </w:rPr>
        <w:t> </w:t>
      </w:r>
      <w:r w:rsidR="00927171">
        <w:rPr>
          <w:szCs w:val="24"/>
        </w:rPr>
        <w:t>597</w:t>
      </w:r>
      <w:r w:rsidR="00BE4231">
        <w:rPr>
          <w:szCs w:val="24"/>
        </w:rPr>
        <w:t> </w:t>
      </w:r>
      <w:r w:rsidR="00927171">
        <w:rPr>
          <w:szCs w:val="24"/>
        </w:rPr>
        <w:t>tis.</w:t>
      </w:r>
      <w:r w:rsidR="0077421E">
        <w:rPr>
          <w:szCs w:val="24"/>
        </w:rPr>
        <w:t> </w:t>
      </w:r>
      <w:r w:rsidRPr="000C46CA">
        <w:rPr>
          <w:szCs w:val="24"/>
        </w:rPr>
        <w:t>eur) a daň z príjmov právnických osôb (580</w:t>
      </w:r>
      <w:r w:rsidR="00BE4231">
        <w:rPr>
          <w:szCs w:val="24"/>
        </w:rPr>
        <w:t> </w:t>
      </w:r>
      <w:r w:rsidR="00927171">
        <w:rPr>
          <w:szCs w:val="24"/>
        </w:rPr>
        <w:t>402</w:t>
      </w:r>
      <w:r w:rsidR="00BE4231">
        <w:rPr>
          <w:szCs w:val="24"/>
        </w:rPr>
        <w:t> </w:t>
      </w:r>
      <w:r w:rsidR="00927171">
        <w:rPr>
          <w:szCs w:val="24"/>
        </w:rPr>
        <w:t>tis.</w:t>
      </w:r>
      <w:r w:rsidR="0077421E">
        <w:rPr>
          <w:szCs w:val="24"/>
        </w:rPr>
        <w:t> </w:t>
      </w:r>
      <w:r w:rsidRPr="000C46CA">
        <w:rPr>
          <w:szCs w:val="24"/>
        </w:rPr>
        <w:t>eur). V menšej miere sa na nenaplnení rozpočtu podieľali aj spotrebné dane (144</w:t>
      </w:r>
      <w:r w:rsidR="00BE4231">
        <w:rPr>
          <w:szCs w:val="24"/>
        </w:rPr>
        <w:t> </w:t>
      </w:r>
      <w:r w:rsidR="00927171">
        <w:rPr>
          <w:szCs w:val="24"/>
        </w:rPr>
        <w:t>236</w:t>
      </w:r>
      <w:r w:rsidR="00BE4231">
        <w:rPr>
          <w:szCs w:val="24"/>
        </w:rPr>
        <w:t> </w:t>
      </w:r>
      <w:r w:rsidR="00927171">
        <w:rPr>
          <w:szCs w:val="24"/>
        </w:rPr>
        <w:t>tis.</w:t>
      </w:r>
      <w:r w:rsidR="0077421E">
        <w:rPr>
          <w:szCs w:val="24"/>
        </w:rPr>
        <w:t> </w:t>
      </w:r>
      <w:r w:rsidRPr="000C46CA">
        <w:rPr>
          <w:szCs w:val="24"/>
        </w:rPr>
        <w:t>eur). Vyššie príjmy zaznamenali sociálne a zdravotné odvody (o</w:t>
      </w:r>
      <w:r w:rsidR="0077421E">
        <w:rPr>
          <w:szCs w:val="24"/>
        </w:rPr>
        <w:t> </w:t>
      </w:r>
      <w:r w:rsidRPr="000C46CA">
        <w:rPr>
          <w:szCs w:val="24"/>
        </w:rPr>
        <w:t>452</w:t>
      </w:r>
      <w:r w:rsidR="00BE4231">
        <w:rPr>
          <w:szCs w:val="24"/>
        </w:rPr>
        <w:t> </w:t>
      </w:r>
      <w:r w:rsidR="00927171">
        <w:rPr>
          <w:szCs w:val="24"/>
        </w:rPr>
        <w:t>273</w:t>
      </w:r>
      <w:r w:rsidR="00BE4231">
        <w:rPr>
          <w:szCs w:val="24"/>
        </w:rPr>
        <w:t> </w:t>
      </w:r>
      <w:r w:rsidR="00927171">
        <w:rPr>
          <w:szCs w:val="24"/>
        </w:rPr>
        <w:t>tis</w:t>
      </w:r>
      <w:r w:rsidR="0006225E">
        <w:rPr>
          <w:szCs w:val="24"/>
        </w:rPr>
        <w:t>.</w:t>
      </w:r>
      <w:r w:rsidR="0077421E">
        <w:rPr>
          <w:szCs w:val="24"/>
        </w:rPr>
        <w:t> </w:t>
      </w:r>
      <w:r w:rsidRPr="000C46CA">
        <w:rPr>
          <w:szCs w:val="24"/>
        </w:rPr>
        <w:t>eur).</w:t>
      </w:r>
    </w:p>
    <w:p w14:paraId="27643515" w14:textId="64BDECAA" w:rsidR="007253DE" w:rsidRDefault="009A05C7" w:rsidP="00532D85">
      <w:pPr>
        <w:spacing w:line="240" w:lineRule="auto"/>
        <w:jc w:val="both"/>
        <w:rPr>
          <w:szCs w:val="24"/>
        </w:rPr>
      </w:pPr>
      <w:r w:rsidRPr="00E97C50">
        <w:rPr>
          <w:szCs w:val="24"/>
        </w:rPr>
        <w:t xml:space="preserve">Na rozdiel skutočných daňových príjmov oproti rozpočtu mali vplyv </w:t>
      </w:r>
      <w:r w:rsidR="000C46CA" w:rsidRPr="00E97C50">
        <w:rPr>
          <w:szCs w:val="24"/>
        </w:rPr>
        <w:t xml:space="preserve">aj </w:t>
      </w:r>
      <w:r w:rsidRPr="00E97C50">
        <w:rPr>
          <w:szCs w:val="24"/>
        </w:rPr>
        <w:t>ostatné metodické úpravy ako príjmy dosahované z podpory obnoviteľných zdrojov energie a vysoko účinnej kombinovanej výroby elektriny a tepla (pokles príjmov z podpory tzv. „zelenej energie“ o </w:t>
      </w:r>
      <w:r w:rsidR="00E97C50" w:rsidRPr="00E97C50">
        <w:rPr>
          <w:szCs w:val="24"/>
        </w:rPr>
        <w:t>106 744</w:t>
      </w:r>
      <w:r w:rsidRPr="00E97C50">
        <w:rPr>
          <w:szCs w:val="24"/>
        </w:rPr>
        <w:t> tis. eur), príjmy zo spotreby emisných kvót (</w:t>
      </w:r>
      <w:r w:rsidR="00E97C50" w:rsidRPr="00E97C50">
        <w:rPr>
          <w:szCs w:val="24"/>
        </w:rPr>
        <w:t xml:space="preserve">pokles </w:t>
      </w:r>
      <w:r w:rsidRPr="00E97C50">
        <w:rPr>
          <w:szCs w:val="24"/>
        </w:rPr>
        <w:t>o </w:t>
      </w:r>
      <w:r w:rsidR="00E97C50" w:rsidRPr="00E97C50">
        <w:rPr>
          <w:szCs w:val="24"/>
        </w:rPr>
        <w:t>15 978</w:t>
      </w:r>
      <w:r w:rsidRPr="00E97C50">
        <w:rPr>
          <w:szCs w:val="24"/>
        </w:rPr>
        <w:t> tis. eur) a príjmy z príspevkov prevádzkovateľov hazardných hier (nárast o </w:t>
      </w:r>
      <w:r w:rsidR="00E97C50" w:rsidRPr="00E97C50">
        <w:rPr>
          <w:szCs w:val="24"/>
        </w:rPr>
        <w:t>1 150</w:t>
      </w:r>
      <w:r w:rsidRPr="00E97C50">
        <w:rPr>
          <w:szCs w:val="24"/>
        </w:rPr>
        <w:t> tis. eur).</w:t>
      </w:r>
    </w:p>
    <w:p w14:paraId="419A4428" w14:textId="77777777" w:rsidR="007253DE" w:rsidRDefault="007253DE" w:rsidP="00532D85">
      <w:pPr>
        <w:spacing w:line="240" w:lineRule="auto"/>
        <w:jc w:val="both"/>
        <w:rPr>
          <w:szCs w:val="24"/>
        </w:rPr>
      </w:pPr>
    </w:p>
    <w:p w14:paraId="1D34E321" w14:textId="4A553335" w:rsidR="009A05C7" w:rsidRPr="0050710A" w:rsidRDefault="009A05C7" w:rsidP="00532D85">
      <w:pPr>
        <w:spacing w:line="240" w:lineRule="auto"/>
        <w:jc w:val="both"/>
        <w:rPr>
          <w:szCs w:val="24"/>
          <w:highlight w:val="yellow"/>
        </w:rPr>
      </w:pPr>
      <w:r w:rsidRPr="000371F5">
        <w:rPr>
          <w:szCs w:val="24"/>
        </w:rPr>
        <w:t>V prípade odvodových príjmov oproti rozpočtu pozitívne vplývalo imputovanie nových pohľadávok Sociálnej poisťovne na poistnom voči zdravotníckym zariadeniam (nárast o 2</w:t>
      </w:r>
      <w:r w:rsidR="000371F5" w:rsidRPr="000371F5">
        <w:rPr>
          <w:szCs w:val="24"/>
        </w:rPr>
        <w:t>62</w:t>
      </w:r>
      <w:r w:rsidRPr="000371F5">
        <w:rPr>
          <w:szCs w:val="24"/>
        </w:rPr>
        <w:t> </w:t>
      </w:r>
      <w:r w:rsidR="000371F5" w:rsidRPr="000371F5">
        <w:rPr>
          <w:szCs w:val="24"/>
        </w:rPr>
        <w:t>367</w:t>
      </w:r>
      <w:r w:rsidRPr="000371F5">
        <w:rPr>
          <w:szCs w:val="24"/>
        </w:rPr>
        <w:t> tis. eur)</w:t>
      </w:r>
      <w:r w:rsidR="000371F5" w:rsidRPr="000371F5">
        <w:rPr>
          <w:szCs w:val="24"/>
        </w:rPr>
        <w:t>.</w:t>
      </w:r>
    </w:p>
    <w:p w14:paraId="6ADDE771" w14:textId="77777777" w:rsidR="00415273" w:rsidRPr="0050710A" w:rsidRDefault="00415273" w:rsidP="00532D85">
      <w:pPr>
        <w:spacing w:line="240" w:lineRule="auto"/>
        <w:jc w:val="both"/>
        <w:rPr>
          <w:b/>
          <w:szCs w:val="24"/>
          <w:highlight w:val="yellow"/>
        </w:rPr>
      </w:pPr>
    </w:p>
    <w:p w14:paraId="10FA2F20" w14:textId="61F4B743" w:rsidR="009A05C7" w:rsidRPr="0050710A" w:rsidRDefault="009A05C7" w:rsidP="00532D85">
      <w:pPr>
        <w:spacing w:line="240" w:lineRule="auto"/>
        <w:jc w:val="both"/>
        <w:rPr>
          <w:szCs w:val="24"/>
          <w:highlight w:val="yellow"/>
        </w:rPr>
      </w:pPr>
      <w:r w:rsidRPr="00816218">
        <w:rPr>
          <w:b/>
          <w:szCs w:val="24"/>
        </w:rPr>
        <w:t>Celkové daňové a odvodové príjmy</w:t>
      </w:r>
      <w:r w:rsidR="00816218" w:rsidRPr="00816218">
        <w:rPr>
          <w:b/>
          <w:szCs w:val="24"/>
        </w:rPr>
        <w:t xml:space="preserve"> na akruálnej báze</w:t>
      </w:r>
      <w:r w:rsidRPr="00816218">
        <w:rPr>
          <w:b/>
          <w:szCs w:val="24"/>
        </w:rPr>
        <w:t xml:space="preserve"> (prognózované Výborom pre daňové prognózy</w:t>
      </w:r>
      <w:r w:rsidRPr="00816218">
        <w:rPr>
          <w:szCs w:val="24"/>
        </w:rPr>
        <w:t xml:space="preserve">) </w:t>
      </w:r>
      <w:r w:rsidR="00816218" w:rsidRPr="00816218">
        <w:rPr>
          <w:szCs w:val="24"/>
        </w:rPr>
        <w:t>boli</w:t>
      </w:r>
      <w:r w:rsidR="00816218" w:rsidRPr="006817DA">
        <w:rPr>
          <w:szCs w:val="24"/>
        </w:rPr>
        <w:t xml:space="preserve"> rozpočtované v objeme 46 046</w:t>
      </w:r>
      <w:r w:rsidR="00816218">
        <w:rPr>
          <w:szCs w:val="24"/>
        </w:rPr>
        <w:t> </w:t>
      </w:r>
      <w:r w:rsidR="00816218" w:rsidRPr="006817DA">
        <w:rPr>
          <w:szCs w:val="24"/>
        </w:rPr>
        <w:t>665</w:t>
      </w:r>
      <w:r w:rsidR="00816218">
        <w:rPr>
          <w:szCs w:val="24"/>
        </w:rPr>
        <w:t> </w:t>
      </w:r>
      <w:r w:rsidR="00816218" w:rsidRPr="006817DA">
        <w:rPr>
          <w:szCs w:val="24"/>
        </w:rPr>
        <w:t>tis.</w:t>
      </w:r>
      <w:r w:rsidR="00816218">
        <w:rPr>
          <w:szCs w:val="24"/>
        </w:rPr>
        <w:t> </w:t>
      </w:r>
      <w:r w:rsidR="00816218" w:rsidRPr="006817DA">
        <w:rPr>
          <w:szCs w:val="24"/>
        </w:rPr>
        <w:t>eur. Skutočné príjmy</w:t>
      </w:r>
      <w:r w:rsidR="00816218" w:rsidRPr="006817DA">
        <w:rPr>
          <w:rStyle w:val="Odkaznapoznmkupodiarou"/>
          <w:szCs w:val="24"/>
        </w:rPr>
        <w:footnoteReference w:id="6"/>
      </w:r>
      <w:r w:rsidR="00816218" w:rsidRPr="006817DA">
        <w:rPr>
          <w:szCs w:val="24"/>
        </w:rPr>
        <w:t xml:space="preserve"> boli o 1</w:t>
      </w:r>
      <w:r w:rsidR="00816218">
        <w:rPr>
          <w:szCs w:val="24"/>
        </w:rPr>
        <w:t> 364 </w:t>
      </w:r>
      <w:r w:rsidR="00BA6717">
        <w:rPr>
          <w:szCs w:val="24"/>
        </w:rPr>
        <w:t>844 </w:t>
      </w:r>
      <w:r w:rsidR="00816218" w:rsidRPr="006817DA">
        <w:rPr>
          <w:szCs w:val="24"/>
        </w:rPr>
        <w:t>tis.</w:t>
      </w:r>
      <w:r w:rsidR="00816218">
        <w:rPr>
          <w:szCs w:val="24"/>
        </w:rPr>
        <w:t> </w:t>
      </w:r>
      <w:r w:rsidR="00816218" w:rsidRPr="006817DA">
        <w:rPr>
          <w:szCs w:val="24"/>
        </w:rPr>
        <w:t xml:space="preserve">eur nižšie a dosiahli výšku </w:t>
      </w:r>
      <w:r w:rsidR="00816218">
        <w:rPr>
          <w:szCs w:val="24"/>
        </w:rPr>
        <w:t>44 681 </w:t>
      </w:r>
      <w:r w:rsidR="00BA6717">
        <w:rPr>
          <w:szCs w:val="24"/>
        </w:rPr>
        <w:t>821 </w:t>
      </w:r>
      <w:r w:rsidR="00816218" w:rsidRPr="006817DA">
        <w:rPr>
          <w:szCs w:val="24"/>
        </w:rPr>
        <w:t>tis.</w:t>
      </w:r>
      <w:r w:rsidR="00816218">
        <w:rPr>
          <w:szCs w:val="24"/>
        </w:rPr>
        <w:t> </w:t>
      </w:r>
      <w:r w:rsidR="00816218" w:rsidRPr="006817DA">
        <w:rPr>
          <w:szCs w:val="24"/>
        </w:rPr>
        <w:t>eur. Za poklesom sú najmä daň z pridanej hodnoty a daň z príjmov právnických osôb. V menšej miere sa na</w:t>
      </w:r>
      <w:r w:rsidR="00816218">
        <w:rPr>
          <w:szCs w:val="24"/>
        </w:rPr>
        <w:t> </w:t>
      </w:r>
      <w:r w:rsidR="00816218" w:rsidRPr="006817DA">
        <w:rPr>
          <w:szCs w:val="24"/>
        </w:rPr>
        <w:t>nenaplnení rozpočtu podieľali aj spotrebné dane a daň z finančných transakcií. Vyššie príjmy zaznamenali sociálne a zdravotné odvody.</w:t>
      </w:r>
    </w:p>
    <w:p w14:paraId="1AA1B8EF" w14:textId="77777777" w:rsidR="00402102" w:rsidRPr="0050710A" w:rsidRDefault="00402102" w:rsidP="00532D85">
      <w:pPr>
        <w:spacing w:line="240" w:lineRule="auto"/>
        <w:jc w:val="both"/>
        <w:rPr>
          <w:szCs w:val="24"/>
          <w:highlight w:val="yellow"/>
        </w:rPr>
      </w:pPr>
    </w:p>
    <w:p w14:paraId="0A91B36F" w14:textId="1B5C6FEA" w:rsidR="00D96E6C" w:rsidRDefault="00D96E6C" w:rsidP="00532D85">
      <w:pPr>
        <w:pStyle w:val="Popis"/>
        <w:jc w:val="both"/>
      </w:pPr>
      <w:bookmarkStart w:id="44" w:name="_Toc196313634"/>
      <w:bookmarkStart w:id="45" w:name="_Toc227670144"/>
      <w:r w:rsidRPr="00356A3D">
        <w:t xml:space="preserve">Tabuľka </w:t>
      </w:r>
      <w:r w:rsidR="00995280">
        <w:fldChar w:fldCharType="begin"/>
      </w:r>
      <w:r w:rsidR="00995280">
        <w:instrText xml:space="preserve"> SEQ Tabuľka \* ARABIC </w:instrText>
      </w:r>
      <w:r w:rsidR="00995280">
        <w:fldChar w:fldCharType="separate"/>
      </w:r>
      <w:r w:rsidR="00396BE8">
        <w:rPr>
          <w:noProof/>
        </w:rPr>
        <w:t>8</w:t>
      </w:r>
      <w:r w:rsidR="00995280">
        <w:rPr>
          <w:noProof/>
        </w:rPr>
        <w:fldChar w:fldCharType="end"/>
      </w:r>
      <w:r w:rsidRPr="00356A3D">
        <w:t xml:space="preserve"> - Vybrané daňové a odvodové príjmy </w:t>
      </w:r>
      <w:r w:rsidR="001D18C1" w:rsidRPr="00356A3D">
        <w:t xml:space="preserve">v metodike </w:t>
      </w:r>
      <w:r w:rsidRPr="00356A3D">
        <w:t>ESA2010</w:t>
      </w:r>
      <w:bookmarkEnd w:id="44"/>
      <w:bookmarkEnd w:id="45"/>
    </w:p>
    <w:tbl>
      <w:tblPr>
        <w:tblW w:w="4971" w:type="pct"/>
        <w:tblLayout w:type="fixed"/>
        <w:tblCellMar>
          <w:left w:w="70" w:type="dxa"/>
          <w:right w:w="70" w:type="dxa"/>
        </w:tblCellMar>
        <w:tblLook w:val="04A0" w:firstRow="1" w:lastRow="0" w:firstColumn="1" w:lastColumn="0" w:noHBand="0" w:noVBand="1"/>
      </w:tblPr>
      <w:tblGrid>
        <w:gridCol w:w="4011"/>
        <w:gridCol w:w="959"/>
        <w:gridCol w:w="1048"/>
        <w:gridCol w:w="1001"/>
        <w:gridCol w:w="961"/>
        <w:gridCol w:w="1037"/>
      </w:tblGrid>
      <w:tr w:rsidR="00E83147" w:rsidRPr="00356A3D" w14:paraId="1047BF2F" w14:textId="77777777" w:rsidTr="007E659C">
        <w:trPr>
          <w:trHeight w:val="295"/>
          <w:tblHeader/>
        </w:trPr>
        <w:tc>
          <w:tcPr>
            <w:tcW w:w="2224" w:type="pct"/>
            <w:vMerge w:val="restart"/>
            <w:tcBorders>
              <w:top w:val="single" w:sz="4" w:space="0" w:color="auto"/>
              <w:left w:val="nil"/>
              <w:bottom w:val="single" w:sz="4" w:space="0" w:color="000000"/>
              <w:right w:val="nil"/>
            </w:tcBorders>
            <w:noWrap/>
            <w:vAlign w:val="center"/>
            <w:hideMark/>
          </w:tcPr>
          <w:p w14:paraId="35684A86" w14:textId="77777777" w:rsidR="00356A3D" w:rsidRPr="00356A3D" w:rsidRDefault="00356A3D" w:rsidP="00356A3D">
            <w:pPr>
              <w:spacing w:line="240" w:lineRule="auto"/>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 xml:space="preserve">v tis. eur </w:t>
            </w:r>
          </w:p>
        </w:tc>
        <w:tc>
          <w:tcPr>
            <w:tcW w:w="532" w:type="pct"/>
            <w:tcBorders>
              <w:top w:val="single" w:sz="4" w:space="0" w:color="auto"/>
              <w:left w:val="nil"/>
              <w:bottom w:val="nil"/>
              <w:right w:val="nil"/>
            </w:tcBorders>
            <w:noWrap/>
            <w:vAlign w:val="center"/>
            <w:hideMark/>
          </w:tcPr>
          <w:p w14:paraId="7CFFC460"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2023 S</w:t>
            </w:r>
          </w:p>
        </w:tc>
        <w:tc>
          <w:tcPr>
            <w:tcW w:w="581" w:type="pct"/>
            <w:tcBorders>
              <w:top w:val="single" w:sz="4" w:space="0" w:color="auto"/>
              <w:left w:val="nil"/>
              <w:bottom w:val="nil"/>
              <w:right w:val="nil"/>
            </w:tcBorders>
            <w:noWrap/>
            <w:vAlign w:val="center"/>
            <w:hideMark/>
          </w:tcPr>
          <w:p w14:paraId="7B1DA4F0" w14:textId="77777777" w:rsidR="00356A3D" w:rsidRPr="00356A3D" w:rsidRDefault="00356A3D" w:rsidP="00356A3D">
            <w:pPr>
              <w:spacing w:line="240" w:lineRule="auto"/>
              <w:jc w:val="center"/>
              <w:rPr>
                <w:rFonts w:eastAsia="Times New Roman" w:cs="Times New Roman"/>
                <w:b/>
                <w:bCs/>
                <w:color w:val="000000"/>
                <w:sz w:val="18"/>
                <w:szCs w:val="18"/>
                <w:lang w:eastAsia="sk-SK"/>
              </w:rPr>
            </w:pPr>
            <w:bookmarkStart w:id="46" w:name="RANGE!C3"/>
            <w:r w:rsidRPr="00356A3D">
              <w:rPr>
                <w:rFonts w:eastAsia="Times New Roman" w:cs="Times New Roman"/>
                <w:b/>
                <w:bCs/>
                <w:color w:val="000000"/>
                <w:sz w:val="18"/>
                <w:szCs w:val="18"/>
                <w:lang w:eastAsia="sk-SK"/>
              </w:rPr>
              <w:t>2024 S</w:t>
            </w:r>
            <w:bookmarkEnd w:id="46"/>
          </w:p>
        </w:tc>
        <w:tc>
          <w:tcPr>
            <w:tcW w:w="555" w:type="pct"/>
            <w:tcBorders>
              <w:top w:val="single" w:sz="4" w:space="0" w:color="auto"/>
              <w:left w:val="nil"/>
              <w:bottom w:val="nil"/>
              <w:right w:val="nil"/>
            </w:tcBorders>
            <w:noWrap/>
            <w:vAlign w:val="center"/>
            <w:hideMark/>
          </w:tcPr>
          <w:p w14:paraId="3B4D7403"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2025 R</w:t>
            </w:r>
          </w:p>
        </w:tc>
        <w:tc>
          <w:tcPr>
            <w:tcW w:w="533" w:type="pct"/>
            <w:tcBorders>
              <w:top w:val="single" w:sz="4" w:space="0" w:color="auto"/>
              <w:left w:val="nil"/>
              <w:bottom w:val="nil"/>
              <w:right w:val="nil"/>
            </w:tcBorders>
            <w:noWrap/>
            <w:vAlign w:val="center"/>
            <w:hideMark/>
          </w:tcPr>
          <w:p w14:paraId="2568756D"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2025 S</w:t>
            </w:r>
          </w:p>
        </w:tc>
        <w:tc>
          <w:tcPr>
            <w:tcW w:w="575" w:type="pct"/>
            <w:tcBorders>
              <w:top w:val="single" w:sz="4" w:space="0" w:color="auto"/>
              <w:left w:val="nil"/>
              <w:bottom w:val="nil"/>
              <w:right w:val="nil"/>
            </w:tcBorders>
            <w:noWrap/>
            <w:vAlign w:val="center"/>
            <w:hideMark/>
          </w:tcPr>
          <w:p w14:paraId="336DA460"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Rozdiel</w:t>
            </w:r>
          </w:p>
        </w:tc>
      </w:tr>
      <w:tr w:rsidR="00E83147" w:rsidRPr="00356A3D" w14:paraId="6768B569" w14:textId="77777777" w:rsidTr="00F8195D">
        <w:trPr>
          <w:trHeight w:val="211"/>
          <w:tblHeader/>
        </w:trPr>
        <w:tc>
          <w:tcPr>
            <w:tcW w:w="2224" w:type="pct"/>
            <w:vMerge/>
            <w:tcBorders>
              <w:top w:val="single" w:sz="4" w:space="0" w:color="auto"/>
              <w:left w:val="nil"/>
              <w:bottom w:val="single" w:sz="4" w:space="0" w:color="000000"/>
              <w:right w:val="nil"/>
            </w:tcBorders>
            <w:vAlign w:val="center"/>
            <w:hideMark/>
          </w:tcPr>
          <w:p w14:paraId="2B7E2C6B" w14:textId="77777777" w:rsidR="00356A3D" w:rsidRPr="00356A3D" w:rsidRDefault="00356A3D" w:rsidP="00356A3D">
            <w:pPr>
              <w:spacing w:line="240" w:lineRule="auto"/>
              <w:rPr>
                <w:rFonts w:eastAsia="Times New Roman" w:cs="Times New Roman"/>
                <w:b/>
                <w:bCs/>
                <w:color w:val="000000"/>
                <w:sz w:val="18"/>
                <w:szCs w:val="18"/>
                <w:lang w:eastAsia="sk-SK"/>
              </w:rPr>
            </w:pPr>
          </w:p>
        </w:tc>
        <w:tc>
          <w:tcPr>
            <w:tcW w:w="532" w:type="pct"/>
            <w:tcBorders>
              <w:top w:val="nil"/>
              <w:left w:val="nil"/>
              <w:bottom w:val="single" w:sz="4" w:space="0" w:color="auto"/>
              <w:right w:val="nil"/>
            </w:tcBorders>
            <w:noWrap/>
            <w:vAlign w:val="center"/>
            <w:hideMark/>
          </w:tcPr>
          <w:p w14:paraId="227ABD25"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1</w:t>
            </w:r>
          </w:p>
        </w:tc>
        <w:tc>
          <w:tcPr>
            <w:tcW w:w="581" w:type="pct"/>
            <w:tcBorders>
              <w:top w:val="nil"/>
              <w:left w:val="nil"/>
              <w:bottom w:val="single" w:sz="4" w:space="0" w:color="auto"/>
              <w:right w:val="nil"/>
            </w:tcBorders>
            <w:noWrap/>
            <w:vAlign w:val="center"/>
            <w:hideMark/>
          </w:tcPr>
          <w:p w14:paraId="59B6F7BA"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w:t>
            </w:r>
          </w:p>
        </w:tc>
        <w:tc>
          <w:tcPr>
            <w:tcW w:w="555" w:type="pct"/>
            <w:tcBorders>
              <w:top w:val="nil"/>
              <w:left w:val="nil"/>
              <w:bottom w:val="single" w:sz="4" w:space="0" w:color="auto"/>
              <w:right w:val="nil"/>
            </w:tcBorders>
            <w:noWrap/>
            <w:vAlign w:val="center"/>
            <w:hideMark/>
          </w:tcPr>
          <w:p w14:paraId="5B4A78C1"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3</w:t>
            </w:r>
          </w:p>
        </w:tc>
        <w:tc>
          <w:tcPr>
            <w:tcW w:w="533" w:type="pct"/>
            <w:tcBorders>
              <w:top w:val="nil"/>
              <w:left w:val="nil"/>
              <w:bottom w:val="single" w:sz="4" w:space="0" w:color="auto"/>
              <w:right w:val="nil"/>
            </w:tcBorders>
            <w:noWrap/>
            <w:vAlign w:val="center"/>
            <w:hideMark/>
          </w:tcPr>
          <w:p w14:paraId="53076A51"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4</w:t>
            </w:r>
          </w:p>
        </w:tc>
        <w:tc>
          <w:tcPr>
            <w:tcW w:w="575" w:type="pct"/>
            <w:tcBorders>
              <w:top w:val="nil"/>
              <w:left w:val="nil"/>
              <w:bottom w:val="single" w:sz="4" w:space="0" w:color="auto"/>
              <w:right w:val="nil"/>
            </w:tcBorders>
            <w:noWrap/>
            <w:vAlign w:val="center"/>
            <w:hideMark/>
          </w:tcPr>
          <w:p w14:paraId="5E8675F9" w14:textId="77777777" w:rsidR="00356A3D" w:rsidRPr="00356A3D" w:rsidRDefault="00356A3D" w:rsidP="00356A3D">
            <w:pPr>
              <w:spacing w:line="240" w:lineRule="auto"/>
              <w:jc w:val="center"/>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5=4-3</w:t>
            </w:r>
          </w:p>
        </w:tc>
      </w:tr>
      <w:tr w:rsidR="00E83147" w:rsidRPr="00356A3D" w14:paraId="09A6DF43" w14:textId="77777777" w:rsidTr="007E659C">
        <w:trPr>
          <w:trHeight w:val="320"/>
        </w:trPr>
        <w:tc>
          <w:tcPr>
            <w:tcW w:w="2224" w:type="pct"/>
            <w:tcBorders>
              <w:top w:val="nil"/>
              <w:left w:val="nil"/>
              <w:bottom w:val="nil"/>
              <w:right w:val="nil"/>
            </w:tcBorders>
            <w:noWrap/>
            <w:vAlign w:val="center"/>
            <w:hideMark/>
          </w:tcPr>
          <w:p w14:paraId="370462D3"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Daň z príjmov fyzických osôb</w:t>
            </w:r>
          </w:p>
        </w:tc>
        <w:tc>
          <w:tcPr>
            <w:tcW w:w="532" w:type="pct"/>
            <w:tcBorders>
              <w:top w:val="nil"/>
              <w:left w:val="nil"/>
              <w:bottom w:val="nil"/>
              <w:right w:val="nil"/>
            </w:tcBorders>
            <w:noWrap/>
            <w:vAlign w:val="center"/>
            <w:hideMark/>
          </w:tcPr>
          <w:p w14:paraId="3E4FFEC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4 685 122</w:t>
            </w:r>
          </w:p>
        </w:tc>
        <w:tc>
          <w:tcPr>
            <w:tcW w:w="581" w:type="pct"/>
            <w:tcBorders>
              <w:top w:val="nil"/>
              <w:left w:val="nil"/>
              <w:bottom w:val="nil"/>
              <w:right w:val="nil"/>
            </w:tcBorders>
            <w:noWrap/>
            <w:vAlign w:val="center"/>
            <w:hideMark/>
          </w:tcPr>
          <w:p w14:paraId="1DEE3F7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4 856 605</w:t>
            </w:r>
          </w:p>
        </w:tc>
        <w:tc>
          <w:tcPr>
            <w:tcW w:w="555" w:type="pct"/>
            <w:tcBorders>
              <w:top w:val="nil"/>
              <w:left w:val="nil"/>
              <w:bottom w:val="nil"/>
              <w:right w:val="nil"/>
            </w:tcBorders>
            <w:noWrap/>
            <w:vAlign w:val="center"/>
            <w:hideMark/>
          </w:tcPr>
          <w:p w14:paraId="58054E8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5 157 488</w:t>
            </w:r>
          </w:p>
        </w:tc>
        <w:tc>
          <w:tcPr>
            <w:tcW w:w="533" w:type="pct"/>
            <w:tcBorders>
              <w:top w:val="nil"/>
              <w:left w:val="nil"/>
              <w:bottom w:val="nil"/>
              <w:right w:val="nil"/>
            </w:tcBorders>
            <w:noWrap/>
            <w:vAlign w:val="center"/>
            <w:hideMark/>
          </w:tcPr>
          <w:p w14:paraId="5EA3A2B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5 170 918</w:t>
            </w:r>
          </w:p>
        </w:tc>
        <w:tc>
          <w:tcPr>
            <w:tcW w:w="575" w:type="pct"/>
            <w:tcBorders>
              <w:top w:val="nil"/>
              <w:left w:val="nil"/>
              <w:bottom w:val="nil"/>
              <w:right w:val="nil"/>
            </w:tcBorders>
            <w:noWrap/>
            <w:vAlign w:val="center"/>
            <w:hideMark/>
          </w:tcPr>
          <w:p w14:paraId="46A6D785"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13 430</w:t>
            </w:r>
          </w:p>
        </w:tc>
      </w:tr>
      <w:tr w:rsidR="00E83147" w:rsidRPr="00356A3D" w14:paraId="618B07AF" w14:textId="77777777" w:rsidTr="007E659C">
        <w:trPr>
          <w:trHeight w:val="295"/>
        </w:trPr>
        <w:tc>
          <w:tcPr>
            <w:tcW w:w="2224" w:type="pct"/>
            <w:tcBorders>
              <w:top w:val="nil"/>
              <w:left w:val="nil"/>
              <w:bottom w:val="nil"/>
              <w:right w:val="nil"/>
            </w:tcBorders>
            <w:noWrap/>
            <w:vAlign w:val="center"/>
            <w:hideMark/>
          </w:tcPr>
          <w:p w14:paraId="61CFCDED"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závislá činnosť</w:t>
            </w:r>
          </w:p>
        </w:tc>
        <w:tc>
          <w:tcPr>
            <w:tcW w:w="532" w:type="pct"/>
            <w:tcBorders>
              <w:top w:val="nil"/>
              <w:left w:val="nil"/>
              <w:bottom w:val="nil"/>
              <w:right w:val="nil"/>
            </w:tcBorders>
            <w:noWrap/>
            <w:vAlign w:val="center"/>
            <w:hideMark/>
          </w:tcPr>
          <w:p w14:paraId="7C1BECF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4 541 630</w:t>
            </w:r>
          </w:p>
        </w:tc>
        <w:tc>
          <w:tcPr>
            <w:tcW w:w="581" w:type="pct"/>
            <w:tcBorders>
              <w:top w:val="nil"/>
              <w:left w:val="nil"/>
              <w:bottom w:val="nil"/>
              <w:right w:val="nil"/>
            </w:tcBorders>
            <w:noWrap/>
            <w:vAlign w:val="center"/>
            <w:hideMark/>
          </w:tcPr>
          <w:p w14:paraId="565EA0D6" w14:textId="77777777" w:rsidR="00356A3D" w:rsidRPr="00356A3D" w:rsidRDefault="00356A3D" w:rsidP="00356A3D">
            <w:pPr>
              <w:spacing w:line="240" w:lineRule="auto"/>
              <w:jc w:val="right"/>
              <w:rPr>
                <w:rFonts w:eastAsia="Times New Roman" w:cs="Times New Roman"/>
                <w:color w:val="000000"/>
                <w:sz w:val="18"/>
                <w:szCs w:val="18"/>
                <w:lang w:eastAsia="sk-SK"/>
              </w:rPr>
            </w:pPr>
            <w:bookmarkStart w:id="47" w:name="RANGE!C6"/>
            <w:r w:rsidRPr="00356A3D">
              <w:rPr>
                <w:rFonts w:eastAsia="Times New Roman" w:cs="Times New Roman"/>
                <w:color w:val="000000"/>
                <w:sz w:val="18"/>
                <w:szCs w:val="18"/>
                <w:lang w:eastAsia="sk-SK"/>
              </w:rPr>
              <w:t>4 656 277</w:t>
            </w:r>
            <w:bookmarkEnd w:id="47"/>
          </w:p>
        </w:tc>
        <w:tc>
          <w:tcPr>
            <w:tcW w:w="555" w:type="pct"/>
            <w:tcBorders>
              <w:top w:val="nil"/>
              <w:left w:val="nil"/>
              <w:bottom w:val="nil"/>
              <w:right w:val="nil"/>
            </w:tcBorders>
            <w:noWrap/>
            <w:vAlign w:val="center"/>
            <w:hideMark/>
          </w:tcPr>
          <w:p w14:paraId="074D1B2C"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4 996 200</w:t>
            </w:r>
          </w:p>
        </w:tc>
        <w:tc>
          <w:tcPr>
            <w:tcW w:w="533" w:type="pct"/>
            <w:tcBorders>
              <w:top w:val="nil"/>
              <w:left w:val="nil"/>
              <w:bottom w:val="nil"/>
              <w:right w:val="nil"/>
            </w:tcBorders>
            <w:noWrap/>
            <w:vAlign w:val="center"/>
            <w:hideMark/>
          </w:tcPr>
          <w:p w14:paraId="341809E7"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4 981 746</w:t>
            </w:r>
          </w:p>
        </w:tc>
        <w:tc>
          <w:tcPr>
            <w:tcW w:w="575" w:type="pct"/>
            <w:tcBorders>
              <w:top w:val="nil"/>
              <w:left w:val="nil"/>
              <w:bottom w:val="nil"/>
              <w:right w:val="nil"/>
            </w:tcBorders>
            <w:noWrap/>
            <w:vAlign w:val="center"/>
            <w:hideMark/>
          </w:tcPr>
          <w:p w14:paraId="1940AF1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-14 454</w:t>
            </w:r>
          </w:p>
        </w:tc>
      </w:tr>
      <w:tr w:rsidR="00E83147" w:rsidRPr="00356A3D" w14:paraId="3A6BCB3A" w14:textId="77777777" w:rsidTr="007E659C">
        <w:trPr>
          <w:trHeight w:val="295"/>
        </w:trPr>
        <w:tc>
          <w:tcPr>
            <w:tcW w:w="2224" w:type="pct"/>
            <w:tcBorders>
              <w:top w:val="nil"/>
              <w:left w:val="nil"/>
              <w:bottom w:val="nil"/>
              <w:right w:val="nil"/>
            </w:tcBorders>
            <w:noWrap/>
            <w:vAlign w:val="center"/>
            <w:hideMark/>
          </w:tcPr>
          <w:p w14:paraId="2DB2B318"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podnikanie</w:t>
            </w:r>
          </w:p>
        </w:tc>
        <w:tc>
          <w:tcPr>
            <w:tcW w:w="532" w:type="pct"/>
            <w:tcBorders>
              <w:top w:val="nil"/>
              <w:left w:val="nil"/>
              <w:bottom w:val="nil"/>
              <w:right w:val="nil"/>
            </w:tcBorders>
            <w:noWrap/>
            <w:vAlign w:val="center"/>
            <w:hideMark/>
          </w:tcPr>
          <w:p w14:paraId="3B8D767C"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143 492</w:t>
            </w:r>
          </w:p>
        </w:tc>
        <w:tc>
          <w:tcPr>
            <w:tcW w:w="581" w:type="pct"/>
            <w:tcBorders>
              <w:top w:val="nil"/>
              <w:left w:val="nil"/>
              <w:bottom w:val="nil"/>
              <w:right w:val="nil"/>
            </w:tcBorders>
            <w:noWrap/>
            <w:vAlign w:val="center"/>
            <w:hideMark/>
          </w:tcPr>
          <w:p w14:paraId="3D0759ED"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200 328</w:t>
            </w:r>
          </w:p>
        </w:tc>
        <w:tc>
          <w:tcPr>
            <w:tcW w:w="555" w:type="pct"/>
            <w:tcBorders>
              <w:top w:val="nil"/>
              <w:left w:val="nil"/>
              <w:bottom w:val="nil"/>
              <w:right w:val="nil"/>
            </w:tcBorders>
            <w:noWrap/>
            <w:vAlign w:val="center"/>
            <w:hideMark/>
          </w:tcPr>
          <w:p w14:paraId="5E119BA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161 288</w:t>
            </w:r>
          </w:p>
        </w:tc>
        <w:tc>
          <w:tcPr>
            <w:tcW w:w="533" w:type="pct"/>
            <w:tcBorders>
              <w:top w:val="nil"/>
              <w:left w:val="nil"/>
              <w:bottom w:val="nil"/>
              <w:right w:val="nil"/>
            </w:tcBorders>
            <w:noWrap/>
            <w:vAlign w:val="center"/>
            <w:hideMark/>
          </w:tcPr>
          <w:p w14:paraId="648C7B14"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189 172</w:t>
            </w:r>
          </w:p>
        </w:tc>
        <w:tc>
          <w:tcPr>
            <w:tcW w:w="575" w:type="pct"/>
            <w:tcBorders>
              <w:top w:val="nil"/>
              <w:left w:val="nil"/>
              <w:bottom w:val="nil"/>
              <w:right w:val="nil"/>
            </w:tcBorders>
            <w:noWrap/>
            <w:vAlign w:val="center"/>
            <w:hideMark/>
          </w:tcPr>
          <w:p w14:paraId="7C5A975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27 884</w:t>
            </w:r>
          </w:p>
        </w:tc>
      </w:tr>
      <w:tr w:rsidR="00E83147" w:rsidRPr="00356A3D" w14:paraId="68F31E84" w14:textId="77777777" w:rsidTr="007E659C">
        <w:trPr>
          <w:trHeight w:val="295"/>
        </w:trPr>
        <w:tc>
          <w:tcPr>
            <w:tcW w:w="2224" w:type="pct"/>
            <w:tcBorders>
              <w:top w:val="nil"/>
              <w:left w:val="nil"/>
              <w:bottom w:val="nil"/>
              <w:right w:val="nil"/>
            </w:tcBorders>
            <w:noWrap/>
            <w:vAlign w:val="center"/>
            <w:hideMark/>
          </w:tcPr>
          <w:p w14:paraId="546050F4"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Daň z príjmov právnických osôb</w:t>
            </w:r>
          </w:p>
        </w:tc>
        <w:tc>
          <w:tcPr>
            <w:tcW w:w="532" w:type="pct"/>
            <w:tcBorders>
              <w:top w:val="nil"/>
              <w:left w:val="nil"/>
              <w:bottom w:val="nil"/>
              <w:right w:val="nil"/>
            </w:tcBorders>
            <w:noWrap/>
            <w:vAlign w:val="center"/>
            <w:hideMark/>
          </w:tcPr>
          <w:p w14:paraId="0E0E752A"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4 355 827</w:t>
            </w:r>
          </w:p>
        </w:tc>
        <w:tc>
          <w:tcPr>
            <w:tcW w:w="581" w:type="pct"/>
            <w:tcBorders>
              <w:top w:val="nil"/>
              <w:left w:val="nil"/>
              <w:bottom w:val="nil"/>
              <w:right w:val="nil"/>
            </w:tcBorders>
            <w:noWrap/>
            <w:vAlign w:val="center"/>
            <w:hideMark/>
          </w:tcPr>
          <w:p w14:paraId="5BB17B8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4 512 697</w:t>
            </w:r>
          </w:p>
        </w:tc>
        <w:tc>
          <w:tcPr>
            <w:tcW w:w="555" w:type="pct"/>
            <w:tcBorders>
              <w:top w:val="nil"/>
              <w:left w:val="nil"/>
              <w:bottom w:val="nil"/>
              <w:right w:val="nil"/>
            </w:tcBorders>
            <w:noWrap/>
            <w:vAlign w:val="center"/>
            <w:hideMark/>
          </w:tcPr>
          <w:p w14:paraId="42DD283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5 377 205</w:t>
            </w:r>
          </w:p>
        </w:tc>
        <w:tc>
          <w:tcPr>
            <w:tcW w:w="533" w:type="pct"/>
            <w:tcBorders>
              <w:top w:val="nil"/>
              <w:left w:val="nil"/>
              <w:bottom w:val="nil"/>
              <w:right w:val="nil"/>
            </w:tcBorders>
            <w:noWrap/>
            <w:vAlign w:val="center"/>
            <w:hideMark/>
          </w:tcPr>
          <w:p w14:paraId="395C799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4 796 803</w:t>
            </w:r>
          </w:p>
        </w:tc>
        <w:tc>
          <w:tcPr>
            <w:tcW w:w="575" w:type="pct"/>
            <w:tcBorders>
              <w:top w:val="nil"/>
              <w:left w:val="nil"/>
              <w:bottom w:val="nil"/>
              <w:right w:val="nil"/>
            </w:tcBorders>
            <w:noWrap/>
            <w:vAlign w:val="center"/>
            <w:hideMark/>
          </w:tcPr>
          <w:p w14:paraId="2BB20EE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-580 402</w:t>
            </w:r>
          </w:p>
        </w:tc>
      </w:tr>
      <w:tr w:rsidR="00E83147" w:rsidRPr="00356A3D" w14:paraId="3CE1B3C2" w14:textId="77777777" w:rsidTr="007E659C">
        <w:trPr>
          <w:trHeight w:val="295"/>
        </w:trPr>
        <w:tc>
          <w:tcPr>
            <w:tcW w:w="2224" w:type="pct"/>
            <w:tcBorders>
              <w:top w:val="nil"/>
              <w:left w:val="nil"/>
              <w:bottom w:val="nil"/>
              <w:right w:val="nil"/>
            </w:tcBorders>
            <w:noWrap/>
            <w:vAlign w:val="center"/>
            <w:hideMark/>
          </w:tcPr>
          <w:p w14:paraId="51E6A34A"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Dorovnávacia daň</w:t>
            </w:r>
          </w:p>
        </w:tc>
        <w:tc>
          <w:tcPr>
            <w:tcW w:w="532" w:type="pct"/>
            <w:tcBorders>
              <w:top w:val="nil"/>
              <w:left w:val="nil"/>
              <w:bottom w:val="nil"/>
              <w:right w:val="nil"/>
            </w:tcBorders>
            <w:noWrap/>
            <w:vAlign w:val="center"/>
            <w:hideMark/>
          </w:tcPr>
          <w:p w14:paraId="181338F5" w14:textId="18D17035" w:rsidR="00356A3D" w:rsidRPr="00356A3D" w:rsidRDefault="00356A3D" w:rsidP="00356A3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w:t>
            </w:r>
          </w:p>
        </w:tc>
        <w:tc>
          <w:tcPr>
            <w:tcW w:w="581" w:type="pct"/>
            <w:tcBorders>
              <w:top w:val="nil"/>
              <w:left w:val="nil"/>
              <w:bottom w:val="nil"/>
              <w:right w:val="nil"/>
            </w:tcBorders>
            <w:noWrap/>
            <w:vAlign w:val="center"/>
            <w:hideMark/>
          </w:tcPr>
          <w:p w14:paraId="347CD823"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48 500</w:t>
            </w:r>
          </w:p>
        </w:tc>
        <w:tc>
          <w:tcPr>
            <w:tcW w:w="555" w:type="pct"/>
            <w:tcBorders>
              <w:top w:val="nil"/>
              <w:left w:val="nil"/>
              <w:bottom w:val="nil"/>
              <w:right w:val="nil"/>
            </w:tcBorders>
            <w:noWrap/>
            <w:vAlign w:val="center"/>
            <w:hideMark/>
          </w:tcPr>
          <w:p w14:paraId="347C74F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48 500</w:t>
            </w:r>
          </w:p>
        </w:tc>
        <w:tc>
          <w:tcPr>
            <w:tcW w:w="533" w:type="pct"/>
            <w:tcBorders>
              <w:top w:val="nil"/>
              <w:left w:val="nil"/>
              <w:bottom w:val="nil"/>
              <w:right w:val="nil"/>
            </w:tcBorders>
            <w:noWrap/>
            <w:vAlign w:val="center"/>
            <w:hideMark/>
          </w:tcPr>
          <w:p w14:paraId="25A098DA"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48 500</w:t>
            </w:r>
          </w:p>
        </w:tc>
        <w:tc>
          <w:tcPr>
            <w:tcW w:w="575" w:type="pct"/>
            <w:tcBorders>
              <w:top w:val="nil"/>
              <w:left w:val="nil"/>
              <w:bottom w:val="nil"/>
              <w:right w:val="nil"/>
            </w:tcBorders>
            <w:noWrap/>
            <w:vAlign w:val="center"/>
            <w:hideMark/>
          </w:tcPr>
          <w:p w14:paraId="1D14AA9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0</w:t>
            </w:r>
          </w:p>
        </w:tc>
      </w:tr>
      <w:tr w:rsidR="00E83147" w:rsidRPr="00356A3D" w14:paraId="1D716CF9" w14:textId="77777777" w:rsidTr="007E659C">
        <w:trPr>
          <w:trHeight w:val="295"/>
        </w:trPr>
        <w:tc>
          <w:tcPr>
            <w:tcW w:w="2224" w:type="pct"/>
            <w:tcBorders>
              <w:top w:val="nil"/>
              <w:left w:val="nil"/>
              <w:bottom w:val="nil"/>
              <w:right w:val="nil"/>
            </w:tcBorders>
            <w:noWrap/>
            <w:vAlign w:val="center"/>
            <w:hideMark/>
          </w:tcPr>
          <w:p w14:paraId="39B9DCD6"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Daň z príjmov vyberaná zrážkou</w:t>
            </w:r>
          </w:p>
        </w:tc>
        <w:tc>
          <w:tcPr>
            <w:tcW w:w="532" w:type="pct"/>
            <w:tcBorders>
              <w:top w:val="nil"/>
              <w:left w:val="nil"/>
              <w:bottom w:val="nil"/>
              <w:right w:val="nil"/>
            </w:tcBorders>
            <w:noWrap/>
            <w:vAlign w:val="center"/>
            <w:hideMark/>
          </w:tcPr>
          <w:p w14:paraId="2A59E2E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430 574</w:t>
            </w:r>
          </w:p>
        </w:tc>
        <w:tc>
          <w:tcPr>
            <w:tcW w:w="581" w:type="pct"/>
            <w:tcBorders>
              <w:top w:val="nil"/>
              <w:left w:val="nil"/>
              <w:bottom w:val="nil"/>
              <w:right w:val="nil"/>
            </w:tcBorders>
            <w:noWrap/>
            <w:vAlign w:val="center"/>
            <w:hideMark/>
          </w:tcPr>
          <w:p w14:paraId="55624D4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529 150</w:t>
            </w:r>
          </w:p>
        </w:tc>
        <w:tc>
          <w:tcPr>
            <w:tcW w:w="555" w:type="pct"/>
            <w:tcBorders>
              <w:top w:val="nil"/>
              <w:left w:val="nil"/>
              <w:bottom w:val="nil"/>
              <w:right w:val="nil"/>
            </w:tcBorders>
            <w:noWrap/>
            <w:vAlign w:val="center"/>
            <w:hideMark/>
          </w:tcPr>
          <w:p w14:paraId="373B475A"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510 573</w:t>
            </w:r>
          </w:p>
        </w:tc>
        <w:tc>
          <w:tcPr>
            <w:tcW w:w="533" w:type="pct"/>
            <w:tcBorders>
              <w:top w:val="nil"/>
              <w:left w:val="nil"/>
              <w:bottom w:val="nil"/>
              <w:right w:val="nil"/>
            </w:tcBorders>
            <w:noWrap/>
            <w:vAlign w:val="center"/>
            <w:hideMark/>
          </w:tcPr>
          <w:p w14:paraId="782D282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549 651</w:t>
            </w:r>
          </w:p>
        </w:tc>
        <w:tc>
          <w:tcPr>
            <w:tcW w:w="575" w:type="pct"/>
            <w:tcBorders>
              <w:top w:val="nil"/>
              <w:left w:val="nil"/>
              <w:bottom w:val="nil"/>
              <w:right w:val="nil"/>
            </w:tcBorders>
            <w:noWrap/>
            <w:vAlign w:val="center"/>
            <w:hideMark/>
          </w:tcPr>
          <w:p w14:paraId="77694B0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39 078</w:t>
            </w:r>
          </w:p>
        </w:tc>
      </w:tr>
      <w:tr w:rsidR="00E83147" w:rsidRPr="00356A3D" w14:paraId="25767069" w14:textId="77777777" w:rsidTr="007E659C">
        <w:trPr>
          <w:trHeight w:val="295"/>
        </w:trPr>
        <w:tc>
          <w:tcPr>
            <w:tcW w:w="2224" w:type="pct"/>
            <w:tcBorders>
              <w:top w:val="nil"/>
              <w:left w:val="nil"/>
              <w:bottom w:val="nil"/>
              <w:right w:val="nil"/>
            </w:tcBorders>
            <w:noWrap/>
            <w:vAlign w:val="center"/>
            <w:hideMark/>
          </w:tcPr>
          <w:p w14:paraId="236E3CF0"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Daň z pridanej hodnoty</w:t>
            </w:r>
          </w:p>
        </w:tc>
        <w:tc>
          <w:tcPr>
            <w:tcW w:w="532" w:type="pct"/>
            <w:tcBorders>
              <w:top w:val="nil"/>
              <w:left w:val="nil"/>
              <w:bottom w:val="nil"/>
              <w:right w:val="nil"/>
            </w:tcBorders>
            <w:noWrap/>
            <w:vAlign w:val="center"/>
            <w:hideMark/>
          </w:tcPr>
          <w:p w14:paraId="57248AA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9 732 960</w:t>
            </w:r>
          </w:p>
        </w:tc>
        <w:tc>
          <w:tcPr>
            <w:tcW w:w="581" w:type="pct"/>
            <w:tcBorders>
              <w:top w:val="nil"/>
              <w:left w:val="nil"/>
              <w:bottom w:val="nil"/>
              <w:right w:val="nil"/>
            </w:tcBorders>
            <w:noWrap/>
            <w:vAlign w:val="center"/>
            <w:hideMark/>
          </w:tcPr>
          <w:p w14:paraId="2FE8A6E7"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9 914 696</w:t>
            </w:r>
          </w:p>
        </w:tc>
        <w:tc>
          <w:tcPr>
            <w:tcW w:w="555" w:type="pct"/>
            <w:tcBorders>
              <w:top w:val="nil"/>
              <w:left w:val="nil"/>
              <w:bottom w:val="nil"/>
              <w:right w:val="nil"/>
            </w:tcBorders>
            <w:noWrap/>
            <w:vAlign w:val="center"/>
            <w:hideMark/>
          </w:tcPr>
          <w:p w14:paraId="0B57AB2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11 526 544</w:t>
            </w:r>
          </w:p>
        </w:tc>
        <w:tc>
          <w:tcPr>
            <w:tcW w:w="533" w:type="pct"/>
            <w:tcBorders>
              <w:top w:val="nil"/>
              <w:left w:val="nil"/>
              <w:bottom w:val="nil"/>
              <w:right w:val="nil"/>
            </w:tcBorders>
            <w:noWrap/>
            <w:vAlign w:val="center"/>
            <w:hideMark/>
          </w:tcPr>
          <w:p w14:paraId="3D4E030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10 710 947</w:t>
            </w:r>
          </w:p>
        </w:tc>
        <w:tc>
          <w:tcPr>
            <w:tcW w:w="575" w:type="pct"/>
            <w:tcBorders>
              <w:top w:val="nil"/>
              <w:left w:val="nil"/>
              <w:bottom w:val="nil"/>
              <w:right w:val="nil"/>
            </w:tcBorders>
            <w:noWrap/>
            <w:vAlign w:val="center"/>
            <w:hideMark/>
          </w:tcPr>
          <w:p w14:paraId="74D83501"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-815 597</w:t>
            </w:r>
          </w:p>
        </w:tc>
      </w:tr>
      <w:tr w:rsidR="00E83147" w:rsidRPr="00356A3D" w14:paraId="0C6AE062" w14:textId="77777777" w:rsidTr="007E659C">
        <w:trPr>
          <w:trHeight w:val="295"/>
        </w:trPr>
        <w:tc>
          <w:tcPr>
            <w:tcW w:w="2224" w:type="pct"/>
            <w:tcBorders>
              <w:top w:val="nil"/>
              <w:left w:val="nil"/>
              <w:bottom w:val="nil"/>
              <w:right w:val="nil"/>
            </w:tcBorders>
            <w:noWrap/>
            <w:vAlign w:val="center"/>
            <w:hideMark/>
          </w:tcPr>
          <w:p w14:paraId="4BC32829"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Spotrebné dane</w:t>
            </w:r>
          </w:p>
        </w:tc>
        <w:tc>
          <w:tcPr>
            <w:tcW w:w="532" w:type="pct"/>
            <w:tcBorders>
              <w:top w:val="nil"/>
              <w:left w:val="nil"/>
              <w:bottom w:val="nil"/>
              <w:right w:val="nil"/>
            </w:tcBorders>
            <w:noWrap/>
            <w:vAlign w:val="center"/>
            <w:hideMark/>
          </w:tcPr>
          <w:p w14:paraId="18E899B1"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2 600 047</w:t>
            </w:r>
          </w:p>
        </w:tc>
        <w:tc>
          <w:tcPr>
            <w:tcW w:w="581" w:type="pct"/>
            <w:tcBorders>
              <w:top w:val="nil"/>
              <w:left w:val="nil"/>
              <w:bottom w:val="nil"/>
              <w:right w:val="nil"/>
            </w:tcBorders>
            <w:noWrap/>
            <w:vAlign w:val="center"/>
            <w:hideMark/>
          </w:tcPr>
          <w:p w14:paraId="2E5CEB4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2 700 284</w:t>
            </w:r>
          </w:p>
        </w:tc>
        <w:tc>
          <w:tcPr>
            <w:tcW w:w="555" w:type="pct"/>
            <w:tcBorders>
              <w:top w:val="nil"/>
              <w:left w:val="nil"/>
              <w:bottom w:val="nil"/>
              <w:right w:val="nil"/>
            </w:tcBorders>
            <w:noWrap/>
            <w:vAlign w:val="center"/>
            <w:hideMark/>
          </w:tcPr>
          <w:p w14:paraId="3DB9C8D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2 903 176</w:t>
            </w:r>
          </w:p>
        </w:tc>
        <w:tc>
          <w:tcPr>
            <w:tcW w:w="533" w:type="pct"/>
            <w:tcBorders>
              <w:top w:val="nil"/>
              <w:left w:val="nil"/>
              <w:bottom w:val="nil"/>
              <w:right w:val="nil"/>
            </w:tcBorders>
            <w:noWrap/>
            <w:vAlign w:val="center"/>
            <w:hideMark/>
          </w:tcPr>
          <w:p w14:paraId="1B5A0093"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2 758 940</w:t>
            </w:r>
          </w:p>
        </w:tc>
        <w:tc>
          <w:tcPr>
            <w:tcW w:w="575" w:type="pct"/>
            <w:tcBorders>
              <w:top w:val="nil"/>
              <w:left w:val="nil"/>
              <w:bottom w:val="nil"/>
              <w:right w:val="nil"/>
            </w:tcBorders>
            <w:noWrap/>
            <w:vAlign w:val="center"/>
            <w:hideMark/>
          </w:tcPr>
          <w:p w14:paraId="66D4CA8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-144 236</w:t>
            </w:r>
          </w:p>
        </w:tc>
      </w:tr>
      <w:tr w:rsidR="00E83147" w:rsidRPr="00356A3D" w14:paraId="3933970B" w14:textId="77777777" w:rsidTr="007E659C">
        <w:trPr>
          <w:trHeight w:val="295"/>
        </w:trPr>
        <w:tc>
          <w:tcPr>
            <w:tcW w:w="2224" w:type="pct"/>
            <w:tcBorders>
              <w:top w:val="nil"/>
              <w:left w:val="nil"/>
              <w:bottom w:val="nil"/>
              <w:right w:val="nil"/>
            </w:tcBorders>
            <w:noWrap/>
            <w:vAlign w:val="center"/>
            <w:hideMark/>
          </w:tcPr>
          <w:p w14:paraId="7B2ED7AE"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Minerálny olej</w:t>
            </w:r>
          </w:p>
        </w:tc>
        <w:tc>
          <w:tcPr>
            <w:tcW w:w="532" w:type="pct"/>
            <w:tcBorders>
              <w:top w:val="nil"/>
              <w:left w:val="nil"/>
              <w:bottom w:val="nil"/>
              <w:right w:val="nil"/>
            </w:tcBorders>
            <w:noWrap/>
            <w:vAlign w:val="center"/>
            <w:hideMark/>
          </w:tcPr>
          <w:p w14:paraId="4F15245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1 315 053</w:t>
            </w:r>
          </w:p>
        </w:tc>
        <w:tc>
          <w:tcPr>
            <w:tcW w:w="581" w:type="pct"/>
            <w:tcBorders>
              <w:top w:val="nil"/>
              <w:left w:val="nil"/>
              <w:bottom w:val="nil"/>
              <w:right w:val="nil"/>
            </w:tcBorders>
            <w:noWrap/>
            <w:vAlign w:val="center"/>
            <w:hideMark/>
          </w:tcPr>
          <w:p w14:paraId="79213B95"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1 352 022</w:t>
            </w:r>
          </w:p>
        </w:tc>
        <w:tc>
          <w:tcPr>
            <w:tcW w:w="555" w:type="pct"/>
            <w:tcBorders>
              <w:top w:val="nil"/>
              <w:left w:val="nil"/>
              <w:bottom w:val="nil"/>
              <w:right w:val="nil"/>
            </w:tcBorders>
            <w:noWrap/>
            <w:vAlign w:val="center"/>
            <w:hideMark/>
          </w:tcPr>
          <w:p w14:paraId="0AF7B2A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1 369 642</w:t>
            </w:r>
          </w:p>
        </w:tc>
        <w:tc>
          <w:tcPr>
            <w:tcW w:w="533" w:type="pct"/>
            <w:tcBorders>
              <w:top w:val="nil"/>
              <w:left w:val="nil"/>
              <w:bottom w:val="nil"/>
              <w:right w:val="nil"/>
            </w:tcBorders>
            <w:noWrap/>
            <w:vAlign w:val="center"/>
            <w:hideMark/>
          </w:tcPr>
          <w:p w14:paraId="5B8C6264"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1 357 489</w:t>
            </w:r>
          </w:p>
        </w:tc>
        <w:tc>
          <w:tcPr>
            <w:tcW w:w="575" w:type="pct"/>
            <w:tcBorders>
              <w:top w:val="nil"/>
              <w:left w:val="nil"/>
              <w:bottom w:val="nil"/>
              <w:right w:val="nil"/>
            </w:tcBorders>
            <w:noWrap/>
            <w:vAlign w:val="center"/>
            <w:hideMark/>
          </w:tcPr>
          <w:p w14:paraId="33A76DF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-12 153</w:t>
            </w:r>
          </w:p>
        </w:tc>
      </w:tr>
      <w:tr w:rsidR="00E83147" w:rsidRPr="00356A3D" w14:paraId="22698F55" w14:textId="77777777" w:rsidTr="007E659C">
        <w:trPr>
          <w:trHeight w:val="295"/>
        </w:trPr>
        <w:tc>
          <w:tcPr>
            <w:tcW w:w="2224" w:type="pct"/>
            <w:tcBorders>
              <w:top w:val="nil"/>
              <w:left w:val="nil"/>
              <w:bottom w:val="nil"/>
              <w:right w:val="nil"/>
            </w:tcBorders>
            <w:noWrap/>
            <w:vAlign w:val="center"/>
            <w:hideMark/>
          </w:tcPr>
          <w:p w14:paraId="0B365ECF"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Tabak a tabakové výrobky</w:t>
            </w:r>
          </w:p>
        </w:tc>
        <w:tc>
          <w:tcPr>
            <w:tcW w:w="532" w:type="pct"/>
            <w:tcBorders>
              <w:top w:val="nil"/>
              <w:left w:val="nil"/>
              <w:bottom w:val="nil"/>
              <w:right w:val="nil"/>
            </w:tcBorders>
            <w:noWrap/>
            <w:vAlign w:val="center"/>
            <w:hideMark/>
          </w:tcPr>
          <w:p w14:paraId="3FDFEE8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936 552</w:t>
            </w:r>
          </w:p>
        </w:tc>
        <w:tc>
          <w:tcPr>
            <w:tcW w:w="581" w:type="pct"/>
            <w:tcBorders>
              <w:top w:val="nil"/>
              <w:left w:val="nil"/>
              <w:bottom w:val="nil"/>
              <w:right w:val="nil"/>
            </w:tcBorders>
            <w:noWrap/>
            <w:vAlign w:val="center"/>
            <w:hideMark/>
          </w:tcPr>
          <w:p w14:paraId="0CCFC91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1 021 078</w:t>
            </w:r>
          </w:p>
        </w:tc>
        <w:tc>
          <w:tcPr>
            <w:tcW w:w="555" w:type="pct"/>
            <w:tcBorders>
              <w:top w:val="nil"/>
              <w:left w:val="nil"/>
              <w:bottom w:val="nil"/>
              <w:right w:val="nil"/>
            </w:tcBorders>
            <w:noWrap/>
            <w:vAlign w:val="center"/>
            <w:hideMark/>
          </w:tcPr>
          <w:p w14:paraId="1A62CC87"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1 080 947</w:t>
            </w:r>
          </w:p>
        </w:tc>
        <w:tc>
          <w:tcPr>
            <w:tcW w:w="533" w:type="pct"/>
            <w:tcBorders>
              <w:top w:val="nil"/>
              <w:left w:val="nil"/>
              <w:bottom w:val="nil"/>
              <w:right w:val="nil"/>
            </w:tcBorders>
            <w:noWrap/>
            <w:vAlign w:val="center"/>
            <w:hideMark/>
          </w:tcPr>
          <w:p w14:paraId="5B4D27F7"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967 880</w:t>
            </w:r>
          </w:p>
        </w:tc>
        <w:tc>
          <w:tcPr>
            <w:tcW w:w="575" w:type="pct"/>
            <w:tcBorders>
              <w:top w:val="nil"/>
              <w:left w:val="nil"/>
              <w:bottom w:val="nil"/>
              <w:right w:val="nil"/>
            </w:tcBorders>
            <w:noWrap/>
            <w:vAlign w:val="center"/>
            <w:hideMark/>
          </w:tcPr>
          <w:p w14:paraId="3A030F2A"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-113 067</w:t>
            </w:r>
          </w:p>
        </w:tc>
      </w:tr>
      <w:tr w:rsidR="00E83147" w:rsidRPr="00356A3D" w14:paraId="01DF5675" w14:textId="77777777" w:rsidTr="007E659C">
        <w:trPr>
          <w:trHeight w:val="295"/>
        </w:trPr>
        <w:tc>
          <w:tcPr>
            <w:tcW w:w="2224" w:type="pct"/>
            <w:tcBorders>
              <w:top w:val="nil"/>
              <w:left w:val="nil"/>
              <w:bottom w:val="nil"/>
              <w:right w:val="nil"/>
            </w:tcBorders>
            <w:noWrap/>
            <w:vAlign w:val="center"/>
            <w:hideMark/>
          </w:tcPr>
          <w:p w14:paraId="46AC77E3"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Sladené nealkoholické nápoje</w:t>
            </w:r>
          </w:p>
        </w:tc>
        <w:tc>
          <w:tcPr>
            <w:tcW w:w="532" w:type="pct"/>
            <w:tcBorders>
              <w:top w:val="nil"/>
              <w:left w:val="nil"/>
              <w:bottom w:val="nil"/>
              <w:right w:val="nil"/>
            </w:tcBorders>
            <w:noWrap/>
            <w:vAlign w:val="center"/>
            <w:hideMark/>
          </w:tcPr>
          <w:p w14:paraId="6180084B" w14:textId="67EFB34F" w:rsidR="00356A3D" w:rsidRPr="00356A3D" w:rsidRDefault="00356A3D" w:rsidP="00356A3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w:t>
            </w:r>
          </w:p>
        </w:tc>
        <w:tc>
          <w:tcPr>
            <w:tcW w:w="581" w:type="pct"/>
            <w:tcBorders>
              <w:top w:val="nil"/>
              <w:left w:val="nil"/>
              <w:bottom w:val="nil"/>
              <w:right w:val="nil"/>
            </w:tcBorders>
            <w:noWrap/>
            <w:vAlign w:val="center"/>
            <w:hideMark/>
          </w:tcPr>
          <w:p w14:paraId="07CB145E" w14:textId="2622906A" w:rsidR="00356A3D" w:rsidRPr="00356A3D" w:rsidRDefault="00356A3D" w:rsidP="00356A3D">
            <w:pPr>
              <w:spacing w:line="240" w:lineRule="auto"/>
              <w:jc w:val="right"/>
              <w:rPr>
                <w:rFonts w:eastAsia="Times New Roman" w:cs="Times New Roman"/>
                <w:sz w:val="20"/>
                <w:szCs w:val="20"/>
                <w:lang w:eastAsia="sk-SK"/>
              </w:rPr>
            </w:pPr>
            <w:r>
              <w:rPr>
                <w:rFonts w:eastAsia="Times New Roman" w:cs="Times New Roman"/>
                <w:color w:val="000000"/>
                <w:sz w:val="18"/>
                <w:szCs w:val="18"/>
                <w:lang w:eastAsia="sk-SK"/>
              </w:rPr>
              <w:t>-</w:t>
            </w:r>
          </w:p>
        </w:tc>
        <w:tc>
          <w:tcPr>
            <w:tcW w:w="555" w:type="pct"/>
            <w:tcBorders>
              <w:top w:val="nil"/>
              <w:left w:val="nil"/>
              <w:bottom w:val="nil"/>
              <w:right w:val="nil"/>
            </w:tcBorders>
            <w:noWrap/>
            <w:vAlign w:val="center"/>
            <w:hideMark/>
          </w:tcPr>
          <w:p w14:paraId="14D91BF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69 321</w:t>
            </w:r>
          </w:p>
        </w:tc>
        <w:tc>
          <w:tcPr>
            <w:tcW w:w="533" w:type="pct"/>
            <w:tcBorders>
              <w:top w:val="nil"/>
              <w:left w:val="nil"/>
              <w:bottom w:val="nil"/>
              <w:right w:val="nil"/>
            </w:tcBorders>
            <w:noWrap/>
            <w:vAlign w:val="center"/>
            <w:hideMark/>
          </w:tcPr>
          <w:p w14:paraId="68118C18"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98 604</w:t>
            </w:r>
          </w:p>
        </w:tc>
        <w:tc>
          <w:tcPr>
            <w:tcW w:w="575" w:type="pct"/>
            <w:tcBorders>
              <w:top w:val="nil"/>
              <w:left w:val="nil"/>
              <w:bottom w:val="nil"/>
              <w:right w:val="nil"/>
            </w:tcBorders>
            <w:noWrap/>
            <w:vAlign w:val="center"/>
            <w:hideMark/>
          </w:tcPr>
          <w:p w14:paraId="0438609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29 283</w:t>
            </w:r>
          </w:p>
        </w:tc>
      </w:tr>
      <w:tr w:rsidR="00E83147" w:rsidRPr="00356A3D" w14:paraId="0C6009E2" w14:textId="77777777" w:rsidTr="007E659C">
        <w:trPr>
          <w:trHeight w:val="295"/>
        </w:trPr>
        <w:tc>
          <w:tcPr>
            <w:tcW w:w="2224" w:type="pct"/>
            <w:tcBorders>
              <w:top w:val="nil"/>
              <w:left w:val="nil"/>
              <w:bottom w:val="nil"/>
              <w:right w:val="nil"/>
            </w:tcBorders>
            <w:noWrap/>
            <w:vAlign w:val="center"/>
            <w:hideMark/>
          </w:tcPr>
          <w:p w14:paraId="70047DCC"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Ostatné spotrebné dane</w:t>
            </w:r>
          </w:p>
        </w:tc>
        <w:tc>
          <w:tcPr>
            <w:tcW w:w="532" w:type="pct"/>
            <w:tcBorders>
              <w:top w:val="nil"/>
              <w:left w:val="nil"/>
              <w:bottom w:val="nil"/>
              <w:right w:val="nil"/>
            </w:tcBorders>
            <w:noWrap/>
            <w:vAlign w:val="center"/>
            <w:hideMark/>
          </w:tcPr>
          <w:p w14:paraId="775AFD4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348 442</w:t>
            </w:r>
          </w:p>
        </w:tc>
        <w:tc>
          <w:tcPr>
            <w:tcW w:w="581" w:type="pct"/>
            <w:tcBorders>
              <w:top w:val="nil"/>
              <w:left w:val="nil"/>
              <w:bottom w:val="nil"/>
              <w:right w:val="nil"/>
            </w:tcBorders>
            <w:noWrap/>
            <w:vAlign w:val="center"/>
            <w:hideMark/>
          </w:tcPr>
          <w:p w14:paraId="78B2D15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327 184</w:t>
            </w:r>
          </w:p>
        </w:tc>
        <w:tc>
          <w:tcPr>
            <w:tcW w:w="555" w:type="pct"/>
            <w:tcBorders>
              <w:top w:val="nil"/>
              <w:left w:val="nil"/>
              <w:bottom w:val="nil"/>
              <w:right w:val="nil"/>
            </w:tcBorders>
            <w:noWrap/>
            <w:vAlign w:val="center"/>
            <w:hideMark/>
          </w:tcPr>
          <w:p w14:paraId="7F17283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383 266</w:t>
            </w:r>
          </w:p>
        </w:tc>
        <w:tc>
          <w:tcPr>
            <w:tcW w:w="533" w:type="pct"/>
            <w:tcBorders>
              <w:top w:val="nil"/>
              <w:left w:val="nil"/>
              <w:bottom w:val="nil"/>
              <w:right w:val="nil"/>
            </w:tcBorders>
            <w:noWrap/>
            <w:vAlign w:val="center"/>
            <w:hideMark/>
          </w:tcPr>
          <w:p w14:paraId="366EA5D1"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334 967</w:t>
            </w:r>
          </w:p>
        </w:tc>
        <w:tc>
          <w:tcPr>
            <w:tcW w:w="575" w:type="pct"/>
            <w:tcBorders>
              <w:top w:val="nil"/>
              <w:left w:val="nil"/>
              <w:bottom w:val="nil"/>
              <w:right w:val="nil"/>
            </w:tcBorders>
            <w:noWrap/>
            <w:vAlign w:val="center"/>
            <w:hideMark/>
          </w:tcPr>
          <w:p w14:paraId="4DDC02B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-48 299</w:t>
            </w:r>
          </w:p>
        </w:tc>
      </w:tr>
      <w:tr w:rsidR="00E83147" w:rsidRPr="00356A3D" w14:paraId="3B9CB9FE" w14:textId="77777777" w:rsidTr="007E659C">
        <w:trPr>
          <w:trHeight w:val="295"/>
        </w:trPr>
        <w:tc>
          <w:tcPr>
            <w:tcW w:w="2224" w:type="pct"/>
            <w:tcBorders>
              <w:top w:val="nil"/>
              <w:left w:val="nil"/>
              <w:bottom w:val="nil"/>
              <w:right w:val="nil"/>
            </w:tcBorders>
            <w:noWrap/>
            <w:vAlign w:val="center"/>
            <w:hideMark/>
          </w:tcPr>
          <w:p w14:paraId="5B67E4D0"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Dane z majetku (nehnuteľnosti)</w:t>
            </w:r>
          </w:p>
        </w:tc>
        <w:tc>
          <w:tcPr>
            <w:tcW w:w="532" w:type="pct"/>
            <w:tcBorders>
              <w:top w:val="nil"/>
              <w:left w:val="nil"/>
              <w:bottom w:val="nil"/>
              <w:right w:val="nil"/>
            </w:tcBorders>
            <w:noWrap/>
            <w:vAlign w:val="center"/>
            <w:hideMark/>
          </w:tcPr>
          <w:p w14:paraId="3BC1E4DE"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496 602</w:t>
            </w:r>
          </w:p>
        </w:tc>
        <w:tc>
          <w:tcPr>
            <w:tcW w:w="581" w:type="pct"/>
            <w:tcBorders>
              <w:top w:val="nil"/>
              <w:left w:val="nil"/>
              <w:bottom w:val="nil"/>
              <w:right w:val="nil"/>
            </w:tcBorders>
            <w:noWrap/>
            <w:vAlign w:val="center"/>
            <w:hideMark/>
          </w:tcPr>
          <w:p w14:paraId="1875E24E"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618 717</w:t>
            </w:r>
          </w:p>
        </w:tc>
        <w:tc>
          <w:tcPr>
            <w:tcW w:w="555" w:type="pct"/>
            <w:tcBorders>
              <w:top w:val="nil"/>
              <w:left w:val="nil"/>
              <w:bottom w:val="nil"/>
              <w:right w:val="nil"/>
            </w:tcBorders>
            <w:noWrap/>
            <w:vAlign w:val="center"/>
            <w:hideMark/>
          </w:tcPr>
          <w:p w14:paraId="7D779303"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630 577</w:t>
            </w:r>
          </w:p>
        </w:tc>
        <w:tc>
          <w:tcPr>
            <w:tcW w:w="533" w:type="pct"/>
            <w:tcBorders>
              <w:top w:val="nil"/>
              <w:left w:val="nil"/>
              <w:bottom w:val="nil"/>
              <w:right w:val="nil"/>
            </w:tcBorders>
            <w:noWrap/>
            <w:vAlign w:val="center"/>
            <w:hideMark/>
          </w:tcPr>
          <w:p w14:paraId="6F4FE1A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645 109</w:t>
            </w:r>
          </w:p>
        </w:tc>
        <w:tc>
          <w:tcPr>
            <w:tcW w:w="575" w:type="pct"/>
            <w:tcBorders>
              <w:top w:val="nil"/>
              <w:left w:val="nil"/>
              <w:bottom w:val="nil"/>
              <w:right w:val="nil"/>
            </w:tcBorders>
            <w:noWrap/>
            <w:vAlign w:val="center"/>
            <w:hideMark/>
          </w:tcPr>
          <w:p w14:paraId="668FF451"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14 532</w:t>
            </w:r>
          </w:p>
        </w:tc>
      </w:tr>
      <w:tr w:rsidR="00E83147" w:rsidRPr="00356A3D" w14:paraId="5BC24C9B" w14:textId="77777777" w:rsidTr="007E659C">
        <w:trPr>
          <w:trHeight w:val="295"/>
        </w:trPr>
        <w:tc>
          <w:tcPr>
            <w:tcW w:w="2224" w:type="pct"/>
            <w:tcBorders>
              <w:top w:val="nil"/>
              <w:left w:val="nil"/>
              <w:bottom w:val="nil"/>
              <w:right w:val="nil"/>
            </w:tcBorders>
            <w:noWrap/>
            <w:vAlign w:val="center"/>
            <w:hideMark/>
          </w:tcPr>
          <w:p w14:paraId="069814B4"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Dane z medzinárodného obchodu</w:t>
            </w:r>
          </w:p>
        </w:tc>
        <w:tc>
          <w:tcPr>
            <w:tcW w:w="532" w:type="pct"/>
            <w:tcBorders>
              <w:top w:val="nil"/>
              <w:left w:val="nil"/>
              <w:bottom w:val="nil"/>
              <w:right w:val="nil"/>
            </w:tcBorders>
            <w:noWrap/>
            <w:vAlign w:val="center"/>
            <w:hideMark/>
          </w:tcPr>
          <w:p w14:paraId="135EDF3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37 917</w:t>
            </w:r>
          </w:p>
        </w:tc>
        <w:tc>
          <w:tcPr>
            <w:tcW w:w="581" w:type="pct"/>
            <w:tcBorders>
              <w:top w:val="nil"/>
              <w:left w:val="nil"/>
              <w:bottom w:val="nil"/>
              <w:right w:val="nil"/>
            </w:tcBorders>
            <w:noWrap/>
            <w:vAlign w:val="center"/>
            <w:hideMark/>
          </w:tcPr>
          <w:p w14:paraId="39A4E4D8"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36 828</w:t>
            </w:r>
          </w:p>
        </w:tc>
        <w:tc>
          <w:tcPr>
            <w:tcW w:w="555" w:type="pct"/>
            <w:tcBorders>
              <w:top w:val="nil"/>
              <w:left w:val="nil"/>
              <w:bottom w:val="nil"/>
              <w:right w:val="nil"/>
            </w:tcBorders>
            <w:noWrap/>
            <w:vAlign w:val="center"/>
            <w:hideMark/>
          </w:tcPr>
          <w:p w14:paraId="05EBF2FC"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40 335</w:t>
            </w:r>
          </w:p>
        </w:tc>
        <w:tc>
          <w:tcPr>
            <w:tcW w:w="533" w:type="pct"/>
            <w:tcBorders>
              <w:top w:val="nil"/>
              <w:left w:val="nil"/>
              <w:bottom w:val="nil"/>
              <w:right w:val="nil"/>
            </w:tcBorders>
            <w:noWrap/>
            <w:vAlign w:val="center"/>
            <w:hideMark/>
          </w:tcPr>
          <w:p w14:paraId="47D57015"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45 420</w:t>
            </w:r>
          </w:p>
        </w:tc>
        <w:tc>
          <w:tcPr>
            <w:tcW w:w="575" w:type="pct"/>
            <w:tcBorders>
              <w:top w:val="nil"/>
              <w:left w:val="nil"/>
              <w:bottom w:val="nil"/>
              <w:right w:val="nil"/>
            </w:tcBorders>
            <w:noWrap/>
            <w:vAlign w:val="center"/>
            <w:hideMark/>
          </w:tcPr>
          <w:p w14:paraId="6239BAD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5 085</w:t>
            </w:r>
          </w:p>
        </w:tc>
      </w:tr>
      <w:tr w:rsidR="00E83147" w:rsidRPr="00356A3D" w14:paraId="603FD029" w14:textId="77777777" w:rsidTr="007E659C">
        <w:trPr>
          <w:trHeight w:val="295"/>
        </w:trPr>
        <w:tc>
          <w:tcPr>
            <w:tcW w:w="2224" w:type="pct"/>
            <w:tcBorders>
              <w:top w:val="nil"/>
              <w:left w:val="nil"/>
              <w:bottom w:val="nil"/>
              <w:right w:val="nil"/>
            </w:tcBorders>
            <w:noWrap/>
            <w:vAlign w:val="center"/>
            <w:hideMark/>
          </w:tcPr>
          <w:p w14:paraId="4801C979"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Ostatné dane</w:t>
            </w:r>
          </w:p>
        </w:tc>
        <w:tc>
          <w:tcPr>
            <w:tcW w:w="532" w:type="pct"/>
            <w:tcBorders>
              <w:top w:val="nil"/>
              <w:left w:val="nil"/>
              <w:bottom w:val="nil"/>
              <w:right w:val="nil"/>
            </w:tcBorders>
            <w:noWrap/>
            <w:vAlign w:val="center"/>
            <w:hideMark/>
          </w:tcPr>
          <w:p w14:paraId="079B07C5"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818 520</w:t>
            </w:r>
          </w:p>
        </w:tc>
        <w:tc>
          <w:tcPr>
            <w:tcW w:w="581" w:type="pct"/>
            <w:tcBorders>
              <w:top w:val="nil"/>
              <w:left w:val="nil"/>
              <w:bottom w:val="nil"/>
              <w:right w:val="nil"/>
            </w:tcBorders>
            <w:noWrap/>
            <w:vAlign w:val="center"/>
            <w:hideMark/>
          </w:tcPr>
          <w:p w14:paraId="6185B7C1"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1 305 332</w:t>
            </w:r>
          </w:p>
        </w:tc>
        <w:tc>
          <w:tcPr>
            <w:tcW w:w="555" w:type="pct"/>
            <w:tcBorders>
              <w:top w:val="nil"/>
              <w:left w:val="nil"/>
              <w:bottom w:val="nil"/>
              <w:right w:val="nil"/>
            </w:tcBorders>
            <w:noWrap/>
            <w:vAlign w:val="center"/>
            <w:hideMark/>
          </w:tcPr>
          <w:p w14:paraId="61E740E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1 742 835</w:t>
            </w:r>
          </w:p>
        </w:tc>
        <w:tc>
          <w:tcPr>
            <w:tcW w:w="533" w:type="pct"/>
            <w:tcBorders>
              <w:top w:val="nil"/>
              <w:left w:val="nil"/>
              <w:bottom w:val="nil"/>
              <w:right w:val="nil"/>
            </w:tcBorders>
            <w:noWrap/>
            <w:vAlign w:val="center"/>
            <w:hideMark/>
          </w:tcPr>
          <w:p w14:paraId="7FB0C27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1 573 064</w:t>
            </w:r>
          </w:p>
        </w:tc>
        <w:tc>
          <w:tcPr>
            <w:tcW w:w="575" w:type="pct"/>
            <w:tcBorders>
              <w:top w:val="nil"/>
              <w:left w:val="nil"/>
              <w:bottom w:val="nil"/>
              <w:right w:val="nil"/>
            </w:tcBorders>
            <w:noWrap/>
            <w:vAlign w:val="center"/>
            <w:hideMark/>
          </w:tcPr>
          <w:p w14:paraId="3B20469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-169 771</w:t>
            </w:r>
          </w:p>
        </w:tc>
      </w:tr>
      <w:tr w:rsidR="00E83147" w:rsidRPr="00356A3D" w14:paraId="5CD148E9" w14:textId="77777777" w:rsidTr="007E659C">
        <w:trPr>
          <w:trHeight w:val="295"/>
        </w:trPr>
        <w:tc>
          <w:tcPr>
            <w:tcW w:w="2224" w:type="pct"/>
            <w:tcBorders>
              <w:top w:val="nil"/>
              <w:left w:val="nil"/>
              <w:bottom w:val="nil"/>
              <w:right w:val="nil"/>
            </w:tcBorders>
            <w:noWrap/>
            <w:vAlign w:val="center"/>
            <w:hideMark/>
          </w:tcPr>
          <w:p w14:paraId="0B21AA89"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Daň z motorových vozidiel</w:t>
            </w:r>
          </w:p>
        </w:tc>
        <w:tc>
          <w:tcPr>
            <w:tcW w:w="532" w:type="pct"/>
            <w:tcBorders>
              <w:top w:val="nil"/>
              <w:left w:val="nil"/>
              <w:bottom w:val="nil"/>
              <w:right w:val="nil"/>
            </w:tcBorders>
            <w:noWrap/>
            <w:vAlign w:val="center"/>
            <w:hideMark/>
          </w:tcPr>
          <w:p w14:paraId="259803FE"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136 633</w:t>
            </w:r>
          </w:p>
        </w:tc>
        <w:tc>
          <w:tcPr>
            <w:tcW w:w="581" w:type="pct"/>
            <w:tcBorders>
              <w:top w:val="nil"/>
              <w:left w:val="nil"/>
              <w:bottom w:val="nil"/>
              <w:right w:val="nil"/>
            </w:tcBorders>
            <w:noWrap/>
            <w:vAlign w:val="center"/>
            <w:hideMark/>
          </w:tcPr>
          <w:p w14:paraId="53DDDFE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140 289</w:t>
            </w:r>
          </w:p>
        </w:tc>
        <w:tc>
          <w:tcPr>
            <w:tcW w:w="555" w:type="pct"/>
            <w:tcBorders>
              <w:top w:val="nil"/>
              <w:left w:val="nil"/>
              <w:bottom w:val="nil"/>
              <w:right w:val="nil"/>
            </w:tcBorders>
            <w:noWrap/>
            <w:vAlign w:val="center"/>
            <w:hideMark/>
          </w:tcPr>
          <w:p w14:paraId="01E42081"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137 230</w:t>
            </w:r>
          </w:p>
        </w:tc>
        <w:tc>
          <w:tcPr>
            <w:tcW w:w="533" w:type="pct"/>
            <w:tcBorders>
              <w:top w:val="nil"/>
              <w:left w:val="nil"/>
              <w:bottom w:val="nil"/>
              <w:right w:val="nil"/>
            </w:tcBorders>
            <w:noWrap/>
            <w:vAlign w:val="center"/>
            <w:hideMark/>
          </w:tcPr>
          <w:p w14:paraId="27BF9815"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137 467</w:t>
            </w:r>
          </w:p>
        </w:tc>
        <w:tc>
          <w:tcPr>
            <w:tcW w:w="575" w:type="pct"/>
            <w:tcBorders>
              <w:top w:val="nil"/>
              <w:left w:val="nil"/>
              <w:bottom w:val="nil"/>
              <w:right w:val="nil"/>
            </w:tcBorders>
            <w:noWrap/>
            <w:vAlign w:val="center"/>
            <w:hideMark/>
          </w:tcPr>
          <w:p w14:paraId="7C3A1F57"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237</w:t>
            </w:r>
          </w:p>
        </w:tc>
      </w:tr>
      <w:tr w:rsidR="00E83147" w:rsidRPr="00356A3D" w14:paraId="5834FB8A" w14:textId="77777777" w:rsidTr="007E659C">
        <w:trPr>
          <w:trHeight w:val="295"/>
        </w:trPr>
        <w:tc>
          <w:tcPr>
            <w:tcW w:w="2224" w:type="pct"/>
            <w:tcBorders>
              <w:top w:val="nil"/>
              <w:left w:val="nil"/>
              <w:bottom w:val="nil"/>
              <w:right w:val="nil"/>
            </w:tcBorders>
            <w:noWrap/>
            <w:vAlign w:val="center"/>
            <w:hideMark/>
          </w:tcPr>
          <w:p w14:paraId="63E6F9AB"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Osobitný odvod z podnikania v regulovaných odvetviach </w:t>
            </w:r>
          </w:p>
        </w:tc>
        <w:tc>
          <w:tcPr>
            <w:tcW w:w="532" w:type="pct"/>
            <w:tcBorders>
              <w:top w:val="nil"/>
              <w:left w:val="nil"/>
              <w:bottom w:val="nil"/>
              <w:right w:val="nil"/>
            </w:tcBorders>
            <w:noWrap/>
            <w:vAlign w:val="center"/>
            <w:hideMark/>
          </w:tcPr>
          <w:p w14:paraId="2F050BF5"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134 958</w:t>
            </w:r>
          </w:p>
        </w:tc>
        <w:tc>
          <w:tcPr>
            <w:tcW w:w="581" w:type="pct"/>
            <w:tcBorders>
              <w:top w:val="nil"/>
              <w:left w:val="nil"/>
              <w:bottom w:val="nil"/>
              <w:right w:val="nil"/>
            </w:tcBorders>
            <w:noWrap/>
            <w:vAlign w:val="center"/>
            <w:hideMark/>
          </w:tcPr>
          <w:p w14:paraId="6FA892FD"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559 966</w:t>
            </w:r>
          </w:p>
        </w:tc>
        <w:tc>
          <w:tcPr>
            <w:tcW w:w="555" w:type="pct"/>
            <w:tcBorders>
              <w:top w:val="nil"/>
              <w:left w:val="nil"/>
              <w:bottom w:val="nil"/>
              <w:right w:val="nil"/>
            </w:tcBorders>
            <w:noWrap/>
            <w:vAlign w:val="center"/>
            <w:hideMark/>
          </w:tcPr>
          <w:p w14:paraId="311BDDB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474 515</w:t>
            </w:r>
          </w:p>
        </w:tc>
        <w:tc>
          <w:tcPr>
            <w:tcW w:w="533" w:type="pct"/>
            <w:tcBorders>
              <w:top w:val="nil"/>
              <w:left w:val="nil"/>
              <w:bottom w:val="nil"/>
              <w:right w:val="nil"/>
            </w:tcBorders>
            <w:noWrap/>
            <w:vAlign w:val="center"/>
            <w:hideMark/>
          </w:tcPr>
          <w:p w14:paraId="151554E1"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474 057</w:t>
            </w:r>
          </w:p>
        </w:tc>
        <w:tc>
          <w:tcPr>
            <w:tcW w:w="575" w:type="pct"/>
            <w:tcBorders>
              <w:top w:val="nil"/>
              <w:left w:val="nil"/>
              <w:bottom w:val="nil"/>
              <w:right w:val="nil"/>
            </w:tcBorders>
            <w:noWrap/>
            <w:vAlign w:val="center"/>
            <w:hideMark/>
          </w:tcPr>
          <w:p w14:paraId="6E65F355"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-458</w:t>
            </w:r>
          </w:p>
        </w:tc>
      </w:tr>
      <w:tr w:rsidR="00E83147" w:rsidRPr="00356A3D" w14:paraId="6825BD0C" w14:textId="77777777" w:rsidTr="007E659C">
        <w:trPr>
          <w:trHeight w:val="295"/>
        </w:trPr>
        <w:tc>
          <w:tcPr>
            <w:tcW w:w="2224" w:type="pct"/>
            <w:tcBorders>
              <w:top w:val="nil"/>
              <w:left w:val="nil"/>
              <w:bottom w:val="nil"/>
              <w:right w:val="nil"/>
            </w:tcBorders>
            <w:noWrap/>
            <w:vAlign w:val="center"/>
            <w:hideMark/>
          </w:tcPr>
          <w:p w14:paraId="03A2BA1F"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Dane za špecifické služby</w:t>
            </w:r>
          </w:p>
        </w:tc>
        <w:tc>
          <w:tcPr>
            <w:tcW w:w="532" w:type="pct"/>
            <w:tcBorders>
              <w:top w:val="nil"/>
              <w:left w:val="nil"/>
              <w:bottom w:val="nil"/>
              <w:right w:val="nil"/>
            </w:tcBorders>
            <w:noWrap/>
            <w:vAlign w:val="center"/>
            <w:hideMark/>
          </w:tcPr>
          <w:p w14:paraId="14CAFAB3"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294 587</w:t>
            </w:r>
          </w:p>
        </w:tc>
        <w:tc>
          <w:tcPr>
            <w:tcW w:w="581" w:type="pct"/>
            <w:tcBorders>
              <w:top w:val="nil"/>
              <w:left w:val="nil"/>
              <w:bottom w:val="nil"/>
              <w:right w:val="nil"/>
            </w:tcBorders>
            <w:noWrap/>
            <w:vAlign w:val="center"/>
            <w:hideMark/>
          </w:tcPr>
          <w:p w14:paraId="4A006AC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354 744</w:t>
            </w:r>
          </w:p>
        </w:tc>
        <w:tc>
          <w:tcPr>
            <w:tcW w:w="555" w:type="pct"/>
            <w:tcBorders>
              <w:top w:val="nil"/>
              <w:left w:val="nil"/>
              <w:bottom w:val="nil"/>
              <w:right w:val="nil"/>
            </w:tcBorders>
            <w:noWrap/>
            <w:vAlign w:val="center"/>
            <w:hideMark/>
          </w:tcPr>
          <w:p w14:paraId="0D0D7EFC"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367 358</w:t>
            </w:r>
          </w:p>
        </w:tc>
        <w:tc>
          <w:tcPr>
            <w:tcW w:w="533" w:type="pct"/>
            <w:tcBorders>
              <w:top w:val="nil"/>
              <w:left w:val="nil"/>
              <w:bottom w:val="nil"/>
              <w:right w:val="nil"/>
            </w:tcBorders>
            <w:noWrap/>
            <w:vAlign w:val="center"/>
            <w:hideMark/>
          </w:tcPr>
          <w:p w14:paraId="59CD347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378 130</w:t>
            </w:r>
          </w:p>
        </w:tc>
        <w:tc>
          <w:tcPr>
            <w:tcW w:w="575" w:type="pct"/>
            <w:tcBorders>
              <w:top w:val="nil"/>
              <w:left w:val="nil"/>
              <w:bottom w:val="nil"/>
              <w:right w:val="nil"/>
            </w:tcBorders>
            <w:noWrap/>
            <w:vAlign w:val="center"/>
            <w:hideMark/>
          </w:tcPr>
          <w:p w14:paraId="30632F9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10 772</w:t>
            </w:r>
          </w:p>
        </w:tc>
      </w:tr>
      <w:tr w:rsidR="00E83147" w:rsidRPr="00356A3D" w14:paraId="13B80C4D" w14:textId="77777777" w:rsidTr="007E659C">
        <w:trPr>
          <w:trHeight w:val="295"/>
        </w:trPr>
        <w:tc>
          <w:tcPr>
            <w:tcW w:w="2224" w:type="pct"/>
            <w:tcBorders>
              <w:top w:val="nil"/>
              <w:left w:val="nil"/>
              <w:bottom w:val="nil"/>
              <w:right w:val="nil"/>
            </w:tcBorders>
            <w:noWrap/>
            <w:vAlign w:val="center"/>
            <w:hideMark/>
          </w:tcPr>
          <w:p w14:paraId="0AD2659B"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lastRenderedPageBreak/>
              <w:t xml:space="preserve">     - Daň z finančných transakcií</w:t>
            </w:r>
          </w:p>
        </w:tc>
        <w:tc>
          <w:tcPr>
            <w:tcW w:w="532" w:type="pct"/>
            <w:tcBorders>
              <w:top w:val="nil"/>
              <w:left w:val="nil"/>
              <w:bottom w:val="nil"/>
              <w:right w:val="nil"/>
            </w:tcBorders>
            <w:noWrap/>
            <w:vAlign w:val="center"/>
            <w:hideMark/>
          </w:tcPr>
          <w:p w14:paraId="4490A288" w14:textId="628F6714" w:rsidR="00356A3D" w:rsidRPr="00356A3D" w:rsidRDefault="00356A3D" w:rsidP="00356A3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w:t>
            </w:r>
          </w:p>
        </w:tc>
        <w:tc>
          <w:tcPr>
            <w:tcW w:w="581" w:type="pct"/>
            <w:tcBorders>
              <w:top w:val="nil"/>
              <w:left w:val="nil"/>
              <w:bottom w:val="nil"/>
              <w:right w:val="nil"/>
            </w:tcBorders>
            <w:noWrap/>
            <w:vAlign w:val="center"/>
            <w:hideMark/>
          </w:tcPr>
          <w:p w14:paraId="7BB81039" w14:textId="58B5A1DD" w:rsidR="00356A3D" w:rsidRPr="00356A3D" w:rsidRDefault="00356A3D" w:rsidP="00356A3D">
            <w:pPr>
              <w:spacing w:line="240" w:lineRule="auto"/>
              <w:jc w:val="right"/>
              <w:rPr>
                <w:rFonts w:eastAsia="Times New Roman" w:cs="Times New Roman"/>
                <w:sz w:val="20"/>
                <w:szCs w:val="20"/>
                <w:lang w:eastAsia="sk-SK"/>
              </w:rPr>
            </w:pPr>
            <w:r>
              <w:rPr>
                <w:rFonts w:eastAsia="Times New Roman" w:cs="Times New Roman"/>
                <w:color w:val="000000"/>
                <w:sz w:val="18"/>
                <w:szCs w:val="18"/>
                <w:lang w:eastAsia="sk-SK"/>
              </w:rPr>
              <w:t>-</w:t>
            </w:r>
          </w:p>
        </w:tc>
        <w:tc>
          <w:tcPr>
            <w:tcW w:w="555" w:type="pct"/>
            <w:tcBorders>
              <w:top w:val="nil"/>
              <w:left w:val="nil"/>
              <w:bottom w:val="nil"/>
              <w:right w:val="nil"/>
            </w:tcBorders>
            <w:noWrap/>
            <w:vAlign w:val="center"/>
            <w:hideMark/>
          </w:tcPr>
          <w:p w14:paraId="5F534C3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574 140</w:t>
            </w:r>
          </w:p>
        </w:tc>
        <w:tc>
          <w:tcPr>
            <w:tcW w:w="533" w:type="pct"/>
            <w:tcBorders>
              <w:top w:val="nil"/>
              <w:left w:val="nil"/>
              <w:bottom w:val="nil"/>
              <w:right w:val="nil"/>
            </w:tcBorders>
            <w:noWrap/>
            <w:vAlign w:val="center"/>
            <w:hideMark/>
          </w:tcPr>
          <w:p w14:paraId="19A007BE"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389 336</w:t>
            </w:r>
          </w:p>
        </w:tc>
        <w:tc>
          <w:tcPr>
            <w:tcW w:w="575" w:type="pct"/>
            <w:tcBorders>
              <w:top w:val="nil"/>
              <w:left w:val="nil"/>
              <w:bottom w:val="nil"/>
              <w:right w:val="nil"/>
            </w:tcBorders>
            <w:noWrap/>
            <w:vAlign w:val="center"/>
            <w:hideMark/>
          </w:tcPr>
          <w:p w14:paraId="2B55C01E"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-184 804</w:t>
            </w:r>
          </w:p>
        </w:tc>
      </w:tr>
      <w:tr w:rsidR="00E83147" w:rsidRPr="00356A3D" w14:paraId="3F0266AD" w14:textId="77777777" w:rsidTr="007E659C">
        <w:trPr>
          <w:trHeight w:val="295"/>
        </w:trPr>
        <w:tc>
          <w:tcPr>
            <w:tcW w:w="2224" w:type="pct"/>
            <w:tcBorders>
              <w:top w:val="nil"/>
              <w:left w:val="nil"/>
              <w:bottom w:val="nil"/>
              <w:right w:val="nil"/>
            </w:tcBorders>
            <w:noWrap/>
            <w:vAlign w:val="center"/>
            <w:hideMark/>
          </w:tcPr>
          <w:p w14:paraId="16BCB1CE"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 xml:space="preserve">     - Ostatné</w:t>
            </w:r>
          </w:p>
        </w:tc>
        <w:tc>
          <w:tcPr>
            <w:tcW w:w="532" w:type="pct"/>
            <w:tcBorders>
              <w:top w:val="nil"/>
              <w:left w:val="nil"/>
              <w:bottom w:val="single" w:sz="4" w:space="0" w:color="auto"/>
              <w:right w:val="nil"/>
            </w:tcBorders>
            <w:noWrap/>
            <w:vAlign w:val="center"/>
            <w:hideMark/>
          </w:tcPr>
          <w:p w14:paraId="5FFDD86B"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252 342</w:t>
            </w:r>
          </w:p>
        </w:tc>
        <w:tc>
          <w:tcPr>
            <w:tcW w:w="581" w:type="pct"/>
            <w:tcBorders>
              <w:top w:val="nil"/>
              <w:left w:val="nil"/>
              <w:bottom w:val="single" w:sz="4" w:space="0" w:color="auto"/>
              <w:right w:val="nil"/>
            </w:tcBorders>
            <w:noWrap/>
            <w:vAlign w:val="center"/>
            <w:hideMark/>
          </w:tcPr>
          <w:p w14:paraId="28645DA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250 333</w:t>
            </w:r>
          </w:p>
        </w:tc>
        <w:tc>
          <w:tcPr>
            <w:tcW w:w="555" w:type="pct"/>
            <w:tcBorders>
              <w:top w:val="nil"/>
              <w:left w:val="nil"/>
              <w:bottom w:val="single" w:sz="4" w:space="0" w:color="auto"/>
              <w:right w:val="nil"/>
            </w:tcBorders>
            <w:noWrap/>
            <w:vAlign w:val="center"/>
            <w:hideMark/>
          </w:tcPr>
          <w:p w14:paraId="2D68E4B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189 592</w:t>
            </w:r>
          </w:p>
        </w:tc>
        <w:tc>
          <w:tcPr>
            <w:tcW w:w="533" w:type="pct"/>
            <w:tcBorders>
              <w:top w:val="nil"/>
              <w:left w:val="nil"/>
              <w:bottom w:val="single" w:sz="4" w:space="0" w:color="auto"/>
              <w:right w:val="nil"/>
            </w:tcBorders>
            <w:noWrap/>
            <w:vAlign w:val="center"/>
            <w:hideMark/>
          </w:tcPr>
          <w:p w14:paraId="2C1C458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194 074</w:t>
            </w:r>
          </w:p>
        </w:tc>
        <w:tc>
          <w:tcPr>
            <w:tcW w:w="575" w:type="pct"/>
            <w:tcBorders>
              <w:top w:val="nil"/>
              <w:left w:val="nil"/>
              <w:bottom w:val="nil"/>
              <w:right w:val="nil"/>
            </w:tcBorders>
            <w:noWrap/>
            <w:vAlign w:val="center"/>
            <w:hideMark/>
          </w:tcPr>
          <w:p w14:paraId="53A3691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4 482</w:t>
            </w:r>
          </w:p>
        </w:tc>
      </w:tr>
      <w:tr w:rsidR="00E83147" w:rsidRPr="00356A3D" w14:paraId="3F593507" w14:textId="77777777" w:rsidTr="007E659C">
        <w:trPr>
          <w:trHeight w:val="295"/>
        </w:trPr>
        <w:tc>
          <w:tcPr>
            <w:tcW w:w="2224" w:type="pct"/>
            <w:tcBorders>
              <w:top w:val="single" w:sz="4" w:space="0" w:color="auto"/>
              <w:left w:val="nil"/>
              <w:bottom w:val="single" w:sz="4" w:space="0" w:color="auto"/>
              <w:right w:val="nil"/>
            </w:tcBorders>
            <w:noWrap/>
            <w:vAlign w:val="center"/>
            <w:hideMark/>
          </w:tcPr>
          <w:p w14:paraId="5A29C8D9" w14:textId="77777777" w:rsidR="00356A3D" w:rsidRPr="00356A3D" w:rsidRDefault="00356A3D" w:rsidP="00356A3D">
            <w:pPr>
              <w:spacing w:line="240" w:lineRule="auto"/>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Daňové príjmy</w:t>
            </w:r>
          </w:p>
        </w:tc>
        <w:tc>
          <w:tcPr>
            <w:tcW w:w="532" w:type="pct"/>
            <w:tcBorders>
              <w:top w:val="nil"/>
              <w:left w:val="nil"/>
              <w:bottom w:val="single" w:sz="4" w:space="0" w:color="auto"/>
              <w:right w:val="nil"/>
            </w:tcBorders>
            <w:noWrap/>
            <w:vAlign w:val="center"/>
            <w:hideMark/>
          </w:tcPr>
          <w:p w14:paraId="100B0A0C"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23 157 569</w:t>
            </w:r>
          </w:p>
        </w:tc>
        <w:tc>
          <w:tcPr>
            <w:tcW w:w="581" w:type="pct"/>
            <w:tcBorders>
              <w:top w:val="nil"/>
              <w:left w:val="nil"/>
              <w:bottom w:val="single" w:sz="4" w:space="0" w:color="auto"/>
              <w:right w:val="nil"/>
            </w:tcBorders>
            <w:noWrap/>
            <w:vAlign w:val="center"/>
            <w:hideMark/>
          </w:tcPr>
          <w:p w14:paraId="128D2057"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24 522 809</w:t>
            </w:r>
          </w:p>
        </w:tc>
        <w:tc>
          <w:tcPr>
            <w:tcW w:w="555" w:type="pct"/>
            <w:tcBorders>
              <w:top w:val="nil"/>
              <w:left w:val="nil"/>
              <w:bottom w:val="single" w:sz="4" w:space="0" w:color="auto"/>
              <w:right w:val="nil"/>
            </w:tcBorders>
            <w:noWrap/>
            <w:vAlign w:val="center"/>
            <w:hideMark/>
          </w:tcPr>
          <w:p w14:paraId="4B1E6300"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27 937 233</w:t>
            </w:r>
          </w:p>
        </w:tc>
        <w:tc>
          <w:tcPr>
            <w:tcW w:w="533" w:type="pct"/>
            <w:tcBorders>
              <w:top w:val="nil"/>
              <w:left w:val="nil"/>
              <w:bottom w:val="single" w:sz="4" w:space="0" w:color="auto"/>
              <w:right w:val="nil"/>
            </w:tcBorders>
            <w:noWrap/>
            <w:vAlign w:val="center"/>
            <w:hideMark/>
          </w:tcPr>
          <w:p w14:paraId="67C8D615"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26 299 352</w:t>
            </w:r>
          </w:p>
        </w:tc>
        <w:tc>
          <w:tcPr>
            <w:tcW w:w="575" w:type="pct"/>
            <w:tcBorders>
              <w:top w:val="single" w:sz="4" w:space="0" w:color="auto"/>
              <w:left w:val="nil"/>
              <w:bottom w:val="single" w:sz="4" w:space="0" w:color="auto"/>
              <w:right w:val="nil"/>
            </w:tcBorders>
            <w:noWrap/>
            <w:vAlign w:val="center"/>
            <w:hideMark/>
          </w:tcPr>
          <w:p w14:paraId="1EC9D0BA"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-1 637 881</w:t>
            </w:r>
          </w:p>
        </w:tc>
      </w:tr>
      <w:tr w:rsidR="00E83147" w:rsidRPr="00356A3D" w14:paraId="5EC89EAD" w14:textId="77777777" w:rsidTr="007E659C">
        <w:trPr>
          <w:trHeight w:val="320"/>
        </w:trPr>
        <w:tc>
          <w:tcPr>
            <w:tcW w:w="2224" w:type="pct"/>
            <w:tcBorders>
              <w:top w:val="nil"/>
              <w:left w:val="nil"/>
              <w:bottom w:val="nil"/>
              <w:right w:val="nil"/>
            </w:tcBorders>
            <w:noWrap/>
            <w:vAlign w:val="center"/>
            <w:hideMark/>
          </w:tcPr>
          <w:p w14:paraId="5C5435FE"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Sociálne odvody (EAO + dlžné)</w:t>
            </w:r>
          </w:p>
        </w:tc>
        <w:tc>
          <w:tcPr>
            <w:tcW w:w="532" w:type="pct"/>
            <w:tcBorders>
              <w:top w:val="nil"/>
              <w:left w:val="nil"/>
              <w:bottom w:val="nil"/>
              <w:right w:val="nil"/>
            </w:tcBorders>
            <w:noWrap/>
            <w:vAlign w:val="center"/>
            <w:hideMark/>
          </w:tcPr>
          <w:p w14:paraId="25A8330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10 135 747</w:t>
            </w:r>
          </w:p>
        </w:tc>
        <w:tc>
          <w:tcPr>
            <w:tcW w:w="581" w:type="pct"/>
            <w:tcBorders>
              <w:top w:val="nil"/>
              <w:left w:val="nil"/>
              <w:bottom w:val="nil"/>
              <w:right w:val="nil"/>
            </w:tcBorders>
            <w:noWrap/>
            <w:vAlign w:val="center"/>
            <w:hideMark/>
          </w:tcPr>
          <w:p w14:paraId="40BB7B80"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11 345 255</w:t>
            </w:r>
          </w:p>
        </w:tc>
        <w:tc>
          <w:tcPr>
            <w:tcW w:w="555" w:type="pct"/>
            <w:tcBorders>
              <w:top w:val="nil"/>
              <w:left w:val="nil"/>
              <w:bottom w:val="nil"/>
              <w:right w:val="nil"/>
            </w:tcBorders>
            <w:noWrap/>
            <w:vAlign w:val="center"/>
            <w:hideMark/>
          </w:tcPr>
          <w:p w14:paraId="737DA80D"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11 816 540</w:t>
            </w:r>
          </w:p>
        </w:tc>
        <w:tc>
          <w:tcPr>
            <w:tcW w:w="533" w:type="pct"/>
            <w:tcBorders>
              <w:top w:val="nil"/>
              <w:left w:val="nil"/>
              <w:bottom w:val="nil"/>
              <w:right w:val="nil"/>
            </w:tcBorders>
            <w:noWrap/>
            <w:vAlign w:val="center"/>
            <w:hideMark/>
          </w:tcPr>
          <w:p w14:paraId="36A4F0A9"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12 021 195</w:t>
            </w:r>
          </w:p>
        </w:tc>
        <w:tc>
          <w:tcPr>
            <w:tcW w:w="575" w:type="pct"/>
            <w:tcBorders>
              <w:top w:val="nil"/>
              <w:left w:val="nil"/>
              <w:bottom w:val="nil"/>
              <w:right w:val="nil"/>
            </w:tcBorders>
            <w:noWrap/>
            <w:vAlign w:val="center"/>
            <w:hideMark/>
          </w:tcPr>
          <w:p w14:paraId="70B159A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204 655</w:t>
            </w:r>
          </w:p>
        </w:tc>
      </w:tr>
      <w:tr w:rsidR="00E83147" w:rsidRPr="00356A3D" w14:paraId="08949935" w14:textId="77777777" w:rsidTr="007E659C">
        <w:trPr>
          <w:trHeight w:val="320"/>
        </w:trPr>
        <w:tc>
          <w:tcPr>
            <w:tcW w:w="2224" w:type="pct"/>
            <w:tcBorders>
              <w:top w:val="nil"/>
              <w:left w:val="nil"/>
              <w:bottom w:val="single" w:sz="4" w:space="0" w:color="auto"/>
              <w:right w:val="nil"/>
            </w:tcBorders>
            <w:noWrap/>
            <w:vAlign w:val="center"/>
            <w:hideMark/>
          </w:tcPr>
          <w:p w14:paraId="517C3261" w14:textId="77777777" w:rsidR="00356A3D" w:rsidRPr="00356A3D" w:rsidRDefault="00356A3D" w:rsidP="00356A3D">
            <w:pPr>
              <w:spacing w:line="240" w:lineRule="auto"/>
              <w:rPr>
                <w:rFonts w:eastAsia="Times New Roman" w:cs="Times New Roman"/>
                <w:color w:val="000000"/>
                <w:sz w:val="18"/>
                <w:szCs w:val="18"/>
                <w:lang w:eastAsia="sk-SK"/>
              </w:rPr>
            </w:pPr>
            <w:r w:rsidRPr="00356A3D">
              <w:rPr>
                <w:rFonts w:eastAsia="Times New Roman" w:cs="Times New Roman"/>
                <w:color w:val="000000"/>
                <w:sz w:val="18"/>
                <w:szCs w:val="18"/>
                <w:lang w:eastAsia="sk-SK"/>
              </w:rPr>
              <w:t>Zdravotné odvody (EAO + dlžné)</w:t>
            </w:r>
          </w:p>
        </w:tc>
        <w:tc>
          <w:tcPr>
            <w:tcW w:w="532" w:type="pct"/>
            <w:tcBorders>
              <w:top w:val="nil"/>
              <w:left w:val="nil"/>
              <w:bottom w:val="single" w:sz="4" w:space="0" w:color="auto"/>
              <w:right w:val="nil"/>
            </w:tcBorders>
            <w:noWrap/>
            <w:vAlign w:val="center"/>
            <w:hideMark/>
          </w:tcPr>
          <w:p w14:paraId="24A5A3C8"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5 204 310</w:t>
            </w:r>
          </w:p>
        </w:tc>
        <w:tc>
          <w:tcPr>
            <w:tcW w:w="581" w:type="pct"/>
            <w:tcBorders>
              <w:top w:val="nil"/>
              <w:left w:val="nil"/>
              <w:bottom w:val="single" w:sz="4" w:space="0" w:color="auto"/>
              <w:right w:val="nil"/>
            </w:tcBorders>
            <w:noWrap/>
            <w:vAlign w:val="center"/>
            <w:hideMark/>
          </w:tcPr>
          <w:p w14:paraId="018902C2"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5 957 980</w:t>
            </w:r>
          </w:p>
        </w:tc>
        <w:tc>
          <w:tcPr>
            <w:tcW w:w="555" w:type="pct"/>
            <w:tcBorders>
              <w:top w:val="nil"/>
              <w:left w:val="nil"/>
              <w:bottom w:val="single" w:sz="4" w:space="0" w:color="auto"/>
              <w:right w:val="nil"/>
            </w:tcBorders>
            <w:noWrap/>
            <w:vAlign w:val="center"/>
            <w:hideMark/>
          </w:tcPr>
          <w:p w14:paraId="003B6A74"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6 292 892</w:t>
            </w:r>
          </w:p>
        </w:tc>
        <w:tc>
          <w:tcPr>
            <w:tcW w:w="533" w:type="pct"/>
            <w:tcBorders>
              <w:top w:val="nil"/>
              <w:left w:val="nil"/>
              <w:bottom w:val="single" w:sz="4" w:space="0" w:color="auto"/>
              <w:right w:val="nil"/>
            </w:tcBorders>
            <w:noWrap/>
            <w:vAlign w:val="center"/>
            <w:hideMark/>
          </w:tcPr>
          <w:p w14:paraId="026F8A6F"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6 361 274</w:t>
            </w:r>
          </w:p>
        </w:tc>
        <w:tc>
          <w:tcPr>
            <w:tcW w:w="575" w:type="pct"/>
            <w:tcBorders>
              <w:top w:val="nil"/>
              <w:left w:val="nil"/>
              <w:bottom w:val="nil"/>
              <w:right w:val="nil"/>
            </w:tcBorders>
            <w:noWrap/>
            <w:vAlign w:val="center"/>
            <w:hideMark/>
          </w:tcPr>
          <w:p w14:paraId="0C1E7C56" w14:textId="77777777" w:rsidR="00356A3D" w:rsidRPr="00356A3D" w:rsidRDefault="00356A3D" w:rsidP="00356A3D">
            <w:pPr>
              <w:spacing w:line="240" w:lineRule="auto"/>
              <w:jc w:val="right"/>
              <w:rPr>
                <w:rFonts w:eastAsia="Times New Roman" w:cs="Times New Roman"/>
                <w:color w:val="000000"/>
                <w:sz w:val="18"/>
                <w:szCs w:val="18"/>
                <w:lang w:eastAsia="sk-SK"/>
              </w:rPr>
            </w:pPr>
            <w:r w:rsidRPr="00356A3D">
              <w:rPr>
                <w:rFonts w:eastAsia="Times New Roman" w:cs="Times New Roman"/>
                <w:color w:val="000000"/>
                <w:sz w:val="18"/>
                <w:szCs w:val="18"/>
                <w:lang w:eastAsia="sk-SK"/>
              </w:rPr>
              <w:t>68 382</w:t>
            </w:r>
          </w:p>
        </w:tc>
      </w:tr>
      <w:tr w:rsidR="00E83147" w:rsidRPr="00356A3D" w14:paraId="03918545" w14:textId="77777777" w:rsidTr="007E659C">
        <w:trPr>
          <w:trHeight w:val="295"/>
        </w:trPr>
        <w:tc>
          <w:tcPr>
            <w:tcW w:w="2224" w:type="pct"/>
            <w:tcBorders>
              <w:top w:val="single" w:sz="4" w:space="0" w:color="auto"/>
              <w:left w:val="nil"/>
              <w:bottom w:val="single" w:sz="4" w:space="0" w:color="auto"/>
              <w:right w:val="nil"/>
            </w:tcBorders>
            <w:noWrap/>
            <w:vAlign w:val="center"/>
            <w:hideMark/>
          </w:tcPr>
          <w:p w14:paraId="47C62EF1" w14:textId="77777777" w:rsidR="00356A3D" w:rsidRPr="00356A3D" w:rsidRDefault="00356A3D" w:rsidP="00356A3D">
            <w:pPr>
              <w:spacing w:line="240" w:lineRule="auto"/>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 xml:space="preserve">Fondy sociálneho zabezpečenia </w:t>
            </w:r>
          </w:p>
        </w:tc>
        <w:tc>
          <w:tcPr>
            <w:tcW w:w="532" w:type="pct"/>
            <w:tcBorders>
              <w:top w:val="nil"/>
              <w:left w:val="nil"/>
              <w:bottom w:val="single" w:sz="4" w:space="0" w:color="auto"/>
              <w:right w:val="nil"/>
            </w:tcBorders>
            <w:noWrap/>
            <w:vAlign w:val="center"/>
            <w:hideMark/>
          </w:tcPr>
          <w:p w14:paraId="19039F3B"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15 340 057</w:t>
            </w:r>
          </w:p>
        </w:tc>
        <w:tc>
          <w:tcPr>
            <w:tcW w:w="581" w:type="pct"/>
            <w:tcBorders>
              <w:top w:val="nil"/>
              <w:left w:val="nil"/>
              <w:bottom w:val="single" w:sz="4" w:space="0" w:color="auto"/>
              <w:right w:val="nil"/>
            </w:tcBorders>
            <w:noWrap/>
            <w:vAlign w:val="center"/>
            <w:hideMark/>
          </w:tcPr>
          <w:p w14:paraId="3B005F71"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17 303 235</w:t>
            </w:r>
          </w:p>
        </w:tc>
        <w:tc>
          <w:tcPr>
            <w:tcW w:w="555" w:type="pct"/>
            <w:tcBorders>
              <w:top w:val="nil"/>
              <w:left w:val="nil"/>
              <w:bottom w:val="single" w:sz="4" w:space="0" w:color="auto"/>
              <w:right w:val="nil"/>
            </w:tcBorders>
            <w:noWrap/>
            <w:vAlign w:val="center"/>
            <w:hideMark/>
          </w:tcPr>
          <w:p w14:paraId="185A570F"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18 109 432</w:t>
            </w:r>
          </w:p>
        </w:tc>
        <w:tc>
          <w:tcPr>
            <w:tcW w:w="533" w:type="pct"/>
            <w:tcBorders>
              <w:top w:val="nil"/>
              <w:left w:val="nil"/>
              <w:bottom w:val="single" w:sz="4" w:space="0" w:color="auto"/>
              <w:right w:val="nil"/>
            </w:tcBorders>
            <w:noWrap/>
            <w:vAlign w:val="center"/>
            <w:hideMark/>
          </w:tcPr>
          <w:p w14:paraId="5CCA883B"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18 382 469</w:t>
            </w:r>
          </w:p>
        </w:tc>
        <w:tc>
          <w:tcPr>
            <w:tcW w:w="575" w:type="pct"/>
            <w:tcBorders>
              <w:top w:val="single" w:sz="4" w:space="0" w:color="auto"/>
              <w:left w:val="nil"/>
              <w:bottom w:val="single" w:sz="4" w:space="0" w:color="auto"/>
              <w:right w:val="nil"/>
            </w:tcBorders>
            <w:noWrap/>
            <w:vAlign w:val="center"/>
            <w:hideMark/>
          </w:tcPr>
          <w:p w14:paraId="60D91899"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273 037</w:t>
            </w:r>
          </w:p>
        </w:tc>
      </w:tr>
      <w:tr w:rsidR="00E83147" w:rsidRPr="00356A3D" w14:paraId="6494944A" w14:textId="77777777" w:rsidTr="007E659C">
        <w:trPr>
          <w:trHeight w:val="295"/>
        </w:trPr>
        <w:tc>
          <w:tcPr>
            <w:tcW w:w="2224" w:type="pct"/>
            <w:tcBorders>
              <w:top w:val="single" w:sz="4" w:space="0" w:color="auto"/>
              <w:left w:val="nil"/>
              <w:bottom w:val="single" w:sz="4" w:space="0" w:color="auto"/>
              <w:right w:val="nil"/>
            </w:tcBorders>
            <w:noWrap/>
            <w:vAlign w:val="center"/>
            <w:hideMark/>
          </w:tcPr>
          <w:p w14:paraId="00B259D3" w14:textId="77777777" w:rsidR="00356A3D" w:rsidRPr="00356A3D" w:rsidRDefault="00356A3D" w:rsidP="00356A3D">
            <w:pPr>
              <w:spacing w:line="240" w:lineRule="auto"/>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Daňové a odvodové príjmy spolu</w:t>
            </w:r>
          </w:p>
        </w:tc>
        <w:tc>
          <w:tcPr>
            <w:tcW w:w="532" w:type="pct"/>
            <w:tcBorders>
              <w:top w:val="single" w:sz="4" w:space="0" w:color="auto"/>
              <w:left w:val="nil"/>
              <w:bottom w:val="single" w:sz="4" w:space="0" w:color="auto"/>
              <w:right w:val="nil"/>
            </w:tcBorders>
            <w:noWrap/>
            <w:vAlign w:val="center"/>
            <w:hideMark/>
          </w:tcPr>
          <w:p w14:paraId="552C9824"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38 497 626</w:t>
            </w:r>
          </w:p>
        </w:tc>
        <w:tc>
          <w:tcPr>
            <w:tcW w:w="581" w:type="pct"/>
            <w:tcBorders>
              <w:top w:val="single" w:sz="4" w:space="0" w:color="auto"/>
              <w:left w:val="nil"/>
              <w:bottom w:val="single" w:sz="4" w:space="0" w:color="auto"/>
              <w:right w:val="nil"/>
            </w:tcBorders>
            <w:noWrap/>
            <w:vAlign w:val="center"/>
            <w:hideMark/>
          </w:tcPr>
          <w:p w14:paraId="2AD58887"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41 826 044</w:t>
            </w:r>
          </w:p>
        </w:tc>
        <w:tc>
          <w:tcPr>
            <w:tcW w:w="555" w:type="pct"/>
            <w:tcBorders>
              <w:top w:val="single" w:sz="4" w:space="0" w:color="auto"/>
              <w:left w:val="nil"/>
              <w:bottom w:val="single" w:sz="4" w:space="0" w:color="auto"/>
              <w:right w:val="nil"/>
            </w:tcBorders>
            <w:noWrap/>
            <w:vAlign w:val="center"/>
            <w:hideMark/>
          </w:tcPr>
          <w:p w14:paraId="5CE3741D"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46 046 665</w:t>
            </w:r>
          </w:p>
        </w:tc>
        <w:tc>
          <w:tcPr>
            <w:tcW w:w="533" w:type="pct"/>
            <w:tcBorders>
              <w:top w:val="single" w:sz="4" w:space="0" w:color="auto"/>
              <w:left w:val="nil"/>
              <w:bottom w:val="single" w:sz="4" w:space="0" w:color="auto"/>
              <w:right w:val="nil"/>
            </w:tcBorders>
            <w:noWrap/>
            <w:vAlign w:val="center"/>
            <w:hideMark/>
          </w:tcPr>
          <w:p w14:paraId="1CEA6AE8"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44 681 821</w:t>
            </w:r>
          </w:p>
        </w:tc>
        <w:tc>
          <w:tcPr>
            <w:tcW w:w="575" w:type="pct"/>
            <w:tcBorders>
              <w:top w:val="single" w:sz="4" w:space="0" w:color="auto"/>
              <w:left w:val="nil"/>
              <w:bottom w:val="single" w:sz="4" w:space="0" w:color="auto"/>
              <w:right w:val="nil"/>
            </w:tcBorders>
            <w:noWrap/>
            <w:vAlign w:val="center"/>
            <w:hideMark/>
          </w:tcPr>
          <w:p w14:paraId="68140F1C" w14:textId="77777777" w:rsidR="00356A3D" w:rsidRPr="00356A3D" w:rsidRDefault="00356A3D" w:rsidP="00356A3D">
            <w:pPr>
              <w:spacing w:line="240" w:lineRule="auto"/>
              <w:jc w:val="right"/>
              <w:rPr>
                <w:rFonts w:eastAsia="Times New Roman" w:cs="Times New Roman"/>
                <w:b/>
                <w:bCs/>
                <w:color w:val="000000"/>
                <w:sz w:val="18"/>
                <w:szCs w:val="18"/>
                <w:lang w:eastAsia="sk-SK"/>
              </w:rPr>
            </w:pPr>
            <w:r w:rsidRPr="00356A3D">
              <w:rPr>
                <w:rFonts w:eastAsia="Times New Roman" w:cs="Times New Roman"/>
                <w:b/>
                <w:bCs/>
                <w:color w:val="000000"/>
                <w:sz w:val="18"/>
                <w:szCs w:val="18"/>
                <w:lang w:eastAsia="sk-SK"/>
              </w:rPr>
              <w:t>-1 364 844</w:t>
            </w:r>
          </w:p>
        </w:tc>
      </w:tr>
    </w:tbl>
    <w:p w14:paraId="29FCF2D3" w14:textId="59B2CE31" w:rsidR="00E83147" w:rsidRDefault="00E83147" w:rsidP="00E83147">
      <w:pPr>
        <w:keepNext/>
        <w:tabs>
          <w:tab w:val="right" w:pos="9072"/>
        </w:tabs>
        <w:spacing w:line="240" w:lineRule="auto"/>
        <w:ind w:right="-2"/>
        <w:jc w:val="both"/>
        <w:rPr>
          <w:rFonts w:eastAsia="Times New Roman" w:cs="Times New Roman"/>
          <w:color w:val="000000"/>
          <w:sz w:val="18"/>
          <w:szCs w:val="18"/>
          <w:lang w:eastAsia="sk-SK"/>
        </w:rPr>
      </w:pPr>
      <w:r w:rsidRPr="007C2C6F">
        <w:rPr>
          <w:sz w:val="18"/>
          <w:szCs w:val="18"/>
        </w:rPr>
        <w:t>Pozn.:</w:t>
      </w:r>
      <w:r w:rsidRPr="007C2C6F">
        <w:rPr>
          <w:rFonts w:eastAsia="Times New Roman" w:cs="Times New Roman"/>
          <w:color w:val="000000"/>
          <w:sz w:val="18"/>
          <w:szCs w:val="18"/>
          <w:lang w:eastAsia="sk-SK"/>
        </w:rPr>
        <w:t xml:space="preserve"> </w:t>
      </w:r>
      <w:r w:rsidRPr="00787CD1">
        <w:rPr>
          <w:rFonts w:eastAsia="Times New Roman" w:cs="Times New Roman"/>
          <w:color w:val="000000"/>
          <w:sz w:val="18"/>
          <w:szCs w:val="18"/>
          <w:lang w:eastAsia="sk-SK"/>
        </w:rPr>
        <w:t xml:space="preserve">V tabuľke nie sú zahrnuté príjmy zo spotrebnej dane zo zelenej energie, sociálne </w:t>
      </w:r>
      <w:r>
        <w:rPr>
          <w:rFonts w:eastAsia="Times New Roman" w:cs="Times New Roman"/>
          <w:color w:val="000000"/>
          <w:sz w:val="18"/>
          <w:szCs w:val="18"/>
          <w:lang w:eastAsia="sk-SK"/>
        </w:rPr>
        <w:tab/>
      </w:r>
      <w:r w:rsidRPr="00E83147">
        <w:rPr>
          <w:rFonts w:cs="Times New Roman"/>
          <w:sz w:val="18"/>
          <w:szCs w:val="18"/>
        </w:rPr>
        <w:t>Zdroj: IFP, MF SR</w:t>
      </w:r>
    </w:p>
    <w:p w14:paraId="116FDEBA" w14:textId="4E7EBB5F" w:rsidR="00E83147" w:rsidRDefault="00123BB0" w:rsidP="00E83147">
      <w:pPr>
        <w:keepNext/>
        <w:tabs>
          <w:tab w:val="right" w:pos="9072"/>
        </w:tabs>
        <w:spacing w:line="240" w:lineRule="auto"/>
        <w:ind w:right="-2"/>
        <w:jc w:val="both"/>
        <w:rPr>
          <w:rFonts w:eastAsia="Times New Roman" w:cs="Times New Roman"/>
          <w:color w:val="000000"/>
          <w:sz w:val="18"/>
          <w:szCs w:val="18"/>
          <w:lang w:eastAsia="sk-SK"/>
        </w:rPr>
      </w:pPr>
      <w:r>
        <w:rPr>
          <w:rFonts w:eastAsia="Times New Roman" w:cs="Times New Roman"/>
          <w:color w:val="000000"/>
          <w:sz w:val="18"/>
          <w:szCs w:val="18"/>
          <w:lang w:eastAsia="sk-SK"/>
        </w:rPr>
        <w:t xml:space="preserve">a </w:t>
      </w:r>
      <w:r w:rsidR="00E83147">
        <w:rPr>
          <w:rFonts w:eastAsia="Times New Roman" w:cs="Times New Roman"/>
          <w:color w:val="000000"/>
          <w:sz w:val="18"/>
          <w:szCs w:val="18"/>
          <w:lang w:eastAsia="sk-SK"/>
        </w:rPr>
        <w:t>z</w:t>
      </w:r>
      <w:r w:rsidR="00E83147" w:rsidRPr="00787CD1">
        <w:rPr>
          <w:rFonts w:eastAsia="Times New Roman" w:cs="Times New Roman"/>
          <w:color w:val="000000"/>
          <w:sz w:val="18"/>
          <w:szCs w:val="18"/>
          <w:lang w:eastAsia="sk-SK"/>
        </w:rPr>
        <w:t>dravotné</w:t>
      </w:r>
      <w:r w:rsidR="00E83147">
        <w:rPr>
          <w:rFonts w:eastAsia="Times New Roman" w:cs="Times New Roman"/>
          <w:color w:val="000000"/>
          <w:sz w:val="18"/>
          <w:szCs w:val="18"/>
          <w:lang w:eastAsia="sk-SK"/>
        </w:rPr>
        <w:t xml:space="preserve"> </w:t>
      </w:r>
      <w:r w:rsidR="00E83147" w:rsidRPr="00787CD1">
        <w:rPr>
          <w:rFonts w:eastAsia="Times New Roman" w:cs="Times New Roman"/>
          <w:color w:val="000000"/>
          <w:sz w:val="18"/>
          <w:szCs w:val="18"/>
          <w:lang w:eastAsia="sk-SK"/>
        </w:rPr>
        <w:t xml:space="preserve">odvody platené štátom, ani príjmy z odvodov za ozbrojené zložky, penále </w:t>
      </w:r>
    </w:p>
    <w:p w14:paraId="5618419B" w14:textId="148835BE" w:rsidR="00E83147" w:rsidRDefault="00123BB0" w:rsidP="00E83147">
      <w:pPr>
        <w:keepNext/>
        <w:tabs>
          <w:tab w:val="right" w:pos="9072"/>
        </w:tabs>
        <w:spacing w:line="240" w:lineRule="auto"/>
        <w:ind w:right="-2"/>
        <w:jc w:val="both"/>
        <w:rPr>
          <w:sz w:val="18"/>
          <w:szCs w:val="18"/>
        </w:rPr>
      </w:pPr>
      <w:r>
        <w:rPr>
          <w:rFonts w:eastAsia="Times New Roman" w:cs="Times New Roman"/>
          <w:color w:val="000000"/>
          <w:sz w:val="18"/>
          <w:szCs w:val="18"/>
          <w:lang w:eastAsia="sk-SK"/>
        </w:rPr>
        <w:t xml:space="preserve">a </w:t>
      </w:r>
      <w:r w:rsidR="00E83147" w:rsidRPr="00787CD1">
        <w:rPr>
          <w:rFonts w:eastAsia="Times New Roman" w:cs="Times New Roman"/>
          <w:color w:val="000000"/>
          <w:sz w:val="18"/>
          <w:szCs w:val="18"/>
          <w:lang w:eastAsia="sk-SK"/>
        </w:rPr>
        <w:t>imputované poistné, nakoľko nie sú prognózované Výborom pre daňové prognózy</w:t>
      </w:r>
      <w:r w:rsidR="00E83147">
        <w:rPr>
          <w:rFonts w:eastAsia="Times New Roman" w:cs="Times New Roman"/>
          <w:color w:val="000000"/>
          <w:sz w:val="18"/>
          <w:szCs w:val="18"/>
          <w:lang w:eastAsia="sk-SK"/>
        </w:rPr>
        <w:t>.</w:t>
      </w:r>
      <w:r w:rsidR="00E83147">
        <w:rPr>
          <w:sz w:val="18"/>
          <w:szCs w:val="18"/>
        </w:rPr>
        <w:tab/>
      </w:r>
    </w:p>
    <w:p w14:paraId="6655B971" w14:textId="77777777" w:rsidR="007C2C6F" w:rsidRDefault="007C2C6F" w:rsidP="00532D85">
      <w:pPr>
        <w:spacing w:line="240" w:lineRule="auto"/>
        <w:jc w:val="both"/>
        <w:rPr>
          <w:szCs w:val="24"/>
          <w:highlight w:val="yellow"/>
        </w:rPr>
      </w:pPr>
    </w:p>
    <w:p w14:paraId="582D193F" w14:textId="63FBBEB6" w:rsidR="009A05C7" w:rsidRPr="0050710A" w:rsidRDefault="00DA52D0" w:rsidP="00532D85">
      <w:pPr>
        <w:spacing w:line="240" w:lineRule="auto"/>
        <w:jc w:val="both"/>
        <w:rPr>
          <w:szCs w:val="24"/>
          <w:highlight w:val="yellow"/>
        </w:rPr>
      </w:pPr>
      <w:r w:rsidRPr="006817DA">
        <w:rPr>
          <w:bCs/>
          <w:szCs w:val="24"/>
        </w:rPr>
        <w:t xml:space="preserve">Prognózy pre rozpočet na rok 2025 boli tvorené v novembri 2024. V prognóze neboli zahrnuté zmeny sadzieb miestnych daní, ktoré majú v kompetencii obce, pretože zmeny sa schvaľujú takmer vždy až na konci roka v rámci prípravy rozpočtu </w:t>
      </w:r>
      <w:r>
        <w:rPr>
          <w:bCs/>
          <w:szCs w:val="24"/>
        </w:rPr>
        <w:t xml:space="preserve">jednotlivých </w:t>
      </w:r>
      <w:r w:rsidRPr="006817DA">
        <w:rPr>
          <w:bCs/>
          <w:szCs w:val="24"/>
        </w:rPr>
        <w:t xml:space="preserve">obcí </w:t>
      </w:r>
      <w:r>
        <w:rPr>
          <w:bCs/>
          <w:szCs w:val="24"/>
        </w:rPr>
        <w:t>a miest formou prijatých</w:t>
      </w:r>
      <w:r w:rsidRPr="006817DA">
        <w:rPr>
          <w:bCs/>
          <w:szCs w:val="24"/>
        </w:rPr>
        <w:t xml:space="preserve"> všeobecných záväzných nariadení. Taktiež bolo v roku 2025 v parlamente prijatých niekoľko legislatívnych zmien týkajúcich sa dane z pridanej hodnoty, s ktorými sa </w:t>
      </w:r>
      <w:r>
        <w:rPr>
          <w:bCs/>
          <w:szCs w:val="24"/>
        </w:rPr>
        <w:t xml:space="preserve">pri tvorbe </w:t>
      </w:r>
      <w:r w:rsidRPr="006817DA">
        <w:rPr>
          <w:bCs/>
          <w:szCs w:val="24"/>
        </w:rPr>
        <w:t>rozpočt</w:t>
      </w:r>
      <w:r>
        <w:rPr>
          <w:bCs/>
          <w:szCs w:val="24"/>
        </w:rPr>
        <w:t>u</w:t>
      </w:r>
      <w:r w:rsidRPr="006817DA">
        <w:rPr>
          <w:bCs/>
          <w:szCs w:val="24"/>
        </w:rPr>
        <w:t xml:space="preserve"> nepočítalo. V nasledujúcej tabuľke je prehľad všetkých legislatívnych opatrení nezahrnutých v návrhu rozpočtu, ale s vplyvom na výnos v roku 2025.</w:t>
      </w:r>
    </w:p>
    <w:p w14:paraId="444FF116" w14:textId="77777777" w:rsidR="00402102" w:rsidRPr="0050710A" w:rsidRDefault="00402102" w:rsidP="00532D85">
      <w:pPr>
        <w:spacing w:line="240" w:lineRule="auto"/>
        <w:jc w:val="both"/>
        <w:rPr>
          <w:szCs w:val="24"/>
          <w:highlight w:val="yellow"/>
        </w:rPr>
      </w:pPr>
    </w:p>
    <w:p w14:paraId="18D63139" w14:textId="071CF3DD" w:rsidR="00D96E6C" w:rsidRPr="00DA52D0" w:rsidRDefault="00D96E6C" w:rsidP="00532D85">
      <w:pPr>
        <w:pStyle w:val="Popis"/>
        <w:jc w:val="both"/>
      </w:pPr>
      <w:bookmarkStart w:id="48" w:name="_Toc227670145"/>
      <w:bookmarkStart w:id="49" w:name="_Toc196313635"/>
      <w:r w:rsidRPr="00DA52D0">
        <w:t xml:space="preserve">Tabuľka </w:t>
      </w:r>
      <w:r w:rsidR="00995280">
        <w:fldChar w:fldCharType="begin"/>
      </w:r>
      <w:r w:rsidR="00995280">
        <w:instrText xml:space="preserve"> SEQ Tabuľka \* ARABIC </w:instrText>
      </w:r>
      <w:r w:rsidR="00995280">
        <w:fldChar w:fldCharType="separate"/>
      </w:r>
      <w:r w:rsidR="00396BE8">
        <w:rPr>
          <w:noProof/>
        </w:rPr>
        <w:t>9</w:t>
      </w:r>
      <w:r w:rsidR="00995280">
        <w:rPr>
          <w:noProof/>
        </w:rPr>
        <w:fldChar w:fldCharType="end"/>
      </w:r>
      <w:r w:rsidRPr="00DA52D0">
        <w:t xml:space="preserve"> - Legislatívne zmeny nezapracované v rozpočte VS na roky 202</w:t>
      </w:r>
      <w:r w:rsidR="00DA52D0" w:rsidRPr="00DA52D0">
        <w:t>5</w:t>
      </w:r>
      <w:r w:rsidRPr="00DA52D0">
        <w:t>-2027</w:t>
      </w:r>
      <w:r w:rsidR="00DA52D0">
        <w:t xml:space="preserve"> podľa ESA 2010</w:t>
      </w:r>
      <w:bookmarkEnd w:id="48"/>
      <w:r w:rsidRPr="00DA52D0">
        <w:t xml:space="preserve"> </w:t>
      </w:r>
      <w:bookmarkEnd w:id="49"/>
    </w:p>
    <w:tbl>
      <w:tblPr>
        <w:tblW w:w="5000" w:type="pct"/>
        <w:tblLayout w:type="fixed"/>
        <w:tblCellMar>
          <w:left w:w="70" w:type="dxa"/>
          <w:right w:w="70" w:type="dxa"/>
        </w:tblCellMar>
        <w:tblLook w:val="04A0" w:firstRow="1" w:lastRow="0" w:firstColumn="1" w:lastColumn="0" w:noHBand="0" w:noVBand="1"/>
      </w:tblPr>
      <w:tblGrid>
        <w:gridCol w:w="7934"/>
        <w:gridCol w:w="1136"/>
      </w:tblGrid>
      <w:tr w:rsidR="00DA52D0" w:rsidRPr="00DA52D0" w14:paraId="24D50701" w14:textId="77777777" w:rsidTr="007E659C">
        <w:trPr>
          <w:trHeight w:val="290"/>
          <w:tblHeader/>
        </w:trPr>
        <w:tc>
          <w:tcPr>
            <w:tcW w:w="4374" w:type="pct"/>
            <w:tcBorders>
              <w:top w:val="single" w:sz="4" w:space="0" w:color="auto"/>
              <w:left w:val="nil"/>
              <w:bottom w:val="single" w:sz="4" w:space="0" w:color="auto"/>
              <w:right w:val="nil"/>
            </w:tcBorders>
            <w:noWrap/>
            <w:vAlign w:val="center"/>
            <w:hideMark/>
          </w:tcPr>
          <w:p w14:paraId="2F2B0E45" w14:textId="77777777" w:rsidR="00DA52D0" w:rsidRPr="00DA52D0" w:rsidRDefault="00DA52D0" w:rsidP="00DA52D0">
            <w:pPr>
              <w:spacing w:line="240" w:lineRule="auto"/>
              <w:rPr>
                <w:rFonts w:eastAsia="Times New Roman" w:cs="Times New Roman"/>
                <w:b/>
                <w:bCs/>
                <w:color w:val="000000"/>
                <w:sz w:val="18"/>
                <w:szCs w:val="18"/>
                <w:lang w:eastAsia="sk-SK"/>
              </w:rPr>
            </w:pPr>
            <w:r w:rsidRPr="00DA52D0">
              <w:rPr>
                <w:rFonts w:eastAsia="Times New Roman" w:cs="Times New Roman"/>
                <w:b/>
                <w:bCs/>
                <w:color w:val="000000"/>
                <w:sz w:val="18"/>
                <w:szCs w:val="18"/>
                <w:lang w:eastAsia="sk-SK"/>
              </w:rPr>
              <w:t xml:space="preserve">v tis. eur </w:t>
            </w:r>
          </w:p>
        </w:tc>
        <w:tc>
          <w:tcPr>
            <w:tcW w:w="626" w:type="pct"/>
            <w:tcBorders>
              <w:top w:val="single" w:sz="4" w:space="0" w:color="auto"/>
              <w:left w:val="nil"/>
              <w:bottom w:val="single" w:sz="4" w:space="0" w:color="auto"/>
              <w:right w:val="nil"/>
            </w:tcBorders>
            <w:noWrap/>
            <w:vAlign w:val="center"/>
            <w:hideMark/>
          </w:tcPr>
          <w:p w14:paraId="21CF329A" w14:textId="77777777" w:rsidR="00DA52D0" w:rsidRPr="00DA52D0" w:rsidRDefault="00DA52D0" w:rsidP="00DA52D0">
            <w:pPr>
              <w:spacing w:line="240" w:lineRule="auto"/>
              <w:rPr>
                <w:rFonts w:eastAsia="Times New Roman" w:cs="Times New Roman"/>
                <w:color w:val="000000"/>
                <w:sz w:val="18"/>
                <w:szCs w:val="18"/>
                <w:lang w:eastAsia="sk-SK"/>
              </w:rPr>
            </w:pPr>
            <w:r w:rsidRPr="00DA52D0">
              <w:rPr>
                <w:rFonts w:eastAsia="Times New Roman" w:cs="Times New Roman"/>
                <w:color w:val="000000"/>
                <w:sz w:val="18"/>
                <w:szCs w:val="18"/>
                <w:lang w:eastAsia="sk-SK"/>
              </w:rPr>
              <w:t> </w:t>
            </w:r>
          </w:p>
        </w:tc>
      </w:tr>
      <w:tr w:rsidR="00DA52D0" w:rsidRPr="00DA52D0" w14:paraId="2CD08D1C" w14:textId="77777777" w:rsidTr="007E659C">
        <w:trPr>
          <w:trHeight w:val="290"/>
        </w:trPr>
        <w:tc>
          <w:tcPr>
            <w:tcW w:w="4374" w:type="pct"/>
            <w:tcBorders>
              <w:top w:val="nil"/>
              <w:left w:val="nil"/>
              <w:bottom w:val="nil"/>
              <w:right w:val="nil"/>
            </w:tcBorders>
            <w:noWrap/>
            <w:vAlign w:val="center"/>
            <w:hideMark/>
          </w:tcPr>
          <w:p w14:paraId="1B7A68AA" w14:textId="77777777" w:rsidR="00DA52D0" w:rsidRPr="00DA52D0" w:rsidRDefault="00DA52D0" w:rsidP="00DA52D0">
            <w:pPr>
              <w:spacing w:line="240" w:lineRule="auto"/>
              <w:rPr>
                <w:rFonts w:eastAsia="Times New Roman" w:cs="Times New Roman"/>
                <w:color w:val="000000"/>
                <w:sz w:val="18"/>
                <w:szCs w:val="18"/>
                <w:lang w:eastAsia="sk-SK"/>
              </w:rPr>
            </w:pPr>
            <w:r w:rsidRPr="00DA52D0">
              <w:rPr>
                <w:rFonts w:eastAsia="Times New Roman" w:cs="Times New Roman"/>
                <w:color w:val="000000"/>
                <w:sz w:val="18"/>
                <w:szCs w:val="18"/>
                <w:lang w:eastAsia="sk-SK"/>
              </w:rPr>
              <w:t>Zníženie DPH na štátom podporované nájomné bývanie z 23 % na 5 % (znovuobnovenie schémy začiatkom roka 2025)</w:t>
            </w:r>
          </w:p>
        </w:tc>
        <w:tc>
          <w:tcPr>
            <w:tcW w:w="626" w:type="pct"/>
            <w:tcBorders>
              <w:top w:val="nil"/>
              <w:left w:val="nil"/>
              <w:bottom w:val="nil"/>
              <w:right w:val="nil"/>
            </w:tcBorders>
            <w:noWrap/>
            <w:vAlign w:val="center"/>
            <w:hideMark/>
          </w:tcPr>
          <w:p w14:paraId="420DF72F" w14:textId="77777777" w:rsidR="00DA52D0" w:rsidRPr="00DA52D0" w:rsidRDefault="00DA52D0" w:rsidP="00DA52D0">
            <w:pPr>
              <w:spacing w:line="240" w:lineRule="auto"/>
              <w:jc w:val="right"/>
              <w:rPr>
                <w:rFonts w:eastAsia="Times New Roman" w:cs="Times New Roman"/>
                <w:color w:val="000000"/>
                <w:sz w:val="18"/>
                <w:szCs w:val="18"/>
                <w:lang w:eastAsia="sk-SK"/>
              </w:rPr>
            </w:pPr>
            <w:r w:rsidRPr="00DA52D0">
              <w:rPr>
                <w:rFonts w:eastAsia="Times New Roman" w:cs="Times New Roman"/>
                <w:color w:val="000000"/>
                <w:sz w:val="18"/>
                <w:szCs w:val="18"/>
                <w:lang w:eastAsia="sk-SK"/>
              </w:rPr>
              <w:t>-6 272</w:t>
            </w:r>
          </w:p>
        </w:tc>
      </w:tr>
      <w:tr w:rsidR="00DA52D0" w:rsidRPr="00DA52D0" w14:paraId="3D3A8847" w14:textId="77777777" w:rsidTr="007E659C">
        <w:trPr>
          <w:trHeight w:val="290"/>
        </w:trPr>
        <w:tc>
          <w:tcPr>
            <w:tcW w:w="4374" w:type="pct"/>
            <w:tcBorders>
              <w:top w:val="nil"/>
              <w:left w:val="nil"/>
              <w:bottom w:val="nil"/>
              <w:right w:val="nil"/>
            </w:tcBorders>
            <w:noWrap/>
            <w:vAlign w:val="center"/>
            <w:hideMark/>
          </w:tcPr>
          <w:p w14:paraId="57C22624" w14:textId="77777777" w:rsidR="00DA52D0" w:rsidRPr="00DA52D0" w:rsidRDefault="00DA52D0" w:rsidP="00DA52D0">
            <w:pPr>
              <w:spacing w:line="240" w:lineRule="auto"/>
              <w:rPr>
                <w:rFonts w:eastAsia="Times New Roman" w:cs="Times New Roman"/>
                <w:color w:val="000000"/>
                <w:sz w:val="18"/>
                <w:szCs w:val="18"/>
                <w:lang w:eastAsia="sk-SK"/>
              </w:rPr>
            </w:pPr>
            <w:r w:rsidRPr="00DA52D0">
              <w:rPr>
                <w:rFonts w:eastAsia="Times New Roman" w:cs="Times New Roman"/>
                <w:color w:val="000000"/>
                <w:sz w:val="18"/>
                <w:szCs w:val="18"/>
                <w:lang w:eastAsia="sk-SK"/>
              </w:rPr>
              <w:t>Zníženie DPH na noviny a periodiká (týždenníky a mesačníky) z 23 na 5 % od 1.7.2025</w:t>
            </w:r>
          </w:p>
        </w:tc>
        <w:tc>
          <w:tcPr>
            <w:tcW w:w="626" w:type="pct"/>
            <w:tcBorders>
              <w:top w:val="nil"/>
              <w:left w:val="nil"/>
              <w:bottom w:val="nil"/>
              <w:right w:val="nil"/>
            </w:tcBorders>
            <w:noWrap/>
            <w:vAlign w:val="center"/>
            <w:hideMark/>
          </w:tcPr>
          <w:p w14:paraId="4E3E0B0B" w14:textId="77777777" w:rsidR="00DA52D0" w:rsidRPr="00DA52D0" w:rsidRDefault="00DA52D0" w:rsidP="00DA52D0">
            <w:pPr>
              <w:spacing w:line="240" w:lineRule="auto"/>
              <w:jc w:val="right"/>
              <w:rPr>
                <w:rFonts w:eastAsia="Times New Roman" w:cs="Times New Roman"/>
                <w:color w:val="000000"/>
                <w:sz w:val="18"/>
                <w:szCs w:val="18"/>
                <w:lang w:eastAsia="sk-SK"/>
              </w:rPr>
            </w:pPr>
            <w:r w:rsidRPr="00DA52D0">
              <w:rPr>
                <w:rFonts w:eastAsia="Times New Roman" w:cs="Times New Roman"/>
                <w:color w:val="000000"/>
                <w:sz w:val="18"/>
                <w:szCs w:val="18"/>
                <w:lang w:eastAsia="sk-SK"/>
              </w:rPr>
              <w:t>-8 392</w:t>
            </w:r>
          </w:p>
        </w:tc>
      </w:tr>
      <w:tr w:rsidR="00DA52D0" w:rsidRPr="00DA52D0" w14:paraId="6D5A5F53" w14:textId="77777777" w:rsidTr="007E659C">
        <w:trPr>
          <w:trHeight w:val="290"/>
        </w:trPr>
        <w:tc>
          <w:tcPr>
            <w:tcW w:w="4374" w:type="pct"/>
            <w:tcBorders>
              <w:top w:val="nil"/>
              <w:left w:val="nil"/>
              <w:bottom w:val="nil"/>
              <w:right w:val="nil"/>
            </w:tcBorders>
            <w:noWrap/>
            <w:vAlign w:val="center"/>
            <w:hideMark/>
          </w:tcPr>
          <w:p w14:paraId="098AD91F" w14:textId="0BEF4875" w:rsidR="00DA52D0" w:rsidRPr="00DA52D0" w:rsidRDefault="00DA52D0" w:rsidP="00DA52D0">
            <w:pPr>
              <w:spacing w:line="240" w:lineRule="auto"/>
              <w:rPr>
                <w:rFonts w:eastAsia="Times New Roman" w:cs="Times New Roman"/>
                <w:color w:val="000000"/>
                <w:sz w:val="18"/>
                <w:szCs w:val="18"/>
                <w:lang w:eastAsia="sk-SK"/>
              </w:rPr>
            </w:pPr>
            <w:r w:rsidRPr="00DA52D0">
              <w:rPr>
                <w:rFonts w:eastAsia="Times New Roman" w:cs="Times New Roman"/>
                <w:color w:val="000000"/>
                <w:sz w:val="18"/>
                <w:szCs w:val="18"/>
                <w:lang w:eastAsia="sk-SK"/>
              </w:rPr>
              <w:t>Zníženie DPH na vybrané ďalšie bezlepkové potraviny (krúpy, krupicu, múčne zmesi a cestá) z</w:t>
            </w:r>
            <w:r w:rsidR="00D97296">
              <w:rPr>
                <w:rFonts w:eastAsia="Times New Roman" w:cs="Times New Roman"/>
                <w:color w:val="000000"/>
                <w:sz w:val="18"/>
                <w:szCs w:val="18"/>
                <w:lang w:eastAsia="sk-SK"/>
              </w:rPr>
              <w:t> </w:t>
            </w:r>
            <w:r w:rsidRPr="00DA52D0">
              <w:rPr>
                <w:rFonts w:eastAsia="Times New Roman" w:cs="Times New Roman"/>
                <w:color w:val="000000"/>
                <w:sz w:val="18"/>
                <w:szCs w:val="18"/>
                <w:lang w:eastAsia="sk-SK"/>
              </w:rPr>
              <w:t>19</w:t>
            </w:r>
            <w:r w:rsidR="00D97296">
              <w:rPr>
                <w:rFonts w:eastAsia="Times New Roman" w:cs="Times New Roman"/>
                <w:color w:val="000000"/>
                <w:sz w:val="18"/>
                <w:szCs w:val="18"/>
                <w:lang w:eastAsia="sk-SK"/>
              </w:rPr>
              <w:t xml:space="preserve"> </w:t>
            </w:r>
            <w:r w:rsidRPr="00DA52D0">
              <w:rPr>
                <w:rFonts w:eastAsia="Times New Roman" w:cs="Times New Roman"/>
                <w:color w:val="000000"/>
                <w:sz w:val="18"/>
                <w:szCs w:val="18"/>
                <w:lang w:eastAsia="sk-SK"/>
              </w:rPr>
              <w:t>na 5 % od 1.7.2025</w:t>
            </w:r>
          </w:p>
        </w:tc>
        <w:tc>
          <w:tcPr>
            <w:tcW w:w="626" w:type="pct"/>
            <w:tcBorders>
              <w:top w:val="nil"/>
              <w:left w:val="nil"/>
              <w:bottom w:val="nil"/>
              <w:right w:val="nil"/>
            </w:tcBorders>
            <w:noWrap/>
            <w:vAlign w:val="center"/>
            <w:hideMark/>
          </w:tcPr>
          <w:p w14:paraId="2EB83F1F" w14:textId="77777777" w:rsidR="00DA52D0" w:rsidRPr="00DA52D0" w:rsidRDefault="00DA52D0" w:rsidP="00DA52D0">
            <w:pPr>
              <w:spacing w:line="240" w:lineRule="auto"/>
              <w:jc w:val="right"/>
              <w:rPr>
                <w:rFonts w:eastAsia="Times New Roman" w:cs="Times New Roman"/>
                <w:color w:val="000000"/>
                <w:sz w:val="18"/>
                <w:szCs w:val="18"/>
                <w:lang w:eastAsia="sk-SK"/>
              </w:rPr>
            </w:pPr>
            <w:r w:rsidRPr="00DA52D0">
              <w:rPr>
                <w:rFonts w:eastAsia="Times New Roman" w:cs="Times New Roman"/>
                <w:color w:val="000000"/>
                <w:sz w:val="18"/>
                <w:szCs w:val="18"/>
                <w:lang w:eastAsia="sk-SK"/>
              </w:rPr>
              <w:t>-1 206</w:t>
            </w:r>
          </w:p>
        </w:tc>
      </w:tr>
      <w:tr w:rsidR="00DA52D0" w:rsidRPr="00DA52D0" w14:paraId="2EFEBE7A" w14:textId="77777777" w:rsidTr="007E659C">
        <w:trPr>
          <w:trHeight w:val="290"/>
        </w:trPr>
        <w:tc>
          <w:tcPr>
            <w:tcW w:w="4374" w:type="pct"/>
            <w:tcBorders>
              <w:top w:val="nil"/>
              <w:left w:val="nil"/>
              <w:bottom w:val="nil"/>
              <w:right w:val="nil"/>
            </w:tcBorders>
            <w:noWrap/>
            <w:vAlign w:val="center"/>
            <w:hideMark/>
          </w:tcPr>
          <w:p w14:paraId="3F07F5E7" w14:textId="77777777" w:rsidR="00DA52D0" w:rsidRPr="00DA52D0" w:rsidRDefault="00DA52D0" w:rsidP="00DA52D0">
            <w:pPr>
              <w:spacing w:line="240" w:lineRule="auto"/>
              <w:rPr>
                <w:rFonts w:eastAsia="Times New Roman" w:cs="Times New Roman"/>
                <w:color w:val="000000"/>
                <w:sz w:val="18"/>
                <w:szCs w:val="18"/>
                <w:lang w:eastAsia="sk-SK"/>
              </w:rPr>
            </w:pPr>
            <w:r w:rsidRPr="00DA52D0">
              <w:rPr>
                <w:rFonts w:eastAsia="Times New Roman" w:cs="Times New Roman"/>
                <w:color w:val="000000"/>
                <w:sz w:val="18"/>
                <w:szCs w:val="18"/>
                <w:lang w:eastAsia="sk-SK"/>
              </w:rPr>
              <w:t>Zníženie DPH do vybraných kultúrnych inštitúcií z 23 na 5 % (divadlo, balet, múzeum) od 1.7.2025</w:t>
            </w:r>
          </w:p>
        </w:tc>
        <w:tc>
          <w:tcPr>
            <w:tcW w:w="626" w:type="pct"/>
            <w:tcBorders>
              <w:top w:val="nil"/>
              <w:left w:val="nil"/>
              <w:bottom w:val="nil"/>
              <w:right w:val="nil"/>
            </w:tcBorders>
            <w:noWrap/>
            <w:vAlign w:val="center"/>
            <w:hideMark/>
          </w:tcPr>
          <w:p w14:paraId="2F717769" w14:textId="77777777" w:rsidR="00DA52D0" w:rsidRPr="00DA52D0" w:rsidRDefault="00DA52D0" w:rsidP="00DA52D0">
            <w:pPr>
              <w:spacing w:line="240" w:lineRule="auto"/>
              <w:jc w:val="right"/>
              <w:rPr>
                <w:rFonts w:eastAsia="Times New Roman" w:cs="Times New Roman"/>
                <w:color w:val="000000"/>
                <w:sz w:val="18"/>
                <w:szCs w:val="18"/>
                <w:lang w:eastAsia="sk-SK"/>
              </w:rPr>
            </w:pPr>
            <w:r w:rsidRPr="00DA52D0">
              <w:rPr>
                <w:rFonts w:eastAsia="Times New Roman" w:cs="Times New Roman"/>
                <w:color w:val="000000"/>
                <w:sz w:val="18"/>
                <w:szCs w:val="18"/>
                <w:lang w:eastAsia="sk-SK"/>
              </w:rPr>
              <w:t>-646</w:t>
            </w:r>
          </w:p>
        </w:tc>
      </w:tr>
      <w:tr w:rsidR="00DA52D0" w:rsidRPr="00DA52D0" w14:paraId="357ECE97" w14:textId="77777777" w:rsidTr="007E659C">
        <w:trPr>
          <w:trHeight w:val="290"/>
        </w:trPr>
        <w:tc>
          <w:tcPr>
            <w:tcW w:w="4374" w:type="pct"/>
            <w:tcBorders>
              <w:top w:val="nil"/>
              <w:left w:val="nil"/>
              <w:bottom w:val="nil"/>
              <w:right w:val="nil"/>
            </w:tcBorders>
            <w:noWrap/>
            <w:vAlign w:val="center"/>
            <w:hideMark/>
          </w:tcPr>
          <w:p w14:paraId="7DDE2529" w14:textId="77777777" w:rsidR="00DA52D0" w:rsidRPr="00DA52D0" w:rsidRDefault="00DA52D0" w:rsidP="00DA52D0">
            <w:pPr>
              <w:spacing w:line="240" w:lineRule="auto"/>
              <w:rPr>
                <w:rFonts w:eastAsia="Times New Roman" w:cs="Times New Roman"/>
                <w:color w:val="000000"/>
                <w:sz w:val="18"/>
                <w:szCs w:val="18"/>
                <w:lang w:eastAsia="sk-SK"/>
              </w:rPr>
            </w:pPr>
            <w:r w:rsidRPr="00DA52D0">
              <w:rPr>
                <w:rFonts w:eastAsia="Times New Roman" w:cs="Times New Roman"/>
                <w:color w:val="000000"/>
                <w:sz w:val="18"/>
                <w:szCs w:val="18"/>
                <w:lang w:eastAsia="sk-SK"/>
              </w:rPr>
              <w:t>Miestne dane</w:t>
            </w:r>
          </w:p>
        </w:tc>
        <w:tc>
          <w:tcPr>
            <w:tcW w:w="626" w:type="pct"/>
            <w:tcBorders>
              <w:top w:val="nil"/>
              <w:left w:val="nil"/>
              <w:bottom w:val="nil"/>
              <w:right w:val="nil"/>
            </w:tcBorders>
            <w:noWrap/>
            <w:vAlign w:val="center"/>
            <w:hideMark/>
          </w:tcPr>
          <w:p w14:paraId="4E4483BD" w14:textId="77777777" w:rsidR="00DA52D0" w:rsidRPr="00DA52D0" w:rsidRDefault="00DA52D0" w:rsidP="00DA52D0">
            <w:pPr>
              <w:spacing w:line="240" w:lineRule="auto"/>
              <w:jc w:val="right"/>
              <w:rPr>
                <w:rFonts w:eastAsia="Times New Roman" w:cs="Times New Roman"/>
                <w:color w:val="000000"/>
                <w:sz w:val="18"/>
                <w:szCs w:val="18"/>
                <w:lang w:eastAsia="sk-SK"/>
              </w:rPr>
            </w:pPr>
            <w:r w:rsidRPr="00DA52D0">
              <w:rPr>
                <w:rFonts w:eastAsia="Times New Roman" w:cs="Times New Roman"/>
                <w:color w:val="000000"/>
                <w:sz w:val="18"/>
                <w:szCs w:val="18"/>
                <w:lang w:eastAsia="sk-SK"/>
              </w:rPr>
              <w:t>39 799</w:t>
            </w:r>
          </w:p>
        </w:tc>
      </w:tr>
      <w:tr w:rsidR="00DA52D0" w:rsidRPr="00DA52D0" w14:paraId="75016B1B" w14:textId="77777777" w:rsidTr="007E659C">
        <w:trPr>
          <w:trHeight w:val="290"/>
        </w:trPr>
        <w:tc>
          <w:tcPr>
            <w:tcW w:w="4374" w:type="pct"/>
            <w:tcBorders>
              <w:top w:val="nil"/>
              <w:left w:val="nil"/>
              <w:bottom w:val="nil"/>
              <w:right w:val="nil"/>
            </w:tcBorders>
            <w:noWrap/>
            <w:vAlign w:val="center"/>
            <w:hideMark/>
          </w:tcPr>
          <w:p w14:paraId="5CC84408" w14:textId="77777777" w:rsidR="00DA52D0" w:rsidRPr="00DA52D0" w:rsidRDefault="00DA52D0" w:rsidP="00DA52D0">
            <w:pPr>
              <w:spacing w:line="240" w:lineRule="auto"/>
              <w:ind w:firstLineChars="200" w:firstLine="360"/>
              <w:rPr>
                <w:rFonts w:eastAsia="Times New Roman" w:cs="Times New Roman"/>
                <w:color w:val="000000"/>
                <w:sz w:val="18"/>
                <w:szCs w:val="18"/>
                <w:lang w:eastAsia="sk-SK"/>
              </w:rPr>
            </w:pPr>
            <w:r w:rsidRPr="00DA52D0">
              <w:rPr>
                <w:rFonts w:eastAsia="Times New Roman" w:cs="Times New Roman"/>
                <w:color w:val="000000"/>
                <w:sz w:val="18"/>
                <w:szCs w:val="18"/>
                <w:lang w:eastAsia="sk-SK"/>
              </w:rPr>
              <w:t>Zmena sadzieb daní z nehnuteľností podľa VZN</w:t>
            </w:r>
          </w:p>
        </w:tc>
        <w:tc>
          <w:tcPr>
            <w:tcW w:w="626" w:type="pct"/>
            <w:tcBorders>
              <w:top w:val="nil"/>
              <w:left w:val="nil"/>
              <w:bottom w:val="nil"/>
              <w:right w:val="nil"/>
            </w:tcBorders>
            <w:noWrap/>
            <w:vAlign w:val="center"/>
            <w:hideMark/>
          </w:tcPr>
          <w:p w14:paraId="09E6C432" w14:textId="77777777" w:rsidR="00DA52D0" w:rsidRPr="00DA52D0" w:rsidRDefault="00DA52D0" w:rsidP="00DA52D0">
            <w:pPr>
              <w:spacing w:line="240" w:lineRule="auto"/>
              <w:jc w:val="right"/>
              <w:rPr>
                <w:rFonts w:eastAsia="Times New Roman" w:cs="Times New Roman"/>
                <w:color w:val="000000"/>
                <w:sz w:val="18"/>
                <w:szCs w:val="18"/>
                <w:lang w:eastAsia="sk-SK"/>
              </w:rPr>
            </w:pPr>
            <w:r w:rsidRPr="00DA52D0">
              <w:rPr>
                <w:rFonts w:eastAsia="Times New Roman" w:cs="Times New Roman"/>
                <w:color w:val="000000"/>
                <w:sz w:val="18"/>
                <w:szCs w:val="18"/>
                <w:lang w:eastAsia="sk-SK"/>
              </w:rPr>
              <w:t>18 547</w:t>
            </w:r>
          </w:p>
        </w:tc>
      </w:tr>
      <w:tr w:rsidR="00DA52D0" w:rsidRPr="00DA52D0" w14:paraId="1D8E167A" w14:textId="77777777" w:rsidTr="007E659C">
        <w:trPr>
          <w:trHeight w:val="290"/>
        </w:trPr>
        <w:tc>
          <w:tcPr>
            <w:tcW w:w="4374" w:type="pct"/>
            <w:tcBorders>
              <w:top w:val="nil"/>
              <w:left w:val="nil"/>
              <w:bottom w:val="nil"/>
              <w:right w:val="nil"/>
            </w:tcBorders>
            <w:noWrap/>
            <w:vAlign w:val="center"/>
            <w:hideMark/>
          </w:tcPr>
          <w:p w14:paraId="5276ECCF" w14:textId="77777777" w:rsidR="00DA52D0" w:rsidRPr="00DA52D0" w:rsidRDefault="00DA52D0" w:rsidP="00DA52D0">
            <w:pPr>
              <w:spacing w:line="240" w:lineRule="auto"/>
              <w:ind w:firstLineChars="200" w:firstLine="360"/>
              <w:rPr>
                <w:rFonts w:eastAsia="Times New Roman" w:cs="Times New Roman"/>
                <w:color w:val="000000"/>
                <w:sz w:val="18"/>
                <w:szCs w:val="18"/>
                <w:lang w:eastAsia="sk-SK"/>
              </w:rPr>
            </w:pPr>
            <w:r w:rsidRPr="00DA52D0">
              <w:rPr>
                <w:rFonts w:eastAsia="Times New Roman" w:cs="Times New Roman"/>
                <w:color w:val="000000"/>
                <w:sz w:val="18"/>
                <w:szCs w:val="18"/>
                <w:lang w:eastAsia="sk-SK"/>
              </w:rPr>
              <w:t>Zvýšenie sadzieb špecifických daní podľa VZN (poplatok za komunálny odpad + daň za ubytovanie)</w:t>
            </w:r>
          </w:p>
        </w:tc>
        <w:tc>
          <w:tcPr>
            <w:tcW w:w="626" w:type="pct"/>
            <w:tcBorders>
              <w:top w:val="nil"/>
              <w:left w:val="nil"/>
              <w:bottom w:val="nil"/>
              <w:right w:val="nil"/>
            </w:tcBorders>
            <w:noWrap/>
            <w:vAlign w:val="center"/>
            <w:hideMark/>
          </w:tcPr>
          <w:p w14:paraId="3767A0BC" w14:textId="77777777" w:rsidR="00DA52D0" w:rsidRPr="00DA52D0" w:rsidRDefault="00DA52D0" w:rsidP="00DA52D0">
            <w:pPr>
              <w:spacing w:line="240" w:lineRule="auto"/>
              <w:jc w:val="right"/>
              <w:rPr>
                <w:rFonts w:eastAsia="Times New Roman" w:cs="Times New Roman"/>
                <w:color w:val="000000"/>
                <w:sz w:val="18"/>
                <w:szCs w:val="18"/>
                <w:lang w:eastAsia="sk-SK"/>
              </w:rPr>
            </w:pPr>
            <w:r w:rsidRPr="00DA52D0">
              <w:rPr>
                <w:rFonts w:eastAsia="Times New Roman" w:cs="Times New Roman"/>
                <w:color w:val="000000"/>
                <w:sz w:val="18"/>
                <w:szCs w:val="18"/>
                <w:lang w:eastAsia="sk-SK"/>
              </w:rPr>
              <w:t>21 252</w:t>
            </w:r>
          </w:p>
        </w:tc>
      </w:tr>
      <w:tr w:rsidR="00DA52D0" w:rsidRPr="00DA52D0" w14:paraId="594AD7E8" w14:textId="77777777" w:rsidTr="007E659C">
        <w:trPr>
          <w:trHeight w:val="290"/>
        </w:trPr>
        <w:tc>
          <w:tcPr>
            <w:tcW w:w="4374" w:type="pct"/>
            <w:tcBorders>
              <w:top w:val="single" w:sz="4" w:space="0" w:color="auto"/>
              <w:left w:val="nil"/>
              <w:bottom w:val="single" w:sz="4" w:space="0" w:color="auto"/>
              <w:right w:val="nil"/>
            </w:tcBorders>
            <w:noWrap/>
            <w:vAlign w:val="center"/>
            <w:hideMark/>
          </w:tcPr>
          <w:p w14:paraId="6F01196A" w14:textId="77777777" w:rsidR="00DA52D0" w:rsidRPr="00DA52D0" w:rsidRDefault="00DA52D0" w:rsidP="00DA52D0">
            <w:pPr>
              <w:spacing w:line="240" w:lineRule="auto"/>
              <w:rPr>
                <w:rFonts w:eastAsia="Times New Roman" w:cs="Times New Roman"/>
                <w:b/>
                <w:bCs/>
                <w:color w:val="000000"/>
                <w:sz w:val="18"/>
                <w:szCs w:val="18"/>
                <w:lang w:eastAsia="sk-SK"/>
              </w:rPr>
            </w:pPr>
            <w:r w:rsidRPr="00DA52D0">
              <w:rPr>
                <w:rFonts w:eastAsia="Times New Roman" w:cs="Times New Roman"/>
                <w:b/>
                <w:bCs/>
                <w:color w:val="000000"/>
                <w:sz w:val="18"/>
                <w:szCs w:val="18"/>
                <w:lang w:eastAsia="sk-SK"/>
              </w:rPr>
              <w:t>Celkový vplyv na príjmy verejnej správy</w:t>
            </w:r>
          </w:p>
        </w:tc>
        <w:tc>
          <w:tcPr>
            <w:tcW w:w="626" w:type="pct"/>
            <w:tcBorders>
              <w:top w:val="single" w:sz="4" w:space="0" w:color="auto"/>
              <w:left w:val="nil"/>
              <w:bottom w:val="single" w:sz="4" w:space="0" w:color="auto"/>
              <w:right w:val="nil"/>
            </w:tcBorders>
            <w:noWrap/>
            <w:vAlign w:val="center"/>
            <w:hideMark/>
          </w:tcPr>
          <w:p w14:paraId="1838E235" w14:textId="77777777" w:rsidR="00DA52D0" w:rsidRPr="00DA52D0" w:rsidRDefault="00DA52D0" w:rsidP="00DA52D0">
            <w:pPr>
              <w:spacing w:line="240" w:lineRule="auto"/>
              <w:jc w:val="right"/>
              <w:rPr>
                <w:rFonts w:eastAsia="Times New Roman" w:cs="Times New Roman"/>
                <w:b/>
                <w:bCs/>
                <w:color w:val="000000"/>
                <w:sz w:val="18"/>
                <w:szCs w:val="18"/>
                <w:lang w:eastAsia="sk-SK"/>
              </w:rPr>
            </w:pPr>
            <w:r w:rsidRPr="00DA52D0">
              <w:rPr>
                <w:rFonts w:eastAsia="Times New Roman" w:cs="Times New Roman"/>
                <w:b/>
                <w:bCs/>
                <w:color w:val="000000"/>
                <w:sz w:val="18"/>
                <w:szCs w:val="18"/>
                <w:lang w:eastAsia="sk-SK"/>
              </w:rPr>
              <w:t>23 283</w:t>
            </w:r>
          </w:p>
        </w:tc>
      </w:tr>
    </w:tbl>
    <w:p w14:paraId="19829CD6" w14:textId="6F855A84" w:rsidR="009A05C7" w:rsidRPr="0050710A" w:rsidRDefault="00DA52D0" w:rsidP="004942CF">
      <w:pPr>
        <w:keepNext/>
        <w:tabs>
          <w:tab w:val="right" w:pos="9072"/>
        </w:tabs>
        <w:spacing w:line="240" w:lineRule="auto"/>
        <w:ind w:right="-2"/>
        <w:jc w:val="both"/>
        <w:rPr>
          <w:sz w:val="16"/>
          <w:szCs w:val="16"/>
          <w:highlight w:val="yellow"/>
        </w:rPr>
      </w:pPr>
      <w:r w:rsidRPr="00DA52D0">
        <w:rPr>
          <w:rFonts w:cs="Times New Roman"/>
          <w:sz w:val="18"/>
          <w:szCs w:val="18"/>
        </w:rPr>
        <w:tab/>
      </w:r>
      <w:r w:rsidR="009A05C7" w:rsidRPr="00DA52D0">
        <w:rPr>
          <w:rFonts w:cs="Times New Roman"/>
          <w:sz w:val="18"/>
          <w:szCs w:val="18"/>
        </w:rPr>
        <w:t>Zdroj: IFP, MF SR</w:t>
      </w:r>
    </w:p>
    <w:p w14:paraId="2AB9DBF9" w14:textId="77777777" w:rsidR="00402102" w:rsidRPr="0050710A" w:rsidRDefault="00402102" w:rsidP="00352D03">
      <w:pPr>
        <w:spacing w:line="240" w:lineRule="auto"/>
        <w:jc w:val="both"/>
        <w:rPr>
          <w:bCs/>
          <w:szCs w:val="24"/>
          <w:highlight w:val="yellow"/>
        </w:rPr>
      </w:pPr>
    </w:p>
    <w:p w14:paraId="5E5BC131" w14:textId="761AC819" w:rsidR="00352D03" w:rsidRDefault="00352D03" w:rsidP="00352D03">
      <w:pPr>
        <w:spacing w:line="240" w:lineRule="auto"/>
        <w:jc w:val="both"/>
        <w:rPr>
          <w:szCs w:val="24"/>
        </w:rPr>
      </w:pPr>
      <w:r w:rsidRPr="006817DA">
        <w:rPr>
          <w:bCs/>
          <w:szCs w:val="24"/>
        </w:rPr>
        <w:t>Výnos</w:t>
      </w:r>
      <w:r w:rsidRPr="006817DA">
        <w:rPr>
          <w:b/>
          <w:szCs w:val="24"/>
        </w:rPr>
        <w:t xml:space="preserve"> dane z príjmu fyzických osôb zo závislej činnosti</w:t>
      </w:r>
      <w:r w:rsidRPr="006817DA">
        <w:rPr>
          <w:szCs w:val="24"/>
        </w:rPr>
        <w:t xml:space="preserve"> je oproti rozpočtu nižší o 14</w:t>
      </w:r>
      <w:r>
        <w:rPr>
          <w:szCs w:val="24"/>
        </w:rPr>
        <w:t> </w:t>
      </w:r>
      <w:r w:rsidRPr="006817DA">
        <w:rPr>
          <w:szCs w:val="24"/>
        </w:rPr>
        <w:t>454</w:t>
      </w:r>
      <w:r>
        <w:rPr>
          <w:szCs w:val="24"/>
        </w:rPr>
        <w:t> </w:t>
      </w:r>
      <w:r w:rsidRPr="006817DA">
        <w:rPr>
          <w:szCs w:val="24"/>
        </w:rPr>
        <w:t>tis.</w:t>
      </w:r>
      <w:r>
        <w:rPr>
          <w:szCs w:val="24"/>
        </w:rPr>
        <w:t> </w:t>
      </w:r>
      <w:r w:rsidRPr="006817DA">
        <w:rPr>
          <w:szCs w:val="24"/>
        </w:rPr>
        <w:t xml:space="preserve">eur, resp. o 0,3 %. K tomuto miernemu výpadku prispel hlavne horší vývoj zamestnanosti v porovnaní s očakávaniami v čase prípravy rozpočtu. Akruálny výnos dane bol negatívne ovplyvnený aj </w:t>
      </w:r>
      <w:r>
        <w:rPr>
          <w:szCs w:val="24"/>
        </w:rPr>
        <w:t xml:space="preserve">nižším </w:t>
      </w:r>
      <w:r w:rsidRPr="006817DA">
        <w:rPr>
          <w:szCs w:val="24"/>
        </w:rPr>
        <w:t>uplatňovaným daňovým bonusom na dieťa</w:t>
      </w:r>
      <w:r>
        <w:rPr>
          <w:szCs w:val="24"/>
        </w:rPr>
        <w:t xml:space="preserve"> (daňové bonusy sú súčasťou akruálneho výnosu DPFO, hotovostný výnos DPFO je znížený o daňové bonusy)</w:t>
      </w:r>
      <w:r w:rsidRPr="006817DA">
        <w:rPr>
          <w:szCs w:val="24"/>
        </w:rPr>
        <w:t xml:space="preserve">. </w:t>
      </w:r>
      <w:r w:rsidRPr="008663F2">
        <w:rPr>
          <w:szCs w:val="24"/>
        </w:rPr>
        <w:t xml:space="preserve">Nižšie uplatňovanie daňového bonusu pri závislej činnosti však bolo viac než vykompenzované vyšším uplatňovaním pri </w:t>
      </w:r>
      <w:r w:rsidRPr="00352D03">
        <w:rPr>
          <w:szCs w:val="24"/>
        </w:rPr>
        <w:t xml:space="preserve">výnosom </w:t>
      </w:r>
      <w:r w:rsidRPr="00352D03">
        <w:rPr>
          <w:b/>
          <w:bCs/>
          <w:szCs w:val="24"/>
        </w:rPr>
        <w:t xml:space="preserve">DPFO z podnikania , </w:t>
      </w:r>
      <w:r w:rsidRPr="00352D03">
        <w:rPr>
          <w:szCs w:val="24"/>
        </w:rPr>
        <w:t>ktorého výnos za rok 2025 bol vyšší hlavne z uvedeného dôvodu o 27</w:t>
      </w:r>
      <w:r w:rsidR="007C3AE4">
        <w:rPr>
          <w:szCs w:val="24"/>
        </w:rPr>
        <w:t> </w:t>
      </w:r>
      <w:r w:rsidRPr="00352D03">
        <w:rPr>
          <w:szCs w:val="24"/>
        </w:rPr>
        <w:t>884</w:t>
      </w:r>
      <w:r w:rsidR="007C3AE4">
        <w:rPr>
          <w:szCs w:val="24"/>
        </w:rPr>
        <w:t> </w:t>
      </w:r>
      <w:r w:rsidRPr="00352D03">
        <w:rPr>
          <w:szCs w:val="24"/>
        </w:rPr>
        <w:t>tis.</w:t>
      </w:r>
      <w:r w:rsidR="007C3AE4">
        <w:rPr>
          <w:szCs w:val="24"/>
        </w:rPr>
        <w:t> </w:t>
      </w:r>
      <w:r w:rsidRPr="00352D03">
        <w:rPr>
          <w:szCs w:val="24"/>
        </w:rPr>
        <w:t>eur.</w:t>
      </w:r>
    </w:p>
    <w:p w14:paraId="010F55D6" w14:textId="7C6D9D3A" w:rsidR="00352D03" w:rsidRDefault="00352D03" w:rsidP="007C3AE4">
      <w:pPr>
        <w:spacing w:line="240" w:lineRule="auto"/>
        <w:jc w:val="both"/>
        <w:rPr>
          <w:szCs w:val="24"/>
        </w:rPr>
      </w:pPr>
      <w:r w:rsidRPr="006817DA">
        <w:rPr>
          <w:szCs w:val="24"/>
        </w:rPr>
        <w:t xml:space="preserve">Odhad výnosu </w:t>
      </w:r>
      <w:r w:rsidRPr="006817DA">
        <w:rPr>
          <w:b/>
          <w:szCs w:val="24"/>
        </w:rPr>
        <w:t>dane z príjmov právnických osôb</w:t>
      </w:r>
      <w:r w:rsidR="007C3AE4">
        <w:rPr>
          <w:b/>
          <w:szCs w:val="24"/>
        </w:rPr>
        <w:t xml:space="preserve"> </w:t>
      </w:r>
      <w:r w:rsidRPr="006817DA">
        <w:rPr>
          <w:szCs w:val="24"/>
        </w:rPr>
        <w:t>za rok 2025 je oproti rozpočtu nižší o</w:t>
      </w:r>
      <w:r w:rsidR="007C3AE4">
        <w:rPr>
          <w:szCs w:val="24"/>
        </w:rPr>
        <w:t> </w:t>
      </w:r>
      <w:r w:rsidRPr="006817DA">
        <w:rPr>
          <w:szCs w:val="24"/>
        </w:rPr>
        <w:t>580</w:t>
      </w:r>
      <w:r w:rsidR="007C3AE4">
        <w:rPr>
          <w:szCs w:val="24"/>
        </w:rPr>
        <w:t> </w:t>
      </w:r>
      <w:r w:rsidRPr="006817DA">
        <w:rPr>
          <w:szCs w:val="24"/>
        </w:rPr>
        <w:t>402</w:t>
      </w:r>
      <w:r w:rsidR="007C3AE4">
        <w:rPr>
          <w:szCs w:val="24"/>
        </w:rPr>
        <w:t> </w:t>
      </w:r>
      <w:r w:rsidRPr="006817DA">
        <w:rPr>
          <w:szCs w:val="24"/>
        </w:rPr>
        <w:t>tis.</w:t>
      </w:r>
      <w:r w:rsidR="007C3AE4">
        <w:rPr>
          <w:szCs w:val="24"/>
        </w:rPr>
        <w:t> </w:t>
      </w:r>
      <w:r w:rsidRPr="006817DA">
        <w:rPr>
          <w:szCs w:val="24"/>
        </w:rPr>
        <w:t xml:space="preserve">eur. Revízia je postavená predovšetkým na aktuálnych odhadoch vývoja ekonomiky v roku 2025 a údajoch o ziskovosti firiem zverejňovaných Štatistickým úradom Slovenskej republiky. </w:t>
      </w:r>
      <w:r w:rsidR="0024047D">
        <w:rPr>
          <w:szCs w:val="24"/>
        </w:rPr>
        <w:t>S</w:t>
      </w:r>
      <w:r w:rsidRPr="006817DA">
        <w:rPr>
          <w:szCs w:val="24"/>
        </w:rPr>
        <w:t>pomalenie ziskovosti firiem</w:t>
      </w:r>
      <w:r>
        <w:rPr>
          <w:szCs w:val="24"/>
        </w:rPr>
        <w:t xml:space="preserve"> </w:t>
      </w:r>
      <w:r w:rsidRPr="006817DA">
        <w:rPr>
          <w:szCs w:val="24"/>
        </w:rPr>
        <w:t xml:space="preserve">sa premieta aj do nižšieho ako očakávaného výnosu z implementovaných legislatívnych zmien. Na základe dostupných údajov stúpla ziskovosť firiem v sektore výroby motorových vozidiel, veľkoobchodu a maloobchodu. Naopak medziročný pokles vo výsledku hospodárenia zaznamenali firmy </w:t>
      </w:r>
      <w:r w:rsidRPr="006817DA">
        <w:rPr>
          <w:szCs w:val="24"/>
        </w:rPr>
        <w:lastRenderedPageBreak/>
        <w:t>v oblasti dopravy a skladovania, ubytovacích a stravovacích služieb a tiež firmy podnikajúce v oblasti dodávky elektriny a plynu.</w:t>
      </w:r>
    </w:p>
    <w:p w14:paraId="6F3C228D" w14:textId="77777777" w:rsidR="00352D03" w:rsidRPr="006817DA" w:rsidRDefault="00352D03" w:rsidP="00352D03">
      <w:pPr>
        <w:spacing w:line="240" w:lineRule="auto"/>
        <w:jc w:val="both"/>
        <w:rPr>
          <w:szCs w:val="24"/>
          <w:highlight w:val="yellow"/>
        </w:rPr>
      </w:pPr>
    </w:p>
    <w:p w14:paraId="445CAED6" w14:textId="11CCDB8A" w:rsidR="00352D03" w:rsidRDefault="00352D03" w:rsidP="00352D03">
      <w:pPr>
        <w:spacing w:line="240" w:lineRule="auto"/>
        <w:jc w:val="both"/>
        <w:rPr>
          <w:bCs/>
          <w:szCs w:val="24"/>
        </w:rPr>
      </w:pPr>
      <w:r w:rsidRPr="006817DA">
        <w:rPr>
          <w:b/>
          <w:szCs w:val="24"/>
        </w:rPr>
        <w:t xml:space="preserve">Daň z príjmov vyberaná zrážkou </w:t>
      </w:r>
      <w:r w:rsidRPr="006817DA">
        <w:rPr>
          <w:bCs/>
          <w:szCs w:val="24"/>
        </w:rPr>
        <w:t>je oproti rozpočtu vyššia o 39</w:t>
      </w:r>
      <w:r w:rsidR="00845BCB">
        <w:rPr>
          <w:bCs/>
          <w:szCs w:val="24"/>
        </w:rPr>
        <w:t> </w:t>
      </w:r>
      <w:r w:rsidRPr="006817DA">
        <w:rPr>
          <w:bCs/>
          <w:szCs w:val="24"/>
        </w:rPr>
        <w:t>078</w:t>
      </w:r>
      <w:r w:rsidR="00845BCB">
        <w:rPr>
          <w:bCs/>
          <w:szCs w:val="24"/>
        </w:rPr>
        <w:t> </w:t>
      </w:r>
      <w:r w:rsidRPr="006817DA">
        <w:rPr>
          <w:bCs/>
          <w:szCs w:val="24"/>
        </w:rPr>
        <w:t>tis.</w:t>
      </w:r>
      <w:r w:rsidR="00845BCB">
        <w:rPr>
          <w:bCs/>
          <w:szCs w:val="24"/>
        </w:rPr>
        <w:t> </w:t>
      </w:r>
      <w:r w:rsidRPr="006817DA">
        <w:rPr>
          <w:bCs/>
          <w:szCs w:val="24"/>
        </w:rPr>
        <w:t>eur. Za</w:t>
      </w:r>
      <w:r w:rsidR="00845BCB">
        <w:rPr>
          <w:bCs/>
          <w:szCs w:val="24"/>
        </w:rPr>
        <w:t> </w:t>
      </w:r>
      <w:r w:rsidRPr="006817DA">
        <w:rPr>
          <w:bCs/>
          <w:szCs w:val="24"/>
        </w:rPr>
        <w:t>vyššími príjmami sú najmä vyššie príjmy zo zdanenia dividend (+22</w:t>
      </w:r>
      <w:r w:rsidR="00845BCB">
        <w:rPr>
          <w:bCs/>
          <w:szCs w:val="24"/>
        </w:rPr>
        <w:t> </w:t>
      </w:r>
      <w:r w:rsidRPr="006817DA">
        <w:rPr>
          <w:bCs/>
          <w:szCs w:val="24"/>
        </w:rPr>
        <w:t>782</w:t>
      </w:r>
      <w:r w:rsidR="00845BCB">
        <w:rPr>
          <w:bCs/>
          <w:szCs w:val="24"/>
        </w:rPr>
        <w:t> </w:t>
      </w:r>
      <w:r w:rsidRPr="006817DA">
        <w:rPr>
          <w:bCs/>
          <w:szCs w:val="24"/>
        </w:rPr>
        <w:t>tis.</w:t>
      </w:r>
      <w:r w:rsidR="00845BCB">
        <w:rPr>
          <w:bCs/>
          <w:szCs w:val="24"/>
        </w:rPr>
        <w:t> </w:t>
      </w:r>
      <w:r w:rsidRPr="006817DA">
        <w:rPr>
          <w:bCs/>
          <w:szCs w:val="24"/>
        </w:rPr>
        <w:t>eur). Viac daní prišlo od</w:t>
      </w:r>
      <w:r w:rsidR="00845BCB">
        <w:rPr>
          <w:bCs/>
          <w:szCs w:val="24"/>
        </w:rPr>
        <w:t> </w:t>
      </w:r>
      <w:r w:rsidRPr="006817DA">
        <w:rPr>
          <w:bCs/>
          <w:szCs w:val="24"/>
        </w:rPr>
        <w:t>prvoplatiteľov (firmy, ktoré zaplatili daň z dividend prvý krát v roku 2025), ktorí v</w:t>
      </w:r>
      <w:r w:rsidR="00845BCB">
        <w:rPr>
          <w:bCs/>
          <w:szCs w:val="24"/>
        </w:rPr>
        <w:t> </w:t>
      </w:r>
      <w:r w:rsidRPr="006817DA">
        <w:rPr>
          <w:bCs/>
          <w:szCs w:val="24"/>
        </w:rPr>
        <w:t>prognóze zahrnutí neboli. Vyššie príjmy boli aj od ostatných platiteľov. Za zvýšením výnosu je aj vplyv zvýšenia sadzby na daň z dividend zo 7</w:t>
      </w:r>
      <w:r w:rsidR="00845BCB">
        <w:rPr>
          <w:bCs/>
          <w:szCs w:val="24"/>
        </w:rPr>
        <w:t> </w:t>
      </w:r>
      <w:r w:rsidRPr="006817DA">
        <w:rPr>
          <w:bCs/>
          <w:szCs w:val="24"/>
        </w:rPr>
        <w:t>% na 10</w:t>
      </w:r>
      <w:r w:rsidR="00845BCB">
        <w:rPr>
          <w:bCs/>
          <w:szCs w:val="24"/>
        </w:rPr>
        <w:t> </w:t>
      </w:r>
      <w:r w:rsidRPr="006817DA">
        <w:rPr>
          <w:bCs/>
          <w:szCs w:val="24"/>
        </w:rPr>
        <w:t>% pre dividendy zo zisku za rok 2024. Okrem dividend sa vybralo viac aj zo zdanenia vkladov. Hoci úroková miera nedosiahla rozpočtovanú hodnotu, na dani bolo vybraných o takmer 10</w:t>
      </w:r>
      <w:r w:rsidR="00845BCB">
        <w:rPr>
          <w:bCs/>
          <w:szCs w:val="24"/>
        </w:rPr>
        <w:t> </w:t>
      </w:r>
      <w:r>
        <w:rPr>
          <w:bCs/>
          <w:szCs w:val="24"/>
        </w:rPr>
        <w:t>000</w:t>
      </w:r>
      <w:r w:rsidR="00845BCB">
        <w:rPr>
          <w:bCs/>
          <w:szCs w:val="24"/>
        </w:rPr>
        <w:t> </w:t>
      </w:r>
      <w:r>
        <w:rPr>
          <w:bCs/>
          <w:szCs w:val="24"/>
        </w:rPr>
        <w:t>tis.</w:t>
      </w:r>
      <w:r w:rsidR="00845BCB">
        <w:rPr>
          <w:bCs/>
          <w:szCs w:val="24"/>
        </w:rPr>
        <w:t> </w:t>
      </w:r>
      <w:r w:rsidRPr="006817DA">
        <w:rPr>
          <w:bCs/>
          <w:szCs w:val="24"/>
        </w:rPr>
        <w:t>eur viac. Ostatné zložky zrážkovej dane boli taktiež vyššie ako sa predpokladalo pri rozpočte.</w:t>
      </w:r>
    </w:p>
    <w:p w14:paraId="1E9D6EA9" w14:textId="77777777" w:rsidR="00352D03" w:rsidRPr="006817DA" w:rsidRDefault="00352D03" w:rsidP="00352D03">
      <w:pPr>
        <w:spacing w:line="240" w:lineRule="auto"/>
        <w:jc w:val="both"/>
        <w:rPr>
          <w:bCs/>
          <w:szCs w:val="24"/>
        </w:rPr>
      </w:pPr>
    </w:p>
    <w:p w14:paraId="74D0305E" w14:textId="22A0F17D" w:rsidR="00352D03" w:rsidRDefault="00352D03" w:rsidP="00352D03">
      <w:pPr>
        <w:spacing w:line="240" w:lineRule="auto"/>
        <w:jc w:val="both"/>
        <w:rPr>
          <w:szCs w:val="24"/>
        </w:rPr>
      </w:pPr>
      <w:r>
        <w:rPr>
          <w:szCs w:val="24"/>
        </w:rPr>
        <w:t>Odhadovaný v</w:t>
      </w:r>
      <w:r w:rsidRPr="006817DA">
        <w:rPr>
          <w:szCs w:val="24"/>
        </w:rPr>
        <w:t xml:space="preserve">ýnos </w:t>
      </w:r>
      <w:r w:rsidRPr="006817DA">
        <w:rPr>
          <w:b/>
          <w:szCs w:val="24"/>
        </w:rPr>
        <w:t>dane z pridanej hodnoty</w:t>
      </w:r>
      <w:r w:rsidRPr="006817DA">
        <w:rPr>
          <w:szCs w:val="24"/>
        </w:rPr>
        <w:t xml:space="preserve"> je za rok 2025 o 815</w:t>
      </w:r>
      <w:r w:rsidR="00845BCB">
        <w:rPr>
          <w:szCs w:val="24"/>
        </w:rPr>
        <w:t> </w:t>
      </w:r>
      <w:r w:rsidRPr="006817DA">
        <w:rPr>
          <w:szCs w:val="24"/>
        </w:rPr>
        <w:t>597</w:t>
      </w:r>
      <w:r w:rsidR="00845BCB">
        <w:rPr>
          <w:szCs w:val="24"/>
        </w:rPr>
        <w:t> </w:t>
      </w:r>
      <w:r w:rsidRPr="006817DA">
        <w:rPr>
          <w:szCs w:val="24"/>
        </w:rPr>
        <w:t>tis.</w:t>
      </w:r>
      <w:r w:rsidR="00845BCB">
        <w:rPr>
          <w:szCs w:val="24"/>
        </w:rPr>
        <w:t> </w:t>
      </w:r>
      <w:r w:rsidRPr="006817DA">
        <w:rPr>
          <w:szCs w:val="24"/>
        </w:rPr>
        <w:t>eur nižší ako predpokladal rozpočet. Ide o plnenie dane na úrovni 92,9</w:t>
      </w:r>
      <w:r w:rsidR="00845BCB">
        <w:rPr>
          <w:szCs w:val="24"/>
        </w:rPr>
        <w:t> </w:t>
      </w:r>
      <w:r w:rsidRPr="006817DA">
        <w:rPr>
          <w:szCs w:val="24"/>
        </w:rPr>
        <w:t>%. Výnos najvýraznejšie negatívne ovplyvnilo oslabenie podielu dane na celkovej makroekonomickej základni</w:t>
      </w:r>
      <w:r w:rsidR="00F856EF">
        <w:rPr>
          <w:szCs w:val="24"/>
        </w:rPr>
        <w:t xml:space="preserve">. </w:t>
      </w:r>
      <w:r w:rsidRPr="006817DA">
        <w:rPr>
          <w:szCs w:val="24"/>
        </w:rPr>
        <w:t>Výnos oproti rozpočtu z menšej časti negatívne poznačili aj faktory ako nenaplnenie očakávaní v oblasti čerpania prostriedkov z </w:t>
      </w:r>
      <w:r w:rsidR="00C4036E">
        <w:rPr>
          <w:szCs w:val="24"/>
        </w:rPr>
        <w:t>POO</w:t>
      </w:r>
      <w:r w:rsidRPr="006817DA">
        <w:rPr>
          <w:szCs w:val="24"/>
        </w:rPr>
        <w:t>, negatívnejší než očakávaný vývoj nominálnej konečnej spotreby domácností, ale aj aktualizácia vplyvov legislatívnych opatr</w:t>
      </w:r>
      <w:r>
        <w:rPr>
          <w:szCs w:val="24"/>
        </w:rPr>
        <w:t>e</w:t>
      </w:r>
      <w:r w:rsidRPr="006817DA">
        <w:rPr>
          <w:szCs w:val="24"/>
        </w:rPr>
        <w:t>ní. K slabšiemu plneniu oproti rozpočtu čiastočne prispelo aj prijatie dodatočných opatrení v oblasti DPH v období po</w:t>
      </w:r>
      <w:r w:rsidR="00865B7D">
        <w:rPr>
          <w:szCs w:val="24"/>
        </w:rPr>
        <w:t> </w:t>
      </w:r>
      <w:r w:rsidRPr="006817DA">
        <w:rPr>
          <w:szCs w:val="24"/>
        </w:rPr>
        <w:t>schválení rozpočtu</w:t>
      </w:r>
      <w:r>
        <w:rPr>
          <w:szCs w:val="24"/>
        </w:rPr>
        <w:t xml:space="preserve"> (uvedené v tab.</w:t>
      </w:r>
      <w:r w:rsidR="00845BCB">
        <w:rPr>
          <w:szCs w:val="24"/>
        </w:rPr>
        <w:t> </w:t>
      </w:r>
      <w:r>
        <w:rPr>
          <w:szCs w:val="24"/>
        </w:rPr>
        <w:t>8)</w:t>
      </w:r>
      <w:r w:rsidRPr="006817DA">
        <w:rPr>
          <w:szCs w:val="24"/>
        </w:rPr>
        <w:t>.</w:t>
      </w:r>
    </w:p>
    <w:p w14:paraId="32AC1525" w14:textId="32EA4A27" w:rsidR="00352D03" w:rsidRPr="006817DA" w:rsidRDefault="00352D03" w:rsidP="00352D03">
      <w:pPr>
        <w:spacing w:line="240" w:lineRule="auto"/>
        <w:jc w:val="both"/>
        <w:rPr>
          <w:szCs w:val="24"/>
          <w:highlight w:val="yellow"/>
        </w:rPr>
      </w:pPr>
    </w:p>
    <w:p w14:paraId="0EB403BC" w14:textId="1A0D52C6" w:rsidR="00352D03" w:rsidRDefault="00352D03" w:rsidP="00352D03">
      <w:pPr>
        <w:spacing w:line="240" w:lineRule="auto"/>
        <w:jc w:val="both"/>
        <w:rPr>
          <w:szCs w:val="24"/>
        </w:rPr>
      </w:pPr>
      <w:r w:rsidRPr="006817DA">
        <w:rPr>
          <w:szCs w:val="24"/>
        </w:rPr>
        <w:t xml:space="preserve">Výnos </w:t>
      </w:r>
      <w:r w:rsidRPr="006817DA">
        <w:rPr>
          <w:b/>
          <w:szCs w:val="24"/>
        </w:rPr>
        <w:t>spotrebných daní</w:t>
      </w:r>
      <w:r w:rsidRPr="006817DA">
        <w:rPr>
          <w:szCs w:val="24"/>
        </w:rPr>
        <w:t xml:space="preserve"> za rok 2025 je oproti rozpočtu nižší o</w:t>
      </w:r>
      <w:r w:rsidR="00845BCB">
        <w:rPr>
          <w:szCs w:val="24"/>
        </w:rPr>
        <w:t> </w:t>
      </w:r>
      <w:r w:rsidRPr="006817DA">
        <w:rPr>
          <w:szCs w:val="24"/>
        </w:rPr>
        <w:t>144</w:t>
      </w:r>
      <w:r w:rsidR="00845BCB">
        <w:rPr>
          <w:szCs w:val="24"/>
        </w:rPr>
        <w:t> </w:t>
      </w:r>
      <w:r w:rsidRPr="006817DA">
        <w:rPr>
          <w:szCs w:val="24"/>
        </w:rPr>
        <w:t>236</w:t>
      </w:r>
      <w:r w:rsidR="00845BCB">
        <w:rPr>
          <w:szCs w:val="24"/>
        </w:rPr>
        <w:t> </w:t>
      </w:r>
      <w:r w:rsidRPr="006817DA">
        <w:rPr>
          <w:szCs w:val="24"/>
        </w:rPr>
        <w:t>tis.</w:t>
      </w:r>
      <w:r w:rsidR="00845BCB">
        <w:rPr>
          <w:szCs w:val="24"/>
        </w:rPr>
        <w:t> </w:t>
      </w:r>
      <w:r w:rsidRPr="006817DA">
        <w:rPr>
          <w:szCs w:val="24"/>
        </w:rPr>
        <w:t>eur. Rozpočtované hodnoty sa naplnili pri spotrebnej dani z uhlia a pri novej dani zo sladených nealkoholických nápojov. Výnos dane zo sladených nealkoholických nápojov je oproti rozpočtu vyšší o 29</w:t>
      </w:r>
      <w:r w:rsidR="00845BCB">
        <w:rPr>
          <w:szCs w:val="24"/>
        </w:rPr>
        <w:t> </w:t>
      </w:r>
      <w:r w:rsidRPr="006817DA">
        <w:rPr>
          <w:szCs w:val="24"/>
        </w:rPr>
        <w:t>283</w:t>
      </w:r>
      <w:r w:rsidR="00845BCB">
        <w:rPr>
          <w:szCs w:val="24"/>
        </w:rPr>
        <w:t> </w:t>
      </w:r>
      <w:r w:rsidRPr="006817DA">
        <w:rPr>
          <w:szCs w:val="24"/>
        </w:rPr>
        <w:t>tis.</w:t>
      </w:r>
      <w:r w:rsidR="00845BCB">
        <w:rPr>
          <w:szCs w:val="24"/>
        </w:rPr>
        <w:t> </w:t>
      </w:r>
      <w:r w:rsidRPr="006817DA">
        <w:rPr>
          <w:szCs w:val="24"/>
        </w:rPr>
        <w:t>eur a dôvodom je najmä neuskutočnenie odhadovaného predzásobenia obchodníkov pred zavedením dane vo významnej miere. Najvyššie výpadky v porovnaní s rozpočtom zaznamenali spotrebné dane z tabakových výrobkov a z liehu. Výnos spotrebnej dane z tabakových výrobkov je o</w:t>
      </w:r>
      <w:r w:rsidR="00845BCB">
        <w:rPr>
          <w:szCs w:val="24"/>
        </w:rPr>
        <w:t> </w:t>
      </w:r>
      <w:r w:rsidRPr="006817DA">
        <w:rPr>
          <w:szCs w:val="24"/>
        </w:rPr>
        <w:t>113</w:t>
      </w:r>
      <w:r w:rsidR="00845BCB">
        <w:rPr>
          <w:szCs w:val="24"/>
        </w:rPr>
        <w:t> </w:t>
      </w:r>
      <w:r w:rsidRPr="006817DA">
        <w:rPr>
          <w:szCs w:val="24"/>
        </w:rPr>
        <w:t>067</w:t>
      </w:r>
      <w:r w:rsidR="00845BCB">
        <w:rPr>
          <w:szCs w:val="24"/>
        </w:rPr>
        <w:t> </w:t>
      </w:r>
      <w:r w:rsidRPr="006817DA">
        <w:rPr>
          <w:szCs w:val="24"/>
        </w:rPr>
        <w:t>tis.</w:t>
      </w:r>
      <w:r w:rsidR="00845BCB">
        <w:rPr>
          <w:szCs w:val="24"/>
        </w:rPr>
        <w:t> </w:t>
      </w:r>
      <w:r w:rsidRPr="006817DA">
        <w:rPr>
          <w:szCs w:val="24"/>
        </w:rPr>
        <w:t>eur nižší v porovnaní s rozpočtom. Najväčší vplyv má medziročný pokles spotreby cigariet o</w:t>
      </w:r>
      <w:r w:rsidR="00845BCB">
        <w:rPr>
          <w:szCs w:val="24"/>
        </w:rPr>
        <w:t> </w:t>
      </w:r>
      <w:r w:rsidRPr="006817DA">
        <w:rPr>
          <w:szCs w:val="24"/>
        </w:rPr>
        <w:t>6</w:t>
      </w:r>
      <w:r w:rsidR="00845BCB">
        <w:rPr>
          <w:szCs w:val="24"/>
        </w:rPr>
        <w:t> </w:t>
      </w:r>
      <w:r w:rsidRPr="006817DA">
        <w:rPr>
          <w:szCs w:val="24"/>
        </w:rPr>
        <w:t xml:space="preserve">%, s ktorým </w:t>
      </w:r>
      <w:r>
        <w:rPr>
          <w:szCs w:val="24"/>
        </w:rPr>
        <w:t>nebolo možné pri</w:t>
      </w:r>
      <w:r w:rsidR="00845BCB">
        <w:rPr>
          <w:szCs w:val="24"/>
        </w:rPr>
        <w:t> </w:t>
      </w:r>
      <w:r w:rsidRPr="006817DA">
        <w:rPr>
          <w:szCs w:val="24"/>
        </w:rPr>
        <w:t xml:space="preserve">zostavovaní rozpočtu </w:t>
      </w:r>
      <w:r>
        <w:rPr>
          <w:szCs w:val="24"/>
        </w:rPr>
        <w:t>počítať</w:t>
      </w:r>
      <w:r w:rsidRPr="006817DA">
        <w:rPr>
          <w:szCs w:val="24"/>
        </w:rPr>
        <w:t xml:space="preserve">. </w:t>
      </w:r>
      <w:bookmarkStart w:id="50" w:name="_Hlk226537821"/>
      <w:r w:rsidRPr="006817DA">
        <w:rPr>
          <w:szCs w:val="24"/>
        </w:rPr>
        <w:t>Negatívny vplyv mal aj jednorazový faktor v sume 25</w:t>
      </w:r>
      <w:r w:rsidR="00845BCB">
        <w:rPr>
          <w:szCs w:val="24"/>
        </w:rPr>
        <w:t> </w:t>
      </w:r>
      <w:r w:rsidRPr="006817DA">
        <w:rPr>
          <w:szCs w:val="24"/>
        </w:rPr>
        <w:t>mil.</w:t>
      </w:r>
      <w:r w:rsidR="00845BCB">
        <w:rPr>
          <w:szCs w:val="24"/>
        </w:rPr>
        <w:t> </w:t>
      </w:r>
      <w:r w:rsidRPr="006817DA">
        <w:rPr>
          <w:szCs w:val="24"/>
        </w:rPr>
        <w:t>eur v podobe skoršieho zaplatenia dane, kedy táto suma pripadla do výnosu za rok 2024. Pozitívne na</w:t>
      </w:r>
      <w:r w:rsidR="00845BCB">
        <w:rPr>
          <w:szCs w:val="24"/>
        </w:rPr>
        <w:t> </w:t>
      </w:r>
      <w:r w:rsidRPr="006817DA">
        <w:rPr>
          <w:szCs w:val="24"/>
        </w:rPr>
        <w:t>výnos vplývalo zavedenie zdanenia nikotínových výrobkov, ktorého vplyv bol vyšší v</w:t>
      </w:r>
      <w:r w:rsidR="00845BCB">
        <w:rPr>
          <w:szCs w:val="24"/>
        </w:rPr>
        <w:t> </w:t>
      </w:r>
      <w:r w:rsidRPr="006817DA">
        <w:rPr>
          <w:szCs w:val="24"/>
        </w:rPr>
        <w:t xml:space="preserve">porovnaní s rozpočtovanými očakávaniami </w:t>
      </w:r>
      <w:bookmarkEnd w:id="50"/>
      <w:r w:rsidRPr="006817DA">
        <w:rPr>
          <w:szCs w:val="24"/>
        </w:rPr>
        <w:t>približne o</w:t>
      </w:r>
      <w:r>
        <w:rPr>
          <w:szCs w:val="24"/>
        </w:rPr>
        <w:t> </w:t>
      </w:r>
      <w:r w:rsidRPr="006817DA">
        <w:rPr>
          <w:szCs w:val="24"/>
        </w:rPr>
        <w:t>16</w:t>
      </w:r>
      <w:r w:rsidR="00845BCB">
        <w:rPr>
          <w:szCs w:val="24"/>
        </w:rPr>
        <w:t> </w:t>
      </w:r>
      <w:r>
        <w:rPr>
          <w:szCs w:val="24"/>
        </w:rPr>
        <w:t>000</w:t>
      </w:r>
      <w:r w:rsidR="00845BCB">
        <w:rPr>
          <w:szCs w:val="24"/>
        </w:rPr>
        <w:t> </w:t>
      </w:r>
      <w:r>
        <w:rPr>
          <w:szCs w:val="24"/>
        </w:rPr>
        <w:t>tis.</w:t>
      </w:r>
      <w:r w:rsidR="00845BCB">
        <w:rPr>
          <w:szCs w:val="24"/>
        </w:rPr>
        <w:t> </w:t>
      </w:r>
      <w:r w:rsidRPr="006817DA">
        <w:rPr>
          <w:szCs w:val="24"/>
        </w:rPr>
        <w:t>eur. Výnos spotrebnej dane z liehu nedosiahol rozpočtovanú hodnotu o</w:t>
      </w:r>
      <w:r w:rsidR="00845BCB">
        <w:rPr>
          <w:szCs w:val="24"/>
        </w:rPr>
        <w:t> </w:t>
      </w:r>
      <w:r w:rsidRPr="006817DA">
        <w:rPr>
          <w:szCs w:val="24"/>
        </w:rPr>
        <w:t>42</w:t>
      </w:r>
      <w:r w:rsidR="00845BCB">
        <w:rPr>
          <w:szCs w:val="24"/>
        </w:rPr>
        <w:t> </w:t>
      </w:r>
      <w:r w:rsidRPr="006817DA">
        <w:rPr>
          <w:szCs w:val="24"/>
        </w:rPr>
        <w:t>503</w:t>
      </w:r>
      <w:r w:rsidR="00845BCB">
        <w:rPr>
          <w:szCs w:val="24"/>
        </w:rPr>
        <w:t> </w:t>
      </w:r>
      <w:r w:rsidRPr="006817DA">
        <w:rPr>
          <w:szCs w:val="24"/>
        </w:rPr>
        <w:t>tis.</w:t>
      </w:r>
      <w:r w:rsidR="00845BCB">
        <w:rPr>
          <w:szCs w:val="24"/>
        </w:rPr>
        <w:t> </w:t>
      </w:r>
      <w:r w:rsidRPr="006817DA">
        <w:rPr>
          <w:szCs w:val="24"/>
        </w:rPr>
        <w:t>eur a bol ovplyvnený horšou efektivitou výberu. Výnos spotrebnej dane z minerálneho oleja je za rok 2025 o 12</w:t>
      </w:r>
      <w:r w:rsidR="00845BCB">
        <w:rPr>
          <w:szCs w:val="24"/>
        </w:rPr>
        <w:t> </w:t>
      </w:r>
      <w:r w:rsidRPr="006817DA">
        <w:rPr>
          <w:szCs w:val="24"/>
        </w:rPr>
        <w:t>153</w:t>
      </w:r>
      <w:r w:rsidR="00845BCB">
        <w:rPr>
          <w:szCs w:val="24"/>
        </w:rPr>
        <w:t> </w:t>
      </w:r>
      <w:r w:rsidRPr="006817DA">
        <w:rPr>
          <w:szCs w:val="24"/>
        </w:rPr>
        <w:t>tis.</w:t>
      </w:r>
      <w:r w:rsidR="00845BCB">
        <w:rPr>
          <w:szCs w:val="24"/>
        </w:rPr>
        <w:t> </w:t>
      </w:r>
      <w:r w:rsidRPr="006817DA">
        <w:rPr>
          <w:szCs w:val="24"/>
        </w:rPr>
        <w:t>eur nižší ako predpokladal rozpočet. Nižší reálny ekonomický rast bol sčasti kompenzovaný vyššou efektívnou daňovou sadzbou.</w:t>
      </w:r>
    </w:p>
    <w:p w14:paraId="057752F2" w14:textId="77777777" w:rsidR="00352D03" w:rsidRPr="006817DA" w:rsidRDefault="00352D03" w:rsidP="00352D03">
      <w:pPr>
        <w:spacing w:line="240" w:lineRule="auto"/>
        <w:jc w:val="both"/>
        <w:rPr>
          <w:szCs w:val="24"/>
        </w:rPr>
      </w:pPr>
    </w:p>
    <w:p w14:paraId="2B000E3A" w14:textId="6FA96BA9" w:rsidR="00352D03" w:rsidRDefault="00352D03" w:rsidP="00352D03">
      <w:pPr>
        <w:spacing w:line="240" w:lineRule="auto"/>
        <w:jc w:val="both"/>
        <w:rPr>
          <w:szCs w:val="24"/>
        </w:rPr>
      </w:pPr>
      <w:r w:rsidRPr="006817DA">
        <w:rPr>
          <w:szCs w:val="24"/>
        </w:rPr>
        <w:t xml:space="preserve">Výnos </w:t>
      </w:r>
      <w:r w:rsidRPr="006817DA">
        <w:rPr>
          <w:b/>
          <w:bCs/>
          <w:szCs w:val="24"/>
        </w:rPr>
        <w:t>dane z finančných transakcií</w:t>
      </w:r>
      <w:r w:rsidRPr="006817DA">
        <w:rPr>
          <w:szCs w:val="24"/>
        </w:rPr>
        <w:t xml:space="preserve"> za rok 2025 zaostal za rozpočtom o 184</w:t>
      </w:r>
      <w:r w:rsidR="00845BCB">
        <w:rPr>
          <w:szCs w:val="24"/>
        </w:rPr>
        <w:t> </w:t>
      </w:r>
      <w:r w:rsidRPr="006817DA">
        <w:rPr>
          <w:szCs w:val="24"/>
        </w:rPr>
        <w:t>804</w:t>
      </w:r>
      <w:r w:rsidR="00845BCB">
        <w:rPr>
          <w:szCs w:val="24"/>
        </w:rPr>
        <w:t> </w:t>
      </w:r>
      <w:r w:rsidRPr="006817DA">
        <w:rPr>
          <w:szCs w:val="24"/>
        </w:rPr>
        <w:t>tis.</w:t>
      </w:r>
      <w:r w:rsidR="00845BCB">
        <w:rPr>
          <w:szCs w:val="24"/>
        </w:rPr>
        <w:t> </w:t>
      </w:r>
      <w:r w:rsidRPr="006817DA">
        <w:rPr>
          <w:szCs w:val="24"/>
        </w:rPr>
        <w:t>eur. Nižší výnos bol spôsobený dodatočným zavedením viacerých výnimiek pre</w:t>
      </w:r>
      <w:r w:rsidR="00845BCB">
        <w:rPr>
          <w:szCs w:val="24"/>
        </w:rPr>
        <w:t> </w:t>
      </w:r>
      <w:r w:rsidRPr="006817DA">
        <w:rPr>
          <w:szCs w:val="24"/>
        </w:rPr>
        <w:t>vybrané kategórie subjektov a transakcií, ale aj horším makroekonomickým vývojom, než sa predpokladalo pri</w:t>
      </w:r>
      <w:r w:rsidR="00845BCB">
        <w:rPr>
          <w:szCs w:val="24"/>
        </w:rPr>
        <w:t> </w:t>
      </w:r>
      <w:r w:rsidRPr="006817DA">
        <w:rPr>
          <w:szCs w:val="24"/>
        </w:rPr>
        <w:t>príprave rozpočtu, a neistotou odhadu spôsobenou nedostupnosťou údajov pri</w:t>
      </w:r>
      <w:r w:rsidR="00845BCB">
        <w:rPr>
          <w:szCs w:val="24"/>
        </w:rPr>
        <w:t> </w:t>
      </w:r>
      <w:r w:rsidRPr="006817DA">
        <w:rPr>
          <w:szCs w:val="24"/>
        </w:rPr>
        <w:t>pôvodnej kvantifikácii výnosu tejto novej dane.</w:t>
      </w:r>
    </w:p>
    <w:p w14:paraId="6FFA723A" w14:textId="77777777" w:rsidR="00352D03" w:rsidRPr="006817DA" w:rsidRDefault="00352D03" w:rsidP="00352D03">
      <w:pPr>
        <w:spacing w:line="240" w:lineRule="auto"/>
        <w:jc w:val="both"/>
        <w:rPr>
          <w:szCs w:val="24"/>
        </w:rPr>
      </w:pPr>
    </w:p>
    <w:p w14:paraId="3D5EB394" w14:textId="285171E6" w:rsidR="00882557" w:rsidRDefault="00352D03" w:rsidP="00352D03">
      <w:pPr>
        <w:spacing w:line="240" w:lineRule="auto"/>
        <w:jc w:val="both"/>
        <w:rPr>
          <w:szCs w:val="24"/>
        </w:rPr>
      </w:pPr>
      <w:r w:rsidRPr="006817DA">
        <w:rPr>
          <w:b/>
          <w:bCs/>
          <w:szCs w:val="24"/>
        </w:rPr>
        <w:t>Sociálne a zdravotné odvody</w:t>
      </w:r>
      <w:r w:rsidRPr="006817DA">
        <w:rPr>
          <w:szCs w:val="24"/>
        </w:rPr>
        <w:t xml:space="preserve"> sa vyvíjali horšie v dôsledku </w:t>
      </w:r>
      <w:r w:rsidR="00D61871">
        <w:rPr>
          <w:szCs w:val="24"/>
        </w:rPr>
        <w:t xml:space="preserve">vývoja </w:t>
      </w:r>
      <w:r w:rsidRPr="006817DA">
        <w:rPr>
          <w:szCs w:val="24"/>
        </w:rPr>
        <w:t>zamestnanosti, ktorá bola nakoniec pod očakávaniami v čase prípravy rozpočtu. Nepriaznivý makroekonomický vývoj však bol prekonaný lepším výberom odvodov. Zdravotné odvody boli oproti rozpočtu vyššie o</w:t>
      </w:r>
      <w:r w:rsidR="00845BCB">
        <w:rPr>
          <w:szCs w:val="24"/>
        </w:rPr>
        <w:t> </w:t>
      </w:r>
      <w:r w:rsidRPr="006817DA">
        <w:rPr>
          <w:szCs w:val="24"/>
        </w:rPr>
        <w:t>68</w:t>
      </w:r>
      <w:r w:rsidR="00845BCB">
        <w:rPr>
          <w:szCs w:val="24"/>
        </w:rPr>
        <w:t> </w:t>
      </w:r>
      <w:r w:rsidRPr="006817DA">
        <w:rPr>
          <w:szCs w:val="24"/>
        </w:rPr>
        <w:t>382</w:t>
      </w:r>
      <w:r w:rsidR="00845BCB">
        <w:rPr>
          <w:szCs w:val="24"/>
        </w:rPr>
        <w:t> </w:t>
      </w:r>
      <w:r w:rsidRPr="006817DA">
        <w:rPr>
          <w:szCs w:val="24"/>
        </w:rPr>
        <w:t>tis.</w:t>
      </w:r>
      <w:r w:rsidR="00845BCB">
        <w:rPr>
          <w:szCs w:val="24"/>
        </w:rPr>
        <w:t> </w:t>
      </w:r>
      <w:r w:rsidRPr="006817DA">
        <w:rPr>
          <w:szCs w:val="24"/>
        </w:rPr>
        <w:t>eur, resp. o 1,09 %. Sociálne odvody prekonali rozpočet o 204</w:t>
      </w:r>
      <w:r w:rsidR="00845BCB">
        <w:rPr>
          <w:szCs w:val="24"/>
        </w:rPr>
        <w:t> </w:t>
      </w:r>
      <w:r w:rsidRPr="006817DA">
        <w:rPr>
          <w:szCs w:val="24"/>
        </w:rPr>
        <w:t>655</w:t>
      </w:r>
      <w:r w:rsidR="00845BCB">
        <w:rPr>
          <w:szCs w:val="24"/>
        </w:rPr>
        <w:t> </w:t>
      </w:r>
      <w:r w:rsidRPr="006817DA">
        <w:rPr>
          <w:szCs w:val="24"/>
        </w:rPr>
        <w:t>tis.</w:t>
      </w:r>
      <w:r w:rsidR="00845BCB">
        <w:rPr>
          <w:szCs w:val="24"/>
        </w:rPr>
        <w:t> </w:t>
      </w:r>
      <w:r w:rsidRPr="006817DA">
        <w:rPr>
          <w:szCs w:val="24"/>
        </w:rPr>
        <w:t>eur, resp. 1,73 %.</w:t>
      </w:r>
    </w:p>
    <w:p w14:paraId="39347E29" w14:textId="77777777" w:rsidR="00352D03" w:rsidRDefault="00352D03" w:rsidP="00352D03">
      <w:pPr>
        <w:spacing w:line="240" w:lineRule="auto"/>
        <w:jc w:val="both"/>
        <w:rPr>
          <w:szCs w:val="24"/>
          <w:highlight w:val="yellow"/>
        </w:rPr>
      </w:pPr>
    </w:p>
    <w:p w14:paraId="5225C16F" w14:textId="553A24CA" w:rsidR="009A05C7" w:rsidRDefault="009A05C7" w:rsidP="00532D85">
      <w:pPr>
        <w:pStyle w:val="Podtitul"/>
        <w:spacing w:before="0"/>
        <w:jc w:val="both"/>
      </w:pPr>
      <w:r w:rsidRPr="0050710A">
        <w:lastRenderedPageBreak/>
        <w:t>Dividendy vs. Superdividendy</w:t>
      </w:r>
    </w:p>
    <w:p w14:paraId="394041C1" w14:textId="1E6527EF" w:rsidR="0050710A" w:rsidRPr="00327A5C" w:rsidRDefault="0050710A" w:rsidP="00D87200">
      <w:pPr>
        <w:spacing w:line="240" w:lineRule="auto"/>
        <w:jc w:val="both"/>
        <w:rPr>
          <w:szCs w:val="24"/>
          <w:highlight w:val="yellow"/>
        </w:rPr>
      </w:pPr>
      <w:r w:rsidRPr="00327A5C">
        <w:rPr>
          <w:b/>
          <w:szCs w:val="24"/>
        </w:rPr>
        <w:t>Konsolidovaný príjem z dividend</w:t>
      </w:r>
      <w:r w:rsidRPr="00327A5C">
        <w:rPr>
          <w:rStyle w:val="Odkaznapoznmkupodiarou"/>
          <w:b/>
          <w:szCs w:val="24"/>
        </w:rPr>
        <w:footnoteReference w:id="7"/>
      </w:r>
      <w:r w:rsidRPr="00327A5C">
        <w:rPr>
          <w:b/>
          <w:szCs w:val="24"/>
        </w:rPr>
        <w:t xml:space="preserve"> a odvodov zo zisku pre rok 2025</w:t>
      </w:r>
      <w:r w:rsidRPr="00327A5C">
        <w:rPr>
          <w:szCs w:val="24"/>
        </w:rPr>
        <w:t xml:space="preserve"> bol rozpočtovaný vo výške 524 278 tis. eur. Skutočný príjem z dividend a odvodov zo zisku za rok 2025 bol vo výške 78</w:t>
      </w:r>
      <w:r>
        <w:rPr>
          <w:szCs w:val="24"/>
        </w:rPr>
        <w:t>5</w:t>
      </w:r>
      <w:r w:rsidRPr="00327A5C">
        <w:rPr>
          <w:szCs w:val="24"/>
        </w:rPr>
        <w:t> </w:t>
      </w:r>
      <w:r>
        <w:rPr>
          <w:szCs w:val="24"/>
        </w:rPr>
        <w:t>46</w:t>
      </w:r>
      <w:r w:rsidRPr="00327A5C">
        <w:rPr>
          <w:szCs w:val="24"/>
        </w:rPr>
        <w:t>1 tis. eur. Vo výške 8 000 tis. eur bola vykázaná k 3</w:t>
      </w:r>
      <w:r>
        <w:rPr>
          <w:szCs w:val="24"/>
        </w:rPr>
        <w:t>1</w:t>
      </w:r>
      <w:r w:rsidRPr="00327A5C">
        <w:rPr>
          <w:szCs w:val="24"/>
        </w:rPr>
        <w:t>.12.2025 pohľadávka z priznaných darov pre zriaďovateľa Vodohospodárskej výstavby, š. p.</w:t>
      </w:r>
      <w:r w:rsidR="00720E03">
        <w:rPr>
          <w:szCs w:val="24"/>
        </w:rPr>
        <w:t>,</w:t>
      </w:r>
      <w:r w:rsidRPr="00327A5C">
        <w:rPr>
          <w:szCs w:val="24"/>
        </w:rPr>
        <w:t xml:space="preserve"> v roku 2025 s termínom úhrady v roku 2026. Zároveň v rámci príjmov bol</w:t>
      </w:r>
      <w:r>
        <w:rPr>
          <w:szCs w:val="24"/>
        </w:rPr>
        <w:t>a</w:t>
      </w:r>
      <w:r w:rsidRPr="00327A5C">
        <w:rPr>
          <w:szCs w:val="24"/>
        </w:rPr>
        <w:t xml:space="preserve"> </w:t>
      </w:r>
      <w:r>
        <w:rPr>
          <w:szCs w:val="24"/>
        </w:rPr>
        <w:t>vysporiadaná</w:t>
      </w:r>
      <w:r w:rsidRPr="00327A5C">
        <w:rPr>
          <w:szCs w:val="24"/>
        </w:rPr>
        <w:t xml:space="preserve"> pohľadávk</w:t>
      </w:r>
      <w:r>
        <w:rPr>
          <w:szCs w:val="24"/>
        </w:rPr>
        <w:t>a z minulého roka vo výške 8 000 tis. eur (dar Vodohospodárskej výstavby, š. p.</w:t>
      </w:r>
      <w:r w:rsidR="00720E03">
        <w:rPr>
          <w:szCs w:val="24"/>
        </w:rPr>
        <w:t>,</w:t>
      </w:r>
      <w:r>
        <w:rPr>
          <w:szCs w:val="24"/>
        </w:rPr>
        <w:t xml:space="preserve"> svojmu zriaďovateľovi s termínom úhrady v roku 2025).</w:t>
      </w:r>
    </w:p>
    <w:p w14:paraId="654BF933" w14:textId="16B0F2D3" w:rsidR="00402102" w:rsidRDefault="0050710A" w:rsidP="00D87200">
      <w:pPr>
        <w:spacing w:line="240" w:lineRule="auto"/>
        <w:jc w:val="both"/>
        <w:rPr>
          <w:szCs w:val="24"/>
        </w:rPr>
      </w:pPr>
      <w:r w:rsidRPr="0095503C">
        <w:rPr>
          <w:szCs w:val="24"/>
        </w:rPr>
        <w:t>Dividendy a odvody zo zisku, ktoré sú príjmom rozpočtu verejnej správy podľa metodiky ESA 2010 za príslušný rok, dosiahli výšku 785 461 tis. eur, čo je oproti rozpočtu viac o 261 183 tis. eur</w:t>
      </w:r>
      <w:r w:rsidR="008444D9">
        <w:rPr>
          <w:szCs w:val="24"/>
        </w:rPr>
        <w:t xml:space="preserve"> (z toho samotné dividendy 257 mil. eur)</w:t>
      </w:r>
      <w:r w:rsidRPr="0095503C">
        <w:rPr>
          <w:szCs w:val="24"/>
        </w:rPr>
        <w:t>. Rozdiel bol spôsobený najmä vyplatenými dividendami z</w:t>
      </w:r>
      <w:r>
        <w:rPr>
          <w:szCs w:val="24"/>
        </w:rPr>
        <w:t xml:space="preserve"> energetických</w:t>
      </w:r>
      <w:r w:rsidRPr="0095503C">
        <w:rPr>
          <w:szCs w:val="24"/>
        </w:rPr>
        <w:t xml:space="preserve"> spoločnost</w:t>
      </w:r>
      <w:r>
        <w:rPr>
          <w:szCs w:val="24"/>
        </w:rPr>
        <w:t>í, ktoré vyplatili v roku 2025 dividendy vyššie oproti rozpočtu o 251 495 tis. eur</w:t>
      </w:r>
      <w:r w:rsidRPr="0095503C">
        <w:rPr>
          <w:szCs w:val="24"/>
        </w:rPr>
        <w:t xml:space="preserve"> </w:t>
      </w:r>
      <w:r>
        <w:rPr>
          <w:szCs w:val="24"/>
        </w:rPr>
        <w:t>(</w:t>
      </w:r>
      <w:r w:rsidRPr="0095503C">
        <w:rPr>
          <w:szCs w:val="24"/>
        </w:rPr>
        <w:t>Slovenské elektrárne,</w:t>
      </w:r>
      <w:r>
        <w:rPr>
          <w:szCs w:val="24"/>
        </w:rPr>
        <w:t> </w:t>
      </w:r>
      <w:r w:rsidRPr="0095503C">
        <w:rPr>
          <w:szCs w:val="24"/>
        </w:rPr>
        <w:t>a.</w:t>
      </w:r>
      <w:r>
        <w:rPr>
          <w:szCs w:val="24"/>
        </w:rPr>
        <w:t> </w:t>
      </w:r>
      <w:r w:rsidRPr="0095503C">
        <w:rPr>
          <w:szCs w:val="24"/>
        </w:rPr>
        <w:t>s.</w:t>
      </w:r>
      <w:r w:rsidR="00467F0B">
        <w:rPr>
          <w:szCs w:val="24"/>
        </w:rPr>
        <w:t>,</w:t>
      </w:r>
      <w:r w:rsidRPr="0095503C">
        <w:rPr>
          <w:szCs w:val="24"/>
        </w:rPr>
        <w:t xml:space="preserve"> </w:t>
      </w:r>
      <w:r>
        <w:rPr>
          <w:szCs w:val="24"/>
        </w:rPr>
        <w:t xml:space="preserve">vyplatili dividendy </w:t>
      </w:r>
      <w:r w:rsidRPr="0095503C">
        <w:rPr>
          <w:szCs w:val="24"/>
        </w:rPr>
        <w:t>vo</w:t>
      </w:r>
      <w:r w:rsidR="0087783F">
        <w:rPr>
          <w:szCs w:val="24"/>
        </w:rPr>
        <w:t> </w:t>
      </w:r>
      <w:r w:rsidRPr="0095503C">
        <w:rPr>
          <w:szCs w:val="24"/>
        </w:rPr>
        <w:t>výške 170</w:t>
      </w:r>
      <w:r>
        <w:rPr>
          <w:szCs w:val="24"/>
        </w:rPr>
        <w:t> </w:t>
      </w:r>
      <w:r w:rsidRPr="0095503C">
        <w:rPr>
          <w:szCs w:val="24"/>
        </w:rPr>
        <w:t>000</w:t>
      </w:r>
      <w:r>
        <w:rPr>
          <w:szCs w:val="24"/>
        </w:rPr>
        <w:t> </w:t>
      </w:r>
      <w:r w:rsidRPr="0095503C">
        <w:rPr>
          <w:szCs w:val="24"/>
        </w:rPr>
        <w:t>tis.</w:t>
      </w:r>
      <w:r>
        <w:rPr>
          <w:szCs w:val="24"/>
        </w:rPr>
        <w:t> </w:t>
      </w:r>
      <w:r w:rsidRPr="0095503C">
        <w:rPr>
          <w:szCs w:val="24"/>
        </w:rPr>
        <w:t>eur, z dôvodu ich nerozpočtovania</w:t>
      </w:r>
      <w:r>
        <w:rPr>
          <w:szCs w:val="24"/>
        </w:rPr>
        <w:t xml:space="preserve"> boli hlavným zdrojom rozdielu skutočnosti oproti rozpočtu a spoločnosť Slovenský plynárenský priemysel, a. s.</w:t>
      </w:r>
      <w:r w:rsidR="00467F0B">
        <w:rPr>
          <w:szCs w:val="24"/>
        </w:rPr>
        <w:t>,</w:t>
      </w:r>
      <w:r>
        <w:rPr>
          <w:szCs w:val="24"/>
        </w:rPr>
        <w:t xml:space="preserve"> vyplatila dividendu vyššiu oproti rozpočtu o 64 683 tis. eur z dôvodu vygenerovania vyššieho zisku z prevádzkovej činnosti)</w:t>
      </w:r>
      <w:r w:rsidRPr="0095503C">
        <w:rPr>
          <w:szCs w:val="24"/>
        </w:rPr>
        <w:t>.</w:t>
      </w:r>
    </w:p>
    <w:p w14:paraId="392B61D4" w14:textId="77777777" w:rsidR="0050710A" w:rsidRPr="00157D9C" w:rsidRDefault="0050710A" w:rsidP="0050710A">
      <w:pPr>
        <w:spacing w:line="240" w:lineRule="auto"/>
        <w:jc w:val="both"/>
        <w:rPr>
          <w:szCs w:val="24"/>
        </w:rPr>
      </w:pPr>
    </w:p>
    <w:p w14:paraId="0367C20D" w14:textId="5122D380" w:rsidR="00D96E6C" w:rsidRPr="00157D9C" w:rsidRDefault="00D96E6C" w:rsidP="00532D85">
      <w:pPr>
        <w:pStyle w:val="Popis"/>
        <w:jc w:val="both"/>
        <w:rPr>
          <w:i/>
        </w:rPr>
      </w:pPr>
      <w:bookmarkStart w:id="51" w:name="_Toc196313636"/>
      <w:bookmarkStart w:id="52" w:name="_Toc227670146"/>
      <w:r w:rsidRPr="00157D9C">
        <w:t xml:space="preserve">Tabuľka </w:t>
      </w:r>
      <w:r w:rsidR="00995280">
        <w:fldChar w:fldCharType="begin"/>
      </w:r>
      <w:r w:rsidR="00995280">
        <w:instrText xml:space="preserve"> SEQ Tabuľka \* ARABIC </w:instrText>
      </w:r>
      <w:r w:rsidR="00995280">
        <w:fldChar w:fldCharType="separate"/>
      </w:r>
      <w:r w:rsidR="00396BE8">
        <w:rPr>
          <w:noProof/>
        </w:rPr>
        <w:t>10</w:t>
      </w:r>
      <w:r w:rsidR="00995280">
        <w:rPr>
          <w:noProof/>
        </w:rPr>
        <w:fldChar w:fldCharType="end"/>
      </w:r>
      <w:r w:rsidRPr="00157D9C">
        <w:t xml:space="preserve"> - Príjmy z dividend a odvodov zo zisku </w:t>
      </w:r>
      <w:r w:rsidR="00F60902" w:rsidRPr="00157D9C">
        <w:t>v metodike</w:t>
      </w:r>
      <w:r w:rsidRPr="00157D9C">
        <w:t xml:space="preserve"> ESA2010</w:t>
      </w:r>
      <w:bookmarkEnd w:id="51"/>
      <w:bookmarkEnd w:id="52"/>
    </w:p>
    <w:tbl>
      <w:tblPr>
        <w:tblW w:w="5000" w:type="pct"/>
        <w:tblCellMar>
          <w:left w:w="70" w:type="dxa"/>
          <w:right w:w="70" w:type="dxa"/>
        </w:tblCellMar>
        <w:tblLook w:val="04A0" w:firstRow="1" w:lastRow="0" w:firstColumn="1" w:lastColumn="0" w:noHBand="0" w:noVBand="1"/>
      </w:tblPr>
      <w:tblGrid>
        <w:gridCol w:w="4170"/>
        <w:gridCol w:w="980"/>
        <w:gridCol w:w="980"/>
        <w:gridCol w:w="980"/>
        <w:gridCol w:w="980"/>
        <w:gridCol w:w="980"/>
      </w:tblGrid>
      <w:tr w:rsidR="0050710A" w:rsidRPr="00274557" w14:paraId="226EF736" w14:textId="77777777" w:rsidTr="009E2700">
        <w:trPr>
          <w:trHeight w:val="290"/>
          <w:tblHeader/>
        </w:trPr>
        <w:tc>
          <w:tcPr>
            <w:tcW w:w="2299" w:type="pct"/>
            <w:vMerge w:val="restart"/>
            <w:tcBorders>
              <w:top w:val="single" w:sz="4" w:space="0" w:color="auto"/>
              <w:left w:val="nil"/>
              <w:bottom w:val="single" w:sz="8" w:space="0" w:color="000000"/>
              <w:right w:val="nil"/>
            </w:tcBorders>
            <w:vAlign w:val="center"/>
            <w:hideMark/>
          </w:tcPr>
          <w:p w14:paraId="394815C4" w14:textId="77777777" w:rsidR="0050710A" w:rsidRPr="00274557" w:rsidRDefault="0050710A" w:rsidP="009E2700">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 v tis. eur</w:t>
            </w:r>
          </w:p>
        </w:tc>
        <w:tc>
          <w:tcPr>
            <w:tcW w:w="540" w:type="pct"/>
            <w:tcBorders>
              <w:top w:val="single" w:sz="4" w:space="0" w:color="auto"/>
              <w:left w:val="nil"/>
              <w:bottom w:val="nil"/>
              <w:right w:val="nil"/>
            </w:tcBorders>
            <w:vAlign w:val="center"/>
            <w:hideMark/>
          </w:tcPr>
          <w:p w14:paraId="1D77CA03"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274557">
              <w:rPr>
                <w:rFonts w:eastAsia="Times New Roman" w:cs="Times New Roman"/>
                <w:b/>
                <w:bCs/>
                <w:color w:val="000000"/>
                <w:sz w:val="18"/>
                <w:szCs w:val="18"/>
                <w:lang w:eastAsia="sk-SK"/>
              </w:rPr>
              <w:t xml:space="preserve"> S</w:t>
            </w:r>
          </w:p>
        </w:tc>
        <w:tc>
          <w:tcPr>
            <w:tcW w:w="540" w:type="pct"/>
            <w:tcBorders>
              <w:top w:val="single" w:sz="4" w:space="0" w:color="auto"/>
              <w:left w:val="nil"/>
              <w:bottom w:val="nil"/>
              <w:right w:val="nil"/>
            </w:tcBorders>
            <w:vAlign w:val="center"/>
            <w:hideMark/>
          </w:tcPr>
          <w:p w14:paraId="178D8559"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274557">
              <w:rPr>
                <w:rFonts w:eastAsia="Times New Roman" w:cs="Times New Roman"/>
                <w:b/>
                <w:bCs/>
                <w:color w:val="000000"/>
                <w:sz w:val="18"/>
                <w:szCs w:val="18"/>
                <w:lang w:eastAsia="sk-SK"/>
              </w:rPr>
              <w:t xml:space="preserve"> S</w:t>
            </w:r>
          </w:p>
        </w:tc>
        <w:tc>
          <w:tcPr>
            <w:tcW w:w="540" w:type="pct"/>
            <w:tcBorders>
              <w:top w:val="single" w:sz="4" w:space="0" w:color="auto"/>
              <w:left w:val="nil"/>
              <w:bottom w:val="nil"/>
              <w:right w:val="nil"/>
            </w:tcBorders>
            <w:vAlign w:val="center"/>
            <w:hideMark/>
          </w:tcPr>
          <w:p w14:paraId="2B4159E9"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274557">
              <w:rPr>
                <w:rFonts w:eastAsia="Times New Roman" w:cs="Times New Roman"/>
                <w:b/>
                <w:bCs/>
                <w:color w:val="000000"/>
                <w:sz w:val="18"/>
                <w:szCs w:val="18"/>
                <w:lang w:eastAsia="sk-SK"/>
              </w:rPr>
              <w:t xml:space="preserve"> R</w:t>
            </w:r>
          </w:p>
        </w:tc>
        <w:tc>
          <w:tcPr>
            <w:tcW w:w="540" w:type="pct"/>
            <w:tcBorders>
              <w:top w:val="single" w:sz="4" w:space="0" w:color="auto"/>
              <w:left w:val="nil"/>
              <w:bottom w:val="nil"/>
              <w:right w:val="nil"/>
            </w:tcBorders>
            <w:vAlign w:val="center"/>
            <w:hideMark/>
          </w:tcPr>
          <w:p w14:paraId="05230A6D"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274557">
              <w:rPr>
                <w:rFonts w:eastAsia="Times New Roman" w:cs="Times New Roman"/>
                <w:b/>
                <w:bCs/>
                <w:color w:val="000000"/>
                <w:sz w:val="18"/>
                <w:szCs w:val="18"/>
                <w:lang w:eastAsia="sk-SK"/>
              </w:rPr>
              <w:t xml:space="preserve"> S</w:t>
            </w:r>
          </w:p>
        </w:tc>
        <w:tc>
          <w:tcPr>
            <w:tcW w:w="540" w:type="pct"/>
            <w:tcBorders>
              <w:top w:val="single" w:sz="4" w:space="0" w:color="auto"/>
              <w:left w:val="nil"/>
              <w:bottom w:val="nil"/>
              <w:right w:val="nil"/>
            </w:tcBorders>
            <w:vAlign w:val="center"/>
            <w:hideMark/>
          </w:tcPr>
          <w:p w14:paraId="2C53B5B7"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 xml:space="preserve">Rozdiel </w:t>
            </w:r>
          </w:p>
        </w:tc>
      </w:tr>
      <w:tr w:rsidR="0050710A" w:rsidRPr="00274557" w14:paraId="3123DAAB" w14:textId="77777777" w:rsidTr="00F8195D">
        <w:trPr>
          <w:trHeight w:val="151"/>
          <w:tblHeader/>
        </w:trPr>
        <w:tc>
          <w:tcPr>
            <w:tcW w:w="2299" w:type="pct"/>
            <w:vMerge/>
            <w:tcBorders>
              <w:top w:val="single" w:sz="8" w:space="0" w:color="auto"/>
              <w:left w:val="nil"/>
              <w:bottom w:val="single" w:sz="4" w:space="0" w:color="auto"/>
              <w:right w:val="nil"/>
            </w:tcBorders>
            <w:vAlign w:val="center"/>
            <w:hideMark/>
          </w:tcPr>
          <w:p w14:paraId="160EA245" w14:textId="77777777" w:rsidR="0050710A" w:rsidRPr="00274557" w:rsidRDefault="0050710A" w:rsidP="009E2700">
            <w:pPr>
              <w:spacing w:line="240" w:lineRule="auto"/>
              <w:rPr>
                <w:rFonts w:eastAsia="Times New Roman" w:cs="Times New Roman"/>
                <w:b/>
                <w:bCs/>
                <w:color w:val="000000"/>
                <w:sz w:val="18"/>
                <w:szCs w:val="18"/>
                <w:lang w:eastAsia="sk-SK"/>
              </w:rPr>
            </w:pPr>
          </w:p>
        </w:tc>
        <w:tc>
          <w:tcPr>
            <w:tcW w:w="540" w:type="pct"/>
            <w:tcBorders>
              <w:top w:val="nil"/>
              <w:left w:val="nil"/>
              <w:bottom w:val="single" w:sz="4" w:space="0" w:color="auto"/>
              <w:right w:val="nil"/>
            </w:tcBorders>
            <w:vAlign w:val="center"/>
            <w:hideMark/>
          </w:tcPr>
          <w:p w14:paraId="4A73E7C4"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w:t>
            </w:r>
          </w:p>
        </w:tc>
        <w:tc>
          <w:tcPr>
            <w:tcW w:w="540" w:type="pct"/>
            <w:tcBorders>
              <w:top w:val="nil"/>
              <w:left w:val="nil"/>
              <w:bottom w:val="single" w:sz="4" w:space="0" w:color="auto"/>
              <w:right w:val="nil"/>
            </w:tcBorders>
            <w:vAlign w:val="center"/>
            <w:hideMark/>
          </w:tcPr>
          <w:p w14:paraId="5B8F149B"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2</w:t>
            </w:r>
          </w:p>
        </w:tc>
        <w:tc>
          <w:tcPr>
            <w:tcW w:w="540" w:type="pct"/>
            <w:tcBorders>
              <w:top w:val="nil"/>
              <w:left w:val="nil"/>
              <w:bottom w:val="single" w:sz="4" w:space="0" w:color="auto"/>
              <w:right w:val="nil"/>
            </w:tcBorders>
            <w:vAlign w:val="center"/>
            <w:hideMark/>
          </w:tcPr>
          <w:p w14:paraId="1B166650"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w:t>
            </w:r>
          </w:p>
        </w:tc>
        <w:tc>
          <w:tcPr>
            <w:tcW w:w="540" w:type="pct"/>
            <w:tcBorders>
              <w:top w:val="nil"/>
              <w:left w:val="nil"/>
              <w:bottom w:val="single" w:sz="4" w:space="0" w:color="auto"/>
              <w:right w:val="nil"/>
            </w:tcBorders>
            <w:vAlign w:val="center"/>
            <w:hideMark/>
          </w:tcPr>
          <w:p w14:paraId="455FC309"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4</w:t>
            </w:r>
          </w:p>
        </w:tc>
        <w:tc>
          <w:tcPr>
            <w:tcW w:w="540" w:type="pct"/>
            <w:tcBorders>
              <w:top w:val="nil"/>
              <w:left w:val="nil"/>
              <w:bottom w:val="single" w:sz="4" w:space="0" w:color="auto"/>
              <w:right w:val="nil"/>
            </w:tcBorders>
            <w:vAlign w:val="center"/>
            <w:hideMark/>
          </w:tcPr>
          <w:p w14:paraId="05C9FE0D" w14:textId="77777777" w:rsidR="0050710A" w:rsidRPr="00274557" w:rsidRDefault="0050710A" w:rsidP="009E2700">
            <w:pPr>
              <w:spacing w:line="240" w:lineRule="auto"/>
              <w:jc w:val="center"/>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5=4-3</w:t>
            </w:r>
          </w:p>
        </w:tc>
      </w:tr>
      <w:tr w:rsidR="0050710A" w:rsidRPr="00274557" w14:paraId="1FF23A96" w14:textId="77777777" w:rsidTr="009E2700">
        <w:trPr>
          <w:trHeight w:val="460"/>
        </w:trPr>
        <w:tc>
          <w:tcPr>
            <w:tcW w:w="2299" w:type="pct"/>
            <w:tcBorders>
              <w:top w:val="single" w:sz="4" w:space="0" w:color="auto"/>
              <w:left w:val="nil"/>
              <w:bottom w:val="nil"/>
              <w:right w:val="nil"/>
            </w:tcBorders>
            <w:vAlign w:val="center"/>
            <w:hideMark/>
          </w:tcPr>
          <w:p w14:paraId="47889076" w14:textId="77777777" w:rsidR="0050710A" w:rsidRPr="00274557" w:rsidRDefault="0050710A" w:rsidP="009E2700">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Nekonsolidované príjmy z dividend a odvodov zo zisku</w:t>
            </w:r>
          </w:p>
        </w:tc>
        <w:tc>
          <w:tcPr>
            <w:tcW w:w="540" w:type="pct"/>
            <w:tcBorders>
              <w:top w:val="single" w:sz="4" w:space="0" w:color="auto"/>
              <w:left w:val="nil"/>
              <w:bottom w:val="nil"/>
              <w:right w:val="nil"/>
            </w:tcBorders>
            <w:vAlign w:val="center"/>
            <w:hideMark/>
          </w:tcPr>
          <w:p w14:paraId="5D1ADD80"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374 609</w:t>
            </w:r>
          </w:p>
        </w:tc>
        <w:tc>
          <w:tcPr>
            <w:tcW w:w="540" w:type="pct"/>
            <w:tcBorders>
              <w:top w:val="single" w:sz="4" w:space="0" w:color="auto"/>
              <w:left w:val="nil"/>
              <w:bottom w:val="nil"/>
              <w:right w:val="nil"/>
            </w:tcBorders>
            <w:vAlign w:val="center"/>
            <w:hideMark/>
          </w:tcPr>
          <w:p w14:paraId="6AB06126"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551 876</w:t>
            </w:r>
          </w:p>
        </w:tc>
        <w:tc>
          <w:tcPr>
            <w:tcW w:w="540" w:type="pct"/>
            <w:tcBorders>
              <w:top w:val="single" w:sz="4" w:space="0" w:color="auto"/>
              <w:left w:val="nil"/>
              <w:bottom w:val="nil"/>
              <w:right w:val="nil"/>
            </w:tcBorders>
            <w:vAlign w:val="center"/>
            <w:hideMark/>
          </w:tcPr>
          <w:p w14:paraId="0B8BCCFE" w14:textId="77777777" w:rsidR="0050710A" w:rsidRPr="004E139A" w:rsidRDefault="0050710A" w:rsidP="009E2700">
            <w:pPr>
              <w:spacing w:line="240" w:lineRule="auto"/>
              <w:jc w:val="right"/>
              <w:rPr>
                <w:rFonts w:eastAsia="Times New Roman" w:cs="Times New Roman"/>
                <w:b/>
                <w:bCs/>
                <w:color w:val="FF0000"/>
                <w:sz w:val="18"/>
                <w:szCs w:val="18"/>
                <w:lang w:eastAsia="sk-SK"/>
              </w:rPr>
            </w:pPr>
            <w:r w:rsidRPr="00494799">
              <w:rPr>
                <w:rFonts w:eastAsia="Times New Roman" w:cs="Times New Roman"/>
                <w:b/>
                <w:bCs/>
                <w:sz w:val="18"/>
                <w:szCs w:val="18"/>
                <w:lang w:eastAsia="sk-SK"/>
              </w:rPr>
              <w:t>531 169</w:t>
            </w:r>
          </w:p>
        </w:tc>
        <w:tc>
          <w:tcPr>
            <w:tcW w:w="540" w:type="pct"/>
            <w:tcBorders>
              <w:top w:val="single" w:sz="4" w:space="0" w:color="auto"/>
              <w:left w:val="nil"/>
              <w:bottom w:val="nil"/>
              <w:right w:val="nil"/>
            </w:tcBorders>
            <w:vAlign w:val="center"/>
            <w:hideMark/>
          </w:tcPr>
          <w:p w14:paraId="0D43EC1E" w14:textId="77777777" w:rsidR="0050710A" w:rsidRPr="00F72F34" w:rsidRDefault="0050710A" w:rsidP="009E2700">
            <w:pPr>
              <w:spacing w:line="240" w:lineRule="auto"/>
              <w:jc w:val="right"/>
              <w:rPr>
                <w:rFonts w:eastAsia="Times New Roman" w:cs="Times New Roman"/>
                <w:b/>
                <w:bCs/>
                <w:sz w:val="18"/>
                <w:szCs w:val="18"/>
                <w:lang w:eastAsia="sk-SK"/>
              </w:rPr>
            </w:pPr>
            <w:r w:rsidRPr="00F72F34">
              <w:rPr>
                <w:rFonts w:eastAsia="Times New Roman" w:cs="Times New Roman"/>
                <w:b/>
                <w:bCs/>
                <w:sz w:val="18"/>
                <w:szCs w:val="18"/>
                <w:lang w:eastAsia="sk-SK"/>
              </w:rPr>
              <w:t>798 542</w:t>
            </w:r>
          </w:p>
        </w:tc>
        <w:tc>
          <w:tcPr>
            <w:tcW w:w="540" w:type="pct"/>
            <w:tcBorders>
              <w:top w:val="single" w:sz="4" w:space="0" w:color="auto"/>
              <w:left w:val="nil"/>
              <w:bottom w:val="nil"/>
              <w:right w:val="nil"/>
            </w:tcBorders>
            <w:vAlign w:val="center"/>
            <w:hideMark/>
          </w:tcPr>
          <w:p w14:paraId="01C5E516"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267</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373</w:t>
            </w:r>
          </w:p>
        </w:tc>
      </w:tr>
      <w:tr w:rsidR="0050710A" w:rsidRPr="00274557" w14:paraId="7FF2E5E7" w14:textId="77777777" w:rsidTr="009E2700">
        <w:trPr>
          <w:trHeight w:val="290"/>
        </w:trPr>
        <w:tc>
          <w:tcPr>
            <w:tcW w:w="2299" w:type="pct"/>
            <w:tcBorders>
              <w:top w:val="nil"/>
              <w:left w:val="nil"/>
              <w:right w:val="nil"/>
            </w:tcBorders>
            <w:vAlign w:val="center"/>
            <w:hideMark/>
          </w:tcPr>
          <w:p w14:paraId="2ABE4BD0" w14:textId="77777777" w:rsidR="0050710A" w:rsidRPr="00274557" w:rsidRDefault="0050710A" w:rsidP="009E2700">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right w:val="nil"/>
            </w:tcBorders>
            <w:vAlign w:val="center"/>
            <w:hideMark/>
          </w:tcPr>
          <w:p w14:paraId="616F2155"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349 038</w:t>
            </w:r>
          </w:p>
        </w:tc>
        <w:tc>
          <w:tcPr>
            <w:tcW w:w="540" w:type="pct"/>
            <w:tcBorders>
              <w:top w:val="nil"/>
              <w:left w:val="nil"/>
              <w:right w:val="nil"/>
            </w:tcBorders>
            <w:vAlign w:val="center"/>
            <w:hideMark/>
          </w:tcPr>
          <w:p w14:paraId="7F5EB19C"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398 455</w:t>
            </w:r>
          </w:p>
        </w:tc>
        <w:tc>
          <w:tcPr>
            <w:tcW w:w="540" w:type="pct"/>
            <w:tcBorders>
              <w:top w:val="nil"/>
              <w:left w:val="nil"/>
              <w:right w:val="nil"/>
            </w:tcBorders>
            <w:vAlign w:val="center"/>
            <w:hideMark/>
          </w:tcPr>
          <w:p w14:paraId="6ED0B7E9" w14:textId="77777777" w:rsidR="0050710A" w:rsidRPr="0000763C" w:rsidRDefault="0050710A" w:rsidP="009E2700">
            <w:pPr>
              <w:spacing w:line="240" w:lineRule="auto"/>
              <w:jc w:val="right"/>
              <w:rPr>
                <w:rFonts w:eastAsia="Times New Roman" w:cs="Times New Roman"/>
                <w:i/>
                <w:iCs/>
                <w:sz w:val="18"/>
                <w:szCs w:val="18"/>
                <w:lang w:eastAsia="sk-SK"/>
              </w:rPr>
            </w:pPr>
            <w:r w:rsidRPr="0000763C">
              <w:rPr>
                <w:rFonts w:eastAsia="Times New Roman" w:cs="Times New Roman"/>
                <w:i/>
                <w:iCs/>
                <w:sz w:val="18"/>
                <w:szCs w:val="18"/>
                <w:lang w:eastAsia="sk-SK"/>
              </w:rPr>
              <w:t>436 226</w:t>
            </w:r>
          </w:p>
        </w:tc>
        <w:tc>
          <w:tcPr>
            <w:tcW w:w="540" w:type="pct"/>
            <w:tcBorders>
              <w:top w:val="nil"/>
              <w:left w:val="nil"/>
              <w:right w:val="nil"/>
            </w:tcBorders>
            <w:vAlign w:val="center"/>
            <w:hideMark/>
          </w:tcPr>
          <w:p w14:paraId="582C6ACA" w14:textId="77777777" w:rsidR="0050710A" w:rsidRPr="00F72F34" w:rsidRDefault="0050710A" w:rsidP="009E2700">
            <w:pPr>
              <w:spacing w:line="240" w:lineRule="auto"/>
              <w:jc w:val="right"/>
              <w:rPr>
                <w:rFonts w:eastAsia="Times New Roman" w:cs="Times New Roman"/>
                <w:i/>
                <w:iCs/>
                <w:sz w:val="18"/>
                <w:szCs w:val="18"/>
                <w:lang w:eastAsia="sk-SK"/>
              </w:rPr>
            </w:pPr>
            <w:r w:rsidRPr="00F72F34">
              <w:rPr>
                <w:rFonts w:eastAsia="Times New Roman" w:cs="Times New Roman"/>
                <w:i/>
                <w:iCs/>
                <w:sz w:val="18"/>
                <w:szCs w:val="18"/>
                <w:lang w:eastAsia="sk-SK"/>
              </w:rPr>
              <w:t>707 551</w:t>
            </w:r>
          </w:p>
        </w:tc>
        <w:tc>
          <w:tcPr>
            <w:tcW w:w="540" w:type="pct"/>
            <w:tcBorders>
              <w:top w:val="nil"/>
              <w:left w:val="nil"/>
              <w:right w:val="nil"/>
            </w:tcBorders>
            <w:vAlign w:val="center"/>
            <w:hideMark/>
          </w:tcPr>
          <w:p w14:paraId="3B09BF0B"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271</w:t>
            </w:r>
            <w:r w:rsidRPr="00274557">
              <w:rPr>
                <w:rFonts w:eastAsia="Times New Roman" w:cs="Times New Roman"/>
                <w:i/>
                <w:iCs/>
                <w:color w:val="000000"/>
                <w:sz w:val="18"/>
                <w:szCs w:val="18"/>
                <w:lang w:eastAsia="sk-SK"/>
              </w:rPr>
              <w:t xml:space="preserve"> </w:t>
            </w:r>
            <w:r>
              <w:rPr>
                <w:rFonts w:eastAsia="Times New Roman" w:cs="Times New Roman"/>
                <w:i/>
                <w:iCs/>
                <w:color w:val="000000"/>
                <w:sz w:val="18"/>
                <w:szCs w:val="18"/>
                <w:lang w:eastAsia="sk-SK"/>
              </w:rPr>
              <w:t>325</w:t>
            </w:r>
          </w:p>
        </w:tc>
      </w:tr>
      <w:tr w:rsidR="0050710A" w:rsidRPr="00274557" w14:paraId="4BC5C7B7" w14:textId="77777777" w:rsidTr="00105F74">
        <w:trPr>
          <w:trHeight w:val="171"/>
        </w:trPr>
        <w:tc>
          <w:tcPr>
            <w:tcW w:w="2299" w:type="pct"/>
            <w:tcBorders>
              <w:top w:val="nil"/>
              <w:left w:val="nil"/>
              <w:bottom w:val="single" w:sz="4" w:space="0" w:color="auto"/>
              <w:right w:val="nil"/>
            </w:tcBorders>
            <w:vAlign w:val="center"/>
            <w:hideMark/>
          </w:tcPr>
          <w:p w14:paraId="246AD81D" w14:textId="77777777" w:rsidR="0050710A" w:rsidRPr="00274557" w:rsidRDefault="0050710A" w:rsidP="009E2700">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single" w:sz="4" w:space="0" w:color="auto"/>
              <w:right w:val="nil"/>
            </w:tcBorders>
            <w:vAlign w:val="center"/>
            <w:hideMark/>
          </w:tcPr>
          <w:p w14:paraId="31F19A7E"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25 571</w:t>
            </w:r>
          </w:p>
        </w:tc>
        <w:tc>
          <w:tcPr>
            <w:tcW w:w="540" w:type="pct"/>
            <w:tcBorders>
              <w:top w:val="nil"/>
              <w:left w:val="nil"/>
              <w:bottom w:val="single" w:sz="4" w:space="0" w:color="auto"/>
              <w:right w:val="nil"/>
            </w:tcBorders>
            <w:vAlign w:val="center"/>
            <w:hideMark/>
          </w:tcPr>
          <w:p w14:paraId="1CC091F7"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153 421</w:t>
            </w:r>
          </w:p>
        </w:tc>
        <w:tc>
          <w:tcPr>
            <w:tcW w:w="540" w:type="pct"/>
            <w:tcBorders>
              <w:top w:val="nil"/>
              <w:left w:val="nil"/>
              <w:bottom w:val="single" w:sz="4" w:space="0" w:color="auto"/>
              <w:right w:val="nil"/>
            </w:tcBorders>
            <w:vAlign w:val="center"/>
            <w:hideMark/>
          </w:tcPr>
          <w:p w14:paraId="22AC816E" w14:textId="77777777" w:rsidR="0050710A" w:rsidRPr="004E139A" w:rsidRDefault="0050710A" w:rsidP="009E2700">
            <w:pPr>
              <w:spacing w:line="240" w:lineRule="auto"/>
              <w:jc w:val="right"/>
              <w:rPr>
                <w:rFonts w:eastAsia="Times New Roman" w:cs="Times New Roman"/>
                <w:i/>
                <w:iCs/>
                <w:color w:val="FF0000"/>
                <w:sz w:val="18"/>
                <w:szCs w:val="18"/>
                <w:lang w:eastAsia="sk-SK"/>
              </w:rPr>
            </w:pPr>
            <w:r w:rsidRPr="0000763C">
              <w:rPr>
                <w:rFonts w:eastAsia="Times New Roman" w:cs="Times New Roman"/>
                <w:i/>
                <w:iCs/>
                <w:sz w:val="18"/>
                <w:szCs w:val="18"/>
                <w:lang w:eastAsia="sk-SK"/>
              </w:rPr>
              <w:t>94 943</w:t>
            </w:r>
          </w:p>
        </w:tc>
        <w:tc>
          <w:tcPr>
            <w:tcW w:w="540" w:type="pct"/>
            <w:tcBorders>
              <w:top w:val="nil"/>
              <w:left w:val="nil"/>
              <w:bottom w:val="single" w:sz="4" w:space="0" w:color="auto"/>
              <w:right w:val="nil"/>
            </w:tcBorders>
            <w:vAlign w:val="center"/>
            <w:hideMark/>
          </w:tcPr>
          <w:p w14:paraId="4EEE247D" w14:textId="77777777" w:rsidR="0050710A" w:rsidRPr="00F72F34" w:rsidRDefault="0050710A" w:rsidP="009E2700">
            <w:pPr>
              <w:spacing w:line="240" w:lineRule="auto"/>
              <w:jc w:val="right"/>
              <w:rPr>
                <w:rFonts w:eastAsia="Times New Roman" w:cs="Times New Roman"/>
                <w:i/>
                <w:iCs/>
                <w:sz w:val="18"/>
                <w:szCs w:val="18"/>
                <w:lang w:eastAsia="sk-SK"/>
              </w:rPr>
            </w:pPr>
            <w:r w:rsidRPr="00F72F34">
              <w:rPr>
                <w:rFonts w:eastAsia="Times New Roman" w:cs="Times New Roman"/>
                <w:i/>
                <w:iCs/>
                <w:sz w:val="18"/>
                <w:szCs w:val="18"/>
                <w:lang w:eastAsia="sk-SK"/>
              </w:rPr>
              <w:t>90 991</w:t>
            </w:r>
          </w:p>
        </w:tc>
        <w:tc>
          <w:tcPr>
            <w:tcW w:w="540" w:type="pct"/>
            <w:tcBorders>
              <w:top w:val="nil"/>
              <w:left w:val="nil"/>
              <w:bottom w:val="single" w:sz="4" w:space="0" w:color="auto"/>
              <w:right w:val="nil"/>
            </w:tcBorders>
            <w:vAlign w:val="center"/>
            <w:hideMark/>
          </w:tcPr>
          <w:p w14:paraId="20FAACD9"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w:t>
            </w:r>
            <w:r>
              <w:rPr>
                <w:rFonts w:eastAsia="Times New Roman" w:cs="Times New Roman"/>
                <w:i/>
                <w:iCs/>
                <w:color w:val="000000"/>
                <w:sz w:val="18"/>
                <w:szCs w:val="18"/>
                <w:lang w:eastAsia="sk-SK"/>
              </w:rPr>
              <w:t>3</w:t>
            </w:r>
            <w:r w:rsidRPr="00274557">
              <w:rPr>
                <w:rFonts w:eastAsia="Times New Roman" w:cs="Times New Roman"/>
                <w:i/>
                <w:iCs/>
                <w:color w:val="000000"/>
                <w:sz w:val="18"/>
                <w:szCs w:val="18"/>
                <w:lang w:eastAsia="sk-SK"/>
              </w:rPr>
              <w:t xml:space="preserve"> </w:t>
            </w:r>
            <w:r>
              <w:rPr>
                <w:rFonts w:eastAsia="Times New Roman" w:cs="Times New Roman"/>
                <w:i/>
                <w:iCs/>
                <w:color w:val="000000"/>
                <w:sz w:val="18"/>
                <w:szCs w:val="18"/>
                <w:lang w:eastAsia="sk-SK"/>
              </w:rPr>
              <w:t>952</w:t>
            </w:r>
          </w:p>
        </w:tc>
      </w:tr>
      <w:tr w:rsidR="0050710A" w:rsidRPr="00274557" w14:paraId="44BB0610" w14:textId="77777777" w:rsidTr="009E2700">
        <w:trPr>
          <w:trHeight w:val="460"/>
        </w:trPr>
        <w:tc>
          <w:tcPr>
            <w:tcW w:w="2299" w:type="pct"/>
            <w:tcBorders>
              <w:top w:val="single" w:sz="4" w:space="0" w:color="auto"/>
              <w:left w:val="nil"/>
              <w:bottom w:val="nil"/>
              <w:right w:val="nil"/>
            </w:tcBorders>
            <w:vAlign w:val="center"/>
            <w:hideMark/>
          </w:tcPr>
          <w:p w14:paraId="7D8B8ADF" w14:textId="77777777" w:rsidR="0050710A" w:rsidRPr="00274557" w:rsidRDefault="0050710A" w:rsidP="009E2700">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Konsolidované príjmy z dividend a odvodov zo zisku</w:t>
            </w:r>
          </w:p>
        </w:tc>
        <w:tc>
          <w:tcPr>
            <w:tcW w:w="540" w:type="pct"/>
            <w:tcBorders>
              <w:top w:val="single" w:sz="4" w:space="0" w:color="auto"/>
              <w:left w:val="nil"/>
              <w:bottom w:val="nil"/>
              <w:right w:val="nil"/>
            </w:tcBorders>
            <w:vAlign w:val="center"/>
            <w:hideMark/>
          </w:tcPr>
          <w:p w14:paraId="6D5B9395"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370 595</w:t>
            </w:r>
          </w:p>
        </w:tc>
        <w:tc>
          <w:tcPr>
            <w:tcW w:w="540" w:type="pct"/>
            <w:tcBorders>
              <w:top w:val="single" w:sz="4" w:space="0" w:color="auto"/>
              <w:left w:val="nil"/>
              <w:bottom w:val="nil"/>
              <w:right w:val="nil"/>
            </w:tcBorders>
            <w:vAlign w:val="center"/>
            <w:hideMark/>
          </w:tcPr>
          <w:p w14:paraId="6D399DA8"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546 581</w:t>
            </w:r>
          </w:p>
        </w:tc>
        <w:tc>
          <w:tcPr>
            <w:tcW w:w="540" w:type="pct"/>
            <w:tcBorders>
              <w:top w:val="single" w:sz="4" w:space="0" w:color="auto"/>
              <w:left w:val="nil"/>
              <w:bottom w:val="nil"/>
              <w:right w:val="nil"/>
            </w:tcBorders>
            <w:vAlign w:val="center"/>
            <w:hideMark/>
          </w:tcPr>
          <w:p w14:paraId="566230D6" w14:textId="77777777" w:rsidR="0050710A" w:rsidRPr="007B6F81" w:rsidRDefault="0050710A" w:rsidP="009E2700">
            <w:pPr>
              <w:spacing w:line="240" w:lineRule="auto"/>
              <w:jc w:val="right"/>
              <w:rPr>
                <w:rFonts w:eastAsia="Times New Roman" w:cs="Times New Roman"/>
                <w:b/>
                <w:bCs/>
                <w:sz w:val="18"/>
                <w:szCs w:val="18"/>
                <w:lang w:eastAsia="sk-SK"/>
              </w:rPr>
            </w:pPr>
            <w:r w:rsidRPr="007B6F81">
              <w:rPr>
                <w:rFonts w:eastAsia="Times New Roman" w:cs="Times New Roman"/>
                <w:b/>
                <w:bCs/>
                <w:sz w:val="18"/>
                <w:szCs w:val="18"/>
                <w:lang w:eastAsia="sk-SK"/>
              </w:rPr>
              <w:t>524 278</w:t>
            </w:r>
          </w:p>
        </w:tc>
        <w:tc>
          <w:tcPr>
            <w:tcW w:w="540" w:type="pct"/>
            <w:tcBorders>
              <w:top w:val="single" w:sz="4" w:space="0" w:color="auto"/>
              <w:left w:val="nil"/>
              <w:bottom w:val="nil"/>
              <w:right w:val="nil"/>
            </w:tcBorders>
            <w:vAlign w:val="center"/>
            <w:hideMark/>
          </w:tcPr>
          <w:p w14:paraId="0FF876DC" w14:textId="77777777" w:rsidR="0050710A" w:rsidRPr="006847AD" w:rsidRDefault="0050710A" w:rsidP="009E2700">
            <w:pPr>
              <w:spacing w:line="240" w:lineRule="auto"/>
              <w:jc w:val="right"/>
              <w:rPr>
                <w:rFonts w:eastAsia="Times New Roman" w:cs="Times New Roman"/>
                <w:b/>
                <w:bCs/>
                <w:sz w:val="18"/>
                <w:szCs w:val="18"/>
                <w:lang w:eastAsia="sk-SK"/>
              </w:rPr>
            </w:pPr>
            <w:r w:rsidRPr="006847AD">
              <w:rPr>
                <w:rFonts w:eastAsia="Times New Roman" w:cs="Times New Roman"/>
                <w:b/>
                <w:bCs/>
                <w:sz w:val="18"/>
                <w:szCs w:val="18"/>
                <w:lang w:eastAsia="sk-SK"/>
              </w:rPr>
              <w:t>785 461</w:t>
            </w:r>
          </w:p>
        </w:tc>
        <w:tc>
          <w:tcPr>
            <w:tcW w:w="540" w:type="pct"/>
            <w:tcBorders>
              <w:top w:val="single" w:sz="4" w:space="0" w:color="auto"/>
              <w:left w:val="nil"/>
              <w:bottom w:val="nil"/>
              <w:right w:val="nil"/>
            </w:tcBorders>
            <w:vAlign w:val="center"/>
            <w:hideMark/>
          </w:tcPr>
          <w:p w14:paraId="49F485BA"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261</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183</w:t>
            </w:r>
          </w:p>
        </w:tc>
      </w:tr>
      <w:tr w:rsidR="0050710A" w:rsidRPr="00274557" w14:paraId="3971417B" w14:textId="77777777" w:rsidTr="009E2700">
        <w:trPr>
          <w:trHeight w:val="290"/>
        </w:trPr>
        <w:tc>
          <w:tcPr>
            <w:tcW w:w="2299" w:type="pct"/>
            <w:tcBorders>
              <w:top w:val="nil"/>
              <w:left w:val="nil"/>
              <w:right w:val="nil"/>
            </w:tcBorders>
            <w:vAlign w:val="center"/>
            <w:hideMark/>
          </w:tcPr>
          <w:p w14:paraId="55E47751" w14:textId="77777777" w:rsidR="0050710A" w:rsidRPr="00274557" w:rsidRDefault="0050710A" w:rsidP="009E2700">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right w:val="nil"/>
            </w:tcBorders>
            <w:vAlign w:val="center"/>
            <w:hideMark/>
          </w:tcPr>
          <w:p w14:paraId="38C240A8"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345 024</w:t>
            </w:r>
          </w:p>
        </w:tc>
        <w:tc>
          <w:tcPr>
            <w:tcW w:w="540" w:type="pct"/>
            <w:tcBorders>
              <w:top w:val="nil"/>
              <w:left w:val="nil"/>
              <w:right w:val="nil"/>
            </w:tcBorders>
            <w:vAlign w:val="center"/>
            <w:hideMark/>
          </w:tcPr>
          <w:p w14:paraId="0F374BE5"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393 170</w:t>
            </w:r>
          </w:p>
        </w:tc>
        <w:tc>
          <w:tcPr>
            <w:tcW w:w="540" w:type="pct"/>
            <w:tcBorders>
              <w:top w:val="nil"/>
              <w:left w:val="nil"/>
              <w:right w:val="nil"/>
            </w:tcBorders>
            <w:vAlign w:val="center"/>
            <w:hideMark/>
          </w:tcPr>
          <w:p w14:paraId="57674205" w14:textId="77777777" w:rsidR="0050710A" w:rsidRPr="004E139A" w:rsidRDefault="0050710A" w:rsidP="009E2700">
            <w:pPr>
              <w:spacing w:line="240" w:lineRule="auto"/>
              <w:jc w:val="right"/>
              <w:rPr>
                <w:rFonts w:eastAsia="Times New Roman" w:cs="Times New Roman"/>
                <w:i/>
                <w:iCs/>
                <w:color w:val="FF0000"/>
                <w:sz w:val="18"/>
                <w:szCs w:val="18"/>
                <w:lang w:eastAsia="sk-SK"/>
              </w:rPr>
            </w:pPr>
            <w:r w:rsidRPr="007B6F81">
              <w:rPr>
                <w:rFonts w:eastAsia="Times New Roman" w:cs="Times New Roman"/>
                <w:i/>
                <w:iCs/>
                <w:sz w:val="18"/>
                <w:szCs w:val="18"/>
                <w:lang w:eastAsia="sk-SK"/>
              </w:rPr>
              <w:t>429 335</w:t>
            </w:r>
          </w:p>
        </w:tc>
        <w:tc>
          <w:tcPr>
            <w:tcW w:w="540" w:type="pct"/>
            <w:tcBorders>
              <w:top w:val="nil"/>
              <w:left w:val="nil"/>
              <w:right w:val="nil"/>
            </w:tcBorders>
            <w:vAlign w:val="center"/>
            <w:hideMark/>
          </w:tcPr>
          <w:p w14:paraId="2F5C8BA4" w14:textId="77777777" w:rsidR="0050710A" w:rsidRPr="006847AD" w:rsidRDefault="0050710A" w:rsidP="009E2700">
            <w:pPr>
              <w:spacing w:line="240" w:lineRule="auto"/>
              <w:jc w:val="right"/>
              <w:rPr>
                <w:rFonts w:eastAsia="Times New Roman" w:cs="Times New Roman"/>
                <w:i/>
                <w:iCs/>
                <w:sz w:val="18"/>
                <w:szCs w:val="18"/>
                <w:lang w:eastAsia="sk-SK"/>
              </w:rPr>
            </w:pPr>
            <w:r w:rsidRPr="006847AD">
              <w:rPr>
                <w:rFonts w:eastAsia="Times New Roman" w:cs="Times New Roman"/>
                <w:i/>
                <w:iCs/>
                <w:sz w:val="18"/>
                <w:szCs w:val="18"/>
                <w:lang w:eastAsia="sk-SK"/>
              </w:rPr>
              <w:t>694 47</w:t>
            </w:r>
            <w:r>
              <w:rPr>
                <w:rFonts w:eastAsia="Times New Roman" w:cs="Times New Roman"/>
                <w:i/>
                <w:iCs/>
                <w:sz w:val="18"/>
                <w:szCs w:val="18"/>
                <w:lang w:eastAsia="sk-SK"/>
              </w:rPr>
              <w:t>7</w:t>
            </w:r>
          </w:p>
        </w:tc>
        <w:tc>
          <w:tcPr>
            <w:tcW w:w="540" w:type="pct"/>
            <w:tcBorders>
              <w:top w:val="nil"/>
              <w:left w:val="nil"/>
              <w:right w:val="nil"/>
            </w:tcBorders>
            <w:vAlign w:val="center"/>
            <w:hideMark/>
          </w:tcPr>
          <w:p w14:paraId="0C65D38B"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265</w:t>
            </w:r>
            <w:r w:rsidRPr="00274557">
              <w:rPr>
                <w:rFonts w:eastAsia="Times New Roman" w:cs="Times New Roman"/>
                <w:i/>
                <w:iCs/>
                <w:color w:val="000000"/>
                <w:sz w:val="18"/>
                <w:szCs w:val="18"/>
                <w:lang w:eastAsia="sk-SK"/>
              </w:rPr>
              <w:t xml:space="preserve"> </w:t>
            </w:r>
            <w:r>
              <w:rPr>
                <w:rFonts w:eastAsia="Times New Roman" w:cs="Times New Roman"/>
                <w:i/>
                <w:iCs/>
                <w:color w:val="000000"/>
                <w:sz w:val="18"/>
                <w:szCs w:val="18"/>
                <w:lang w:eastAsia="sk-SK"/>
              </w:rPr>
              <w:t>142</w:t>
            </w:r>
          </w:p>
        </w:tc>
      </w:tr>
      <w:tr w:rsidR="0050710A" w:rsidRPr="00274557" w14:paraId="23E48A9F" w14:textId="77777777" w:rsidTr="00105F74">
        <w:trPr>
          <w:trHeight w:val="199"/>
        </w:trPr>
        <w:tc>
          <w:tcPr>
            <w:tcW w:w="2299" w:type="pct"/>
            <w:tcBorders>
              <w:top w:val="nil"/>
              <w:left w:val="nil"/>
              <w:bottom w:val="single" w:sz="4" w:space="0" w:color="auto"/>
              <w:right w:val="nil"/>
            </w:tcBorders>
            <w:vAlign w:val="center"/>
            <w:hideMark/>
          </w:tcPr>
          <w:p w14:paraId="48E9D82F" w14:textId="77777777" w:rsidR="0050710A" w:rsidRPr="00274557" w:rsidRDefault="0050710A" w:rsidP="009E2700">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single" w:sz="4" w:space="0" w:color="auto"/>
              <w:right w:val="nil"/>
            </w:tcBorders>
            <w:vAlign w:val="center"/>
            <w:hideMark/>
          </w:tcPr>
          <w:p w14:paraId="4E176E5F"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25 571</w:t>
            </w:r>
          </w:p>
        </w:tc>
        <w:tc>
          <w:tcPr>
            <w:tcW w:w="540" w:type="pct"/>
            <w:tcBorders>
              <w:top w:val="nil"/>
              <w:left w:val="nil"/>
              <w:bottom w:val="single" w:sz="4" w:space="0" w:color="auto"/>
              <w:right w:val="nil"/>
            </w:tcBorders>
            <w:vAlign w:val="center"/>
            <w:hideMark/>
          </w:tcPr>
          <w:p w14:paraId="73F2108B"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153 411</w:t>
            </w:r>
          </w:p>
        </w:tc>
        <w:tc>
          <w:tcPr>
            <w:tcW w:w="540" w:type="pct"/>
            <w:tcBorders>
              <w:top w:val="nil"/>
              <w:left w:val="nil"/>
              <w:bottom w:val="single" w:sz="4" w:space="0" w:color="auto"/>
              <w:right w:val="nil"/>
            </w:tcBorders>
            <w:vAlign w:val="center"/>
            <w:hideMark/>
          </w:tcPr>
          <w:p w14:paraId="2871A320" w14:textId="77777777" w:rsidR="0050710A" w:rsidRPr="004E139A" w:rsidRDefault="0050710A" w:rsidP="009E2700">
            <w:pPr>
              <w:spacing w:line="240" w:lineRule="auto"/>
              <w:jc w:val="right"/>
              <w:rPr>
                <w:rFonts w:eastAsia="Times New Roman" w:cs="Times New Roman"/>
                <w:i/>
                <w:iCs/>
                <w:color w:val="FF0000"/>
                <w:sz w:val="18"/>
                <w:szCs w:val="18"/>
                <w:lang w:eastAsia="sk-SK"/>
              </w:rPr>
            </w:pPr>
            <w:r w:rsidRPr="007B6F81">
              <w:rPr>
                <w:rFonts w:eastAsia="Times New Roman" w:cs="Times New Roman"/>
                <w:i/>
                <w:iCs/>
                <w:sz w:val="18"/>
                <w:szCs w:val="18"/>
                <w:lang w:eastAsia="sk-SK"/>
              </w:rPr>
              <w:t>94 943</w:t>
            </w:r>
          </w:p>
        </w:tc>
        <w:tc>
          <w:tcPr>
            <w:tcW w:w="540" w:type="pct"/>
            <w:tcBorders>
              <w:top w:val="nil"/>
              <w:left w:val="nil"/>
              <w:bottom w:val="single" w:sz="4" w:space="0" w:color="auto"/>
              <w:right w:val="nil"/>
            </w:tcBorders>
            <w:vAlign w:val="center"/>
            <w:hideMark/>
          </w:tcPr>
          <w:p w14:paraId="2A8BDB91" w14:textId="77777777" w:rsidR="0050710A" w:rsidRPr="006847AD" w:rsidRDefault="0050710A" w:rsidP="009E2700">
            <w:pPr>
              <w:spacing w:line="240" w:lineRule="auto"/>
              <w:jc w:val="right"/>
              <w:rPr>
                <w:rFonts w:eastAsia="Times New Roman" w:cs="Times New Roman"/>
                <w:i/>
                <w:iCs/>
                <w:sz w:val="18"/>
                <w:szCs w:val="18"/>
                <w:lang w:eastAsia="sk-SK"/>
              </w:rPr>
            </w:pPr>
            <w:r w:rsidRPr="006847AD">
              <w:rPr>
                <w:rFonts w:eastAsia="Times New Roman" w:cs="Times New Roman"/>
                <w:i/>
                <w:iCs/>
                <w:sz w:val="18"/>
                <w:szCs w:val="18"/>
                <w:lang w:eastAsia="sk-SK"/>
              </w:rPr>
              <w:t>90 98</w:t>
            </w:r>
            <w:r>
              <w:rPr>
                <w:rFonts w:eastAsia="Times New Roman" w:cs="Times New Roman"/>
                <w:i/>
                <w:iCs/>
                <w:sz w:val="18"/>
                <w:szCs w:val="18"/>
                <w:lang w:eastAsia="sk-SK"/>
              </w:rPr>
              <w:t>4</w:t>
            </w:r>
          </w:p>
        </w:tc>
        <w:tc>
          <w:tcPr>
            <w:tcW w:w="540" w:type="pct"/>
            <w:tcBorders>
              <w:top w:val="nil"/>
              <w:left w:val="nil"/>
              <w:bottom w:val="single" w:sz="4" w:space="0" w:color="auto"/>
              <w:right w:val="nil"/>
            </w:tcBorders>
            <w:vAlign w:val="center"/>
            <w:hideMark/>
          </w:tcPr>
          <w:p w14:paraId="52731474"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w:t>
            </w:r>
            <w:r>
              <w:rPr>
                <w:rFonts w:eastAsia="Times New Roman" w:cs="Times New Roman"/>
                <w:i/>
                <w:iCs/>
                <w:color w:val="000000"/>
                <w:sz w:val="18"/>
                <w:szCs w:val="18"/>
                <w:lang w:eastAsia="sk-SK"/>
              </w:rPr>
              <w:t>3</w:t>
            </w:r>
            <w:r w:rsidRPr="00274557">
              <w:rPr>
                <w:rFonts w:eastAsia="Times New Roman" w:cs="Times New Roman"/>
                <w:i/>
                <w:iCs/>
                <w:color w:val="000000"/>
                <w:sz w:val="18"/>
                <w:szCs w:val="18"/>
                <w:lang w:eastAsia="sk-SK"/>
              </w:rPr>
              <w:t xml:space="preserve"> </w:t>
            </w:r>
            <w:r>
              <w:rPr>
                <w:rFonts w:eastAsia="Times New Roman" w:cs="Times New Roman"/>
                <w:i/>
                <w:iCs/>
                <w:color w:val="000000"/>
                <w:sz w:val="18"/>
                <w:szCs w:val="18"/>
                <w:lang w:eastAsia="sk-SK"/>
              </w:rPr>
              <w:t>959</w:t>
            </w:r>
          </w:p>
        </w:tc>
      </w:tr>
      <w:tr w:rsidR="0050710A" w:rsidRPr="00274557" w14:paraId="225F0D14" w14:textId="77777777" w:rsidTr="009E2700">
        <w:trPr>
          <w:trHeight w:val="290"/>
        </w:trPr>
        <w:tc>
          <w:tcPr>
            <w:tcW w:w="2299" w:type="pct"/>
            <w:tcBorders>
              <w:top w:val="single" w:sz="4" w:space="0" w:color="auto"/>
              <w:left w:val="nil"/>
              <w:bottom w:val="nil"/>
              <w:right w:val="nil"/>
            </w:tcBorders>
            <w:vAlign w:val="center"/>
            <w:hideMark/>
          </w:tcPr>
          <w:p w14:paraId="11A6BF7F" w14:textId="77777777" w:rsidR="0050710A" w:rsidRPr="00274557" w:rsidRDefault="0050710A" w:rsidP="009E2700">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financií SR</w:t>
            </w:r>
          </w:p>
        </w:tc>
        <w:tc>
          <w:tcPr>
            <w:tcW w:w="540" w:type="pct"/>
            <w:tcBorders>
              <w:top w:val="single" w:sz="4" w:space="0" w:color="auto"/>
              <w:left w:val="nil"/>
              <w:bottom w:val="nil"/>
              <w:right w:val="nil"/>
            </w:tcBorders>
            <w:vAlign w:val="center"/>
            <w:hideMark/>
          </w:tcPr>
          <w:p w14:paraId="450D146C"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8</w:t>
            </w:r>
            <w:r w:rsidRPr="00274557">
              <w:rPr>
                <w:rFonts w:eastAsia="Times New Roman" w:cs="Times New Roman"/>
                <w:b/>
                <w:bCs/>
                <w:color w:val="000000"/>
                <w:sz w:val="18"/>
                <w:szCs w:val="18"/>
                <w:lang w:eastAsia="sk-SK"/>
              </w:rPr>
              <w:t>3 262</w:t>
            </w:r>
          </w:p>
        </w:tc>
        <w:tc>
          <w:tcPr>
            <w:tcW w:w="540" w:type="pct"/>
            <w:tcBorders>
              <w:top w:val="single" w:sz="4" w:space="0" w:color="auto"/>
              <w:left w:val="nil"/>
              <w:bottom w:val="nil"/>
              <w:right w:val="nil"/>
            </w:tcBorders>
            <w:vAlign w:val="center"/>
            <w:hideMark/>
          </w:tcPr>
          <w:p w14:paraId="21D5504C"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w:t>
            </w:r>
            <w:r w:rsidRPr="00274557">
              <w:rPr>
                <w:rFonts w:eastAsia="Times New Roman" w:cs="Times New Roman"/>
                <w:b/>
                <w:bCs/>
                <w:color w:val="000000"/>
                <w:sz w:val="18"/>
                <w:szCs w:val="18"/>
                <w:lang w:eastAsia="sk-SK"/>
              </w:rPr>
              <w:t>7 974</w:t>
            </w:r>
          </w:p>
        </w:tc>
        <w:tc>
          <w:tcPr>
            <w:tcW w:w="540" w:type="pct"/>
            <w:tcBorders>
              <w:top w:val="single" w:sz="4" w:space="0" w:color="auto"/>
              <w:left w:val="nil"/>
              <w:bottom w:val="nil"/>
              <w:right w:val="nil"/>
            </w:tcBorders>
            <w:vAlign w:val="center"/>
            <w:hideMark/>
          </w:tcPr>
          <w:p w14:paraId="0F763E04"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w:t>
            </w:r>
            <w:r w:rsidRPr="00274557">
              <w:rPr>
                <w:rFonts w:eastAsia="Times New Roman" w:cs="Times New Roman"/>
                <w:b/>
                <w:bCs/>
                <w:color w:val="000000"/>
                <w:sz w:val="18"/>
                <w:szCs w:val="18"/>
                <w:lang w:eastAsia="sk-SK"/>
              </w:rPr>
              <w:t xml:space="preserve">1 </w:t>
            </w:r>
            <w:r>
              <w:rPr>
                <w:rFonts w:eastAsia="Times New Roman" w:cs="Times New Roman"/>
                <w:b/>
                <w:bCs/>
                <w:color w:val="000000"/>
                <w:sz w:val="18"/>
                <w:szCs w:val="18"/>
                <w:lang w:eastAsia="sk-SK"/>
              </w:rPr>
              <w:t>059</w:t>
            </w:r>
          </w:p>
        </w:tc>
        <w:tc>
          <w:tcPr>
            <w:tcW w:w="540" w:type="pct"/>
            <w:tcBorders>
              <w:top w:val="single" w:sz="4" w:space="0" w:color="auto"/>
              <w:left w:val="nil"/>
              <w:bottom w:val="nil"/>
              <w:right w:val="nil"/>
            </w:tcBorders>
            <w:vAlign w:val="center"/>
            <w:hideMark/>
          </w:tcPr>
          <w:p w14:paraId="4635E117"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45</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264</w:t>
            </w:r>
          </w:p>
        </w:tc>
        <w:tc>
          <w:tcPr>
            <w:tcW w:w="540" w:type="pct"/>
            <w:tcBorders>
              <w:top w:val="single" w:sz="4" w:space="0" w:color="auto"/>
              <w:left w:val="nil"/>
              <w:bottom w:val="nil"/>
              <w:right w:val="nil"/>
            </w:tcBorders>
            <w:vAlign w:val="center"/>
            <w:hideMark/>
          </w:tcPr>
          <w:p w14:paraId="1C090DB1" w14:textId="77777777" w:rsidR="0050710A" w:rsidRPr="00274557" w:rsidRDefault="0050710A" w:rsidP="009E2700">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w:t>
            </w:r>
            <w:r w:rsidRPr="00274557">
              <w:rPr>
                <w:rFonts w:eastAsia="Times New Roman" w:cs="Times New Roman"/>
                <w:b/>
                <w:bCs/>
                <w:color w:val="000000"/>
                <w:sz w:val="18"/>
                <w:szCs w:val="18"/>
                <w:lang w:eastAsia="sk-SK"/>
              </w:rPr>
              <w:t xml:space="preserve"> 2</w:t>
            </w:r>
            <w:r>
              <w:rPr>
                <w:rFonts w:eastAsia="Times New Roman" w:cs="Times New Roman"/>
                <w:b/>
                <w:bCs/>
                <w:color w:val="000000"/>
                <w:sz w:val="18"/>
                <w:szCs w:val="18"/>
                <w:lang w:eastAsia="sk-SK"/>
              </w:rPr>
              <w:t>05</w:t>
            </w:r>
          </w:p>
        </w:tc>
      </w:tr>
      <w:tr w:rsidR="0050710A" w:rsidRPr="00274557" w14:paraId="25A398BE" w14:textId="77777777" w:rsidTr="009E2700">
        <w:trPr>
          <w:trHeight w:val="290"/>
        </w:trPr>
        <w:tc>
          <w:tcPr>
            <w:tcW w:w="2299" w:type="pct"/>
            <w:tcBorders>
              <w:top w:val="nil"/>
              <w:left w:val="nil"/>
              <w:bottom w:val="nil"/>
              <w:right w:val="nil"/>
            </w:tcBorders>
            <w:vAlign w:val="center"/>
            <w:hideMark/>
          </w:tcPr>
          <w:p w14:paraId="33858093" w14:textId="77777777" w:rsidR="0050710A" w:rsidRPr="00274557" w:rsidRDefault="0050710A" w:rsidP="009E2700">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Slovenská konsolidačná, a. s.</w:t>
            </w:r>
          </w:p>
        </w:tc>
        <w:tc>
          <w:tcPr>
            <w:tcW w:w="540" w:type="pct"/>
            <w:tcBorders>
              <w:top w:val="nil"/>
              <w:left w:val="nil"/>
              <w:bottom w:val="nil"/>
              <w:right w:val="nil"/>
            </w:tcBorders>
            <w:vAlign w:val="center"/>
            <w:hideMark/>
          </w:tcPr>
          <w:p w14:paraId="23A245BF"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3 274</w:t>
            </w:r>
          </w:p>
        </w:tc>
        <w:tc>
          <w:tcPr>
            <w:tcW w:w="540" w:type="pct"/>
            <w:tcBorders>
              <w:top w:val="nil"/>
              <w:left w:val="nil"/>
              <w:bottom w:val="nil"/>
              <w:right w:val="nil"/>
            </w:tcBorders>
            <w:vAlign w:val="center"/>
            <w:hideMark/>
          </w:tcPr>
          <w:p w14:paraId="235A68A9"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1 904</w:t>
            </w:r>
          </w:p>
        </w:tc>
        <w:tc>
          <w:tcPr>
            <w:tcW w:w="540" w:type="pct"/>
            <w:tcBorders>
              <w:top w:val="nil"/>
              <w:left w:val="nil"/>
              <w:bottom w:val="nil"/>
              <w:right w:val="nil"/>
            </w:tcBorders>
            <w:vAlign w:val="center"/>
            <w:hideMark/>
          </w:tcPr>
          <w:p w14:paraId="5E6DDEAE" w14:textId="77777777" w:rsidR="0050710A" w:rsidRPr="00274557" w:rsidRDefault="0050710A" w:rsidP="009E2700">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59</w:t>
            </w:r>
          </w:p>
        </w:tc>
        <w:tc>
          <w:tcPr>
            <w:tcW w:w="540" w:type="pct"/>
            <w:tcBorders>
              <w:top w:val="nil"/>
              <w:left w:val="nil"/>
              <w:bottom w:val="nil"/>
              <w:right w:val="nil"/>
            </w:tcBorders>
            <w:vAlign w:val="center"/>
            <w:hideMark/>
          </w:tcPr>
          <w:p w14:paraId="38049766" w14:textId="77777777" w:rsidR="0050710A" w:rsidRPr="007C58E2" w:rsidRDefault="0050710A" w:rsidP="009E2700">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1 264</w:t>
            </w:r>
          </w:p>
        </w:tc>
        <w:tc>
          <w:tcPr>
            <w:tcW w:w="540" w:type="pct"/>
            <w:tcBorders>
              <w:top w:val="nil"/>
              <w:left w:val="nil"/>
              <w:bottom w:val="nil"/>
              <w:right w:val="nil"/>
            </w:tcBorders>
            <w:vAlign w:val="center"/>
            <w:hideMark/>
          </w:tcPr>
          <w:p w14:paraId="2330E3E5"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 xml:space="preserve">1 </w:t>
            </w:r>
            <w:r>
              <w:rPr>
                <w:rFonts w:eastAsia="Times New Roman" w:cs="Times New Roman"/>
                <w:color w:val="000000"/>
                <w:sz w:val="18"/>
                <w:szCs w:val="18"/>
                <w:lang w:eastAsia="sk-SK"/>
              </w:rPr>
              <w:t>205</w:t>
            </w:r>
          </w:p>
        </w:tc>
      </w:tr>
      <w:tr w:rsidR="0050710A" w:rsidRPr="00274557" w14:paraId="5FC53C0F" w14:textId="77777777" w:rsidTr="009E2700">
        <w:trPr>
          <w:trHeight w:val="290"/>
        </w:trPr>
        <w:tc>
          <w:tcPr>
            <w:tcW w:w="2299" w:type="pct"/>
            <w:tcBorders>
              <w:top w:val="nil"/>
              <w:left w:val="nil"/>
              <w:bottom w:val="nil"/>
              <w:right w:val="nil"/>
            </w:tcBorders>
            <w:vAlign w:val="center"/>
            <w:hideMark/>
          </w:tcPr>
          <w:p w14:paraId="10276E9E" w14:textId="77777777" w:rsidR="0050710A" w:rsidRPr="00274557" w:rsidRDefault="0050710A" w:rsidP="009E2700">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53CB62B6"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3 274</w:t>
            </w:r>
          </w:p>
        </w:tc>
        <w:tc>
          <w:tcPr>
            <w:tcW w:w="540" w:type="pct"/>
            <w:tcBorders>
              <w:top w:val="nil"/>
              <w:left w:val="nil"/>
              <w:bottom w:val="nil"/>
              <w:right w:val="nil"/>
            </w:tcBorders>
            <w:vAlign w:val="center"/>
            <w:hideMark/>
          </w:tcPr>
          <w:p w14:paraId="3C96CC9D"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1 904</w:t>
            </w:r>
          </w:p>
        </w:tc>
        <w:tc>
          <w:tcPr>
            <w:tcW w:w="540" w:type="pct"/>
            <w:tcBorders>
              <w:top w:val="nil"/>
              <w:left w:val="nil"/>
              <w:bottom w:val="nil"/>
              <w:right w:val="nil"/>
            </w:tcBorders>
            <w:vAlign w:val="center"/>
            <w:hideMark/>
          </w:tcPr>
          <w:p w14:paraId="00347D7A"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59</w:t>
            </w:r>
          </w:p>
        </w:tc>
        <w:tc>
          <w:tcPr>
            <w:tcW w:w="540" w:type="pct"/>
            <w:tcBorders>
              <w:top w:val="nil"/>
              <w:left w:val="nil"/>
              <w:bottom w:val="nil"/>
              <w:right w:val="nil"/>
            </w:tcBorders>
            <w:vAlign w:val="center"/>
            <w:hideMark/>
          </w:tcPr>
          <w:p w14:paraId="78BE6E02" w14:textId="77777777" w:rsidR="0050710A" w:rsidRPr="007C58E2" w:rsidRDefault="0050710A" w:rsidP="009E2700">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1 264</w:t>
            </w:r>
          </w:p>
        </w:tc>
        <w:tc>
          <w:tcPr>
            <w:tcW w:w="540" w:type="pct"/>
            <w:tcBorders>
              <w:top w:val="nil"/>
              <w:left w:val="nil"/>
              <w:bottom w:val="nil"/>
              <w:right w:val="nil"/>
            </w:tcBorders>
            <w:vAlign w:val="center"/>
            <w:hideMark/>
          </w:tcPr>
          <w:p w14:paraId="3C8F47E0" w14:textId="77777777" w:rsidR="0050710A" w:rsidRPr="00274557" w:rsidRDefault="0050710A" w:rsidP="009E2700">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1 </w:t>
            </w:r>
            <w:r>
              <w:rPr>
                <w:rFonts w:eastAsia="Times New Roman" w:cs="Times New Roman"/>
                <w:i/>
                <w:iCs/>
                <w:color w:val="000000"/>
                <w:sz w:val="18"/>
                <w:szCs w:val="18"/>
                <w:lang w:eastAsia="sk-SK"/>
              </w:rPr>
              <w:t>205</w:t>
            </w:r>
          </w:p>
        </w:tc>
      </w:tr>
      <w:tr w:rsidR="0050710A" w:rsidRPr="00274557" w14:paraId="49B01F93" w14:textId="77777777" w:rsidTr="009E2700">
        <w:trPr>
          <w:trHeight w:val="290"/>
        </w:trPr>
        <w:tc>
          <w:tcPr>
            <w:tcW w:w="2299" w:type="pct"/>
            <w:tcBorders>
              <w:top w:val="nil"/>
              <w:left w:val="nil"/>
              <w:bottom w:val="nil"/>
              <w:right w:val="nil"/>
            </w:tcBorders>
            <w:vAlign w:val="center"/>
            <w:hideMark/>
          </w:tcPr>
          <w:p w14:paraId="7D3D493E" w14:textId="77777777" w:rsidR="0050710A" w:rsidRPr="00274557" w:rsidRDefault="0050710A" w:rsidP="009E2700">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SEPS, a. s.</w:t>
            </w:r>
          </w:p>
        </w:tc>
        <w:tc>
          <w:tcPr>
            <w:tcW w:w="540" w:type="pct"/>
            <w:tcBorders>
              <w:top w:val="nil"/>
              <w:left w:val="nil"/>
              <w:bottom w:val="nil"/>
              <w:right w:val="nil"/>
            </w:tcBorders>
            <w:vAlign w:val="center"/>
            <w:hideMark/>
          </w:tcPr>
          <w:p w14:paraId="332FC29D"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79 338</w:t>
            </w:r>
          </w:p>
        </w:tc>
        <w:tc>
          <w:tcPr>
            <w:tcW w:w="540" w:type="pct"/>
            <w:tcBorders>
              <w:top w:val="nil"/>
              <w:left w:val="nil"/>
              <w:bottom w:val="nil"/>
              <w:right w:val="nil"/>
            </w:tcBorders>
            <w:vAlign w:val="center"/>
            <w:hideMark/>
          </w:tcPr>
          <w:p w14:paraId="4A49DAE0"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45 820</w:t>
            </w:r>
          </w:p>
        </w:tc>
        <w:tc>
          <w:tcPr>
            <w:tcW w:w="540" w:type="pct"/>
            <w:tcBorders>
              <w:top w:val="nil"/>
              <w:left w:val="nil"/>
              <w:bottom w:val="nil"/>
              <w:right w:val="nil"/>
            </w:tcBorders>
            <w:vAlign w:val="center"/>
            <w:hideMark/>
          </w:tcPr>
          <w:p w14:paraId="0E5E950D" w14:textId="77777777" w:rsidR="0050710A" w:rsidRPr="004E139A" w:rsidRDefault="0050710A" w:rsidP="009E2700">
            <w:pPr>
              <w:spacing w:line="240" w:lineRule="auto"/>
              <w:jc w:val="right"/>
              <w:rPr>
                <w:rFonts w:eastAsia="Times New Roman" w:cs="Times New Roman"/>
                <w:color w:val="FF0000"/>
                <w:sz w:val="18"/>
                <w:szCs w:val="18"/>
                <w:lang w:eastAsia="sk-SK"/>
              </w:rPr>
            </w:pPr>
            <w:r w:rsidRPr="004E139A">
              <w:rPr>
                <w:rFonts w:eastAsia="Times New Roman" w:cs="Times New Roman"/>
                <w:sz w:val="18"/>
                <w:szCs w:val="18"/>
                <w:lang w:eastAsia="sk-SK"/>
              </w:rPr>
              <w:t>35 750</w:t>
            </w:r>
          </w:p>
        </w:tc>
        <w:tc>
          <w:tcPr>
            <w:tcW w:w="540" w:type="pct"/>
            <w:tcBorders>
              <w:top w:val="nil"/>
              <w:left w:val="nil"/>
              <w:bottom w:val="nil"/>
              <w:right w:val="nil"/>
            </w:tcBorders>
            <w:vAlign w:val="center"/>
            <w:hideMark/>
          </w:tcPr>
          <w:p w14:paraId="5D88C6BF" w14:textId="77777777" w:rsidR="0050710A" w:rsidRPr="007C58E2" w:rsidRDefault="0050710A" w:rsidP="009E2700">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35 750</w:t>
            </w:r>
          </w:p>
        </w:tc>
        <w:tc>
          <w:tcPr>
            <w:tcW w:w="540" w:type="pct"/>
            <w:tcBorders>
              <w:top w:val="nil"/>
              <w:left w:val="nil"/>
              <w:bottom w:val="nil"/>
              <w:right w:val="nil"/>
            </w:tcBorders>
            <w:vAlign w:val="center"/>
            <w:hideMark/>
          </w:tcPr>
          <w:p w14:paraId="633D81F9"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50710A" w:rsidRPr="00274557" w14:paraId="097815BB" w14:textId="77777777" w:rsidTr="009E2700">
        <w:trPr>
          <w:trHeight w:val="290"/>
        </w:trPr>
        <w:tc>
          <w:tcPr>
            <w:tcW w:w="2299" w:type="pct"/>
            <w:tcBorders>
              <w:top w:val="nil"/>
              <w:left w:val="nil"/>
              <w:bottom w:val="nil"/>
              <w:right w:val="nil"/>
            </w:tcBorders>
            <w:vAlign w:val="center"/>
            <w:hideMark/>
          </w:tcPr>
          <w:p w14:paraId="04B81662" w14:textId="77777777" w:rsidR="0050710A" w:rsidRPr="00274557" w:rsidRDefault="0050710A" w:rsidP="009E2700">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SZRB, a. s.</w:t>
            </w:r>
          </w:p>
        </w:tc>
        <w:tc>
          <w:tcPr>
            <w:tcW w:w="540" w:type="pct"/>
            <w:tcBorders>
              <w:top w:val="nil"/>
              <w:left w:val="nil"/>
              <w:bottom w:val="nil"/>
              <w:right w:val="nil"/>
            </w:tcBorders>
            <w:vAlign w:val="center"/>
            <w:hideMark/>
          </w:tcPr>
          <w:p w14:paraId="253F681F"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400</w:t>
            </w:r>
          </w:p>
        </w:tc>
        <w:tc>
          <w:tcPr>
            <w:tcW w:w="540" w:type="pct"/>
            <w:tcBorders>
              <w:top w:val="nil"/>
              <w:left w:val="nil"/>
              <w:bottom w:val="nil"/>
              <w:right w:val="nil"/>
            </w:tcBorders>
            <w:vAlign w:val="center"/>
            <w:hideMark/>
          </w:tcPr>
          <w:p w14:paraId="0C8A41C9" w14:textId="77777777" w:rsidR="0050710A" w:rsidRPr="00274557" w:rsidRDefault="0050710A" w:rsidP="009E2700">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2F0A6B4D" w14:textId="77777777" w:rsidR="0050710A" w:rsidRPr="004E139A" w:rsidRDefault="0050710A" w:rsidP="009E2700">
            <w:pPr>
              <w:spacing w:line="240" w:lineRule="auto"/>
              <w:jc w:val="right"/>
              <w:rPr>
                <w:rFonts w:eastAsia="Times New Roman" w:cs="Times New Roman"/>
                <w:sz w:val="18"/>
                <w:szCs w:val="18"/>
                <w:lang w:eastAsia="sk-SK"/>
              </w:rPr>
            </w:pPr>
            <w:r w:rsidRPr="004E139A">
              <w:rPr>
                <w:rFonts w:eastAsia="Times New Roman" w:cs="Times New Roman"/>
                <w:sz w:val="18"/>
                <w:szCs w:val="18"/>
                <w:lang w:eastAsia="sk-SK"/>
              </w:rPr>
              <w:t>5 000</w:t>
            </w:r>
          </w:p>
        </w:tc>
        <w:tc>
          <w:tcPr>
            <w:tcW w:w="540" w:type="pct"/>
            <w:tcBorders>
              <w:top w:val="nil"/>
              <w:left w:val="nil"/>
              <w:bottom w:val="nil"/>
              <w:right w:val="nil"/>
            </w:tcBorders>
            <w:vAlign w:val="center"/>
            <w:hideMark/>
          </w:tcPr>
          <w:p w14:paraId="3DC3340D" w14:textId="77777777" w:rsidR="0050710A" w:rsidRPr="007C58E2" w:rsidRDefault="0050710A" w:rsidP="009E2700">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8 000</w:t>
            </w:r>
          </w:p>
        </w:tc>
        <w:tc>
          <w:tcPr>
            <w:tcW w:w="540" w:type="pct"/>
            <w:tcBorders>
              <w:top w:val="nil"/>
              <w:left w:val="nil"/>
              <w:bottom w:val="nil"/>
              <w:right w:val="nil"/>
            </w:tcBorders>
            <w:vAlign w:val="center"/>
            <w:hideMark/>
          </w:tcPr>
          <w:p w14:paraId="04B0B0B7" w14:textId="77777777" w:rsidR="0050710A" w:rsidRPr="00274557" w:rsidRDefault="0050710A" w:rsidP="009E2700">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w:t>
            </w:r>
            <w:r w:rsidRPr="00274557">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0</w:t>
            </w:r>
            <w:r w:rsidRPr="00274557">
              <w:rPr>
                <w:rFonts w:eastAsia="Times New Roman" w:cs="Times New Roman"/>
                <w:color w:val="000000"/>
                <w:sz w:val="18"/>
                <w:szCs w:val="18"/>
                <w:lang w:eastAsia="sk-SK"/>
              </w:rPr>
              <w:t>00</w:t>
            </w:r>
          </w:p>
        </w:tc>
      </w:tr>
      <w:tr w:rsidR="00262136" w:rsidRPr="00274557" w14:paraId="7DC5F185" w14:textId="77777777" w:rsidTr="009E2700">
        <w:trPr>
          <w:trHeight w:val="290"/>
        </w:trPr>
        <w:tc>
          <w:tcPr>
            <w:tcW w:w="2299" w:type="pct"/>
            <w:tcBorders>
              <w:top w:val="nil"/>
              <w:left w:val="nil"/>
              <w:bottom w:val="nil"/>
              <w:right w:val="nil"/>
            </w:tcBorders>
            <w:vAlign w:val="center"/>
          </w:tcPr>
          <w:p w14:paraId="392520D8" w14:textId="2C453182"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tcPr>
          <w:p w14:paraId="6069CD97" w14:textId="67940F83"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i/>
                <w:iCs/>
                <w:color w:val="000000"/>
                <w:sz w:val="18"/>
                <w:szCs w:val="18"/>
                <w:lang w:eastAsia="sk-SK"/>
              </w:rPr>
              <w:t>400</w:t>
            </w:r>
          </w:p>
        </w:tc>
        <w:tc>
          <w:tcPr>
            <w:tcW w:w="540" w:type="pct"/>
            <w:tcBorders>
              <w:top w:val="nil"/>
              <w:left w:val="nil"/>
              <w:bottom w:val="nil"/>
              <w:right w:val="nil"/>
            </w:tcBorders>
            <w:vAlign w:val="center"/>
          </w:tcPr>
          <w:p w14:paraId="560112DD" w14:textId="1EA95F2A"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tcPr>
          <w:p w14:paraId="023D8F8A" w14:textId="3D3CA300"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i/>
                <w:iCs/>
                <w:color w:val="000000"/>
                <w:sz w:val="18"/>
                <w:szCs w:val="18"/>
                <w:lang w:eastAsia="sk-SK"/>
              </w:rPr>
              <w:t>5</w:t>
            </w:r>
            <w:r w:rsidRPr="00274557">
              <w:rPr>
                <w:rFonts w:eastAsia="Times New Roman" w:cs="Times New Roman"/>
                <w:i/>
                <w:iCs/>
                <w:color w:val="000000"/>
                <w:sz w:val="18"/>
                <w:szCs w:val="18"/>
                <w:lang w:eastAsia="sk-SK"/>
              </w:rPr>
              <w:t xml:space="preserve"> </w:t>
            </w:r>
            <w:r>
              <w:rPr>
                <w:rFonts w:eastAsia="Times New Roman" w:cs="Times New Roman"/>
                <w:i/>
                <w:iCs/>
                <w:color w:val="000000"/>
                <w:sz w:val="18"/>
                <w:szCs w:val="18"/>
                <w:lang w:eastAsia="sk-SK"/>
              </w:rPr>
              <w:t>0</w:t>
            </w:r>
            <w:r w:rsidRPr="00274557">
              <w:rPr>
                <w:rFonts w:eastAsia="Times New Roman" w:cs="Times New Roman"/>
                <w:i/>
                <w:iCs/>
                <w:color w:val="000000"/>
                <w:sz w:val="18"/>
                <w:szCs w:val="18"/>
                <w:lang w:eastAsia="sk-SK"/>
              </w:rPr>
              <w:t>00</w:t>
            </w:r>
          </w:p>
        </w:tc>
        <w:tc>
          <w:tcPr>
            <w:tcW w:w="540" w:type="pct"/>
            <w:tcBorders>
              <w:top w:val="nil"/>
              <w:left w:val="nil"/>
              <w:bottom w:val="nil"/>
              <w:right w:val="nil"/>
            </w:tcBorders>
            <w:vAlign w:val="center"/>
          </w:tcPr>
          <w:p w14:paraId="0EB86027" w14:textId="1C981030" w:rsidR="00262136" w:rsidRPr="007C58E2" w:rsidRDefault="00262136" w:rsidP="00262136">
            <w:pPr>
              <w:spacing w:line="240" w:lineRule="auto"/>
              <w:jc w:val="right"/>
              <w:rPr>
                <w:rFonts w:eastAsia="Times New Roman" w:cs="Times New Roman"/>
                <w:color w:val="000000"/>
                <w:sz w:val="18"/>
                <w:szCs w:val="18"/>
                <w:lang w:eastAsia="sk-SK"/>
              </w:rPr>
            </w:pPr>
            <w:r>
              <w:rPr>
                <w:rFonts w:eastAsia="Times New Roman" w:cs="Times New Roman"/>
                <w:i/>
                <w:iCs/>
                <w:color w:val="000000"/>
                <w:sz w:val="18"/>
                <w:szCs w:val="18"/>
                <w:lang w:eastAsia="sk-SK"/>
              </w:rPr>
              <w:t>8</w:t>
            </w:r>
            <w:r w:rsidRPr="00274557">
              <w:rPr>
                <w:rFonts w:eastAsia="Times New Roman" w:cs="Times New Roman"/>
                <w:i/>
                <w:iCs/>
                <w:color w:val="000000"/>
                <w:sz w:val="18"/>
                <w:szCs w:val="18"/>
                <w:lang w:eastAsia="sk-SK"/>
              </w:rPr>
              <w:t xml:space="preserve"> </w:t>
            </w:r>
            <w:r>
              <w:rPr>
                <w:rFonts w:eastAsia="Times New Roman" w:cs="Times New Roman"/>
                <w:i/>
                <w:iCs/>
                <w:color w:val="000000"/>
                <w:sz w:val="18"/>
                <w:szCs w:val="18"/>
                <w:lang w:eastAsia="sk-SK"/>
              </w:rPr>
              <w:t>0</w:t>
            </w:r>
            <w:r w:rsidRPr="00274557">
              <w:rPr>
                <w:rFonts w:eastAsia="Times New Roman" w:cs="Times New Roman"/>
                <w:i/>
                <w:iCs/>
                <w:color w:val="000000"/>
                <w:sz w:val="18"/>
                <w:szCs w:val="18"/>
                <w:lang w:eastAsia="sk-SK"/>
              </w:rPr>
              <w:t>00</w:t>
            </w:r>
          </w:p>
        </w:tc>
        <w:tc>
          <w:tcPr>
            <w:tcW w:w="540" w:type="pct"/>
            <w:tcBorders>
              <w:top w:val="nil"/>
              <w:left w:val="nil"/>
              <w:bottom w:val="nil"/>
              <w:right w:val="nil"/>
            </w:tcBorders>
            <w:vAlign w:val="center"/>
          </w:tcPr>
          <w:p w14:paraId="524D626E" w14:textId="53A67144" w:rsidR="00262136" w:rsidRPr="00274557"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i/>
                <w:iCs/>
                <w:color w:val="000000"/>
                <w:sz w:val="18"/>
                <w:szCs w:val="18"/>
                <w:lang w:eastAsia="sk-SK"/>
              </w:rPr>
              <w:t>3 00</w:t>
            </w:r>
            <w:r>
              <w:rPr>
                <w:rFonts w:eastAsia="Times New Roman" w:cs="Times New Roman"/>
                <w:i/>
                <w:iCs/>
                <w:color w:val="000000"/>
                <w:sz w:val="18"/>
                <w:szCs w:val="18"/>
                <w:lang w:eastAsia="sk-SK"/>
              </w:rPr>
              <w:t>0</w:t>
            </w:r>
          </w:p>
        </w:tc>
      </w:tr>
      <w:tr w:rsidR="00262136" w:rsidRPr="00274557" w14:paraId="78ED1A94" w14:textId="77777777" w:rsidTr="009E2700">
        <w:trPr>
          <w:trHeight w:val="290"/>
        </w:trPr>
        <w:tc>
          <w:tcPr>
            <w:tcW w:w="2299" w:type="pct"/>
            <w:tcBorders>
              <w:top w:val="nil"/>
              <w:left w:val="nil"/>
              <w:bottom w:val="nil"/>
              <w:right w:val="nil"/>
            </w:tcBorders>
            <w:vAlign w:val="center"/>
            <w:hideMark/>
          </w:tcPr>
          <w:p w14:paraId="5EE651B7"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EXIMBANKA SR</w:t>
            </w:r>
          </w:p>
        </w:tc>
        <w:tc>
          <w:tcPr>
            <w:tcW w:w="540" w:type="pct"/>
            <w:tcBorders>
              <w:top w:val="nil"/>
              <w:left w:val="nil"/>
              <w:bottom w:val="nil"/>
              <w:right w:val="nil"/>
            </w:tcBorders>
            <w:vAlign w:val="center"/>
            <w:hideMark/>
          </w:tcPr>
          <w:p w14:paraId="44D9CED1"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250</w:t>
            </w:r>
          </w:p>
        </w:tc>
        <w:tc>
          <w:tcPr>
            <w:tcW w:w="540" w:type="pct"/>
            <w:tcBorders>
              <w:top w:val="nil"/>
              <w:left w:val="nil"/>
              <w:bottom w:val="nil"/>
              <w:right w:val="nil"/>
            </w:tcBorders>
            <w:vAlign w:val="center"/>
            <w:hideMark/>
          </w:tcPr>
          <w:p w14:paraId="72E012FF"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250</w:t>
            </w:r>
          </w:p>
        </w:tc>
        <w:tc>
          <w:tcPr>
            <w:tcW w:w="540" w:type="pct"/>
            <w:tcBorders>
              <w:top w:val="nil"/>
              <w:left w:val="nil"/>
              <w:bottom w:val="nil"/>
              <w:right w:val="nil"/>
            </w:tcBorders>
            <w:vAlign w:val="center"/>
            <w:hideMark/>
          </w:tcPr>
          <w:p w14:paraId="1945B022"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250</w:t>
            </w:r>
          </w:p>
        </w:tc>
        <w:tc>
          <w:tcPr>
            <w:tcW w:w="540" w:type="pct"/>
            <w:tcBorders>
              <w:top w:val="nil"/>
              <w:left w:val="nil"/>
              <w:bottom w:val="nil"/>
              <w:right w:val="nil"/>
            </w:tcBorders>
            <w:vAlign w:val="center"/>
            <w:hideMark/>
          </w:tcPr>
          <w:p w14:paraId="2182C69F"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250</w:t>
            </w:r>
          </w:p>
        </w:tc>
        <w:tc>
          <w:tcPr>
            <w:tcW w:w="540" w:type="pct"/>
            <w:tcBorders>
              <w:top w:val="nil"/>
              <w:left w:val="nil"/>
              <w:bottom w:val="nil"/>
              <w:right w:val="nil"/>
            </w:tcBorders>
            <w:vAlign w:val="center"/>
            <w:hideMark/>
          </w:tcPr>
          <w:p w14:paraId="310A7311"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262136" w:rsidRPr="00274557" w14:paraId="7B38EFA6" w14:textId="77777777" w:rsidTr="009E2700">
        <w:trPr>
          <w:trHeight w:val="290"/>
        </w:trPr>
        <w:tc>
          <w:tcPr>
            <w:tcW w:w="2299" w:type="pct"/>
            <w:tcBorders>
              <w:top w:val="nil"/>
              <w:left w:val="nil"/>
              <w:bottom w:val="nil"/>
              <w:right w:val="nil"/>
            </w:tcBorders>
            <w:vAlign w:val="center"/>
            <w:hideMark/>
          </w:tcPr>
          <w:p w14:paraId="3B21A3F1"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149B17EA"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250</w:t>
            </w:r>
          </w:p>
        </w:tc>
        <w:tc>
          <w:tcPr>
            <w:tcW w:w="540" w:type="pct"/>
            <w:tcBorders>
              <w:top w:val="nil"/>
              <w:left w:val="nil"/>
              <w:bottom w:val="nil"/>
              <w:right w:val="nil"/>
            </w:tcBorders>
            <w:vAlign w:val="center"/>
            <w:hideMark/>
          </w:tcPr>
          <w:p w14:paraId="1CF12AC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250</w:t>
            </w:r>
          </w:p>
        </w:tc>
        <w:tc>
          <w:tcPr>
            <w:tcW w:w="540" w:type="pct"/>
            <w:tcBorders>
              <w:top w:val="nil"/>
              <w:left w:val="nil"/>
              <w:bottom w:val="nil"/>
              <w:right w:val="nil"/>
            </w:tcBorders>
            <w:vAlign w:val="center"/>
            <w:hideMark/>
          </w:tcPr>
          <w:p w14:paraId="6B03B630"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250</w:t>
            </w:r>
          </w:p>
        </w:tc>
        <w:tc>
          <w:tcPr>
            <w:tcW w:w="540" w:type="pct"/>
            <w:tcBorders>
              <w:top w:val="nil"/>
              <w:left w:val="nil"/>
              <w:bottom w:val="nil"/>
              <w:right w:val="nil"/>
            </w:tcBorders>
            <w:vAlign w:val="center"/>
            <w:hideMark/>
          </w:tcPr>
          <w:p w14:paraId="087146BA"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250</w:t>
            </w:r>
          </w:p>
        </w:tc>
        <w:tc>
          <w:tcPr>
            <w:tcW w:w="540" w:type="pct"/>
            <w:tcBorders>
              <w:top w:val="nil"/>
              <w:left w:val="nil"/>
              <w:bottom w:val="nil"/>
              <w:right w:val="nil"/>
            </w:tcBorders>
            <w:vAlign w:val="center"/>
            <w:hideMark/>
          </w:tcPr>
          <w:p w14:paraId="7CB307A3"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262136" w:rsidRPr="00274557" w14:paraId="532B4E65" w14:textId="77777777" w:rsidTr="009E2700">
        <w:trPr>
          <w:trHeight w:val="290"/>
        </w:trPr>
        <w:tc>
          <w:tcPr>
            <w:tcW w:w="2299" w:type="pct"/>
            <w:tcBorders>
              <w:top w:val="nil"/>
              <w:left w:val="nil"/>
              <w:bottom w:val="nil"/>
              <w:right w:val="nil"/>
            </w:tcBorders>
            <w:vAlign w:val="center"/>
          </w:tcPr>
          <w:p w14:paraId="524EA1D3"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b/>
                <w:bCs/>
                <w:color w:val="000000"/>
                <w:sz w:val="18"/>
                <w:szCs w:val="18"/>
                <w:lang w:eastAsia="sk-SK"/>
              </w:rPr>
              <w:t xml:space="preserve">Ministerstvo </w:t>
            </w:r>
            <w:r>
              <w:rPr>
                <w:rFonts w:eastAsia="Times New Roman" w:cs="Times New Roman"/>
                <w:b/>
                <w:bCs/>
                <w:color w:val="000000"/>
                <w:sz w:val="18"/>
                <w:szCs w:val="18"/>
                <w:lang w:eastAsia="sk-SK"/>
              </w:rPr>
              <w:t>cestovného ruchu a športu</w:t>
            </w:r>
            <w:r w:rsidRPr="00274557">
              <w:rPr>
                <w:rFonts w:eastAsia="Times New Roman" w:cs="Times New Roman"/>
                <w:b/>
                <w:bCs/>
                <w:color w:val="000000"/>
                <w:sz w:val="18"/>
                <w:szCs w:val="18"/>
                <w:lang w:eastAsia="sk-SK"/>
              </w:rPr>
              <w:t xml:space="preserve"> SR</w:t>
            </w:r>
          </w:p>
        </w:tc>
        <w:tc>
          <w:tcPr>
            <w:tcW w:w="540" w:type="pct"/>
            <w:tcBorders>
              <w:top w:val="nil"/>
              <w:left w:val="nil"/>
              <w:bottom w:val="nil"/>
              <w:right w:val="nil"/>
            </w:tcBorders>
            <w:vAlign w:val="center"/>
          </w:tcPr>
          <w:p w14:paraId="2DA2F27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50</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000</w:t>
            </w:r>
          </w:p>
        </w:tc>
        <w:tc>
          <w:tcPr>
            <w:tcW w:w="540" w:type="pct"/>
            <w:tcBorders>
              <w:top w:val="nil"/>
              <w:left w:val="nil"/>
              <w:bottom w:val="nil"/>
              <w:right w:val="nil"/>
            </w:tcBorders>
            <w:vAlign w:val="center"/>
          </w:tcPr>
          <w:p w14:paraId="5F3DB99E"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20 000</w:t>
            </w:r>
          </w:p>
        </w:tc>
        <w:tc>
          <w:tcPr>
            <w:tcW w:w="540" w:type="pct"/>
            <w:tcBorders>
              <w:top w:val="nil"/>
              <w:left w:val="nil"/>
              <w:bottom w:val="nil"/>
              <w:right w:val="nil"/>
            </w:tcBorders>
            <w:vAlign w:val="center"/>
          </w:tcPr>
          <w:p w14:paraId="5E06C72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20 300</w:t>
            </w:r>
          </w:p>
        </w:tc>
        <w:tc>
          <w:tcPr>
            <w:tcW w:w="540" w:type="pct"/>
            <w:tcBorders>
              <w:top w:val="nil"/>
              <w:left w:val="nil"/>
              <w:bottom w:val="nil"/>
              <w:right w:val="nil"/>
            </w:tcBorders>
            <w:vAlign w:val="center"/>
          </w:tcPr>
          <w:p w14:paraId="4513EEF3"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20</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300</w:t>
            </w:r>
          </w:p>
        </w:tc>
        <w:tc>
          <w:tcPr>
            <w:tcW w:w="540" w:type="pct"/>
            <w:tcBorders>
              <w:top w:val="nil"/>
              <w:left w:val="nil"/>
              <w:bottom w:val="nil"/>
              <w:right w:val="nil"/>
            </w:tcBorders>
            <w:vAlign w:val="center"/>
          </w:tcPr>
          <w:p w14:paraId="28C2C5CF" w14:textId="77777777" w:rsidR="00262136" w:rsidRPr="00692C59" w:rsidRDefault="00262136" w:rsidP="00262136">
            <w:pPr>
              <w:spacing w:line="240" w:lineRule="auto"/>
              <w:jc w:val="right"/>
              <w:rPr>
                <w:rFonts w:eastAsia="Times New Roman" w:cs="Times New Roman"/>
                <w:b/>
                <w:bCs/>
                <w:i/>
                <w:iCs/>
                <w:color w:val="000000"/>
                <w:sz w:val="18"/>
                <w:szCs w:val="18"/>
                <w:lang w:eastAsia="sk-SK"/>
              </w:rPr>
            </w:pPr>
            <w:r w:rsidRPr="00692C59">
              <w:rPr>
                <w:rFonts w:eastAsia="Times New Roman" w:cs="Times New Roman"/>
                <w:b/>
                <w:bCs/>
                <w:i/>
                <w:iCs/>
                <w:color w:val="000000"/>
                <w:sz w:val="18"/>
                <w:szCs w:val="18"/>
                <w:lang w:eastAsia="sk-SK"/>
              </w:rPr>
              <w:t>0</w:t>
            </w:r>
          </w:p>
        </w:tc>
      </w:tr>
      <w:tr w:rsidR="00262136" w:rsidRPr="00274557" w14:paraId="6921FDAF" w14:textId="77777777" w:rsidTr="009E2700">
        <w:trPr>
          <w:trHeight w:val="290"/>
        </w:trPr>
        <w:tc>
          <w:tcPr>
            <w:tcW w:w="2299" w:type="pct"/>
            <w:tcBorders>
              <w:top w:val="nil"/>
              <w:left w:val="nil"/>
              <w:bottom w:val="nil"/>
              <w:right w:val="nil"/>
            </w:tcBorders>
            <w:vAlign w:val="center"/>
          </w:tcPr>
          <w:p w14:paraId="3F6B5B5F" w14:textId="116D5C82" w:rsidR="00262136" w:rsidRPr="00BD1EC8" w:rsidRDefault="00262136" w:rsidP="00262136">
            <w:pPr>
              <w:spacing w:line="240" w:lineRule="auto"/>
              <w:rPr>
                <w:rFonts w:eastAsia="Times New Roman" w:cs="Times New Roman"/>
                <w:i/>
                <w:iCs/>
                <w:color w:val="000000"/>
                <w:sz w:val="18"/>
                <w:szCs w:val="18"/>
                <w:vertAlign w:val="superscript"/>
                <w:lang w:eastAsia="sk-SK"/>
              </w:rPr>
            </w:pPr>
            <w:r w:rsidRPr="00274557">
              <w:rPr>
                <w:rFonts w:eastAsia="Times New Roman" w:cs="Times New Roman"/>
                <w:color w:val="000000"/>
                <w:sz w:val="18"/>
                <w:szCs w:val="18"/>
                <w:lang w:eastAsia="sk-SK"/>
              </w:rPr>
              <w:t>Tipos, a. s.</w:t>
            </w:r>
            <w:r>
              <w:rPr>
                <w:rFonts w:eastAsia="Times New Roman" w:cs="Times New Roman"/>
                <w:color w:val="000000"/>
                <w:sz w:val="18"/>
                <w:szCs w:val="18"/>
                <w:vertAlign w:val="superscript"/>
                <w:lang w:eastAsia="sk-SK"/>
              </w:rPr>
              <w:t>1)</w:t>
            </w:r>
          </w:p>
        </w:tc>
        <w:tc>
          <w:tcPr>
            <w:tcW w:w="540" w:type="pct"/>
            <w:tcBorders>
              <w:top w:val="nil"/>
              <w:left w:val="nil"/>
              <w:bottom w:val="nil"/>
              <w:right w:val="nil"/>
            </w:tcBorders>
            <w:vAlign w:val="center"/>
          </w:tcPr>
          <w:p w14:paraId="149D2DD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50 000</w:t>
            </w:r>
          </w:p>
        </w:tc>
        <w:tc>
          <w:tcPr>
            <w:tcW w:w="540" w:type="pct"/>
            <w:tcBorders>
              <w:top w:val="nil"/>
              <w:left w:val="nil"/>
              <w:bottom w:val="nil"/>
              <w:right w:val="nil"/>
            </w:tcBorders>
            <w:vAlign w:val="center"/>
          </w:tcPr>
          <w:p w14:paraId="6CF390C0"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20 000</w:t>
            </w:r>
          </w:p>
        </w:tc>
        <w:tc>
          <w:tcPr>
            <w:tcW w:w="540" w:type="pct"/>
            <w:tcBorders>
              <w:top w:val="nil"/>
              <w:left w:val="nil"/>
              <w:bottom w:val="nil"/>
              <w:right w:val="nil"/>
            </w:tcBorders>
            <w:vAlign w:val="center"/>
          </w:tcPr>
          <w:p w14:paraId="5705102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 xml:space="preserve">20 </w:t>
            </w:r>
            <w:r>
              <w:rPr>
                <w:rFonts w:eastAsia="Times New Roman" w:cs="Times New Roman"/>
                <w:color w:val="000000"/>
                <w:sz w:val="18"/>
                <w:szCs w:val="18"/>
                <w:lang w:eastAsia="sk-SK"/>
              </w:rPr>
              <w:t>3</w:t>
            </w:r>
            <w:r w:rsidRPr="00274557">
              <w:rPr>
                <w:rFonts w:eastAsia="Times New Roman" w:cs="Times New Roman"/>
                <w:color w:val="000000"/>
                <w:sz w:val="18"/>
                <w:szCs w:val="18"/>
                <w:lang w:eastAsia="sk-SK"/>
              </w:rPr>
              <w:t>00</w:t>
            </w:r>
          </w:p>
        </w:tc>
        <w:tc>
          <w:tcPr>
            <w:tcW w:w="540" w:type="pct"/>
            <w:tcBorders>
              <w:top w:val="nil"/>
              <w:left w:val="nil"/>
              <w:bottom w:val="nil"/>
              <w:right w:val="nil"/>
            </w:tcBorders>
            <w:vAlign w:val="center"/>
          </w:tcPr>
          <w:p w14:paraId="784AAD6B"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 xml:space="preserve">20 </w:t>
            </w:r>
            <w:r>
              <w:rPr>
                <w:rFonts w:eastAsia="Times New Roman" w:cs="Times New Roman"/>
                <w:color w:val="000000"/>
                <w:sz w:val="18"/>
                <w:szCs w:val="18"/>
                <w:lang w:eastAsia="sk-SK"/>
              </w:rPr>
              <w:t>3</w:t>
            </w:r>
            <w:r w:rsidRPr="00274557">
              <w:rPr>
                <w:rFonts w:eastAsia="Times New Roman" w:cs="Times New Roman"/>
                <w:color w:val="000000"/>
                <w:sz w:val="18"/>
                <w:szCs w:val="18"/>
                <w:lang w:eastAsia="sk-SK"/>
              </w:rPr>
              <w:t>00</w:t>
            </w:r>
          </w:p>
        </w:tc>
        <w:tc>
          <w:tcPr>
            <w:tcW w:w="540" w:type="pct"/>
            <w:tcBorders>
              <w:top w:val="nil"/>
              <w:left w:val="nil"/>
              <w:bottom w:val="nil"/>
              <w:right w:val="nil"/>
            </w:tcBorders>
            <w:vAlign w:val="center"/>
          </w:tcPr>
          <w:p w14:paraId="63EBD39C"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0</w:t>
            </w:r>
          </w:p>
        </w:tc>
      </w:tr>
      <w:tr w:rsidR="00262136" w:rsidRPr="00274557" w14:paraId="69D51550" w14:textId="77777777" w:rsidTr="009E2700">
        <w:trPr>
          <w:trHeight w:val="290"/>
        </w:trPr>
        <w:tc>
          <w:tcPr>
            <w:tcW w:w="2299" w:type="pct"/>
            <w:tcBorders>
              <w:top w:val="nil"/>
              <w:left w:val="nil"/>
              <w:bottom w:val="nil"/>
              <w:right w:val="nil"/>
            </w:tcBorders>
            <w:vAlign w:val="center"/>
          </w:tcPr>
          <w:p w14:paraId="580DFFA2"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tcPr>
          <w:p w14:paraId="2C14DA9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25 703</w:t>
            </w:r>
          </w:p>
        </w:tc>
        <w:tc>
          <w:tcPr>
            <w:tcW w:w="540" w:type="pct"/>
            <w:tcBorders>
              <w:top w:val="nil"/>
              <w:left w:val="nil"/>
              <w:bottom w:val="nil"/>
              <w:right w:val="nil"/>
            </w:tcBorders>
            <w:vAlign w:val="center"/>
          </w:tcPr>
          <w:p w14:paraId="3713C76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20 000</w:t>
            </w:r>
          </w:p>
        </w:tc>
        <w:tc>
          <w:tcPr>
            <w:tcW w:w="540" w:type="pct"/>
            <w:tcBorders>
              <w:top w:val="nil"/>
              <w:left w:val="nil"/>
              <w:bottom w:val="nil"/>
              <w:right w:val="nil"/>
            </w:tcBorders>
            <w:vAlign w:val="center"/>
          </w:tcPr>
          <w:p w14:paraId="0CD57265"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20 </w:t>
            </w:r>
            <w:r>
              <w:rPr>
                <w:rFonts w:eastAsia="Times New Roman" w:cs="Times New Roman"/>
                <w:i/>
                <w:iCs/>
                <w:color w:val="000000"/>
                <w:sz w:val="18"/>
                <w:szCs w:val="18"/>
                <w:lang w:eastAsia="sk-SK"/>
              </w:rPr>
              <w:t>3</w:t>
            </w:r>
            <w:r w:rsidRPr="00274557">
              <w:rPr>
                <w:rFonts w:eastAsia="Times New Roman" w:cs="Times New Roman"/>
                <w:i/>
                <w:iCs/>
                <w:color w:val="000000"/>
                <w:sz w:val="18"/>
                <w:szCs w:val="18"/>
                <w:lang w:eastAsia="sk-SK"/>
              </w:rPr>
              <w:t>00</w:t>
            </w:r>
          </w:p>
        </w:tc>
        <w:tc>
          <w:tcPr>
            <w:tcW w:w="540" w:type="pct"/>
            <w:tcBorders>
              <w:top w:val="nil"/>
              <w:left w:val="nil"/>
              <w:bottom w:val="nil"/>
              <w:right w:val="nil"/>
            </w:tcBorders>
            <w:vAlign w:val="center"/>
          </w:tcPr>
          <w:p w14:paraId="7392341A"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20 </w:t>
            </w:r>
            <w:r>
              <w:rPr>
                <w:rFonts w:eastAsia="Times New Roman" w:cs="Times New Roman"/>
                <w:i/>
                <w:iCs/>
                <w:color w:val="000000"/>
                <w:sz w:val="18"/>
                <w:szCs w:val="18"/>
                <w:lang w:eastAsia="sk-SK"/>
              </w:rPr>
              <w:t>3</w:t>
            </w:r>
            <w:r w:rsidRPr="00274557">
              <w:rPr>
                <w:rFonts w:eastAsia="Times New Roman" w:cs="Times New Roman"/>
                <w:i/>
                <w:iCs/>
                <w:color w:val="000000"/>
                <w:sz w:val="18"/>
                <w:szCs w:val="18"/>
                <w:lang w:eastAsia="sk-SK"/>
              </w:rPr>
              <w:t>00</w:t>
            </w:r>
          </w:p>
        </w:tc>
        <w:tc>
          <w:tcPr>
            <w:tcW w:w="540" w:type="pct"/>
            <w:tcBorders>
              <w:top w:val="nil"/>
              <w:left w:val="nil"/>
              <w:bottom w:val="nil"/>
              <w:right w:val="nil"/>
            </w:tcBorders>
            <w:vAlign w:val="center"/>
          </w:tcPr>
          <w:p w14:paraId="4AE5B81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r>
      <w:tr w:rsidR="00262136" w:rsidRPr="00274557" w14:paraId="258E5D0E" w14:textId="77777777" w:rsidTr="00105F74">
        <w:trPr>
          <w:trHeight w:val="191"/>
        </w:trPr>
        <w:tc>
          <w:tcPr>
            <w:tcW w:w="2299" w:type="pct"/>
            <w:tcBorders>
              <w:top w:val="nil"/>
              <w:left w:val="nil"/>
              <w:bottom w:val="nil"/>
              <w:right w:val="nil"/>
            </w:tcBorders>
            <w:vAlign w:val="center"/>
            <w:hideMark/>
          </w:tcPr>
          <w:p w14:paraId="2E9F83AB" w14:textId="77777777" w:rsidR="00262136" w:rsidRPr="00274557" w:rsidRDefault="00262136" w:rsidP="00262136">
            <w:pPr>
              <w:spacing w:line="240" w:lineRule="auto"/>
              <w:rPr>
                <w:rFonts w:eastAsia="Times New Roman" w:cs="Times New Roman"/>
                <w:b/>
                <w:b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388AF649"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i/>
                <w:iCs/>
                <w:color w:val="000000"/>
                <w:sz w:val="18"/>
                <w:szCs w:val="18"/>
                <w:lang w:eastAsia="sk-SK"/>
              </w:rPr>
              <w:t>24 297</w:t>
            </w:r>
          </w:p>
        </w:tc>
        <w:tc>
          <w:tcPr>
            <w:tcW w:w="540" w:type="pct"/>
            <w:tcBorders>
              <w:top w:val="nil"/>
              <w:left w:val="nil"/>
              <w:bottom w:val="nil"/>
              <w:right w:val="nil"/>
            </w:tcBorders>
            <w:vAlign w:val="center"/>
            <w:hideMark/>
          </w:tcPr>
          <w:p w14:paraId="46172D14"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2293AF3"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2C73839"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2FC4A22D"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i/>
                <w:iCs/>
                <w:color w:val="000000"/>
                <w:sz w:val="18"/>
                <w:szCs w:val="18"/>
                <w:lang w:eastAsia="sk-SK"/>
              </w:rPr>
              <w:t>0</w:t>
            </w:r>
          </w:p>
        </w:tc>
      </w:tr>
      <w:tr w:rsidR="00262136" w:rsidRPr="00274557" w14:paraId="48D30031" w14:textId="77777777" w:rsidTr="009E2700">
        <w:trPr>
          <w:trHeight w:val="460"/>
        </w:trPr>
        <w:tc>
          <w:tcPr>
            <w:tcW w:w="2299" w:type="pct"/>
            <w:tcBorders>
              <w:top w:val="nil"/>
              <w:left w:val="nil"/>
              <w:bottom w:val="nil"/>
              <w:right w:val="nil"/>
            </w:tcBorders>
            <w:vAlign w:val="center"/>
          </w:tcPr>
          <w:p w14:paraId="6194A392"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b/>
                <w:bCs/>
                <w:color w:val="000000"/>
                <w:sz w:val="18"/>
                <w:szCs w:val="18"/>
                <w:lang w:eastAsia="sk-SK"/>
              </w:rPr>
              <w:t xml:space="preserve">Ministerstvo </w:t>
            </w:r>
            <w:r>
              <w:rPr>
                <w:rFonts w:eastAsia="Times New Roman" w:cs="Times New Roman"/>
                <w:b/>
                <w:bCs/>
                <w:color w:val="000000"/>
                <w:sz w:val="18"/>
                <w:szCs w:val="18"/>
                <w:lang w:eastAsia="sk-SK"/>
              </w:rPr>
              <w:t>zahraničných vecí a európskych záležitostí SR</w:t>
            </w:r>
          </w:p>
        </w:tc>
        <w:tc>
          <w:tcPr>
            <w:tcW w:w="540" w:type="pct"/>
            <w:tcBorders>
              <w:top w:val="nil"/>
              <w:left w:val="nil"/>
              <w:bottom w:val="nil"/>
              <w:right w:val="nil"/>
            </w:tcBorders>
            <w:vAlign w:val="center"/>
          </w:tcPr>
          <w:p w14:paraId="1E540ECE" w14:textId="77777777" w:rsidR="00262136" w:rsidRPr="004E139A" w:rsidRDefault="00262136" w:rsidP="00262136">
            <w:pPr>
              <w:spacing w:line="240" w:lineRule="auto"/>
              <w:jc w:val="right"/>
              <w:rPr>
                <w:rFonts w:eastAsia="Times New Roman" w:cs="Times New Roman"/>
                <w:b/>
                <w:bCs/>
                <w:color w:val="000000"/>
                <w:sz w:val="18"/>
                <w:szCs w:val="18"/>
                <w:lang w:eastAsia="sk-SK"/>
              </w:rPr>
            </w:pPr>
            <w:r w:rsidRPr="004E139A">
              <w:rPr>
                <w:rFonts w:eastAsia="Times New Roman" w:cs="Times New Roman"/>
                <w:b/>
                <w:bCs/>
                <w:color w:val="000000"/>
                <w:sz w:val="18"/>
                <w:szCs w:val="18"/>
                <w:lang w:eastAsia="sk-SK"/>
              </w:rPr>
              <w:t>260</w:t>
            </w:r>
          </w:p>
        </w:tc>
        <w:tc>
          <w:tcPr>
            <w:tcW w:w="540" w:type="pct"/>
            <w:tcBorders>
              <w:top w:val="nil"/>
              <w:left w:val="nil"/>
              <w:bottom w:val="nil"/>
              <w:right w:val="nil"/>
            </w:tcBorders>
            <w:vAlign w:val="center"/>
          </w:tcPr>
          <w:p w14:paraId="19C8A47E"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260</w:t>
            </w:r>
          </w:p>
        </w:tc>
        <w:tc>
          <w:tcPr>
            <w:tcW w:w="540" w:type="pct"/>
            <w:tcBorders>
              <w:top w:val="nil"/>
              <w:left w:val="nil"/>
              <w:bottom w:val="nil"/>
              <w:right w:val="nil"/>
            </w:tcBorders>
            <w:vAlign w:val="center"/>
          </w:tcPr>
          <w:p w14:paraId="415B3D55"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260</w:t>
            </w:r>
          </w:p>
        </w:tc>
        <w:tc>
          <w:tcPr>
            <w:tcW w:w="540" w:type="pct"/>
            <w:tcBorders>
              <w:top w:val="nil"/>
              <w:left w:val="nil"/>
              <w:bottom w:val="nil"/>
              <w:right w:val="nil"/>
            </w:tcBorders>
            <w:vAlign w:val="center"/>
          </w:tcPr>
          <w:p w14:paraId="644CAB43"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260</w:t>
            </w:r>
          </w:p>
        </w:tc>
        <w:tc>
          <w:tcPr>
            <w:tcW w:w="540" w:type="pct"/>
            <w:tcBorders>
              <w:top w:val="nil"/>
              <w:left w:val="nil"/>
              <w:bottom w:val="nil"/>
              <w:right w:val="nil"/>
            </w:tcBorders>
            <w:vAlign w:val="center"/>
          </w:tcPr>
          <w:p w14:paraId="6C530AD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b/>
                <w:bCs/>
                <w:color w:val="000000"/>
                <w:sz w:val="18"/>
                <w:szCs w:val="18"/>
                <w:lang w:eastAsia="sk-SK"/>
              </w:rPr>
              <w:t>0</w:t>
            </w:r>
          </w:p>
        </w:tc>
      </w:tr>
      <w:tr w:rsidR="00262136" w:rsidRPr="00274557" w14:paraId="7AF023BB" w14:textId="77777777" w:rsidTr="009E2700">
        <w:trPr>
          <w:trHeight w:val="290"/>
        </w:trPr>
        <w:tc>
          <w:tcPr>
            <w:tcW w:w="2299" w:type="pct"/>
            <w:tcBorders>
              <w:top w:val="nil"/>
              <w:left w:val="nil"/>
              <w:bottom w:val="nil"/>
              <w:right w:val="nil"/>
            </w:tcBorders>
            <w:vAlign w:val="center"/>
            <w:hideMark/>
          </w:tcPr>
          <w:p w14:paraId="61BB32D6"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Správa služieb diplomatickému zboru, a. s.</w:t>
            </w:r>
          </w:p>
        </w:tc>
        <w:tc>
          <w:tcPr>
            <w:tcW w:w="540" w:type="pct"/>
            <w:tcBorders>
              <w:top w:val="nil"/>
              <w:left w:val="nil"/>
              <w:bottom w:val="nil"/>
              <w:right w:val="nil"/>
            </w:tcBorders>
            <w:vAlign w:val="center"/>
            <w:hideMark/>
          </w:tcPr>
          <w:p w14:paraId="659A302E"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260</w:t>
            </w:r>
          </w:p>
        </w:tc>
        <w:tc>
          <w:tcPr>
            <w:tcW w:w="540" w:type="pct"/>
            <w:tcBorders>
              <w:top w:val="nil"/>
              <w:left w:val="nil"/>
              <w:bottom w:val="nil"/>
              <w:right w:val="nil"/>
            </w:tcBorders>
            <w:vAlign w:val="center"/>
            <w:hideMark/>
          </w:tcPr>
          <w:p w14:paraId="673738E3"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260</w:t>
            </w:r>
          </w:p>
        </w:tc>
        <w:tc>
          <w:tcPr>
            <w:tcW w:w="540" w:type="pct"/>
            <w:tcBorders>
              <w:top w:val="nil"/>
              <w:left w:val="nil"/>
              <w:bottom w:val="nil"/>
              <w:right w:val="nil"/>
            </w:tcBorders>
            <w:vAlign w:val="center"/>
            <w:hideMark/>
          </w:tcPr>
          <w:p w14:paraId="4C8E570C"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260</w:t>
            </w:r>
          </w:p>
        </w:tc>
        <w:tc>
          <w:tcPr>
            <w:tcW w:w="540" w:type="pct"/>
            <w:tcBorders>
              <w:top w:val="nil"/>
              <w:left w:val="nil"/>
              <w:bottom w:val="nil"/>
              <w:right w:val="nil"/>
            </w:tcBorders>
            <w:vAlign w:val="center"/>
            <w:hideMark/>
          </w:tcPr>
          <w:p w14:paraId="0BAE477F"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260</w:t>
            </w:r>
          </w:p>
        </w:tc>
        <w:tc>
          <w:tcPr>
            <w:tcW w:w="540" w:type="pct"/>
            <w:tcBorders>
              <w:top w:val="nil"/>
              <w:left w:val="nil"/>
              <w:bottom w:val="nil"/>
              <w:right w:val="nil"/>
            </w:tcBorders>
            <w:vAlign w:val="center"/>
            <w:hideMark/>
          </w:tcPr>
          <w:p w14:paraId="37F98856"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r>
      <w:tr w:rsidR="00262136" w:rsidRPr="00274557" w14:paraId="32132AFF" w14:textId="77777777" w:rsidTr="009E2700">
        <w:trPr>
          <w:trHeight w:val="290"/>
        </w:trPr>
        <w:tc>
          <w:tcPr>
            <w:tcW w:w="2299" w:type="pct"/>
            <w:tcBorders>
              <w:top w:val="nil"/>
              <w:left w:val="nil"/>
              <w:bottom w:val="nil"/>
              <w:right w:val="nil"/>
            </w:tcBorders>
            <w:vAlign w:val="center"/>
            <w:hideMark/>
          </w:tcPr>
          <w:p w14:paraId="6997AAA0"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7A79B954"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260</w:t>
            </w:r>
          </w:p>
        </w:tc>
        <w:tc>
          <w:tcPr>
            <w:tcW w:w="540" w:type="pct"/>
            <w:tcBorders>
              <w:top w:val="nil"/>
              <w:left w:val="nil"/>
              <w:bottom w:val="nil"/>
              <w:right w:val="nil"/>
            </w:tcBorders>
            <w:vAlign w:val="center"/>
            <w:hideMark/>
          </w:tcPr>
          <w:p w14:paraId="2AC7B95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260</w:t>
            </w:r>
          </w:p>
        </w:tc>
        <w:tc>
          <w:tcPr>
            <w:tcW w:w="540" w:type="pct"/>
            <w:tcBorders>
              <w:top w:val="nil"/>
              <w:left w:val="nil"/>
              <w:bottom w:val="nil"/>
              <w:right w:val="nil"/>
            </w:tcBorders>
            <w:vAlign w:val="center"/>
            <w:hideMark/>
          </w:tcPr>
          <w:p w14:paraId="4B1EE35A"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152</w:t>
            </w:r>
          </w:p>
        </w:tc>
        <w:tc>
          <w:tcPr>
            <w:tcW w:w="540" w:type="pct"/>
            <w:tcBorders>
              <w:top w:val="nil"/>
              <w:left w:val="nil"/>
              <w:bottom w:val="nil"/>
              <w:right w:val="nil"/>
            </w:tcBorders>
            <w:vAlign w:val="center"/>
            <w:hideMark/>
          </w:tcPr>
          <w:p w14:paraId="7B04C0DE"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260</w:t>
            </w:r>
          </w:p>
        </w:tc>
        <w:tc>
          <w:tcPr>
            <w:tcW w:w="540" w:type="pct"/>
            <w:tcBorders>
              <w:top w:val="nil"/>
              <w:left w:val="nil"/>
              <w:bottom w:val="nil"/>
              <w:right w:val="nil"/>
            </w:tcBorders>
            <w:vAlign w:val="center"/>
            <w:hideMark/>
          </w:tcPr>
          <w:p w14:paraId="0068084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w:t>
            </w:r>
            <w:r>
              <w:rPr>
                <w:rFonts w:eastAsia="Times New Roman" w:cs="Times New Roman"/>
                <w:i/>
                <w:iCs/>
                <w:color w:val="000000"/>
                <w:sz w:val="18"/>
                <w:szCs w:val="18"/>
                <w:lang w:eastAsia="sk-SK"/>
              </w:rPr>
              <w:t>08</w:t>
            </w:r>
          </w:p>
        </w:tc>
      </w:tr>
      <w:tr w:rsidR="00262136" w:rsidRPr="00274557" w14:paraId="70115113" w14:textId="77777777" w:rsidTr="00105F74">
        <w:trPr>
          <w:trHeight w:val="223"/>
        </w:trPr>
        <w:tc>
          <w:tcPr>
            <w:tcW w:w="2299" w:type="pct"/>
            <w:tcBorders>
              <w:top w:val="nil"/>
              <w:left w:val="nil"/>
              <w:bottom w:val="nil"/>
              <w:right w:val="nil"/>
            </w:tcBorders>
            <w:vAlign w:val="center"/>
            <w:hideMark/>
          </w:tcPr>
          <w:p w14:paraId="246534E2"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59AA857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7DCEE504"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534D2E7"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108</w:t>
            </w:r>
          </w:p>
        </w:tc>
        <w:tc>
          <w:tcPr>
            <w:tcW w:w="540" w:type="pct"/>
            <w:tcBorders>
              <w:top w:val="nil"/>
              <w:left w:val="nil"/>
              <w:bottom w:val="nil"/>
              <w:right w:val="nil"/>
            </w:tcBorders>
            <w:vAlign w:val="center"/>
            <w:hideMark/>
          </w:tcPr>
          <w:p w14:paraId="568B928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438212A0"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w:t>
            </w:r>
            <w:r>
              <w:rPr>
                <w:rFonts w:eastAsia="Times New Roman" w:cs="Times New Roman"/>
                <w:i/>
                <w:iCs/>
                <w:color w:val="000000"/>
                <w:sz w:val="18"/>
                <w:szCs w:val="18"/>
                <w:lang w:eastAsia="sk-SK"/>
              </w:rPr>
              <w:t>08</w:t>
            </w:r>
          </w:p>
        </w:tc>
      </w:tr>
      <w:tr w:rsidR="00262136" w:rsidRPr="00274557" w14:paraId="1AB9131D" w14:textId="77777777" w:rsidTr="009E2700">
        <w:trPr>
          <w:trHeight w:val="290"/>
        </w:trPr>
        <w:tc>
          <w:tcPr>
            <w:tcW w:w="2299" w:type="pct"/>
            <w:tcBorders>
              <w:top w:val="nil"/>
              <w:left w:val="nil"/>
              <w:bottom w:val="nil"/>
              <w:right w:val="nil"/>
            </w:tcBorders>
            <w:vAlign w:val="center"/>
            <w:hideMark/>
          </w:tcPr>
          <w:p w14:paraId="636034A5" w14:textId="77777777" w:rsidR="00262136" w:rsidRPr="00274557" w:rsidRDefault="00262136" w:rsidP="00262136">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hospodárstva SR</w:t>
            </w:r>
          </w:p>
        </w:tc>
        <w:tc>
          <w:tcPr>
            <w:tcW w:w="540" w:type="pct"/>
            <w:tcBorders>
              <w:top w:val="nil"/>
              <w:left w:val="nil"/>
              <w:bottom w:val="nil"/>
              <w:right w:val="nil"/>
            </w:tcBorders>
            <w:vAlign w:val="center"/>
            <w:hideMark/>
          </w:tcPr>
          <w:p w14:paraId="7CD089C3"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88 575</w:t>
            </w:r>
          </w:p>
        </w:tc>
        <w:tc>
          <w:tcPr>
            <w:tcW w:w="540" w:type="pct"/>
            <w:tcBorders>
              <w:top w:val="nil"/>
              <w:left w:val="nil"/>
              <w:bottom w:val="nil"/>
              <w:right w:val="nil"/>
            </w:tcBorders>
            <w:vAlign w:val="center"/>
            <w:hideMark/>
          </w:tcPr>
          <w:p w14:paraId="6741E64A"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380 365</w:t>
            </w:r>
          </w:p>
        </w:tc>
        <w:tc>
          <w:tcPr>
            <w:tcW w:w="540" w:type="pct"/>
            <w:tcBorders>
              <w:top w:val="nil"/>
              <w:left w:val="nil"/>
              <w:bottom w:val="nil"/>
              <w:right w:val="nil"/>
            </w:tcBorders>
            <w:vAlign w:val="center"/>
            <w:hideMark/>
          </w:tcPr>
          <w:p w14:paraId="662C86D0"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427</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694</w:t>
            </w:r>
          </w:p>
        </w:tc>
        <w:tc>
          <w:tcPr>
            <w:tcW w:w="540" w:type="pct"/>
            <w:tcBorders>
              <w:top w:val="nil"/>
              <w:left w:val="nil"/>
              <w:bottom w:val="nil"/>
              <w:right w:val="nil"/>
            </w:tcBorders>
            <w:vAlign w:val="center"/>
            <w:hideMark/>
          </w:tcPr>
          <w:p w14:paraId="553CC2E9"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684 174</w:t>
            </w:r>
          </w:p>
        </w:tc>
        <w:tc>
          <w:tcPr>
            <w:tcW w:w="540" w:type="pct"/>
            <w:tcBorders>
              <w:top w:val="nil"/>
              <w:left w:val="nil"/>
              <w:bottom w:val="nil"/>
              <w:right w:val="nil"/>
            </w:tcBorders>
            <w:vAlign w:val="center"/>
            <w:hideMark/>
          </w:tcPr>
          <w:p w14:paraId="170E4D52"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256</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480</w:t>
            </w:r>
          </w:p>
        </w:tc>
      </w:tr>
      <w:tr w:rsidR="00262136" w:rsidRPr="00274557" w14:paraId="07AE6C88" w14:textId="77777777" w:rsidTr="009E2700">
        <w:trPr>
          <w:trHeight w:val="290"/>
        </w:trPr>
        <w:tc>
          <w:tcPr>
            <w:tcW w:w="2299" w:type="pct"/>
            <w:tcBorders>
              <w:top w:val="nil"/>
              <w:left w:val="nil"/>
              <w:bottom w:val="nil"/>
              <w:right w:val="nil"/>
            </w:tcBorders>
            <w:vAlign w:val="center"/>
            <w:hideMark/>
          </w:tcPr>
          <w:p w14:paraId="491F0E96"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Jadrová a vyraďovacia spoločnosť, a. s.</w:t>
            </w:r>
          </w:p>
        </w:tc>
        <w:tc>
          <w:tcPr>
            <w:tcW w:w="540" w:type="pct"/>
            <w:tcBorders>
              <w:top w:val="nil"/>
              <w:left w:val="nil"/>
              <w:bottom w:val="nil"/>
              <w:right w:val="nil"/>
            </w:tcBorders>
            <w:vAlign w:val="center"/>
            <w:hideMark/>
          </w:tcPr>
          <w:p w14:paraId="477F5C2B"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490</w:t>
            </w:r>
          </w:p>
        </w:tc>
        <w:tc>
          <w:tcPr>
            <w:tcW w:w="540" w:type="pct"/>
            <w:tcBorders>
              <w:top w:val="nil"/>
              <w:left w:val="nil"/>
              <w:bottom w:val="nil"/>
              <w:right w:val="nil"/>
            </w:tcBorders>
            <w:vAlign w:val="center"/>
            <w:hideMark/>
          </w:tcPr>
          <w:p w14:paraId="7BFFC8FD"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1 074</w:t>
            </w:r>
          </w:p>
        </w:tc>
        <w:tc>
          <w:tcPr>
            <w:tcW w:w="540" w:type="pct"/>
            <w:tcBorders>
              <w:top w:val="nil"/>
              <w:left w:val="nil"/>
              <w:bottom w:val="nil"/>
              <w:right w:val="nil"/>
            </w:tcBorders>
            <w:vAlign w:val="center"/>
            <w:hideMark/>
          </w:tcPr>
          <w:p w14:paraId="1ECE9D47"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82</w:t>
            </w:r>
          </w:p>
        </w:tc>
        <w:tc>
          <w:tcPr>
            <w:tcW w:w="540" w:type="pct"/>
            <w:tcBorders>
              <w:top w:val="nil"/>
              <w:left w:val="nil"/>
              <w:bottom w:val="nil"/>
              <w:right w:val="nil"/>
            </w:tcBorders>
            <w:vAlign w:val="center"/>
            <w:hideMark/>
          </w:tcPr>
          <w:p w14:paraId="777480EF"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3 091</w:t>
            </w:r>
          </w:p>
        </w:tc>
        <w:tc>
          <w:tcPr>
            <w:tcW w:w="540" w:type="pct"/>
            <w:tcBorders>
              <w:top w:val="nil"/>
              <w:left w:val="nil"/>
              <w:bottom w:val="nil"/>
              <w:right w:val="nil"/>
            </w:tcBorders>
            <w:vAlign w:val="center"/>
            <w:hideMark/>
          </w:tcPr>
          <w:p w14:paraId="4B83505A"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3 009</w:t>
            </w:r>
          </w:p>
        </w:tc>
      </w:tr>
      <w:tr w:rsidR="00262136" w:rsidRPr="00274557" w14:paraId="7748E77D" w14:textId="77777777" w:rsidTr="009E2700">
        <w:trPr>
          <w:trHeight w:val="290"/>
        </w:trPr>
        <w:tc>
          <w:tcPr>
            <w:tcW w:w="2299" w:type="pct"/>
            <w:tcBorders>
              <w:top w:val="nil"/>
              <w:left w:val="nil"/>
              <w:bottom w:val="nil"/>
              <w:right w:val="nil"/>
            </w:tcBorders>
            <w:vAlign w:val="center"/>
            <w:hideMark/>
          </w:tcPr>
          <w:p w14:paraId="49865D18"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42AE4AB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490</w:t>
            </w:r>
          </w:p>
        </w:tc>
        <w:tc>
          <w:tcPr>
            <w:tcW w:w="540" w:type="pct"/>
            <w:tcBorders>
              <w:top w:val="nil"/>
              <w:left w:val="nil"/>
              <w:bottom w:val="nil"/>
              <w:right w:val="nil"/>
            </w:tcBorders>
            <w:vAlign w:val="center"/>
            <w:hideMark/>
          </w:tcPr>
          <w:p w14:paraId="33745480"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1 074</w:t>
            </w:r>
          </w:p>
        </w:tc>
        <w:tc>
          <w:tcPr>
            <w:tcW w:w="540" w:type="pct"/>
            <w:tcBorders>
              <w:top w:val="nil"/>
              <w:left w:val="nil"/>
              <w:bottom w:val="nil"/>
              <w:right w:val="nil"/>
            </w:tcBorders>
            <w:vAlign w:val="center"/>
            <w:hideMark/>
          </w:tcPr>
          <w:p w14:paraId="10DA7111"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82</w:t>
            </w:r>
          </w:p>
        </w:tc>
        <w:tc>
          <w:tcPr>
            <w:tcW w:w="540" w:type="pct"/>
            <w:tcBorders>
              <w:top w:val="nil"/>
              <w:left w:val="nil"/>
              <w:bottom w:val="nil"/>
              <w:right w:val="nil"/>
            </w:tcBorders>
            <w:vAlign w:val="center"/>
            <w:hideMark/>
          </w:tcPr>
          <w:p w14:paraId="2730665B"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3 091</w:t>
            </w:r>
          </w:p>
        </w:tc>
        <w:tc>
          <w:tcPr>
            <w:tcW w:w="540" w:type="pct"/>
            <w:tcBorders>
              <w:top w:val="nil"/>
              <w:left w:val="nil"/>
              <w:bottom w:val="nil"/>
              <w:right w:val="nil"/>
            </w:tcBorders>
            <w:vAlign w:val="center"/>
            <w:hideMark/>
          </w:tcPr>
          <w:p w14:paraId="06D367FC"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3 009</w:t>
            </w:r>
          </w:p>
        </w:tc>
      </w:tr>
      <w:tr w:rsidR="00262136" w:rsidRPr="00274557" w14:paraId="16710A88" w14:textId="77777777" w:rsidTr="009E2700">
        <w:trPr>
          <w:trHeight w:val="290"/>
        </w:trPr>
        <w:tc>
          <w:tcPr>
            <w:tcW w:w="2299" w:type="pct"/>
            <w:tcBorders>
              <w:top w:val="nil"/>
              <w:left w:val="nil"/>
              <w:bottom w:val="nil"/>
              <w:right w:val="nil"/>
            </w:tcBorders>
            <w:vAlign w:val="center"/>
            <w:hideMark/>
          </w:tcPr>
          <w:p w14:paraId="170CC41E"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lastRenderedPageBreak/>
              <w:t>Transpetrol, a. s.</w:t>
            </w:r>
          </w:p>
        </w:tc>
        <w:tc>
          <w:tcPr>
            <w:tcW w:w="540" w:type="pct"/>
            <w:tcBorders>
              <w:top w:val="nil"/>
              <w:left w:val="nil"/>
              <w:bottom w:val="nil"/>
              <w:right w:val="nil"/>
            </w:tcBorders>
            <w:vAlign w:val="center"/>
            <w:hideMark/>
          </w:tcPr>
          <w:p w14:paraId="5FCC6373"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vAlign w:val="center"/>
            <w:hideMark/>
          </w:tcPr>
          <w:p w14:paraId="3F102797"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vAlign w:val="center"/>
            <w:hideMark/>
          </w:tcPr>
          <w:p w14:paraId="69CBAC83"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45A60391"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1 500</w:t>
            </w:r>
          </w:p>
        </w:tc>
        <w:tc>
          <w:tcPr>
            <w:tcW w:w="540" w:type="pct"/>
            <w:tcBorders>
              <w:top w:val="nil"/>
              <w:left w:val="nil"/>
              <w:bottom w:val="nil"/>
              <w:right w:val="nil"/>
            </w:tcBorders>
            <w:vAlign w:val="center"/>
            <w:hideMark/>
          </w:tcPr>
          <w:p w14:paraId="0CE3B3AF"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1 500</w:t>
            </w:r>
          </w:p>
        </w:tc>
      </w:tr>
      <w:tr w:rsidR="00262136" w:rsidRPr="00274557" w14:paraId="1E62DA68" w14:textId="77777777" w:rsidTr="009E2700">
        <w:trPr>
          <w:trHeight w:val="290"/>
        </w:trPr>
        <w:tc>
          <w:tcPr>
            <w:tcW w:w="2299" w:type="pct"/>
            <w:tcBorders>
              <w:top w:val="nil"/>
              <w:left w:val="nil"/>
              <w:bottom w:val="nil"/>
              <w:right w:val="nil"/>
            </w:tcBorders>
            <w:vAlign w:val="center"/>
            <w:hideMark/>
          </w:tcPr>
          <w:p w14:paraId="09ADC19A"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Slovenský plynárenský priemysel, a. s.</w:t>
            </w:r>
          </w:p>
        </w:tc>
        <w:tc>
          <w:tcPr>
            <w:tcW w:w="540" w:type="pct"/>
            <w:tcBorders>
              <w:top w:val="nil"/>
              <w:left w:val="nil"/>
              <w:bottom w:val="nil"/>
              <w:right w:val="nil"/>
            </w:tcBorders>
            <w:vAlign w:val="center"/>
            <w:hideMark/>
          </w:tcPr>
          <w:p w14:paraId="69E8DB47"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253124B0"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290 307</w:t>
            </w:r>
          </w:p>
        </w:tc>
        <w:tc>
          <w:tcPr>
            <w:tcW w:w="540" w:type="pct"/>
            <w:tcBorders>
              <w:top w:val="nil"/>
              <w:left w:val="nil"/>
              <w:bottom w:val="nil"/>
              <w:right w:val="nil"/>
            </w:tcBorders>
            <w:vAlign w:val="center"/>
            <w:hideMark/>
          </w:tcPr>
          <w:p w14:paraId="69592B02"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214 705</w:t>
            </w:r>
          </w:p>
        </w:tc>
        <w:tc>
          <w:tcPr>
            <w:tcW w:w="540" w:type="pct"/>
            <w:tcBorders>
              <w:top w:val="nil"/>
              <w:left w:val="nil"/>
              <w:bottom w:val="nil"/>
              <w:right w:val="nil"/>
            </w:tcBorders>
            <w:vAlign w:val="center"/>
            <w:hideMark/>
          </w:tcPr>
          <w:p w14:paraId="1CD3D8F9"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279 388</w:t>
            </w:r>
          </w:p>
        </w:tc>
        <w:tc>
          <w:tcPr>
            <w:tcW w:w="540" w:type="pct"/>
            <w:tcBorders>
              <w:top w:val="nil"/>
              <w:left w:val="nil"/>
              <w:bottom w:val="nil"/>
              <w:right w:val="nil"/>
            </w:tcBorders>
            <w:vAlign w:val="center"/>
            <w:hideMark/>
          </w:tcPr>
          <w:p w14:paraId="06379BDB"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64 683</w:t>
            </w:r>
          </w:p>
        </w:tc>
      </w:tr>
      <w:tr w:rsidR="00262136" w:rsidRPr="00274557" w14:paraId="392EC39C" w14:textId="77777777" w:rsidTr="009E2700">
        <w:trPr>
          <w:trHeight w:val="290"/>
        </w:trPr>
        <w:tc>
          <w:tcPr>
            <w:tcW w:w="2299" w:type="pct"/>
            <w:tcBorders>
              <w:top w:val="nil"/>
              <w:left w:val="nil"/>
              <w:bottom w:val="nil"/>
              <w:right w:val="nil"/>
            </w:tcBorders>
            <w:vAlign w:val="center"/>
            <w:hideMark/>
          </w:tcPr>
          <w:p w14:paraId="516183F3"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250FD5A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6B84090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143 050</w:t>
            </w:r>
          </w:p>
        </w:tc>
        <w:tc>
          <w:tcPr>
            <w:tcW w:w="540" w:type="pct"/>
            <w:tcBorders>
              <w:top w:val="nil"/>
              <w:left w:val="nil"/>
              <w:bottom w:val="nil"/>
              <w:right w:val="nil"/>
            </w:tcBorders>
            <w:vAlign w:val="center"/>
            <w:hideMark/>
          </w:tcPr>
          <w:p w14:paraId="435A8B69"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130 140</w:t>
            </w:r>
          </w:p>
        </w:tc>
        <w:tc>
          <w:tcPr>
            <w:tcW w:w="540" w:type="pct"/>
            <w:tcBorders>
              <w:top w:val="nil"/>
              <w:left w:val="nil"/>
              <w:bottom w:val="nil"/>
              <w:right w:val="nil"/>
            </w:tcBorders>
            <w:vAlign w:val="center"/>
            <w:hideMark/>
          </w:tcPr>
          <w:p w14:paraId="03A31463"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211 229</w:t>
            </w:r>
          </w:p>
        </w:tc>
        <w:tc>
          <w:tcPr>
            <w:tcW w:w="540" w:type="pct"/>
            <w:tcBorders>
              <w:top w:val="nil"/>
              <w:left w:val="nil"/>
              <w:bottom w:val="nil"/>
              <w:right w:val="nil"/>
            </w:tcBorders>
            <w:vAlign w:val="center"/>
            <w:hideMark/>
          </w:tcPr>
          <w:p w14:paraId="2251DA41"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81 089</w:t>
            </w:r>
          </w:p>
        </w:tc>
      </w:tr>
      <w:tr w:rsidR="00262136" w:rsidRPr="00274557" w14:paraId="587139CF" w14:textId="77777777" w:rsidTr="00105F74">
        <w:trPr>
          <w:trHeight w:val="170"/>
        </w:trPr>
        <w:tc>
          <w:tcPr>
            <w:tcW w:w="2299" w:type="pct"/>
            <w:tcBorders>
              <w:top w:val="nil"/>
              <w:left w:val="nil"/>
              <w:bottom w:val="nil"/>
              <w:right w:val="nil"/>
            </w:tcBorders>
            <w:vAlign w:val="center"/>
            <w:hideMark/>
          </w:tcPr>
          <w:p w14:paraId="521302E6"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3E63197B"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7AD55B0C"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147 257</w:t>
            </w:r>
          </w:p>
        </w:tc>
        <w:tc>
          <w:tcPr>
            <w:tcW w:w="540" w:type="pct"/>
            <w:tcBorders>
              <w:top w:val="nil"/>
              <w:left w:val="nil"/>
              <w:bottom w:val="nil"/>
              <w:right w:val="nil"/>
            </w:tcBorders>
            <w:vAlign w:val="center"/>
            <w:hideMark/>
          </w:tcPr>
          <w:p w14:paraId="6612D39E"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84 565</w:t>
            </w:r>
          </w:p>
        </w:tc>
        <w:tc>
          <w:tcPr>
            <w:tcW w:w="540" w:type="pct"/>
            <w:tcBorders>
              <w:top w:val="nil"/>
              <w:left w:val="nil"/>
              <w:bottom w:val="nil"/>
              <w:right w:val="nil"/>
            </w:tcBorders>
            <w:vAlign w:val="center"/>
            <w:hideMark/>
          </w:tcPr>
          <w:p w14:paraId="7B4D42C4"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68 159</w:t>
            </w:r>
          </w:p>
        </w:tc>
        <w:tc>
          <w:tcPr>
            <w:tcW w:w="540" w:type="pct"/>
            <w:tcBorders>
              <w:top w:val="nil"/>
              <w:left w:val="nil"/>
              <w:bottom w:val="nil"/>
              <w:right w:val="nil"/>
            </w:tcBorders>
            <w:vAlign w:val="center"/>
            <w:hideMark/>
          </w:tcPr>
          <w:p w14:paraId="5E074865"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-16 406</w:t>
            </w:r>
          </w:p>
        </w:tc>
      </w:tr>
      <w:tr w:rsidR="00262136" w:rsidRPr="00274557" w14:paraId="56E1FABA" w14:textId="77777777" w:rsidTr="009E2700">
        <w:trPr>
          <w:trHeight w:val="290"/>
        </w:trPr>
        <w:tc>
          <w:tcPr>
            <w:tcW w:w="2299" w:type="pct"/>
            <w:tcBorders>
              <w:top w:val="nil"/>
              <w:left w:val="nil"/>
              <w:bottom w:val="nil"/>
              <w:right w:val="nil"/>
            </w:tcBorders>
            <w:vAlign w:val="center"/>
            <w:hideMark/>
          </w:tcPr>
          <w:p w14:paraId="0AC3A25A"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Západoslovenská energetika, a. s.</w:t>
            </w:r>
          </w:p>
        </w:tc>
        <w:tc>
          <w:tcPr>
            <w:tcW w:w="540" w:type="pct"/>
            <w:tcBorders>
              <w:top w:val="nil"/>
              <w:left w:val="nil"/>
              <w:bottom w:val="nil"/>
              <w:right w:val="nil"/>
            </w:tcBorders>
            <w:vAlign w:val="center"/>
            <w:hideMark/>
          </w:tcPr>
          <w:p w14:paraId="0E381C9B"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37 091</w:t>
            </w:r>
          </w:p>
        </w:tc>
        <w:tc>
          <w:tcPr>
            <w:tcW w:w="540" w:type="pct"/>
            <w:tcBorders>
              <w:top w:val="nil"/>
              <w:left w:val="nil"/>
              <w:bottom w:val="nil"/>
              <w:right w:val="nil"/>
            </w:tcBorders>
            <w:vAlign w:val="center"/>
            <w:hideMark/>
          </w:tcPr>
          <w:p w14:paraId="19AE2BD8"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53 836</w:t>
            </w:r>
          </w:p>
        </w:tc>
        <w:tc>
          <w:tcPr>
            <w:tcW w:w="540" w:type="pct"/>
            <w:tcBorders>
              <w:top w:val="nil"/>
              <w:left w:val="nil"/>
              <w:bottom w:val="nil"/>
              <w:right w:val="nil"/>
            </w:tcBorders>
            <w:vAlign w:val="center"/>
            <w:hideMark/>
          </w:tcPr>
          <w:p w14:paraId="49D4C686"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159 330</w:t>
            </w:r>
          </w:p>
        </w:tc>
        <w:tc>
          <w:tcPr>
            <w:tcW w:w="540" w:type="pct"/>
            <w:tcBorders>
              <w:top w:val="nil"/>
              <w:left w:val="nil"/>
              <w:bottom w:val="nil"/>
              <w:right w:val="nil"/>
            </w:tcBorders>
            <w:vAlign w:val="center"/>
            <w:hideMark/>
          </w:tcPr>
          <w:p w14:paraId="02D0E058"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161 903</w:t>
            </w:r>
          </w:p>
        </w:tc>
        <w:tc>
          <w:tcPr>
            <w:tcW w:w="540" w:type="pct"/>
            <w:tcBorders>
              <w:top w:val="nil"/>
              <w:left w:val="nil"/>
              <w:bottom w:val="nil"/>
              <w:right w:val="nil"/>
            </w:tcBorders>
            <w:vAlign w:val="center"/>
            <w:hideMark/>
          </w:tcPr>
          <w:p w14:paraId="223B4565"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2 573</w:t>
            </w:r>
          </w:p>
        </w:tc>
      </w:tr>
      <w:tr w:rsidR="00262136" w:rsidRPr="00274557" w14:paraId="4A2C255B" w14:textId="77777777" w:rsidTr="009E2700">
        <w:trPr>
          <w:trHeight w:val="290"/>
        </w:trPr>
        <w:tc>
          <w:tcPr>
            <w:tcW w:w="2299" w:type="pct"/>
            <w:tcBorders>
              <w:top w:val="nil"/>
              <w:left w:val="nil"/>
              <w:bottom w:val="nil"/>
              <w:right w:val="nil"/>
            </w:tcBorders>
            <w:vAlign w:val="center"/>
            <w:hideMark/>
          </w:tcPr>
          <w:p w14:paraId="365C838B"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162F3A6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36 898</w:t>
            </w:r>
          </w:p>
        </w:tc>
        <w:tc>
          <w:tcPr>
            <w:tcW w:w="540" w:type="pct"/>
            <w:tcBorders>
              <w:top w:val="nil"/>
              <w:left w:val="nil"/>
              <w:bottom w:val="nil"/>
              <w:right w:val="nil"/>
            </w:tcBorders>
            <w:vAlign w:val="center"/>
            <w:hideMark/>
          </w:tcPr>
          <w:p w14:paraId="2CE018CC"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52 109</w:t>
            </w:r>
          </w:p>
        </w:tc>
        <w:tc>
          <w:tcPr>
            <w:tcW w:w="540" w:type="pct"/>
            <w:tcBorders>
              <w:top w:val="nil"/>
              <w:left w:val="nil"/>
              <w:bottom w:val="nil"/>
              <w:right w:val="nil"/>
            </w:tcBorders>
            <w:vAlign w:val="center"/>
            <w:hideMark/>
          </w:tcPr>
          <w:p w14:paraId="2C24175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149 060</w:t>
            </w:r>
          </w:p>
        </w:tc>
        <w:tc>
          <w:tcPr>
            <w:tcW w:w="540" w:type="pct"/>
            <w:tcBorders>
              <w:top w:val="nil"/>
              <w:left w:val="nil"/>
              <w:bottom w:val="nil"/>
              <w:right w:val="nil"/>
            </w:tcBorders>
            <w:vAlign w:val="center"/>
            <w:hideMark/>
          </w:tcPr>
          <w:p w14:paraId="7FA108AC"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150 234</w:t>
            </w:r>
          </w:p>
        </w:tc>
        <w:tc>
          <w:tcPr>
            <w:tcW w:w="540" w:type="pct"/>
            <w:tcBorders>
              <w:top w:val="nil"/>
              <w:left w:val="nil"/>
              <w:bottom w:val="nil"/>
              <w:right w:val="nil"/>
            </w:tcBorders>
            <w:vAlign w:val="center"/>
            <w:hideMark/>
          </w:tcPr>
          <w:p w14:paraId="5FD6B009"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1 174</w:t>
            </w:r>
          </w:p>
        </w:tc>
      </w:tr>
      <w:tr w:rsidR="00262136" w:rsidRPr="00274557" w14:paraId="643AF665" w14:textId="77777777" w:rsidTr="00105F74">
        <w:trPr>
          <w:trHeight w:val="223"/>
        </w:trPr>
        <w:tc>
          <w:tcPr>
            <w:tcW w:w="2299" w:type="pct"/>
            <w:tcBorders>
              <w:top w:val="nil"/>
              <w:left w:val="nil"/>
              <w:bottom w:val="nil"/>
              <w:right w:val="nil"/>
            </w:tcBorders>
            <w:vAlign w:val="center"/>
            <w:hideMark/>
          </w:tcPr>
          <w:p w14:paraId="1AA1F6F7"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528C3294"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193</w:t>
            </w:r>
          </w:p>
        </w:tc>
        <w:tc>
          <w:tcPr>
            <w:tcW w:w="540" w:type="pct"/>
            <w:tcBorders>
              <w:top w:val="nil"/>
              <w:left w:val="nil"/>
              <w:bottom w:val="nil"/>
              <w:right w:val="nil"/>
            </w:tcBorders>
            <w:vAlign w:val="center"/>
            <w:hideMark/>
          </w:tcPr>
          <w:p w14:paraId="677D313A"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1 727</w:t>
            </w:r>
          </w:p>
        </w:tc>
        <w:tc>
          <w:tcPr>
            <w:tcW w:w="540" w:type="pct"/>
            <w:tcBorders>
              <w:top w:val="nil"/>
              <w:left w:val="nil"/>
              <w:bottom w:val="nil"/>
              <w:right w:val="nil"/>
            </w:tcBorders>
            <w:vAlign w:val="center"/>
            <w:hideMark/>
          </w:tcPr>
          <w:p w14:paraId="48D679A0"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10 270</w:t>
            </w:r>
          </w:p>
        </w:tc>
        <w:tc>
          <w:tcPr>
            <w:tcW w:w="540" w:type="pct"/>
            <w:tcBorders>
              <w:top w:val="nil"/>
              <w:left w:val="nil"/>
              <w:bottom w:val="nil"/>
              <w:right w:val="nil"/>
            </w:tcBorders>
            <w:vAlign w:val="center"/>
            <w:hideMark/>
          </w:tcPr>
          <w:p w14:paraId="6704DD1E"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11 669</w:t>
            </w:r>
          </w:p>
        </w:tc>
        <w:tc>
          <w:tcPr>
            <w:tcW w:w="540" w:type="pct"/>
            <w:tcBorders>
              <w:top w:val="nil"/>
              <w:left w:val="nil"/>
              <w:bottom w:val="nil"/>
              <w:right w:val="nil"/>
            </w:tcBorders>
            <w:vAlign w:val="center"/>
            <w:hideMark/>
          </w:tcPr>
          <w:p w14:paraId="40A3BA9D"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1 399</w:t>
            </w:r>
          </w:p>
        </w:tc>
      </w:tr>
      <w:tr w:rsidR="00262136" w:rsidRPr="00274557" w14:paraId="5B99F92A" w14:textId="77777777" w:rsidTr="009E2700">
        <w:trPr>
          <w:trHeight w:val="290"/>
        </w:trPr>
        <w:tc>
          <w:tcPr>
            <w:tcW w:w="2299" w:type="pct"/>
            <w:tcBorders>
              <w:top w:val="nil"/>
              <w:left w:val="nil"/>
              <w:bottom w:val="nil"/>
              <w:right w:val="nil"/>
            </w:tcBorders>
            <w:vAlign w:val="center"/>
            <w:hideMark/>
          </w:tcPr>
          <w:p w14:paraId="450B66F8"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Stredoslovenská energetika Holding, a. s.</w:t>
            </w:r>
          </w:p>
        </w:tc>
        <w:tc>
          <w:tcPr>
            <w:tcW w:w="540" w:type="pct"/>
            <w:tcBorders>
              <w:top w:val="nil"/>
              <w:left w:val="nil"/>
              <w:bottom w:val="nil"/>
              <w:right w:val="nil"/>
            </w:tcBorders>
            <w:vAlign w:val="center"/>
            <w:hideMark/>
          </w:tcPr>
          <w:p w14:paraId="617A0F9C"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38 784</w:t>
            </w:r>
          </w:p>
        </w:tc>
        <w:tc>
          <w:tcPr>
            <w:tcW w:w="540" w:type="pct"/>
            <w:tcBorders>
              <w:top w:val="nil"/>
              <w:left w:val="nil"/>
              <w:bottom w:val="nil"/>
              <w:right w:val="nil"/>
            </w:tcBorders>
            <w:vAlign w:val="center"/>
            <w:hideMark/>
          </w:tcPr>
          <w:p w14:paraId="22B5B382"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33 081</w:t>
            </w:r>
          </w:p>
        </w:tc>
        <w:tc>
          <w:tcPr>
            <w:tcW w:w="540" w:type="pct"/>
            <w:tcBorders>
              <w:top w:val="nil"/>
              <w:left w:val="nil"/>
              <w:bottom w:val="nil"/>
              <w:right w:val="nil"/>
            </w:tcBorders>
            <w:vAlign w:val="center"/>
            <w:hideMark/>
          </w:tcPr>
          <w:p w14:paraId="2FB441EB"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53 577</w:t>
            </w:r>
          </w:p>
        </w:tc>
        <w:tc>
          <w:tcPr>
            <w:tcW w:w="540" w:type="pct"/>
            <w:tcBorders>
              <w:top w:val="nil"/>
              <w:left w:val="nil"/>
              <w:bottom w:val="nil"/>
              <w:right w:val="nil"/>
            </w:tcBorders>
            <w:vAlign w:val="center"/>
            <w:hideMark/>
          </w:tcPr>
          <w:p w14:paraId="315196FC"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67 816</w:t>
            </w:r>
          </w:p>
        </w:tc>
        <w:tc>
          <w:tcPr>
            <w:tcW w:w="540" w:type="pct"/>
            <w:tcBorders>
              <w:top w:val="nil"/>
              <w:left w:val="nil"/>
              <w:bottom w:val="nil"/>
              <w:right w:val="nil"/>
            </w:tcBorders>
            <w:vAlign w:val="center"/>
            <w:hideMark/>
          </w:tcPr>
          <w:p w14:paraId="221A0762"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14 239</w:t>
            </w:r>
          </w:p>
        </w:tc>
      </w:tr>
      <w:tr w:rsidR="00262136" w:rsidRPr="00274557" w14:paraId="6F5F43B4" w14:textId="77777777" w:rsidTr="009E2700">
        <w:trPr>
          <w:trHeight w:val="290"/>
        </w:trPr>
        <w:tc>
          <w:tcPr>
            <w:tcW w:w="2299" w:type="pct"/>
            <w:tcBorders>
              <w:top w:val="nil"/>
              <w:left w:val="nil"/>
              <w:bottom w:val="nil"/>
              <w:right w:val="nil"/>
            </w:tcBorders>
            <w:vAlign w:val="center"/>
            <w:hideMark/>
          </w:tcPr>
          <w:p w14:paraId="3CF8B3CC"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2C16766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38 784</w:t>
            </w:r>
          </w:p>
        </w:tc>
        <w:tc>
          <w:tcPr>
            <w:tcW w:w="540" w:type="pct"/>
            <w:tcBorders>
              <w:top w:val="nil"/>
              <w:left w:val="nil"/>
              <w:bottom w:val="nil"/>
              <w:right w:val="nil"/>
            </w:tcBorders>
            <w:vAlign w:val="center"/>
            <w:hideMark/>
          </w:tcPr>
          <w:p w14:paraId="74C8DFF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28 726</w:t>
            </w:r>
          </w:p>
        </w:tc>
        <w:tc>
          <w:tcPr>
            <w:tcW w:w="540" w:type="pct"/>
            <w:tcBorders>
              <w:top w:val="nil"/>
              <w:left w:val="nil"/>
              <w:bottom w:val="nil"/>
              <w:right w:val="nil"/>
            </w:tcBorders>
            <w:vAlign w:val="center"/>
            <w:hideMark/>
          </w:tcPr>
          <w:p w14:paraId="59463BA3"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53 577</w:t>
            </w:r>
          </w:p>
        </w:tc>
        <w:tc>
          <w:tcPr>
            <w:tcW w:w="540" w:type="pct"/>
            <w:tcBorders>
              <w:top w:val="nil"/>
              <w:left w:val="nil"/>
              <w:bottom w:val="nil"/>
              <w:right w:val="nil"/>
            </w:tcBorders>
            <w:vAlign w:val="center"/>
            <w:hideMark/>
          </w:tcPr>
          <w:p w14:paraId="766ABBBF"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56 660</w:t>
            </w:r>
          </w:p>
        </w:tc>
        <w:tc>
          <w:tcPr>
            <w:tcW w:w="540" w:type="pct"/>
            <w:tcBorders>
              <w:top w:val="nil"/>
              <w:left w:val="nil"/>
              <w:bottom w:val="nil"/>
              <w:right w:val="nil"/>
            </w:tcBorders>
            <w:vAlign w:val="center"/>
            <w:hideMark/>
          </w:tcPr>
          <w:p w14:paraId="77B17EED"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3 083</w:t>
            </w:r>
          </w:p>
        </w:tc>
      </w:tr>
      <w:tr w:rsidR="00262136" w:rsidRPr="00274557" w14:paraId="56469A8D" w14:textId="77777777" w:rsidTr="00105F74">
        <w:trPr>
          <w:trHeight w:val="135"/>
        </w:trPr>
        <w:tc>
          <w:tcPr>
            <w:tcW w:w="2299" w:type="pct"/>
            <w:tcBorders>
              <w:top w:val="nil"/>
              <w:left w:val="nil"/>
              <w:bottom w:val="nil"/>
              <w:right w:val="nil"/>
            </w:tcBorders>
            <w:vAlign w:val="center"/>
            <w:hideMark/>
          </w:tcPr>
          <w:p w14:paraId="34B5491A"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29C235E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1A9A8F0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4 355</w:t>
            </w:r>
          </w:p>
        </w:tc>
        <w:tc>
          <w:tcPr>
            <w:tcW w:w="540" w:type="pct"/>
            <w:tcBorders>
              <w:top w:val="nil"/>
              <w:left w:val="nil"/>
              <w:bottom w:val="nil"/>
              <w:right w:val="nil"/>
            </w:tcBorders>
            <w:vAlign w:val="center"/>
            <w:hideMark/>
          </w:tcPr>
          <w:p w14:paraId="366DA42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27407219"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11 156</w:t>
            </w:r>
          </w:p>
        </w:tc>
        <w:tc>
          <w:tcPr>
            <w:tcW w:w="540" w:type="pct"/>
            <w:tcBorders>
              <w:top w:val="nil"/>
              <w:left w:val="nil"/>
              <w:bottom w:val="nil"/>
              <w:right w:val="nil"/>
            </w:tcBorders>
            <w:vAlign w:val="center"/>
            <w:hideMark/>
          </w:tcPr>
          <w:p w14:paraId="6E65E672"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11 156</w:t>
            </w:r>
          </w:p>
        </w:tc>
      </w:tr>
      <w:tr w:rsidR="00262136" w:rsidRPr="00274557" w14:paraId="603EAE96" w14:textId="77777777" w:rsidTr="009E2700">
        <w:trPr>
          <w:trHeight w:val="290"/>
        </w:trPr>
        <w:tc>
          <w:tcPr>
            <w:tcW w:w="2299" w:type="pct"/>
            <w:tcBorders>
              <w:top w:val="nil"/>
              <w:left w:val="nil"/>
              <w:bottom w:val="nil"/>
              <w:right w:val="nil"/>
            </w:tcBorders>
            <w:vAlign w:val="center"/>
            <w:hideMark/>
          </w:tcPr>
          <w:p w14:paraId="6DA3E5DE" w14:textId="7B0F2C3A"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Východoslovenská energetika Holding, a. s.</w:t>
            </w:r>
            <w:r w:rsidRPr="00BD1EC8">
              <w:rPr>
                <w:rFonts w:eastAsia="Times New Roman" w:cs="Times New Roman"/>
                <w:color w:val="000000"/>
                <w:sz w:val="18"/>
                <w:szCs w:val="18"/>
                <w:vertAlign w:val="superscript"/>
                <w:lang w:eastAsia="sk-SK"/>
              </w:rPr>
              <w:t>2)</w:t>
            </w:r>
          </w:p>
        </w:tc>
        <w:tc>
          <w:tcPr>
            <w:tcW w:w="540" w:type="pct"/>
            <w:tcBorders>
              <w:top w:val="nil"/>
              <w:left w:val="nil"/>
              <w:bottom w:val="nil"/>
              <w:right w:val="nil"/>
            </w:tcBorders>
            <w:vAlign w:val="center"/>
            <w:hideMark/>
          </w:tcPr>
          <w:p w14:paraId="43B65CE6"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10 710</w:t>
            </w:r>
          </w:p>
        </w:tc>
        <w:tc>
          <w:tcPr>
            <w:tcW w:w="540" w:type="pct"/>
            <w:tcBorders>
              <w:top w:val="nil"/>
              <w:left w:val="nil"/>
              <w:bottom w:val="nil"/>
              <w:right w:val="nil"/>
            </w:tcBorders>
            <w:vAlign w:val="center"/>
            <w:hideMark/>
          </w:tcPr>
          <w:p w14:paraId="4616C915"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732D0930"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21C6591F"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5155B647"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0</w:t>
            </w:r>
          </w:p>
        </w:tc>
      </w:tr>
      <w:tr w:rsidR="00262136" w:rsidRPr="00274557" w14:paraId="0297D53E" w14:textId="77777777" w:rsidTr="009E2700">
        <w:trPr>
          <w:trHeight w:val="290"/>
        </w:trPr>
        <w:tc>
          <w:tcPr>
            <w:tcW w:w="2299" w:type="pct"/>
            <w:tcBorders>
              <w:top w:val="nil"/>
              <w:left w:val="nil"/>
              <w:bottom w:val="nil"/>
              <w:right w:val="nil"/>
            </w:tcBorders>
            <w:vAlign w:val="center"/>
            <w:hideMark/>
          </w:tcPr>
          <w:p w14:paraId="5FBCA6CD"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6357FF68"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9 666</w:t>
            </w:r>
          </w:p>
        </w:tc>
        <w:tc>
          <w:tcPr>
            <w:tcW w:w="540" w:type="pct"/>
            <w:tcBorders>
              <w:top w:val="nil"/>
              <w:left w:val="nil"/>
              <w:bottom w:val="nil"/>
              <w:right w:val="nil"/>
            </w:tcBorders>
            <w:vAlign w:val="center"/>
            <w:hideMark/>
          </w:tcPr>
          <w:p w14:paraId="41EE1910"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6644644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68C9214F"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70FC226"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r>
      <w:tr w:rsidR="00262136" w:rsidRPr="00274557" w14:paraId="42FA78E6" w14:textId="77777777" w:rsidTr="00105F74">
        <w:trPr>
          <w:trHeight w:val="203"/>
        </w:trPr>
        <w:tc>
          <w:tcPr>
            <w:tcW w:w="2299" w:type="pct"/>
            <w:tcBorders>
              <w:top w:val="nil"/>
              <w:left w:val="nil"/>
              <w:bottom w:val="nil"/>
              <w:right w:val="nil"/>
            </w:tcBorders>
            <w:vAlign w:val="center"/>
            <w:hideMark/>
          </w:tcPr>
          <w:p w14:paraId="15DC7029"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44C7970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1 044</w:t>
            </w:r>
          </w:p>
        </w:tc>
        <w:tc>
          <w:tcPr>
            <w:tcW w:w="540" w:type="pct"/>
            <w:tcBorders>
              <w:top w:val="nil"/>
              <w:left w:val="nil"/>
              <w:bottom w:val="nil"/>
              <w:right w:val="nil"/>
            </w:tcBorders>
            <w:vAlign w:val="center"/>
            <w:hideMark/>
          </w:tcPr>
          <w:p w14:paraId="37FAF3D7"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31694D55"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2FC881A2"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3A21EFD4"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r>
      <w:tr w:rsidR="00262136" w:rsidRPr="00274557" w14:paraId="31DF9825" w14:textId="77777777" w:rsidTr="009E2700">
        <w:trPr>
          <w:trHeight w:val="290"/>
        </w:trPr>
        <w:tc>
          <w:tcPr>
            <w:tcW w:w="2299" w:type="pct"/>
            <w:tcBorders>
              <w:top w:val="nil"/>
              <w:left w:val="nil"/>
              <w:bottom w:val="nil"/>
              <w:right w:val="nil"/>
            </w:tcBorders>
            <w:vAlign w:val="center"/>
          </w:tcPr>
          <w:p w14:paraId="1DFCE414" w14:textId="0716E759" w:rsidR="00262136" w:rsidRPr="00274557" w:rsidRDefault="00262136" w:rsidP="00262136">
            <w:pPr>
              <w:spacing w:line="240" w:lineRule="auto"/>
              <w:rPr>
                <w:rFonts w:eastAsia="Times New Roman" w:cs="Times New Roman"/>
                <w:i/>
                <w:iCs/>
                <w:color w:val="000000"/>
                <w:sz w:val="18"/>
                <w:szCs w:val="18"/>
                <w:lang w:eastAsia="sk-SK"/>
              </w:rPr>
            </w:pPr>
            <w:r>
              <w:rPr>
                <w:rFonts w:eastAsia="Times New Roman" w:cs="Times New Roman"/>
                <w:i/>
                <w:iCs/>
                <w:color w:val="000000"/>
                <w:sz w:val="18"/>
                <w:szCs w:val="18"/>
                <w:lang w:eastAsia="sk-SK"/>
              </w:rPr>
              <w:t>Slovenské elektrárne, a.</w:t>
            </w:r>
            <w:r w:rsidR="008F3D82">
              <w:rPr>
                <w:rFonts w:eastAsia="Times New Roman" w:cs="Times New Roman"/>
                <w:i/>
                <w:iCs/>
                <w:color w:val="000000"/>
                <w:sz w:val="18"/>
                <w:szCs w:val="18"/>
                <w:lang w:eastAsia="sk-SK"/>
              </w:rPr>
              <w:t> </w:t>
            </w:r>
            <w:r>
              <w:rPr>
                <w:rFonts w:eastAsia="Times New Roman" w:cs="Times New Roman"/>
                <w:i/>
                <w:iCs/>
                <w:color w:val="000000"/>
                <w:sz w:val="18"/>
                <w:szCs w:val="18"/>
                <w:lang w:eastAsia="sk-SK"/>
              </w:rPr>
              <w:t>s.</w:t>
            </w:r>
          </w:p>
        </w:tc>
        <w:tc>
          <w:tcPr>
            <w:tcW w:w="540" w:type="pct"/>
            <w:tcBorders>
              <w:top w:val="nil"/>
              <w:left w:val="nil"/>
              <w:bottom w:val="nil"/>
              <w:right w:val="nil"/>
            </w:tcBorders>
            <w:vAlign w:val="center"/>
          </w:tcPr>
          <w:p w14:paraId="09C6828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tcPr>
          <w:p w14:paraId="1F8AFFF1"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tcPr>
          <w:p w14:paraId="3289742D"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tcPr>
          <w:p w14:paraId="5E3AC1F4"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color w:val="000000"/>
                <w:sz w:val="18"/>
                <w:szCs w:val="18"/>
                <w:lang w:eastAsia="sk-SK"/>
              </w:rPr>
              <w:t>170 000</w:t>
            </w:r>
          </w:p>
        </w:tc>
        <w:tc>
          <w:tcPr>
            <w:tcW w:w="540" w:type="pct"/>
            <w:tcBorders>
              <w:top w:val="nil"/>
              <w:left w:val="nil"/>
              <w:bottom w:val="nil"/>
              <w:right w:val="nil"/>
            </w:tcBorders>
            <w:vAlign w:val="center"/>
          </w:tcPr>
          <w:p w14:paraId="0F2FA528"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color w:val="000000"/>
                <w:sz w:val="18"/>
                <w:szCs w:val="18"/>
                <w:lang w:eastAsia="sk-SK"/>
              </w:rPr>
              <w:t>170 000</w:t>
            </w:r>
          </w:p>
        </w:tc>
      </w:tr>
      <w:tr w:rsidR="00262136" w:rsidRPr="00274557" w14:paraId="43B538B8" w14:textId="77777777" w:rsidTr="009E2700">
        <w:trPr>
          <w:trHeight w:val="290"/>
        </w:trPr>
        <w:tc>
          <w:tcPr>
            <w:tcW w:w="2299" w:type="pct"/>
            <w:tcBorders>
              <w:top w:val="nil"/>
              <w:left w:val="nil"/>
              <w:bottom w:val="nil"/>
              <w:right w:val="nil"/>
            </w:tcBorders>
            <w:vAlign w:val="center"/>
          </w:tcPr>
          <w:p w14:paraId="69DC8826"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tcPr>
          <w:p w14:paraId="4C60094C"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0</w:t>
            </w:r>
          </w:p>
        </w:tc>
        <w:tc>
          <w:tcPr>
            <w:tcW w:w="540" w:type="pct"/>
            <w:tcBorders>
              <w:top w:val="nil"/>
              <w:left w:val="nil"/>
              <w:bottom w:val="nil"/>
              <w:right w:val="nil"/>
            </w:tcBorders>
            <w:vAlign w:val="center"/>
          </w:tcPr>
          <w:p w14:paraId="1B518D3E"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tcPr>
          <w:p w14:paraId="22A434D4"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tcPr>
          <w:p w14:paraId="108B706D"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170 000</w:t>
            </w:r>
          </w:p>
        </w:tc>
        <w:tc>
          <w:tcPr>
            <w:tcW w:w="540" w:type="pct"/>
            <w:tcBorders>
              <w:top w:val="nil"/>
              <w:left w:val="nil"/>
              <w:bottom w:val="nil"/>
              <w:right w:val="nil"/>
            </w:tcBorders>
            <w:vAlign w:val="center"/>
          </w:tcPr>
          <w:p w14:paraId="5064BD0B"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170 000</w:t>
            </w:r>
          </w:p>
        </w:tc>
      </w:tr>
      <w:tr w:rsidR="00262136" w:rsidRPr="00274557" w14:paraId="198303D6" w14:textId="77777777" w:rsidTr="009E2700">
        <w:trPr>
          <w:trHeight w:val="290"/>
        </w:trPr>
        <w:tc>
          <w:tcPr>
            <w:tcW w:w="2299" w:type="pct"/>
            <w:tcBorders>
              <w:top w:val="nil"/>
              <w:left w:val="nil"/>
              <w:bottom w:val="nil"/>
              <w:right w:val="nil"/>
            </w:tcBorders>
            <w:vAlign w:val="center"/>
            <w:hideMark/>
          </w:tcPr>
          <w:p w14:paraId="26C25027" w14:textId="77777777" w:rsidR="00262136" w:rsidRPr="008A2922" w:rsidRDefault="00262136" w:rsidP="00262136">
            <w:pPr>
              <w:spacing w:line="240" w:lineRule="auto"/>
              <w:rPr>
                <w:rFonts w:eastAsia="Times New Roman" w:cs="Times New Roman"/>
                <w:b/>
                <w:color w:val="000000"/>
                <w:sz w:val="18"/>
                <w:szCs w:val="18"/>
                <w:lang w:eastAsia="sk-SK"/>
              </w:rPr>
            </w:pPr>
            <w:r w:rsidRPr="008A2922">
              <w:rPr>
                <w:rFonts w:eastAsia="Times New Roman" w:cs="Times New Roman"/>
                <w:b/>
                <w:color w:val="000000"/>
                <w:sz w:val="18"/>
                <w:szCs w:val="18"/>
                <w:lang w:eastAsia="sk-SK"/>
              </w:rPr>
              <w:t xml:space="preserve">MH Manažment, a. s. </w:t>
            </w:r>
          </w:p>
        </w:tc>
        <w:tc>
          <w:tcPr>
            <w:tcW w:w="540" w:type="pct"/>
            <w:tcBorders>
              <w:top w:val="nil"/>
              <w:left w:val="nil"/>
              <w:bottom w:val="nil"/>
              <w:right w:val="nil"/>
            </w:tcBorders>
            <w:vAlign w:val="center"/>
            <w:hideMark/>
          </w:tcPr>
          <w:p w14:paraId="0789A9F5"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4749E1E9"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567</w:t>
            </w:r>
          </w:p>
        </w:tc>
        <w:tc>
          <w:tcPr>
            <w:tcW w:w="540" w:type="pct"/>
            <w:tcBorders>
              <w:top w:val="nil"/>
              <w:left w:val="nil"/>
              <w:bottom w:val="nil"/>
              <w:right w:val="nil"/>
            </w:tcBorders>
            <w:vAlign w:val="center"/>
            <w:hideMark/>
          </w:tcPr>
          <w:p w14:paraId="786C938A"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7865048C"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476</w:t>
            </w:r>
          </w:p>
        </w:tc>
        <w:tc>
          <w:tcPr>
            <w:tcW w:w="540" w:type="pct"/>
            <w:tcBorders>
              <w:top w:val="nil"/>
              <w:left w:val="nil"/>
              <w:bottom w:val="nil"/>
              <w:right w:val="nil"/>
            </w:tcBorders>
            <w:vAlign w:val="center"/>
            <w:hideMark/>
          </w:tcPr>
          <w:p w14:paraId="566C72F5"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476</w:t>
            </w:r>
          </w:p>
        </w:tc>
      </w:tr>
      <w:tr w:rsidR="00262136" w:rsidRPr="00274557" w14:paraId="107077FA" w14:textId="77777777" w:rsidTr="009E2700">
        <w:trPr>
          <w:trHeight w:val="290"/>
        </w:trPr>
        <w:tc>
          <w:tcPr>
            <w:tcW w:w="2299" w:type="pct"/>
            <w:tcBorders>
              <w:top w:val="nil"/>
              <w:left w:val="nil"/>
              <w:bottom w:val="nil"/>
              <w:right w:val="nil"/>
            </w:tcBorders>
            <w:vAlign w:val="center"/>
            <w:hideMark/>
          </w:tcPr>
          <w:p w14:paraId="5236F29F"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21069B59"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15827A27"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557</w:t>
            </w:r>
          </w:p>
        </w:tc>
        <w:tc>
          <w:tcPr>
            <w:tcW w:w="540" w:type="pct"/>
            <w:tcBorders>
              <w:top w:val="nil"/>
              <w:left w:val="nil"/>
              <w:bottom w:val="nil"/>
              <w:right w:val="nil"/>
            </w:tcBorders>
            <w:vAlign w:val="center"/>
            <w:hideMark/>
          </w:tcPr>
          <w:p w14:paraId="4994F55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72942BBE"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469</w:t>
            </w:r>
          </w:p>
        </w:tc>
        <w:tc>
          <w:tcPr>
            <w:tcW w:w="540" w:type="pct"/>
            <w:tcBorders>
              <w:top w:val="nil"/>
              <w:left w:val="nil"/>
              <w:bottom w:val="nil"/>
              <w:right w:val="nil"/>
            </w:tcBorders>
            <w:vAlign w:val="center"/>
            <w:hideMark/>
          </w:tcPr>
          <w:p w14:paraId="395F19E0"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469</w:t>
            </w:r>
          </w:p>
        </w:tc>
      </w:tr>
      <w:tr w:rsidR="00262136" w:rsidRPr="00274557" w14:paraId="147F5D61" w14:textId="77777777" w:rsidTr="00105F74">
        <w:trPr>
          <w:trHeight w:val="109"/>
        </w:trPr>
        <w:tc>
          <w:tcPr>
            <w:tcW w:w="2299" w:type="pct"/>
            <w:tcBorders>
              <w:top w:val="nil"/>
              <w:left w:val="nil"/>
              <w:bottom w:val="nil"/>
              <w:right w:val="nil"/>
            </w:tcBorders>
            <w:vAlign w:val="center"/>
            <w:hideMark/>
          </w:tcPr>
          <w:p w14:paraId="45B75DE1"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2699531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63153E5E"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10</w:t>
            </w:r>
          </w:p>
        </w:tc>
        <w:tc>
          <w:tcPr>
            <w:tcW w:w="540" w:type="pct"/>
            <w:tcBorders>
              <w:top w:val="nil"/>
              <w:left w:val="nil"/>
              <w:bottom w:val="nil"/>
              <w:right w:val="nil"/>
            </w:tcBorders>
            <w:vAlign w:val="center"/>
            <w:hideMark/>
          </w:tcPr>
          <w:p w14:paraId="41069203"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341C4C37"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7</w:t>
            </w:r>
          </w:p>
        </w:tc>
        <w:tc>
          <w:tcPr>
            <w:tcW w:w="540" w:type="pct"/>
            <w:tcBorders>
              <w:top w:val="nil"/>
              <w:left w:val="nil"/>
              <w:bottom w:val="nil"/>
              <w:right w:val="nil"/>
            </w:tcBorders>
            <w:vAlign w:val="center"/>
            <w:hideMark/>
          </w:tcPr>
          <w:p w14:paraId="3CA4ACA0"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7</w:t>
            </w:r>
          </w:p>
        </w:tc>
      </w:tr>
      <w:tr w:rsidR="00262136" w:rsidRPr="00274557" w14:paraId="3511B2AF" w14:textId="77777777" w:rsidTr="009E2700">
        <w:trPr>
          <w:trHeight w:val="290"/>
        </w:trPr>
        <w:tc>
          <w:tcPr>
            <w:tcW w:w="2299" w:type="pct"/>
            <w:tcBorders>
              <w:top w:val="nil"/>
              <w:left w:val="nil"/>
              <w:bottom w:val="nil"/>
              <w:right w:val="nil"/>
            </w:tcBorders>
            <w:vAlign w:val="center"/>
            <w:hideMark/>
          </w:tcPr>
          <w:p w14:paraId="752E1140" w14:textId="77777777" w:rsidR="00262136" w:rsidRPr="00274557" w:rsidRDefault="00262136" w:rsidP="00262136">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dopravy a výstavby SR</w:t>
            </w:r>
          </w:p>
        </w:tc>
        <w:tc>
          <w:tcPr>
            <w:tcW w:w="540" w:type="pct"/>
            <w:tcBorders>
              <w:top w:val="nil"/>
              <w:left w:val="nil"/>
              <w:bottom w:val="nil"/>
              <w:right w:val="nil"/>
            </w:tcBorders>
            <w:vAlign w:val="center"/>
            <w:hideMark/>
          </w:tcPr>
          <w:p w14:paraId="0358BB3D"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403</w:t>
            </w:r>
          </w:p>
        </w:tc>
        <w:tc>
          <w:tcPr>
            <w:tcW w:w="540" w:type="pct"/>
            <w:tcBorders>
              <w:top w:val="nil"/>
              <w:left w:val="nil"/>
              <w:bottom w:val="nil"/>
              <w:right w:val="nil"/>
            </w:tcBorders>
            <w:vAlign w:val="center"/>
            <w:hideMark/>
          </w:tcPr>
          <w:p w14:paraId="7E13D7B7"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459</w:t>
            </w:r>
          </w:p>
        </w:tc>
        <w:tc>
          <w:tcPr>
            <w:tcW w:w="540" w:type="pct"/>
            <w:tcBorders>
              <w:top w:val="nil"/>
              <w:left w:val="nil"/>
              <w:bottom w:val="nil"/>
              <w:right w:val="nil"/>
            </w:tcBorders>
            <w:vAlign w:val="center"/>
            <w:hideMark/>
          </w:tcPr>
          <w:p w14:paraId="5A478F66"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3</w:t>
            </w:r>
            <w:r>
              <w:rPr>
                <w:rFonts w:eastAsia="Times New Roman" w:cs="Times New Roman"/>
                <w:b/>
                <w:bCs/>
                <w:color w:val="000000"/>
                <w:sz w:val="18"/>
                <w:szCs w:val="18"/>
                <w:lang w:eastAsia="sk-SK"/>
              </w:rPr>
              <w:t>56</w:t>
            </w:r>
          </w:p>
        </w:tc>
        <w:tc>
          <w:tcPr>
            <w:tcW w:w="540" w:type="pct"/>
            <w:tcBorders>
              <w:top w:val="nil"/>
              <w:left w:val="nil"/>
              <w:bottom w:val="nil"/>
              <w:right w:val="nil"/>
            </w:tcBorders>
            <w:vAlign w:val="center"/>
            <w:hideMark/>
          </w:tcPr>
          <w:p w14:paraId="06552914" w14:textId="77777777" w:rsidR="00262136" w:rsidRPr="007C58E2" w:rsidRDefault="00262136" w:rsidP="00262136">
            <w:pPr>
              <w:spacing w:line="240" w:lineRule="auto"/>
              <w:jc w:val="right"/>
              <w:rPr>
                <w:rFonts w:eastAsia="Times New Roman" w:cs="Times New Roman"/>
                <w:b/>
                <w:bCs/>
                <w:color w:val="000000"/>
                <w:sz w:val="18"/>
                <w:szCs w:val="18"/>
                <w:lang w:eastAsia="sk-SK"/>
              </w:rPr>
            </w:pPr>
            <w:r w:rsidRPr="007C58E2">
              <w:rPr>
                <w:rFonts w:eastAsia="Times New Roman" w:cs="Times New Roman"/>
                <w:b/>
                <w:bCs/>
                <w:color w:val="000000"/>
                <w:sz w:val="18"/>
                <w:szCs w:val="18"/>
                <w:lang w:eastAsia="sk-SK"/>
              </w:rPr>
              <w:t>377</w:t>
            </w:r>
          </w:p>
        </w:tc>
        <w:tc>
          <w:tcPr>
            <w:tcW w:w="540" w:type="pct"/>
            <w:tcBorders>
              <w:top w:val="nil"/>
              <w:left w:val="nil"/>
              <w:bottom w:val="nil"/>
              <w:right w:val="nil"/>
            </w:tcBorders>
            <w:vAlign w:val="center"/>
            <w:hideMark/>
          </w:tcPr>
          <w:p w14:paraId="0C15A2C2" w14:textId="77777777" w:rsidR="00262136" w:rsidRPr="007C58E2" w:rsidRDefault="00262136" w:rsidP="00262136">
            <w:pPr>
              <w:spacing w:line="240" w:lineRule="auto"/>
              <w:jc w:val="right"/>
              <w:rPr>
                <w:rFonts w:eastAsia="Times New Roman" w:cs="Times New Roman"/>
                <w:b/>
                <w:bCs/>
                <w:color w:val="000000"/>
                <w:sz w:val="18"/>
                <w:szCs w:val="18"/>
                <w:lang w:eastAsia="sk-SK"/>
              </w:rPr>
            </w:pPr>
            <w:r w:rsidRPr="007C58E2">
              <w:rPr>
                <w:rFonts w:eastAsia="Times New Roman" w:cs="Times New Roman"/>
                <w:b/>
                <w:bCs/>
                <w:color w:val="000000"/>
                <w:sz w:val="18"/>
                <w:szCs w:val="18"/>
                <w:lang w:eastAsia="sk-SK"/>
              </w:rPr>
              <w:t>21</w:t>
            </w:r>
          </w:p>
        </w:tc>
      </w:tr>
      <w:tr w:rsidR="00262136" w:rsidRPr="00274557" w14:paraId="7491A572" w14:textId="77777777" w:rsidTr="009E2700">
        <w:trPr>
          <w:trHeight w:val="290"/>
        </w:trPr>
        <w:tc>
          <w:tcPr>
            <w:tcW w:w="2299" w:type="pct"/>
            <w:tcBorders>
              <w:top w:val="nil"/>
              <w:left w:val="nil"/>
              <w:bottom w:val="nil"/>
              <w:right w:val="nil"/>
            </w:tcBorders>
            <w:vAlign w:val="center"/>
            <w:hideMark/>
          </w:tcPr>
          <w:p w14:paraId="0300C4FC"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Letisko Košice - Airport Košice, a. s.</w:t>
            </w:r>
          </w:p>
        </w:tc>
        <w:tc>
          <w:tcPr>
            <w:tcW w:w="540" w:type="pct"/>
            <w:tcBorders>
              <w:top w:val="nil"/>
              <w:left w:val="nil"/>
              <w:bottom w:val="nil"/>
              <w:right w:val="nil"/>
            </w:tcBorders>
            <w:vAlign w:val="center"/>
            <w:hideMark/>
          </w:tcPr>
          <w:p w14:paraId="4F91B01E"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346</w:t>
            </w:r>
          </w:p>
        </w:tc>
        <w:tc>
          <w:tcPr>
            <w:tcW w:w="540" w:type="pct"/>
            <w:tcBorders>
              <w:top w:val="nil"/>
              <w:left w:val="nil"/>
              <w:bottom w:val="nil"/>
              <w:right w:val="nil"/>
            </w:tcBorders>
            <w:vAlign w:val="center"/>
            <w:hideMark/>
          </w:tcPr>
          <w:p w14:paraId="231E4E10"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426</w:t>
            </w:r>
          </w:p>
        </w:tc>
        <w:tc>
          <w:tcPr>
            <w:tcW w:w="540" w:type="pct"/>
            <w:tcBorders>
              <w:top w:val="nil"/>
              <w:left w:val="nil"/>
              <w:bottom w:val="nil"/>
              <w:right w:val="nil"/>
            </w:tcBorders>
            <w:vAlign w:val="center"/>
            <w:hideMark/>
          </w:tcPr>
          <w:p w14:paraId="5CA57A27"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356</w:t>
            </w:r>
          </w:p>
        </w:tc>
        <w:tc>
          <w:tcPr>
            <w:tcW w:w="540" w:type="pct"/>
            <w:tcBorders>
              <w:top w:val="nil"/>
              <w:left w:val="nil"/>
              <w:bottom w:val="nil"/>
              <w:right w:val="nil"/>
            </w:tcBorders>
            <w:vAlign w:val="center"/>
            <w:hideMark/>
          </w:tcPr>
          <w:p w14:paraId="534C08CD"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357</w:t>
            </w:r>
          </w:p>
        </w:tc>
        <w:tc>
          <w:tcPr>
            <w:tcW w:w="540" w:type="pct"/>
            <w:tcBorders>
              <w:top w:val="nil"/>
              <w:left w:val="nil"/>
              <w:bottom w:val="nil"/>
              <w:right w:val="nil"/>
            </w:tcBorders>
            <w:vAlign w:val="center"/>
            <w:hideMark/>
          </w:tcPr>
          <w:p w14:paraId="26FA8A20"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1</w:t>
            </w:r>
          </w:p>
        </w:tc>
      </w:tr>
      <w:tr w:rsidR="00262136" w:rsidRPr="00274557" w14:paraId="13269815" w14:textId="77777777" w:rsidTr="009E2700">
        <w:trPr>
          <w:trHeight w:val="290"/>
        </w:trPr>
        <w:tc>
          <w:tcPr>
            <w:tcW w:w="2299" w:type="pct"/>
            <w:tcBorders>
              <w:top w:val="nil"/>
              <w:left w:val="nil"/>
              <w:bottom w:val="nil"/>
              <w:right w:val="nil"/>
            </w:tcBorders>
            <w:vAlign w:val="center"/>
            <w:hideMark/>
          </w:tcPr>
          <w:p w14:paraId="1284EC9F"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107639F3"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346</w:t>
            </w:r>
          </w:p>
        </w:tc>
        <w:tc>
          <w:tcPr>
            <w:tcW w:w="540" w:type="pct"/>
            <w:tcBorders>
              <w:top w:val="nil"/>
              <w:left w:val="nil"/>
              <w:bottom w:val="nil"/>
              <w:right w:val="nil"/>
            </w:tcBorders>
            <w:vAlign w:val="center"/>
            <w:hideMark/>
          </w:tcPr>
          <w:p w14:paraId="2299DCD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365</w:t>
            </w:r>
          </w:p>
        </w:tc>
        <w:tc>
          <w:tcPr>
            <w:tcW w:w="540" w:type="pct"/>
            <w:tcBorders>
              <w:top w:val="nil"/>
              <w:left w:val="nil"/>
              <w:bottom w:val="nil"/>
              <w:right w:val="nil"/>
            </w:tcBorders>
            <w:vAlign w:val="center"/>
            <w:hideMark/>
          </w:tcPr>
          <w:p w14:paraId="03BB1655"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356</w:t>
            </w:r>
          </w:p>
        </w:tc>
        <w:tc>
          <w:tcPr>
            <w:tcW w:w="540" w:type="pct"/>
            <w:tcBorders>
              <w:top w:val="nil"/>
              <w:left w:val="nil"/>
              <w:bottom w:val="nil"/>
              <w:right w:val="nil"/>
            </w:tcBorders>
            <w:vAlign w:val="center"/>
            <w:hideMark/>
          </w:tcPr>
          <w:p w14:paraId="3B545AA6"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357</w:t>
            </w:r>
          </w:p>
        </w:tc>
        <w:tc>
          <w:tcPr>
            <w:tcW w:w="540" w:type="pct"/>
            <w:tcBorders>
              <w:top w:val="nil"/>
              <w:left w:val="nil"/>
              <w:bottom w:val="nil"/>
              <w:right w:val="nil"/>
            </w:tcBorders>
            <w:vAlign w:val="center"/>
            <w:hideMark/>
          </w:tcPr>
          <w:p w14:paraId="2E266CBF"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w:t>
            </w:r>
          </w:p>
        </w:tc>
      </w:tr>
      <w:tr w:rsidR="00262136" w:rsidRPr="00274557" w14:paraId="363B0DF3" w14:textId="77777777" w:rsidTr="00105F74">
        <w:trPr>
          <w:trHeight w:val="167"/>
        </w:trPr>
        <w:tc>
          <w:tcPr>
            <w:tcW w:w="2299" w:type="pct"/>
            <w:tcBorders>
              <w:top w:val="nil"/>
              <w:left w:val="nil"/>
              <w:bottom w:val="nil"/>
              <w:right w:val="nil"/>
            </w:tcBorders>
            <w:vAlign w:val="center"/>
            <w:hideMark/>
          </w:tcPr>
          <w:p w14:paraId="4AA5160D"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3A4BC1F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75C36DC"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61</w:t>
            </w:r>
          </w:p>
        </w:tc>
        <w:tc>
          <w:tcPr>
            <w:tcW w:w="540" w:type="pct"/>
            <w:tcBorders>
              <w:top w:val="nil"/>
              <w:left w:val="nil"/>
              <w:bottom w:val="nil"/>
              <w:right w:val="nil"/>
            </w:tcBorders>
            <w:vAlign w:val="center"/>
            <w:hideMark/>
          </w:tcPr>
          <w:p w14:paraId="77B1568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6950A918"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5673DEE6"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r>
      <w:tr w:rsidR="00262136" w:rsidRPr="00274557" w14:paraId="200D0C8D" w14:textId="77777777" w:rsidTr="009E2700">
        <w:trPr>
          <w:trHeight w:val="290"/>
        </w:trPr>
        <w:tc>
          <w:tcPr>
            <w:tcW w:w="2299" w:type="pct"/>
            <w:tcBorders>
              <w:top w:val="nil"/>
              <w:left w:val="nil"/>
              <w:bottom w:val="nil"/>
              <w:right w:val="nil"/>
            </w:tcBorders>
            <w:vAlign w:val="center"/>
            <w:hideMark/>
          </w:tcPr>
          <w:p w14:paraId="1292E870" w14:textId="14B5E586"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365.bank, a.</w:t>
            </w:r>
            <w:r w:rsidR="008F3D82">
              <w:rPr>
                <w:rFonts w:eastAsia="Times New Roman" w:cs="Times New Roman"/>
                <w:color w:val="000000"/>
                <w:sz w:val="18"/>
                <w:szCs w:val="18"/>
                <w:lang w:eastAsia="sk-SK"/>
              </w:rPr>
              <w:t> </w:t>
            </w:r>
            <w:r w:rsidRPr="00274557">
              <w:rPr>
                <w:rFonts w:eastAsia="Times New Roman" w:cs="Times New Roman"/>
                <w:color w:val="000000"/>
                <w:sz w:val="18"/>
                <w:szCs w:val="18"/>
                <w:lang w:eastAsia="sk-SK"/>
              </w:rPr>
              <w:t>s.</w:t>
            </w:r>
          </w:p>
        </w:tc>
        <w:tc>
          <w:tcPr>
            <w:tcW w:w="540" w:type="pct"/>
            <w:tcBorders>
              <w:top w:val="nil"/>
              <w:left w:val="nil"/>
              <w:bottom w:val="nil"/>
              <w:right w:val="nil"/>
            </w:tcBorders>
            <w:vAlign w:val="center"/>
            <w:hideMark/>
          </w:tcPr>
          <w:p w14:paraId="28EBDD44"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57</w:t>
            </w:r>
          </w:p>
        </w:tc>
        <w:tc>
          <w:tcPr>
            <w:tcW w:w="540" w:type="pct"/>
            <w:tcBorders>
              <w:top w:val="nil"/>
              <w:left w:val="nil"/>
              <w:bottom w:val="nil"/>
              <w:right w:val="nil"/>
            </w:tcBorders>
            <w:vAlign w:val="center"/>
            <w:hideMark/>
          </w:tcPr>
          <w:p w14:paraId="7B94459A"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33</w:t>
            </w:r>
          </w:p>
        </w:tc>
        <w:tc>
          <w:tcPr>
            <w:tcW w:w="540" w:type="pct"/>
            <w:tcBorders>
              <w:top w:val="nil"/>
              <w:left w:val="nil"/>
              <w:bottom w:val="nil"/>
              <w:right w:val="nil"/>
            </w:tcBorders>
            <w:vAlign w:val="center"/>
            <w:hideMark/>
          </w:tcPr>
          <w:p w14:paraId="023F253A"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4B83D459"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20</w:t>
            </w:r>
          </w:p>
        </w:tc>
        <w:tc>
          <w:tcPr>
            <w:tcW w:w="540" w:type="pct"/>
            <w:tcBorders>
              <w:top w:val="nil"/>
              <w:left w:val="nil"/>
              <w:bottom w:val="nil"/>
              <w:right w:val="nil"/>
            </w:tcBorders>
            <w:vAlign w:val="center"/>
            <w:hideMark/>
          </w:tcPr>
          <w:p w14:paraId="1B762F9B"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20</w:t>
            </w:r>
          </w:p>
        </w:tc>
      </w:tr>
      <w:tr w:rsidR="00262136" w:rsidRPr="00274557" w14:paraId="1C5F31B2" w14:textId="77777777" w:rsidTr="009E2700">
        <w:trPr>
          <w:trHeight w:val="290"/>
        </w:trPr>
        <w:tc>
          <w:tcPr>
            <w:tcW w:w="2299" w:type="pct"/>
            <w:tcBorders>
              <w:top w:val="nil"/>
              <w:left w:val="nil"/>
              <w:bottom w:val="nil"/>
              <w:right w:val="nil"/>
            </w:tcBorders>
            <w:vAlign w:val="center"/>
            <w:hideMark/>
          </w:tcPr>
          <w:p w14:paraId="2FA73C63"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3DC48086"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20</w:t>
            </w:r>
          </w:p>
        </w:tc>
        <w:tc>
          <w:tcPr>
            <w:tcW w:w="540" w:type="pct"/>
            <w:tcBorders>
              <w:top w:val="nil"/>
              <w:left w:val="nil"/>
              <w:bottom w:val="nil"/>
              <w:right w:val="nil"/>
            </w:tcBorders>
            <w:vAlign w:val="center"/>
            <w:hideMark/>
          </w:tcPr>
          <w:p w14:paraId="3683775C"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22</w:t>
            </w:r>
          </w:p>
        </w:tc>
        <w:tc>
          <w:tcPr>
            <w:tcW w:w="540" w:type="pct"/>
            <w:tcBorders>
              <w:top w:val="nil"/>
              <w:left w:val="nil"/>
              <w:bottom w:val="nil"/>
              <w:right w:val="nil"/>
            </w:tcBorders>
            <w:vAlign w:val="center"/>
            <w:hideMark/>
          </w:tcPr>
          <w:p w14:paraId="6C86E6BA"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E4E5367"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20</w:t>
            </w:r>
          </w:p>
        </w:tc>
        <w:tc>
          <w:tcPr>
            <w:tcW w:w="540" w:type="pct"/>
            <w:tcBorders>
              <w:top w:val="nil"/>
              <w:left w:val="nil"/>
              <w:bottom w:val="nil"/>
              <w:right w:val="nil"/>
            </w:tcBorders>
            <w:vAlign w:val="center"/>
            <w:hideMark/>
          </w:tcPr>
          <w:p w14:paraId="6DE24432"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20</w:t>
            </w:r>
          </w:p>
        </w:tc>
      </w:tr>
      <w:tr w:rsidR="00262136" w:rsidRPr="00274557" w14:paraId="0F797737" w14:textId="77777777" w:rsidTr="00105F74">
        <w:trPr>
          <w:trHeight w:val="221"/>
        </w:trPr>
        <w:tc>
          <w:tcPr>
            <w:tcW w:w="2299" w:type="pct"/>
            <w:tcBorders>
              <w:top w:val="nil"/>
              <w:left w:val="nil"/>
              <w:bottom w:val="nil"/>
              <w:right w:val="nil"/>
            </w:tcBorders>
            <w:vAlign w:val="center"/>
            <w:hideMark/>
          </w:tcPr>
          <w:p w14:paraId="0B023323"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superdividendy</w:t>
            </w:r>
          </w:p>
        </w:tc>
        <w:tc>
          <w:tcPr>
            <w:tcW w:w="540" w:type="pct"/>
            <w:tcBorders>
              <w:top w:val="nil"/>
              <w:left w:val="nil"/>
              <w:bottom w:val="nil"/>
              <w:right w:val="nil"/>
            </w:tcBorders>
            <w:vAlign w:val="center"/>
            <w:hideMark/>
          </w:tcPr>
          <w:p w14:paraId="6E708567"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37</w:t>
            </w:r>
          </w:p>
        </w:tc>
        <w:tc>
          <w:tcPr>
            <w:tcW w:w="540" w:type="pct"/>
            <w:tcBorders>
              <w:top w:val="nil"/>
              <w:left w:val="nil"/>
              <w:bottom w:val="nil"/>
              <w:right w:val="nil"/>
            </w:tcBorders>
            <w:vAlign w:val="center"/>
            <w:hideMark/>
          </w:tcPr>
          <w:p w14:paraId="6DBAA964"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11</w:t>
            </w:r>
          </w:p>
        </w:tc>
        <w:tc>
          <w:tcPr>
            <w:tcW w:w="540" w:type="pct"/>
            <w:tcBorders>
              <w:top w:val="nil"/>
              <w:left w:val="nil"/>
              <w:bottom w:val="nil"/>
              <w:right w:val="nil"/>
            </w:tcBorders>
            <w:vAlign w:val="center"/>
            <w:hideMark/>
          </w:tcPr>
          <w:p w14:paraId="2D014D9A"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260AD28E"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83C619D"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r>
      <w:tr w:rsidR="00262136" w:rsidRPr="00274557" w14:paraId="2B09BFED" w14:textId="77777777" w:rsidTr="009E2700">
        <w:trPr>
          <w:trHeight w:val="290"/>
        </w:trPr>
        <w:tc>
          <w:tcPr>
            <w:tcW w:w="2299" w:type="pct"/>
            <w:tcBorders>
              <w:top w:val="nil"/>
              <w:left w:val="nil"/>
              <w:bottom w:val="nil"/>
              <w:right w:val="nil"/>
            </w:tcBorders>
            <w:vAlign w:val="center"/>
            <w:hideMark/>
          </w:tcPr>
          <w:p w14:paraId="41DF2EC7" w14:textId="77777777" w:rsidR="00262136" w:rsidRPr="00274557" w:rsidRDefault="00262136" w:rsidP="00262136">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Správa štátnych hmotných rezerv SR</w:t>
            </w:r>
          </w:p>
        </w:tc>
        <w:tc>
          <w:tcPr>
            <w:tcW w:w="540" w:type="pct"/>
            <w:tcBorders>
              <w:top w:val="nil"/>
              <w:left w:val="nil"/>
              <w:bottom w:val="nil"/>
              <w:right w:val="nil"/>
            </w:tcBorders>
            <w:vAlign w:val="center"/>
            <w:hideMark/>
          </w:tcPr>
          <w:p w14:paraId="2A12722B"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109</w:t>
            </w:r>
          </w:p>
        </w:tc>
        <w:tc>
          <w:tcPr>
            <w:tcW w:w="540" w:type="pct"/>
            <w:tcBorders>
              <w:top w:val="nil"/>
              <w:left w:val="nil"/>
              <w:bottom w:val="nil"/>
              <w:right w:val="nil"/>
            </w:tcBorders>
            <w:vAlign w:val="center"/>
            <w:hideMark/>
          </w:tcPr>
          <w:p w14:paraId="20B2A85A"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0</w:t>
            </w:r>
          </w:p>
        </w:tc>
        <w:tc>
          <w:tcPr>
            <w:tcW w:w="540" w:type="pct"/>
            <w:tcBorders>
              <w:top w:val="nil"/>
              <w:left w:val="nil"/>
              <w:bottom w:val="nil"/>
              <w:right w:val="nil"/>
            </w:tcBorders>
            <w:vAlign w:val="center"/>
            <w:hideMark/>
          </w:tcPr>
          <w:p w14:paraId="00F1382D"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0</w:t>
            </w:r>
          </w:p>
        </w:tc>
        <w:tc>
          <w:tcPr>
            <w:tcW w:w="540" w:type="pct"/>
            <w:tcBorders>
              <w:top w:val="nil"/>
              <w:left w:val="nil"/>
              <w:bottom w:val="nil"/>
              <w:right w:val="nil"/>
            </w:tcBorders>
            <w:vAlign w:val="center"/>
            <w:hideMark/>
          </w:tcPr>
          <w:p w14:paraId="4104C1A8" w14:textId="77777777" w:rsidR="00262136" w:rsidRPr="007C58E2" w:rsidRDefault="00262136" w:rsidP="00262136">
            <w:pPr>
              <w:spacing w:line="240" w:lineRule="auto"/>
              <w:jc w:val="right"/>
              <w:rPr>
                <w:rFonts w:eastAsia="Times New Roman" w:cs="Times New Roman"/>
                <w:b/>
                <w:bCs/>
                <w:color w:val="000000"/>
                <w:sz w:val="18"/>
                <w:szCs w:val="18"/>
                <w:lang w:eastAsia="sk-SK"/>
              </w:rPr>
            </w:pPr>
            <w:r w:rsidRPr="007C58E2">
              <w:rPr>
                <w:rFonts w:eastAsia="Times New Roman" w:cs="Times New Roman"/>
                <w:b/>
                <w:bCs/>
                <w:color w:val="000000"/>
                <w:sz w:val="18"/>
                <w:szCs w:val="18"/>
                <w:lang w:eastAsia="sk-SK"/>
              </w:rPr>
              <w:t>0</w:t>
            </w:r>
          </w:p>
        </w:tc>
        <w:tc>
          <w:tcPr>
            <w:tcW w:w="540" w:type="pct"/>
            <w:tcBorders>
              <w:top w:val="nil"/>
              <w:left w:val="nil"/>
              <w:bottom w:val="nil"/>
              <w:right w:val="nil"/>
            </w:tcBorders>
            <w:vAlign w:val="center"/>
            <w:hideMark/>
          </w:tcPr>
          <w:p w14:paraId="6E86236B" w14:textId="77777777" w:rsidR="00262136" w:rsidRPr="007C58E2" w:rsidRDefault="00262136" w:rsidP="00262136">
            <w:pPr>
              <w:spacing w:line="240" w:lineRule="auto"/>
              <w:jc w:val="right"/>
              <w:rPr>
                <w:rFonts w:eastAsia="Times New Roman" w:cs="Times New Roman"/>
                <w:b/>
                <w:bCs/>
                <w:color w:val="000000"/>
                <w:sz w:val="18"/>
                <w:szCs w:val="18"/>
                <w:lang w:eastAsia="sk-SK"/>
              </w:rPr>
            </w:pPr>
            <w:r w:rsidRPr="007C58E2">
              <w:rPr>
                <w:rFonts w:eastAsia="Times New Roman" w:cs="Times New Roman"/>
                <w:b/>
                <w:bCs/>
                <w:color w:val="000000"/>
                <w:sz w:val="18"/>
                <w:szCs w:val="18"/>
                <w:lang w:eastAsia="sk-SK"/>
              </w:rPr>
              <w:t>0</w:t>
            </w:r>
          </w:p>
        </w:tc>
      </w:tr>
      <w:tr w:rsidR="00262136" w:rsidRPr="00274557" w14:paraId="5D7B1224" w14:textId="77777777" w:rsidTr="009E2700">
        <w:trPr>
          <w:trHeight w:val="290"/>
        </w:trPr>
        <w:tc>
          <w:tcPr>
            <w:tcW w:w="2299" w:type="pct"/>
            <w:tcBorders>
              <w:top w:val="nil"/>
              <w:left w:val="nil"/>
              <w:bottom w:val="nil"/>
              <w:right w:val="nil"/>
            </w:tcBorders>
            <w:vAlign w:val="center"/>
            <w:hideMark/>
          </w:tcPr>
          <w:p w14:paraId="3014AAE9"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Spoločnosť pre skladovanie, a.</w:t>
            </w:r>
            <w:r>
              <w:rPr>
                <w:rFonts w:eastAsia="Times New Roman" w:cs="Times New Roman"/>
                <w:color w:val="000000"/>
                <w:sz w:val="18"/>
                <w:szCs w:val="18"/>
                <w:lang w:eastAsia="sk-SK"/>
              </w:rPr>
              <w:t> </w:t>
            </w:r>
            <w:r w:rsidRPr="00274557">
              <w:rPr>
                <w:rFonts w:eastAsia="Times New Roman" w:cs="Times New Roman"/>
                <w:color w:val="000000"/>
                <w:sz w:val="18"/>
                <w:szCs w:val="18"/>
                <w:lang w:eastAsia="sk-SK"/>
              </w:rPr>
              <w:t>s.</w:t>
            </w:r>
          </w:p>
        </w:tc>
        <w:tc>
          <w:tcPr>
            <w:tcW w:w="540" w:type="pct"/>
            <w:tcBorders>
              <w:top w:val="nil"/>
              <w:left w:val="nil"/>
              <w:bottom w:val="nil"/>
              <w:right w:val="nil"/>
            </w:tcBorders>
            <w:vAlign w:val="center"/>
            <w:hideMark/>
          </w:tcPr>
          <w:p w14:paraId="23ED6EE2"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i/>
                <w:iCs/>
                <w:color w:val="000000"/>
                <w:sz w:val="18"/>
                <w:szCs w:val="18"/>
                <w:lang w:eastAsia="sk-SK"/>
              </w:rPr>
              <w:t>109</w:t>
            </w:r>
          </w:p>
        </w:tc>
        <w:tc>
          <w:tcPr>
            <w:tcW w:w="540" w:type="pct"/>
            <w:tcBorders>
              <w:top w:val="nil"/>
              <w:left w:val="nil"/>
              <w:bottom w:val="nil"/>
              <w:right w:val="nil"/>
            </w:tcBorders>
            <w:vAlign w:val="center"/>
            <w:hideMark/>
          </w:tcPr>
          <w:p w14:paraId="66C39D74"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797C64AC"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342F0C27"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0BF1FCC7"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r>
      <w:tr w:rsidR="00262136" w:rsidRPr="00274557" w14:paraId="6652CE2E" w14:textId="77777777" w:rsidTr="009E2700">
        <w:trPr>
          <w:trHeight w:val="460"/>
        </w:trPr>
        <w:tc>
          <w:tcPr>
            <w:tcW w:w="2299" w:type="pct"/>
            <w:tcBorders>
              <w:top w:val="nil"/>
              <w:left w:val="nil"/>
              <w:bottom w:val="nil"/>
              <w:right w:val="nil"/>
            </w:tcBorders>
            <w:vAlign w:val="center"/>
            <w:hideMark/>
          </w:tcPr>
          <w:p w14:paraId="5573E397" w14:textId="77777777" w:rsidR="00262136" w:rsidRPr="00274557" w:rsidRDefault="00262136" w:rsidP="00262136">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pôdohospodárstva a rozvoja vidieka SR</w:t>
            </w:r>
          </w:p>
        </w:tc>
        <w:tc>
          <w:tcPr>
            <w:tcW w:w="540" w:type="pct"/>
            <w:tcBorders>
              <w:top w:val="nil"/>
              <w:left w:val="nil"/>
              <w:bottom w:val="nil"/>
              <w:right w:val="nil"/>
            </w:tcBorders>
            <w:vAlign w:val="center"/>
            <w:hideMark/>
          </w:tcPr>
          <w:p w14:paraId="59EF0300"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0</w:t>
            </w:r>
          </w:p>
        </w:tc>
        <w:tc>
          <w:tcPr>
            <w:tcW w:w="540" w:type="pct"/>
            <w:tcBorders>
              <w:top w:val="nil"/>
              <w:left w:val="nil"/>
              <w:bottom w:val="nil"/>
              <w:right w:val="nil"/>
            </w:tcBorders>
            <w:vAlign w:val="center"/>
            <w:hideMark/>
          </w:tcPr>
          <w:p w14:paraId="41530D76"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1 500</w:t>
            </w:r>
          </w:p>
        </w:tc>
        <w:tc>
          <w:tcPr>
            <w:tcW w:w="540" w:type="pct"/>
            <w:tcBorders>
              <w:top w:val="nil"/>
              <w:left w:val="nil"/>
              <w:bottom w:val="nil"/>
              <w:right w:val="nil"/>
            </w:tcBorders>
            <w:vAlign w:val="center"/>
            <w:hideMark/>
          </w:tcPr>
          <w:p w14:paraId="2A384860"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1 500</w:t>
            </w:r>
          </w:p>
        </w:tc>
        <w:tc>
          <w:tcPr>
            <w:tcW w:w="540" w:type="pct"/>
            <w:tcBorders>
              <w:top w:val="nil"/>
              <w:left w:val="nil"/>
              <w:bottom w:val="nil"/>
              <w:right w:val="nil"/>
            </w:tcBorders>
            <w:vAlign w:val="center"/>
            <w:hideMark/>
          </w:tcPr>
          <w:p w14:paraId="4C3D62EA" w14:textId="77777777" w:rsidR="00262136" w:rsidRPr="007C58E2" w:rsidRDefault="00262136" w:rsidP="00262136">
            <w:pPr>
              <w:spacing w:line="240" w:lineRule="auto"/>
              <w:jc w:val="right"/>
              <w:rPr>
                <w:rFonts w:eastAsia="Times New Roman" w:cs="Times New Roman"/>
                <w:b/>
                <w:bCs/>
                <w:color w:val="000000"/>
                <w:sz w:val="18"/>
                <w:szCs w:val="18"/>
                <w:lang w:eastAsia="sk-SK"/>
              </w:rPr>
            </w:pPr>
            <w:r w:rsidRPr="007C58E2">
              <w:rPr>
                <w:rFonts w:eastAsia="Times New Roman" w:cs="Times New Roman"/>
                <w:b/>
                <w:bCs/>
                <w:color w:val="000000"/>
                <w:sz w:val="18"/>
                <w:szCs w:val="18"/>
                <w:lang w:eastAsia="sk-SK"/>
              </w:rPr>
              <w:t>0</w:t>
            </w:r>
          </w:p>
        </w:tc>
        <w:tc>
          <w:tcPr>
            <w:tcW w:w="540" w:type="pct"/>
            <w:tcBorders>
              <w:top w:val="nil"/>
              <w:left w:val="nil"/>
              <w:bottom w:val="nil"/>
              <w:right w:val="nil"/>
            </w:tcBorders>
            <w:vAlign w:val="center"/>
            <w:hideMark/>
          </w:tcPr>
          <w:p w14:paraId="6A089541" w14:textId="77777777" w:rsidR="00262136" w:rsidRPr="007C58E2" w:rsidRDefault="00262136" w:rsidP="00262136">
            <w:pPr>
              <w:spacing w:line="240" w:lineRule="auto"/>
              <w:jc w:val="right"/>
              <w:rPr>
                <w:rFonts w:eastAsia="Times New Roman" w:cs="Times New Roman"/>
                <w:b/>
                <w:bCs/>
                <w:color w:val="000000"/>
                <w:sz w:val="18"/>
                <w:szCs w:val="18"/>
                <w:lang w:eastAsia="sk-SK"/>
              </w:rPr>
            </w:pPr>
            <w:r w:rsidRPr="007C58E2">
              <w:rPr>
                <w:rFonts w:eastAsia="Times New Roman" w:cs="Times New Roman"/>
                <w:b/>
                <w:bCs/>
                <w:color w:val="000000"/>
                <w:sz w:val="18"/>
                <w:szCs w:val="18"/>
                <w:lang w:eastAsia="sk-SK"/>
              </w:rPr>
              <w:t>-1 500</w:t>
            </w:r>
          </w:p>
        </w:tc>
      </w:tr>
      <w:tr w:rsidR="00262136" w:rsidRPr="00274557" w14:paraId="1B66FEA0" w14:textId="77777777" w:rsidTr="009E2700">
        <w:trPr>
          <w:trHeight w:val="290"/>
        </w:trPr>
        <w:tc>
          <w:tcPr>
            <w:tcW w:w="2299" w:type="pct"/>
            <w:tcBorders>
              <w:top w:val="nil"/>
              <w:left w:val="nil"/>
              <w:bottom w:val="nil"/>
              <w:right w:val="nil"/>
            </w:tcBorders>
            <w:vAlign w:val="center"/>
            <w:hideMark/>
          </w:tcPr>
          <w:p w14:paraId="11BCA650"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Slovenský pozemkový fond</w:t>
            </w:r>
          </w:p>
        </w:tc>
        <w:tc>
          <w:tcPr>
            <w:tcW w:w="540" w:type="pct"/>
            <w:tcBorders>
              <w:top w:val="nil"/>
              <w:left w:val="nil"/>
              <w:bottom w:val="nil"/>
              <w:right w:val="nil"/>
            </w:tcBorders>
            <w:vAlign w:val="center"/>
            <w:hideMark/>
          </w:tcPr>
          <w:p w14:paraId="0D44F83F"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29F450AB"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1 500</w:t>
            </w:r>
          </w:p>
        </w:tc>
        <w:tc>
          <w:tcPr>
            <w:tcW w:w="540" w:type="pct"/>
            <w:tcBorders>
              <w:top w:val="nil"/>
              <w:left w:val="nil"/>
              <w:bottom w:val="nil"/>
              <w:right w:val="nil"/>
            </w:tcBorders>
            <w:vAlign w:val="center"/>
            <w:hideMark/>
          </w:tcPr>
          <w:p w14:paraId="1CC78A6A"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w:t>
            </w:r>
            <w:r>
              <w:rPr>
                <w:rFonts w:eastAsia="Times New Roman" w:cs="Times New Roman"/>
                <w:color w:val="000000"/>
                <w:sz w:val="18"/>
                <w:szCs w:val="18"/>
                <w:lang w:eastAsia="sk-SK"/>
              </w:rPr>
              <w:t> </w:t>
            </w:r>
            <w:r w:rsidRPr="00274557">
              <w:rPr>
                <w:rFonts w:eastAsia="Times New Roman" w:cs="Times New Roman"/>
                <w:color w:val="000000"/>
                <w:sz w:val="18"/>
                <w:szCs w:val="18"/>
                <w:lang w:eastAsia="sk-SK"/>
              </w:rPr>
              <w:t>500</w:t>
            </w:r>
          </w:p>
        </w:tc>
        <w:tc>
          <w:tcPr>
            <w:tcW w:w="540" w:type="pct"/>
            <w:tcBorders>
              <w:top w:val="nil"/>
              <w:left w:val="nil"/>
              <w:bottom w:val="nil"/>
              <w:right w:val="nil"/>
            </w:tcBorders>
            <w:vAlign w:val="center"/>
            <w:hideMark/>
          </w:tcPr>
          <w:p w14:paraId="2E15B344"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0</w:t>
            </w:r>
          </w:p>
        </w:tc>
        <w:tc>
          <w:tcPr>
            <w:tcW w:w="540" w:type="pct"/>
            <w:tcBorders>
              <w:top w:val="nil"/>
              <w:left w:val="nil"/>
              <w:bottom w:val="nil"/>
              <w:right w:val="nil"/>
            </w:tcBorders>
            <w:vAlign w:val="center"/>
            <w:hideMark/>
          </w:tcPr>
          <w:p w14:paraId="118AF85F" w14:textId="77777777" w:rsidR="00262136" w:rsidRPr="007C58E2" w:rsidRDefault="00262136" w:rsidP="00262136">
            <w:pPr>
              <w:spacing w:line="240" w:lineRule="auto"/>
              <w:jc w:val="right"/>
              <w:rPr>
                <w:rFonts w:eastAsia="Times New Roman" w:cs="Times New Roman"/>
                <w:color w:val="000000"/>
                <w:sz w:val="18"/>
                <w:szCs w:val="18"/>
                <w:lang w:eastAsia="sk-SK"/>
              </w:rPr>
            </w:pPr>
            <w:r w:rsidRPr="007C58E2">
              <w:rPr>
                <w:rFonts w:eastAsia="Times New Roman" w:cs="Times New Roman"/>
                <w:color w:val="000000"/>
                <w:sz w:val="18"/>
                <w:szCs w:val="18"/>
                <w:lang w:eastAsia="sk-SK"/>
              </w:rPr>
              <w:t>-1</w:t>
            </w:r>
            <w:r>
              <w:rPr>
                <w:rFonts w:eastAsia="Times New Roman" w:cs="Times New Roman"/>
                <w:color w:val="000000"/>
                <w:sz w:val="18"/>
                <w:szCs w:val="18"/>
                <w:lang w:eastAsia="sk-SK"/>
              </w:rPr>
              <w:t xml:space="preserve"> </w:t>
            </w:r>
            <w:r w:rsidRPr="007C58E2">
              <w:rPr>
                <w:rFonts w:eastAsia="Times New Roman" w:cs="Times New Roman"/>
                <w:color w:val="000000"/>
                <w:sz w:val="18"/>
                <w:szCs w:val="18"/>
                <w:lang w:eastAsia="sk-SK"/>
              </w:rPr>
              <w:t>500</w:t>
            </w:r>
          </w:p>
        </w:tc>
      </w:tr>
      <w:tr w:rsidR="00262136" w:rsidRPr="00274557" w14:paraId="450588B7" w14:textId="77777777" w:rsidTr="009E2700">
        <w:trPr>
          <w:trHeight w:val="290"/>
        </w:trPr>
        <w:tc>
          <w:tcPr>
            <w:tcW w:w="2299" w:type="pct"/>
            <w:tcBorders>
              <w:top w:val="nil"/>
              <w:left w:val="nil"/>
              <w:bottom w:val="nil"/>
              <w:right w:val="nil"/>
            </w:tcBorders>
            <w:vAlign w:val="center"/>
            <w:hideMark/>
          </w:tcPr>
          <w:p w14:paraId="5942F6BF" w14:textId="77777777" w:rsidR="00262136" w:rsidRPr="00274557" w:rsidRDefault="00262136" w:rsidP="00262136">
            <w:pPr>
              <w:spacing w:line="240" w:lineRule="auto"/>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 xml:space="preserve">     riadne dividendy a odvody zo zisku</w:t>
            </w:r>
          </w:p>
        </w:tc>
        <w:tc>
          <w:tcPr>
            <w:tcW w:w="540" w:type="pct"/>
            <w:tcBorders>
              <w:top w:val="nil"/>
              <w:left w:val="nil"/>
              <w:bottom w:val="nil"/>
              <w:right w:val="nil"/>
            </w:tcBorders>
            <w:vAlign w:val="center"/>
            <w:hideMark/>
          </w:tcPr>
          <w:p w14:paraId="7900E72F"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32B1E23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1 500</w:t>
            </w:r>
          </w:p>
        </w:tc>
        <w:tc>
          <w:tcPr>
            <w:tcW w:w="540" w:type="pct"/>
            <w:tcBorders>
              <w:top w:val="nil"/>
              <w:left w:val="nil"/>
              <w:bottom w:val="nil"/>
              <w:right w:val="nil"/>
            </w:tcBorders>
            <w:vAlign w:val="center"/>
            <w:hideMark/>
          </w:tcPr>
          <w:p w14:paraId="6D3F7632" w14:textId="77777777" w:rsidR="00262136" w:rsidRPr="00274557" w:rsidRDefault="00262136" w:rsidP="00262136">
            <w:pPr>
              <w:spacing w:line="240" w:lineRule="auto"/>
              <w:jc w:val="right"/>
              <w:rPr>
                <w:rFonts w:eastAsia="Times New Roman" w:cs="Times New Roman"/>
                <w:i/>
                <w:iCs/>
                <w:color w:val="000000"/>
                <w:sz w:val="18"/>
                <w:szCs w:val="18"/>
                <w:lang w:eastAsia="sk-SK"/>
              </w:rPr>
            </w:pPr>
            <w:r w:rsidRPr="00274557">
              <w:rPr>
                <w:rFonts w:eastAsia="Times New Roman" w:cs="Times New Roman"/>
                <w:i/>
                <w:iCs/>
                <w:color w:val="000000"/>
                <w:sz w:val="18"/>
                <w:szCs w:val="18"/>
                <w:lang w:eastAsia="sk-SK"/>
              </w:rPr>
              <w:t>1 500</w:t>
            </w:r>
          </w:p>
        </w:tc>
        <w:tc>
          <w:tcPr>
            <w:tcW w:w="540" w:type="pct"/>
            <w:tcBorders>
              <w:top w:val="nil"/>
              <w:left w:val="nil"/>
              <w:bottom w:val="nil"/>
              <w:right w:val="nil"/>
            </w:tcBorders>
            <w:vAlign w:val="center"/>
            <w:hideMark/>
          </w:tcPr>
          <w:p w14:paraId="36A65ACB"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0</w:t>
            </w:r>
          </w:p>
        </w:tc>
        <w:tc>
          <w:tcPr>
            <w:tcW w:w="540" w:type="pct"/>
            <w:tcBorders>
              <w:top w:val="nil"/>
              <w:left w:val="nil"/>
              <w:bottom w:val="nil"/>
              <w:right w:val="nil"/>
            </w:tcBorders>
            <w:vAlign w:val="center"/>
            <w:hideMark/>
          </w:tcPr>
          <w:p w14:paraId="26F5F6B0" w14:textId="77777777" w:rsidR="00262136" w:rsidRPr="007C58E2" w:rsidRDefault="00262136" w:rsidP="00262136">
            <w:pPr>
              <w:spacing w:line="240" w:lineRule="auto"/>
              <w:jc w:val="right"/>
              <w:rPr>
                <w:rFonts w:eastAsia="Times New Roman" w:cs="Times New Roman"/>
                <w:i/>
                <w:iCs/>
                <w:color w:val="000000"/>
                <w:sz w:val="18"/>
                <w:szCs w:val="18"/>
                <w:lang w:eastAsia="sk-SK"/>
              </w:rPr>
            </w:pPr>
            <w:r w:rsidRPr="007C58E2">
              <w:rPr>
                <w:rFonts w:eastAsia="Times New Roman" w:cs="Times New Roman"/>
                <w:i/>
                <w:iCs/>
                <w:color w:val="000000"/>
                <w:sz w:val="18"/>
                <w:szCs w:val="18"/>
                <w:lang w:eastAsia="sk-SK"/>
              </w:rPr>
              <w:t>-1</w:t>
            </w:r>
            <w:r>
              <w:rPr>
                <w:rFonts w:eastAsia="Times New Roman" w:cs="Times New Roman"/>
                <w:i/>
                <w:iCs/>
                <w:color w:val="000000"/>
                <w:sz w:val="18"/>
                <w:szCs w:val="18"/>
                <w:lang w:eastAsia="sk-SK"/>
              </w:rPr>
              <w:t xml:space="preserve"> </w:t>
            </w:r>
            <w:r w:rsidRPr="007C58E2">
              <w:rPr>
                <w:rFonts w:eastAsia="Times New Roman" w:cs="Times New Roman"/>
                <w:i/>
                <w:iCs/>
                <w:color w:val="000000"/>
                <w:sz w:val="18"/>
                <w:szCs w:val="18"/>
                <w:lang w:eastAsia="sk-SK"/>
              </w:rPr>
              <w:t>500</w:t>
            </w:r>
          </w:p>
        </w:tc>
      </w:tr>
      <w:tr w:rsidR="00262136" w:rsidRPr="00274557" w14:paraId="09A96B1F" w14:textId="77777777" w:rsidTr="009E2700">
        <w:trPr>
          <w:trHeight w:val="290"/>
        </w:trPr>
        <w:tc>
          <w:tcPr>
            <w:tcW w:w="2299" w:type="pct"/>
            <w:tcBorders>
              <w:top w:val="nil"/>
              <w:left w:val="nil"/>
              <w:bottom w:val="nil"/>
              <w:right w:val="nil"/>
            </w:tcBorders>
            <w:vAlign w:val="center"/>
            <w:hideMark/>
          </w:tcPr>
          <w:p w14:paraId="005AB8F7" w14:textId="77777777" w:rsidR="00262136" w:rsidRPr="00274557" w:rsidRDefault="00262136" w:rsidP="00262136">
            <w:pPr>
              <w:spacing w:line="240" w:lineRule="auto"/>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Ministerstvo životného prostredia SR</w:t>
            </w:r>
          </w:p>
        </w:tc>
        <w:tc>
          <w:tcPr>
            <w:tcW w:w="540" w:type="pct"/>
            <w:tcBorders>
              <w:top w:val="nil"/>
              <w:left w:val="nil"/>
              <w:bottom w:val="nil"/>
              <w:right w:val="nil"/>
            </w:tcBorders>
            <w:vAlign w:val="center"/>
            <w:hideMark/>
          </w:tcPr>
          <w:p w14:paraId="33767F19"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152 000</w:t>
            </w:r>
          </w:p>
        </w:tc>
        <w:tc>
          <w:tcPr>
            <w:tcW w:w="540" w:type="pct"/>
            <w:tcBorders>
              <w:top w:val="nil"/>
              <w:left w:val="nil"/>
              <w:bottom w:val="nil"/>
              <w:right w:val="nil"/>
            </w:tcBorders>
            <w:vAlign w:val="center"/>
            <w:hideMark/>
          </w:tcPr>
          <w:p w14:paraId="63F6B1BB"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sidRPr="00274557">
              <w:rPr>
                <w:rFonts w:eastAsia="Times New Roman" w:cs="Times New Roman"/>
                <w:b/>
                <w:bCs/>
                <w:color w:val="000000"/>
                <w:sz w:val="18"/>
                <w:szCs w:val="18"/>
                <w:lang w:eastAsia="sk-SK"/>
              </w:rPr>
              <w:t>101 318</w:t>
            </w:r>
          </w:p>
        </w:tc>
        <w:tc>
          <w:tcPr>
            <w:tcW w:w="540" w:type="pct"/>
            <w:tcBorders>
              <w:top w:val="nil"/>
              <w:left w:val="nil"/>
              <w:bottom w:val="nil"/>
              <w:right w:val="nil"/>
            </w:tcBorders>
            <w:vAlign w:val="center"/>
            <w:hideMark/>
          </w:tcPr>
          <w:p w14:paraId="0A0D3E62"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w:t>
            </w:r>
            <w:r w:rsidRPr="00274557">
              <w:rPr>
                <w:rFonts w:eastAsia="Times New Roman" w:cs="Times New Roman"/>
                <w:b/>
                <w:bCs/>
                <w:color w:val="000000"/>
                <w:sz w:val="18"/>
                <w:szCs w:val="18"/>
                <w:lang w:eastAsia="sk-SK"/>
              </w:rPr>
              <w:t>0 000</w:t>
            </w:r>
          </w:p>
        </w:tc>
        <w:tc>
          <w:tcPr>
            <w:tcW w:w="540" w:type="pct"/>
            <w:tcBorders>
              <w:top w:val="nil"/>
              <w:left w:val="nil"/>
              <w:bottom w:val="nil"/>
              <w:right w:val="nil"/>
            </w:tcBorders>
            <w:vAlign w:val="center"/>
            <w:hideMark/>
          </w:tcPr>
          <w:p w14:paraId="391EFB36"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48</w:t>
            </w:r>
            <w:r w:rsidRPr="0027455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167</w:t>
            </w:r>
          </w:p>
        </w:tc>
        <w:tc>
          <w:tcPr>
            <w:tcW w:w="540" w:type="pct"/>
            <w:tcBorders>
              <w:top w:val="nil"/>
              <w:left w:val="nil"/>
              <w:bottom w:val="nil"/>
              <w:right w:val="nil"/>
            </w:tcBorders>
            <w:vAlign w:val="center"/>
            <w:hideMark/>
          </w:tcPr>
          <w:p w14:paraId="749816A3" w14:textId="77777777" w:rsidR="00262136" w:rsidRPr="00274557" w:rsidRDefault="00262136" w:rsidP="0026213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8 167</w:t>
            </w:r>
          </w:p>
        </w:tc>
      </w:tr>
      <w:tr w:rsidR="00262136" w:rsidRPr="00274557" w14:paraId="52C30B14" w14:textId="77777777" w:rsidTr="009E2700">
        <w:trPr>
          <w:trHeight w:val="290"/>
        </w:trPr>
        <w:tc>
          <w:tcPr>
            <w:tcW w:w="2299" w:type="pct"/>
            <w:tcBorders>
              <w:top w:val="nil"/>
              <w:left w:val="nil"/>
              <w:bottom w:val="single" w:sz="4" w:space="0" w:color="auto"/>
              <w:right w:val="nil"/>
            </w:tcBorders>
            <w:vAlign w:val="center"/>
            <w:hideMark/>
          </w:tcPr>
          <w:p w14:paraId="437F3A23" w14:textId="77777777" w:rsidR="00262136" w:rsidRPr="00274557" w:rsidRDefault="00262136" w:rsidP="00262136">
            <w:pPr>
              <w:spacing w:line="240" w:lineRule="auto"/>
              <w:rPr>
                <w:rFonts w:eastAsia="Times New Roman" w:cs="Times New Roman"/>
                <w:color w:val="000000"/>
                <w:sz w:val="18"/>
                <w:szCs w:val="18"/>
                <w:lang w:eastAsia="sk-SK"/>
              </w:rPr>
            </w:pPr>
            <w:r w:rsidRPr="00274557">
              <w:rPr>
                <w:rFonts w:eastAsia="Times New Roman" w:cs="Times New Roman"/>
                <w:color w:val="000000"/>
                <w:sz w:val="18"/>
                <w:szCs w:val="18"/>
                <w:lang w:eastAsia="sk-SK"/>
              </w:rPr>
              <w:t xml:space="preserve">Vodohospodárska výstavba, š. p. Bratislava </w:t>
            </w:r>
          </w:p>
        </w:tc>
        <w:tc>
          <w:tcPr>
            <w:tcW w:w="540" w:type="pct"/>
            <w:tcBorders>
              <w:top w:val="nil"/>
              <w:left w:val="nil"/>
              <w:bottom w:val="single" w:sz="4" w:space="0" w:color="auto"/>
              <w:right w:val="nil"/>
            </w:tcBorders>
            <w:vAlign w:val="center"/>
            <w:hideMark/>
          </w:tcPr>
          <w:p w14:paraId="02E61B33"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152 000</w:t>
            </w:r>
          </w:p>
        </w:tc>
        <w:tc>
          <w:tcPr>
            <w:tcW w:w="540" w:type="pct"/>
            <w:tcBorders>
              <w:top w:val="nil"/>
              <w:left w:val="nil"/>
              <w:bottom w:val="single" w:sz="4" w:space="0" w:color="auto"/>
              <w:right w:val="nil"/>
            </w:tcBorders>
            <w:vAlign w:val="center"/>
            <w:hideMark/>
          </w:tcPr>
          <w:p w14:paraId="50AE15C5" w14:textId="77777777" w:rsidR="00262136" w:rsidRPr="00274557" w:rsidRDefault="00262136" w:rsidP="00262136">
            <w:pPr>
              <w:spacing w:line="240" w:lineRule="auto"/>
              <w:jc w:val="right"/>
              <w:rPr>
                <w:rFonts w:eastAsia="Times New Roman" w:cs="Times New Roman"/>
                <w:color w:val="000000"/>
                <w:sz w:val="18"/>
                <w:szCs w:val="18"/>
                <w:lang w:eastAsia="sk-SK"/>
              </w:rPr>
            </w:pPr>
            <w:r w:rsidRPr="00274557">
              <w:rPr>
                <w:rFonts w:eastAsia="Times New Roman" w:cs="Times New Roman"/>
                <w:color w:val="000000"/>
                <w:sz w:val="18"/>
                <w:szCs w:val="18"/>
                <w:lang w:eastAsia="sk-SK"/>
              </w:rPr>
              <w:t>101 318</w:t>
            </w:r>
          </w:p>
        </w:tc>
        <w:tc>
          <w:tcPr>
            <w:tcW w:w="540" w:type="pct"/>
            <w:tcBorders>
              <w:top w:val="nil"/>
              <w:left w:val="nil"/>
              <w:bottom w:val="single" w:sz="4" w:space="0" w:color="auto"/>
              <w:right w:val="nil"/>
            </w:tcBorders>
            <w:vAlign w:val="center"/>
            <w:hideMark/>
          </w:tcPr>
          <w:p w14:paraId="418600C8"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w:t>
            </w:r>
            <w:r w:rsidRPr="00274557">
              <w:rPr>
                <w:rFonts w:eastAsia="Times New Roman" w:cs="Times New Roman"/>
                <w:color w:val="000000"/>
                <w:sz w:val="18"/>
                <w:szCs w:val="18"/>
                <w:lang w:eastAsia="sk-SK"/>
              </w:rPr>
              <w:t>0 000</w:t>
            </w:r>
          </w:p>
        </w:tc>
        <w:tc>
          <w:tcPr>
            <w:tcW w:w="540" w:type="pct"/>
            <w:tcBorders>
              <w:top w:val="nil"/>
              <w:left w:val="nil"/>
              <w:bottom w:val="single" w:sz="4" w:space="0" w:color="auto"/>
              <w:right w:val="nil"/>
            </w:tcBorders>
            <w:vAlign w:val="center"/>
            <w:hideMark/>
          </w:tcPr>
          <w:p w14:paraId="4CD8DDCF"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w:t>
            </w:r>
            <w:r w:rsidRPr="00274557">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167</w:t>
            </w:r>
          </w:p>
        </w:tc>
        <w:tc>
          <w:tcPr>
            <w:tcW w:w="540" w:type="pct"/>
            <w:tcBorders>
              <w:top w:val="nil"/>
              <w:left w:val="nil"/>
              <w:bottom w:val="single" w:sz="4" w:space="0" w:color="auto"/>
              <w:right w:val="nil"/>
            </w:tcBorders>
            <w:vAlign w:val="center"/>
            <w:hideMark/>
          </w:tcPr>
          <w:p w14:paraId="36C23048" w14:textId="77777777" w:rsidR="00262136" w:rsidRPr="00274557" w:rsidRDefault="00262136" w:rsidP="0026213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8 167</w:t>
            </w:r>
          </w:p>
        </w:tc>
      </w:tr>
    </w:tbl>
    <w:p w14:paraId="472325F6" w14:textId="1D603ED4" w:rsidR="009A05C7" w:rsidRPr="00BD1EC8" w:rsidRDefault="004551CE" w:rsidP="004551CE">
      <w:pPr>
        <w:tabs>
          <w:tab w:val="right" w:pos="9070"/>
        </w:tabs>
        <w:spacing w:line="240" w:lineRule="auto"/>
        <w:jc w:val="both"/>
        <w:rPr>
          <w:rFonts w:eastAsia="Times New Roman" w:cs="Times New Roman"/>
          <w:bCs/>
          <w:sz w:val="18"/>
          <w:szCs w:val="18"/>
          <w:lang w:eastAsia="sk-SK"/>
        </w:rPr>
      </w:pPr>
      <w:r w:rsidRPr="00BD1EC8">
        <w:rPr>
          <w:rFonts w:eastAsia="Times New Roman" w:cs="Times New Roman"/>
          <w:bCs/>
          <w:sz w:val="18"/>
          <w:szCs w:val="18"/>
          <w:vertAlign w:val="superscript"/>
          <w:lang w:eastAsia="sk-SK"/>
        </w:rPr>
        <w:t>1)</w:t>
      </w:r>
      <w:r w:rsidRPr="00BD1EC8">
        <w:rPr>
          <w:rFonts w:eastAsia="Calibri" w:cs="Times New Roman"/>
        </w:rPr>
        <w:t xml:space="preserve"> </w:t>
      </w:r>
      <w:r w:rsidRPr="00BD1EC8">
        <w:rPr>
          <w:rFonts w:eastAsia="Times New Roman" w:cs="Times New Roman"/>
          <w:bCs/>
          <w:sz w:val="18"/>
          <w:szCs w:val="18"/>
          <w:lang w:eastAsia="sk-SK"/>
        </w:rPr>
        <w:t>Tipos, a. s.</w:t>
      </w:r>
      <w:r w:rsidR="00467F0B">
        <w:rPr>
          <w:rFonts w:eastAsia="Times New Roman" w:cs="Times New Roman"/>
          <w:bCs/>
          <w:sz w:val="18"/>
          <w:szCs w:val="18"/>
          <w:lang w:eastAsia="sk-SK"/>
        </w:rPr>
        <w:t>,</w:t>
      </w:r>
      <w:r w:rsidRPr="00BD1EC8">
        <w:rPr>
          <w:rFonts w:eastAsia="Times New Roman" w:cs="Times New Roman"/>
          <w:bCs/>
          <w:sz w:val="18"/>
          <w:szCs w:val="18"/>
          <w:lang w:eastAsia="sk-SK"/>
        </w:rPr>
        <w:t xml:space="preserve"> bol do roku 2024 vykazovaný pod MF SR.</w:t>
      </w:r>
      <w:r w:rsidR="004942CF" w:rsidRPr="00BD1EC8">
        <w:rPr>
          <w:rFonts w:eastAsia="Times New Roman" w:cs="Times New Roman"/>
          <w:bCs/>
          <w:sz w:val="18"/>
          <w:szCs w:val="18"/>
          <w:lang w:eastAsia="sk-SK"/>
        </w:rPr>
        <w:tab/>
      </w:r>
      <w:r w:rsidR="009A05C7" w:rsidRPr="00BD1EC8">
        <w:rPr>
          <w:rFonts w:eastAsia="Times New Roman" w:cs="Times New Roman"/>
          <w:bCs/>
          <w:sz w:val="18"/>
          <w:szCs w:val="18"/>
          <w:lang w:eastAsia="sk-SK"/>
        </w:rPr>
        <w:t>Zdroj: MF SR</w:t>
      </w:r>
    </w:p>
    <w:p w14:paraId="514F5F15" w14:textId="77777777" w:rsidR="00B2185A" w:rsidRDefault="009A05C7" w:rsidP="004551CE">
      <w:pPr>
        <w:tabs>
          <w:tab w:val="right" w:pos="6804"/>
        </w:tabs>
        <w:spacing w:line="240" w:lineRule="auto"/>
        <w:jc w:val="both"/>
        <w:rPr>
          <w:rFonts w:eastAsia="Times New Roman" w:cs="Times New Roman"/>
          <w:bCs/>
          <w:sz w:val="18"/>
          <w:szCs w:val="18"/>
          <w:lang w:eastAsia="sk-SK"/>
        </w:rPr>
      </w:pPr>
      <w:r w:rsidRPr="00BD1EC8">
        <w:rPr>
          <w:rFonts w:eastAsia="Times New Roman" w:cs="Times New Roman"/>
          <w:bCs/>
          <w:sz w:val="18"/>
          <w:szCs w:val="18"/>
          <w:vertAlign w:val="superscript"/>
          <w:lang w:eastAsia="sk-SK"/>
        </w:rPr>
        <w:t>2)</w:t>
      </w:r>
      <w:r w:rsidR="00BD1EC8" w:rsidRPr="00BD1EC8">
        <w:rPr>
          <w:rFonts w:eastAsia="Times New Roman" w:cs="Times New Roman"/>
          <w:bCs/>
          <w:sz w:val="18"/>
          <w:szCs w:val="18"/>
          <w:lang w:eastAsia="sk-SK"/>
        </w:rPr>
        <w:t xml:space="preserve"> S platnosťou od 23.11.2023 bola právne zavŕšená realizácia integrácia skupiny VSE Holding do skupiny </w:t>
      </w:r>
    </w:p>
    <w:p w14:paraId="46230052" w14:textId="4F4626E8" w:rsidR="009A05C7" w:rsidRPr="00BD1EC8" w:rsidRDefault="00BD1EC8" w:rsidP="004551CE">
      <w:pPr>
        <w:tabs>
          <w:tab w:val="right" w:pos="6804"/>
        </w:tabs>
        <w:spacing w:line="240" w:lineRule="auto"/>
        <w:jc w:val="both"/>
        <w:rPr>
          <w:rFonts w:eastAsia="Times New Roman" w:cs="Times New Roman"/>
          <w:bCs/>
          <w:sz w:val="18"/>
          <w:szCs w:val="18"/>
          <w:lang w:eastAsia="sk-SK"/>
        </w:rPr>
      </w:pPr>
      <w:r w:rsidRPr="00BD1EC8">
        <w:rPr>
          <w:rFonts w:eastAsia="Times New Roman" w:cs="Times New Roman"/>
          <w:bCs/>
          <w:sz w:val="18"/>
          <w:szCs w:val="18"/>
          <w:lang w:eastAsia="sk-SK"/>
        </w:rPr>
        <w:t>ZSE, pričom materskou spoločnosťou novovzniknutého podnikového zoskupenia sa stala spoločnosť ZSE.</w:t>
      </w:r>
    </w:p>
    <w:p w14:paraId="483FD23B" w14:textId="77777777" w:rsidR="00A370EE" w:rsidRDefault="00A370EE" w:rsidP="00A370EE">
      <w:pPr>
        <w:spacing w:line="240" w:lineRule="auto"/>
        <w:jc w:val="both"/>
        <w:rPr>
          <w:szCs w:val="24"/>
        </w:rPr>
      </w:pPr>
    </w:p>
    <w:p w14:paraId="17FC1D44" w14:textId="2EA3F3AB" w:rsidR="009A05C7" w:rsidRPr="00A370EE" w:rsidRDefault="009A05C7" w:rsidP="00532D85">
      <w:pPr>
        <w:pStyle w:val="Podtitul"/>
        <w:spacing w:before="0"/>
        <w:jc w:val="both"/>
      </w:pPr>
      <w:r w:rsidRPr="00A370EE">
        <w:t>Prenesené výdavky štátneho rozpočtu</w:t>
      </w:r>
    </w:p>
    <w:p w14:paraId="31E24B87" w14:textId="70322146" w:rsidR="00A370EE" w:rsidRDefault="00A370EE" w:rsidP="00A370EE">
      <w:pPr>
        <w:spacing w:line="240" w:lineRule="auto"/>
        <w:jc w:val="both"/>
        <w:rPr>
          <w:szCs w:val="24"/>
        </w:rPr>
      </w:pPr>
      <w:r w:rsidRPr="00A370EE">
        <w:rPr>
          <w:szCs w:val="24"/>
        </w:rPr>
        <w:t>Podľa §</w:t>
      </w:r>
      <w:r>
        <w:rPr>
          <w:szCs w:val="24"/>
        </w:rPr>
        <w:t> </w:t>
      </w:r>
      <w:r w:rsidRPr="00A370EE">
        <w:rPr>
          <w:szCs w:val="24"/>
        </w:rPr>
        <w:t>8 ods.</w:t>
      </w:r>
      <w:r>
        <w:rPr>
          <w:szCs w:val="24"/>
        </w:rPr>
        <w:t> </w:t>
      </w:r>
      <w:r w:rsidRPr="00A370EE">
        <w:rPr>
          <w:szCs w:val="24"/>
        </w:rPr>
        <w:t>6 zákona č.</w:t>
      </w:r>
      <w:r>
        <w:rPr>
          <w:szCs w:val="24"/>
        </w:rPr>
        <w:t> </w:t>
      </w:r>
      <w:r w:rsidRPr="00A370EE">
        <w:rPr>
          <w:szCs w:val="24"/>
        </w:rPr>
        <w:t>523/2004</w:t>
      </w:r>
      <w:r>
        <w:rPr>
          <w:szCs w:val="24"/>
        </w:rPr>
        <w:t> </w:t>
      </w:r>
      <w:r w:rsidRPr="00A370EE">
        <w:rPr>
          <w:szCs w:val="24"/>
        </w:rPr>
        <w:t>Z.</w:t>
      </w:r>
      <w:r>
        <w:rPr>
          <w:szCs w:val="24"/>
        </w:rPr>
        <w:t> </w:t>
      </w:r>
      <w:r w:rsidRPr="00A370EE">
        <w:rPr>
          <w:szCs w:val="24"/>
        </w:rPr>
        <w:t>z. o rozpočtových pravidlách verejnej správy a</w:t>
      </w:r>
      <w:r>
        <w:rPr>
          <w:szCs w:val="24"/>
        </w:rPr>
        <w:t> </w:t>
      </w:r>
      <w:r w:rsidRPr="00A370EE">
        <w:rPr>
          <w:szCs w:val="24"/>
        </w:rPr>
        <w:t>o</w:t>
      </w:r>
      <w:r>
        <w:rPr>
          <w:szCs w:val="24"/>
        </w:rPr>
        <w:t> </w:t>
      </w:r>
      <w:r w:rsidRPr="00A370EE">
        <w:rPr>
          <w:szCs w:val="24"/>
        </w:rPr>
        <w:t>zmene a</w:t>
      </w:r>
      <w:r w:rsidR="0087783F">
        <w:rPr>
          <w:szCs w:val="24"/>
        </w:rPr>
        <w:t> </w:t>
      </w:r>
      <w:r w:rsidRPr="00A370EE">
        <w:rPr>
          <w:szCs w:val="24"/>
        </w:rPr>
        <w:t>doplnení niektorých zákonov v znení neskorších predpisov boli predmetom viazania prostriedkov s cieľom ich použitia v nasledujúcom rozpočtovom roku len prostriedky Európskej únie, prostriedky štátneho rozpočtu určených na financovanie spoločných programov Slovenskej republiky a Európskej únie a prostriedky štátneho rozpočtu určených na</w:t>
      </w:r>
      <w:r>
        <w:rPr>
          <w:szCs w:val="24"/>
        </w:rPr>
        <w:t> </w:t>
      </w:r>
      <w:r w:rsidRPr="00A370EE">
        <w:rPr>
          <w:szCs w:val="24"/>
        </w:rPr>
        <w:t>financovanie účelov vyplývajúcich z medzinárodných zmlúv o</w:t>
      </w:r>
      <w:r>
        <w:rPr>
          <w:szCs w:val="24"/>
        </w:rPr>
        <w:t> </w:t>
      </w:r>
      <w:r w:rsidRPr="00A370EE">
        <w:rPr>
          <w:szCs w:val="24"/>
        </w:rPr>
        <w:t>poskytnutí grantu uzatvorených medzi Slovenskou republikou a inými štátmi. Uvedené sa v kontexte § 20b zákona č.</w:t>
      </w:r>
      <w:r>
        <w:rPr>
          <w:szCs w:val="24"/>
        </w:rPr>
        <w:t> </w:t>
      </w:r>
      <w:r w:rsidRPr="00A370EE">
        <w:rPr>
          <w:szCs w:val="24"/>
        </w:rPr>
        <w:t>523/2004</w:t>
      </w:r>
      <w:r>
        <w:rPr>
          <w:szCs w:val="24"/>
        </w:rPr>
        <w:t> </w:t>
      </w:r>
      <w:r w:rsidRPr="00A370EE">
        <w:rPr>
          <w:szCs w:val="24"/>
        </w:rPr>
        <w:t>Z.</w:t>
      </w:r>
      <w:r>
        <w:rPr>
          <w:szCs w:val="24"/>
        </w:rPr>
        <w:t> </w:t>
      </w:r>
      <w:r w:rsidRPr="00A370EE">
        <w:rPr>
          <w:szCs w:val="24"/>
        </w:rPr>
        <w:t>z. aplikuje aj na prostriedky mechanizmu na podporu obnovy a odolnosti.</w:t>
      </w:r>
    </w:p>
    <w:p w14:paraId="7753D356" w14:textId="77777777" w:rsidR="00A370EE" w:rsidRPr="00A370EE" w:rsidRDefault="00A370EE" w:rsidP="00A370EE">
      <w:pPr>
        <w:spacing w:line="240" w:lineRule="auto"/>
        <w:jc w:val="both"/>
        <w:rPr>
          <w:szCs w:val="24"/>
        </w:rPr>
      </w:pPr>
    </w:p>
    <w:p w14:paraId="517835AF" w14:textId="7DEDCC23" w:rsidR="00A370EE" w:rsidRPr="00A370EE" w:rsidRDefault="00A370EE" w:rsidP="00A370EE">
      <w:pPr>
        <w:spacing w:line="240" w:lineRule="auto"/>
        <w:jc w:val="both"/>
        <w:rPr>
          <w:szCs w:val="24"/>
        </w:rPr>
      </w:pPr>
      <w:r w:rsidRPr="00A370EE">
        <w:rPr>
          <w:szCs w:val="24"/>
        </w:rPr>
        <w:lastRenderedPageBreak/>
        <w:t>Viazané a prenesené výdavky do ďalšieho rozpočtového roka pôsobia v</w:t>
      </w:r>
      <w:r w:rsidR="0005211B">
        <w:rPr>
          <w:szCs w:val="24"/>
        </w:rPr>
        <w:t> </w:t>
      </w:r>
      <w:r w:rsidRPr="00A370EE">
        <w:rPr>
          <w:szCs w:val="24"/>
        </w:rPr>
        <w:t>smere zníženia skutočného salda oproti schválenému rozpočtu v danom rozpočtovom roku, prenesené a zároveň použité výdavky z predchádzajúceho rozpočtového roka naopak saldo v</w:t>
      </w:r>
      <w:r w:rsidR="0005211B">
        <w:rPr>
          <w:szCs w:val="24"/>
        </w:rPr>
        <w:t> </w:t>
      </w:r>
      <w:r w:rsidRPr="00A370EE">
        <w:rPr>
          <w:szCs w:val="24"/>
        </w:rPr>
        <w:t>danom rozpočtovom roku zvyšujú. Čistý vplyv na saldo verejnej správy závisí od výsledného efektu presunov. Ak sú prenesené výdavky do ďalšieho rozpočtového roka vyššie ako použité z predchádzajúceho rozpočtového roka, saldo sa oproti schválenému rozpočtu zníži, v</w:t>
      </w:r>
      <w:r w:rsidR="0005211B">
        <w:rPr>
          <w:szCs w:val="24"/>
        </w:rPr>
        <w:t> </w:t>
      </w:r>
      <w:r w:rsidRPr="00A370EE">
        <w:rPr>
          <w:szCs w:val="24"/>
        </w:rPr>
        <w:t>opačnom prípade sa zvýši.</w:t>
      </w:r>
    </w:p>
    <w:p w14:paraId="7624C24A" w14:textId="36F00AFD" w:rsidR="009A05C7" w:rsidRPr="0050710A" w:rsidRDefault="009A05C7" w:rsidP="00532D85">
      <w:pPr>
        <w:spacing w:line="240" w:lineRule="auto"/>
        <w:jc w:val="both"/>
        <w:rPr>
          <w:rFonts w:cs="Times New Roman"/>
          <w:szCs w:val="24"/>
          <w:highlight w:val="yellow"/>
        </w:rPr>
      </w:pPr>
    </w:p>
    <w:p w14:paraId="7B3E8877" w14:textId="56BF4BC3" w:rsidR="009A05C7" w:rsidRPr="0005211B" w:rsidRDefault="009A05C7" w:rsidP="00532D85">
      <w:pPr>
        <w:spacing w:line="240" w:lineRule="auto"/>
        <w:jc w:val="both"/>
        <w:rPr>
          <w:rFonts w:cs="Times New Roman"/>
          <w:b/>
          <w:szCs w:val="24"/>
        </w:rPr>
      </w:pPr>
      <w:r w:rsidRPr="0005211B">
        <w:rPr>
          <w:rFonts w:cs="Times New Roman"/>
          <w:b/>
          <w:szCs w:val="24"/>
        </w:rPr>
        <w:t>Prostriedky z rozpočtu Európskej únie a prostriedky na spolufinancovanie</w:t>
      </w:r>
    </w:p>
    <w:p w14:paraId="654673C7" w14:textId="7114E7BE" w:rsidR="0005211B" w:rsidRPr="0005211B" w:rsidRDefault="0005211B" w:rsidP="0005211B">
      <w:pPr>
        <w:spacing w:line="240" w:lineRule="auto"/>
        <w:contextualSpacing/>
        <w:jc w:val="both"/>
        <w:rPr>
          <w:szCs w:val="24"/>
        </w:rPr>
      </w:pPr>
      <w:r w:rsidRPr="0005211B">
        <w:rPr>
          <w:szCs w:val="24"/>
        </w:rPr>
        <w:t>V roku 2024 sa podľa §</w:t>
      </w:r>
      <w:r>
        <w:rPr>
          <w:szCs w:val="24"/>
        </w:rPr>
        <w:t> </w:t>
      </w:r>
      <w:r w:rsidRPr="0005211B">
        <w:rPr>
          <w:szCs w:val="24"/>
        </w:rPr>
        <w:t>8 zákona č.</w:t>
      </w:r>
      <w:r>
        <w:rPr>
          <w:szCs w:val="24"/>
        </w:rPr>
        <w:t> </w:t>
      </w:r>
      <w:r w:rsidRPr="0005211B">
        <w:rPr>
          <w:szCs w:val="24"/>
        </w:rPr>
        <w:t>523/2004</w:t>
      </w:r>
      <w:r>
        <w:rPr>
          <w:szCs w:val="24"/>
        </w:rPr>
        <w:t> </w:t>
      </w:r>
      <w:r w:rsidRPr="0005211B">
        <w:rPr>
          <w:szCs w:val="24"/>
        </w:rPr>
        <w:t>Z.</w:t>
      </w:r>
      <w:r>
        <w:rPr>
          <w:szCs w:val="24"/>
        </w:rPr>
        <w:t> </w:t>
      </w:r>
      <w:r w:rsidRPr="0005211B">
        <w:rPr>
          <w:szCs w:val="24"/>
        </w:rPr>
        <w:t>z. viazali prostriedky z</w:t>
      </w:r>
      <w:r>
        <w:rPr>
          <w:szCs w:val="24"/>
        </w:rPr>
        <w:t> </w:t>
      </w:r>
      <w:r w:rsidRPr="0005211B">
        <w:rPr>
          <w:szCs w:val="24"/>
        </w:rPr>
        <w:t>rozpočtu Európskej únie a prostriedky na spolufinancovanie v sume 3</w:t>
      </w:r>
      <w:r>
        <w:rPr>
          <w:szCs w:val="24"/>
        </w:rPr>
        <w:t> </w:t>
      </w:r>
      <w:r w:rsidRPr="0005211B">
        <w:rPr>
          <w:szCs w:val="24"/>
        </w:rPr>
        <w:t>217</w:t>
      </w:r>
      <w:r>
        <w:rPr>
          <w:szCs w:val="24"/>
        </w:rPr>
        <w:t> </w:t>
      </w:r>
      <w:r w:rsidRPr="0005211B">
        <w:rPr>
          <w:szCs w:val="24"/>
        </w:rPr>
        <w:t>950</w:t>
      </w:r>
      <w:r>
        <w:rPr>
          <w:szCs w:val="24"/>
        </w:rPr>
        <w:t> </w:t>
      </w:r>
      <w:r w:rsidRPr="0005211B">
        <w:rPr>
          <w:szCs w:val="24"/>
        </w:rPr>
        <w:t>tis.</w:t>
      </w:r>
      <w:r>
        <w:rPr>
          <w:szCs w:val="24"/>
        </w:rPr>
        <w:t> </w:t>
      </w:r>
      <w:r w:rsidRPr="0005211B">
        <w:rPr>
          <w:szCs w:val="24"/>
        </w:rPr>
        <w:t>eur, z toho:</w:t>
      </w:r>
    </w:p>
    <w:p w14:paraId="5AD48EB4" w14:textId="70182CCD" w:rsidR="0005211B" w:rsidRPr="0005211B" w:rsidRDefault="0005211B" w:rsidP="008B1431">
      <w:pPr>
        <w:numPr>
          <w:ilvl w:val="0"/>
          <w:numId w:val="5"/>
        </w:numPr>
        <w:spacing w:line="240" w:lineRule="auto"/>
        <w:ind w:left="851"/>
        <w:contextualSpacing/>
        <w:jc w:val="both"/>
        <w:rPr>
          <w:szCs w:val="24"/>
        </w:rPr>
      </w:pPr>
      <w:r w:rsidRPr="0005211B">
        <w:rPr>
          <w:szCs w:val="24"/>
        </w:rPr>
        <w:t>prostriedky z rozpočtu Európskej únie v sume 2</w:t>
      </w:r>
      <w:r>
        <w:rPr>
          <w:szCs w:val="24"/>
        </w:rPr>
        <w:t> </w:t>
      </w:r>
      <w:r w:rsidRPr="0005211B">
        <w:rPr>
          <w:szCs w:val="24"/>
        </w:rPr>
        <w:t>428</w:t>
      </w:r>
      <w:r>
        <w:rPr>
          <w:szCs w:val="24"/>
        </w:rPr>
        <w:t> </w:t>
      </w:r>
      <w:r w:rsidRPr="0005211B">
        <w:rPr>
          <w:szCs w:val="24"/>
        </w:rPr>
        <w:t>691</w:t>
      </w:r>
      <w:r>
        <w:rPr>
          <w:szCs w:val="24"/>
        </w:rPr>
        <w:t> </w:t>
      </w:r>
      <w:r w:rsidRPr="0005211B">
        <w:rPr>
          <w:szCs w:val="24"/>
        </w:rPr>
        <w:t>tis.</w:t>
      </w:r>
      <w:r>
        <w:rPr>
          <w:szCs w:val="24"/>
        </w:rPr>
        <w:t> </w:t>
      </w:r>
      <w:r w:rsidRPr="0005211B">
        <w:rPr>
          <w:szCs w:val="24"/>
        </w:rPr>
        <w:t>eur (v tom kód zdroja 13 v sume 1</w:t>
      </w:r>
      <w:r>
        <w:rPr>
          <w:szCs w:val="24"/>
        </w:rPr>
        <w:t> </w:t>
      </w:r>
      <w:r w:rsidRPr="0005211B">
        <w:rPr>
          <w:szCs w:val="24"/>
        </w:rPr>
        <w:t>724</w:t>
      </w:r>
      <w:r>
        <w:rPr>
          <w:szCs w:val="24"/>
        </w:rPr>
        <w:t> </w:t>
      </w:r>
      <w:r w:rsidRPr="0005211B">
        <w:rPr>
          <w:szCs w:val="24"/>
        </w:rPr>
        <w:t>459 tis.</w:t>
      </w:r>
      <w:r>
        <w:rPr>
          <w:szCs w:val="24"/>
        </w:rPr>
        <w:t> </w:t>
      </w:r>
      <w:r w:rsidRPr="0005211B">
        <w:rPr>
          <w:szCs w:val="24"/>
        </w:rPr>
        <w:t>eur a kód zdroja 11 v sume 704</w:t>
      </w:r>
      <w:r>
        <w:rPr>
          <w:szCs w:val="24"/>
        </w:rPr>
        <w:t> </w:t>
      </w:r>
      <w:r w:rsidRPr="0005211B">
        <w:rPr>
          <w:szCs w:val="24"/>
        </w:rPr>
        <w:t>232</w:t>
      </w:r>
      <w:r>
        <w:rPr>
          <w:szCs w:val="24"/>
        </w:rPr>
        <w:t> </w:t>
      </w:r>
      <w:r w:rsidRPr="0005211B">
        <w:rPr>
          <w:szCs w:val="24"/>
        </w:rPr>
        <w:t>tis.</w:t>
      </w:r>
      <w:r>
        <w:rPr>
          <w:szCs w:val="24"/>
        </w:rPr>
        <w:t> </w:t>
      </w:r>
      <w:r w:rsidRPr="0005211B">
        <w:rPr>
          <w:szCs w:val="24"/>
        </w:rPr>
        <w:t>eur),</w:t>
      </w:r>
    </w:p>
    <w:p w14:paraId="2773816F" w14:textId="5979694B" w:rsidR="0005211B" w:rsidRPr="0005211B" w:rsidRDefault="0005211B" w:rsidP="008B1431">
      <w:pPr>
        <w:numPr>
          <w:ilvl w:val="0"/>
          <w:numId w:val="5"/>
        </w:numPr>
        <w:spacing w:line="240" w:lineRule="auto"/>
        <w:ind w:left="851"/>
        <w:jc w:val="both"/>
        <w:rPr>
          <w:szCs w:val="24"/>
        </w:rPr>
      </w:pPr>
      <w:r w:rsidRPr="0005211B">
        <w:rPr>
          <w:szCs w:val="24"/>
        </w:rPr>
        <w:t>prostriedky na spolufinancovanie v sume 789</w:t>
      </w:r>
      <w:r>
        <w:rPr>
          <w:szCs w:val="24"/>
        </w:rPr>
        <w:t> </w:t>
      </w:r>
      <w:r w:rsidRPr="0005211B">
        <w:rPr>
          <w:szCs w:val="24"/>
        </w:rPr>
        <w:t>259</w:t>
      </w:r>
      <w:r>
        <w:rPr>
          <w:szCs w:val="24"/>
        </w:rPr>
        <w:t> </w:t>
      </w:r>
      <w:r w:rsidRPr="0005211B">
        <w:rPr>
          <w:szCs w:val="24"/>
        </w:rPr>
        <w:t>tis.</w:t>
      </w:r>
      <w:r>
        <w:rPr>
          <w:szCs w:val="24"/>
        </w:rPr>
        <w:t> </w:t>
      </w:r>
      <w:r w:rsidRPr="0005211B">
        <w:rPr>
          <w:szCs w:val="24"/>
        </w:rPr>
        <w:t>eur (v tom kód zdroja 13 v sume 551</w:t>
      </w:r>
      <w:r>
        <w:rPr>
          <w:szCs w:val="24"/>
        </w:rPr>
        <w:t> </w:t>
      </w:r>
      <w:r w:rsidRPr="0005211B">
        <w:rPr>
          <w:szCs w:val="24"/>
        </w:rPr>
        <w:t xml:space="preserve">834 tis. eur a kód zdroja 11 v sume </w:t>
      </w:r>
      <w:r w:rsidRPr="0005211B">
        <w:t>237</w:t>
      </w:r>
      <w:r>
        <w:t> </w:t>
      </w:r>
      <w:r w:rsidRPr="0005211B">
        <w:t>425</w:t>
      </w:r>
      <w:r>
        <w:t> </w:t>
      </w:r>
      <w:r w:rsidRPr="0005211B">
        <w:rPr>
          <w:szCs w:val="24"/>
        </w:rPr>
        <w:t>tis.</w:t>
      </w:r>
      <w:r>
        <w:rPr>
          <w:szCs w:val="24"/>
        </w:rPr>
        <w:t> </w:t>
      </w:r>
      <w:r w:rsidRPr="0005211B">
        <w:rPr>
          <w:szCs w:val="24"/>
        </w:rPr>
        <w:t>eur),</w:t>
      </w:r>
    </w:p>
    <w:p w14:paraId="15394456" w14:textId="20063902" w:rsidR="0005211B" w:rsidRPr="0005211B" w:rsidRDefault="0005211B" w:rsidP="008C19E4">
      <w:pPr>
        <w:spacing w:line="240" w:lineRule="auto"/>
        <w:contextualSpacing/>
        <w:jc w:val="both"/>
        <w:rPr>
          <w:szCs w:val="24"/>
        </w:rPr>
      </w:pPr>
      <w:r w:rsidRPr="0005211B">
        <w:rPr>
          <w:szCs w:val="24"/>
        </w:rPr>
        <w:t>z ktorých sa v roku 2025 použilo 1</w:t>
      </w:r>
      <w:r>
        <w:rPr>
          <w:szCs w:val="24"/>
        </w:rPr>
        <w:t> </w:t>
      </w:r>
      <w:r w:rsidRPr="0005211B">
        <w:t>882</w:t>
      </w:r>
      <w:r>
        <w:t> </w:t>
      </w:r>
      <w:r w:rsidRPr="0005211B">
        <w:t>760</w:t>
      </w:r>
      <w:r>
        <w:t> </w:t>
      </w:r>
      <w:r w:rsidRPr="0005211B">
        <w:rPr>
          <w:szCs w:val="24"/>
        </w:rPr>
        <w:t>tis.</w:t>
      </w:r>
      <w:r>
        <w:rPr>
          <w:szCs w:val="24"/>
        </w:rPr>
        <w:t> </w:t>
      </w:r>
      <w:r w:rsidRPr="0005211B">
        <w:rPr>
          <w:szCs w:val="24"/>
        </w:rPr>
        <w:t>eur, z toho:</w:t>
      </w:r>
    </w:p>
    <w:p w14:paraId="50FF55E2" w14:textId="4DF0C2C9" w:rsidR="0005211B" w:rsidRPr="0005211B" w:rsidRDefault="0005211B" w:rsidP="008B1431">
      <w:pPr>
        <w:numPr>
          <w:ilvl w:val="0"/>
          <w:numId w:val="5"/>
        </w:numPr>
        <w:spacing w:line="240" w:lineRule="auto"/>
        <w:ind w:left="851"/>
        <w:contextualSpacing/>
        <w:jc w:val="both"/>
        <w:rPr>
          <w:szCs w:val="24"/>
        </w:rPr>
      </w:pPr>
      <w:r w:rsidRPr="0005211B">
        <w:rPr>
          <w:szCs w:val="24"/>
        </w:rPr>
        <w:t>prostriedky z rozpočtu Európskej únie v sume 1</w:t>
      </w:r>
      <w:r>
        <w:rPr>
          <w:szCs w:val="24"/>
        </w:rPr>
        <w:t> </w:t>
      </w:r>
      <w:r w:rsidRPr="0005211B">
        <w:rPr>
          <w:szCs w:val="24"/>
        </w:rPr>
        <w:t>481</w:t>
      </w:r>
      <w:r>
        <w:rPr>
          <w:szCs w:val="24"/>
        </w:rPr>
        <w:t> </w:t>
      </w:r>
      <w:r w:rsidRPr="0005211B">
        <w:rPr>
          <w:szCs w:val="24"/>
        </w:rPr>
        <w:t>147</w:t>
      </w:r>
      <w:r>
        <w:rPr>
          <w:szCs w:val="24"/>
        </w:rPr>
        <w:t> </w:t>
      </w:r>
      <w:r w:rsidRPr="0005211B">
        <w:rPr>
          <w:szCs w:val="24"/>
        </w:rPr>
        <w:t>tis.</w:t>
      </w:r>
      <w:r>
        <w:rPr>
          <w:szCs w:val="24"/>
        </w:rPr>
        <w:t> </w:t>
      </w:r>
      <w:r w:rsidRPr="0005211B">
        <w:rPr>
          <w:szCs w:val="24"/>
        </w:rPr>
        <w:t>eur,</w:t>
      </w:r>
    </w:p>
    <w:p w14:paraId="6E8E933E" w14:textId="4B7F02DE" w:rsidR="0005211B" w:rsidRPr="0005211B" w:rsidRDefault="0005211B" w:rsidP="008B1431">
      <w:pPr>
        <w:numPr>
          <w:ilvl w:val="0"/>
          <w:numId w:val="5"/>
        </w:numPr>
        <w:spacing w:line="240" w:lineRule="auto"/>
        <w:ind w:left="851"/>
        <w:jc w:val="both"/>
        <w:rPr>
          <w:szCs w:val="24"/>
        </w:rPr>
      </w:pPr>
      <w:r w:rsidRPr="0005211B">
        <w:rPr>
          <w:szCs w:val="24"/>
        </w:rPr>
        <w:t>prostriedky na spolufinancovanie v sume 401</w:t>
      </w:r>
      <w:r>
        <w:rPr>
          <w:szCs w:val="24"/>
        </w:rPr>
        <w:t> </w:t>
      </w:r>
      <w:r w:rsidRPr="0005211B">
        <w:rPr>
          <w:szCs w:val="24"/>
        </w:rPr>
        <w:t>613</w:t>
      </w:r>
      <w:r>
        <w:rPr>
          <w:szCs w:val="24"/>
        </w:rPr>
        <w:t> </w:t>
      </w:r>
      <w:r w:rsidRPr="0005211B">
        <w:rPr>
          <w:szCs w:val="24"/>
        </w:rPr>
        <w:t>tis.</w:t>
      </w:r>
      <w:r>
        <w:rPr>
          <w:szCs w:val="24"/>
        </w:rPr>
        <w:t> </w:t>
      </w:r>
      <w:r w:rsidRPr="0005211B">
        <w:rPr>
          <w:szCs w:val="24"/>
        </w:rPr>
        <w:t>eur.</w:t>
      </w:r>
    </w:p>
    <w:p w14:paraId="6EB3B10D" w14:textId="676DE5A4" w:rsidR="0005211B" w:rsidRPr="0005211B" w:rsidRDefault="0005211B" w:rsidP="0005211B">
      <w:pPr>
        <w:spacing w:line="240" w:lineRule="auto"/>
        <w:contextualSpacing/>
        <w:jc w:val="both"/>
        <w:rPr>
          <w:szCs w:val="24"/>
        </w:rPr>
      </w:pPr>
      <w:r w:rsidRPr="0005211B">
        <w:rPr>
          <w:szCs w:val="24"/>
        </w:rPr>
        <w:t>V roku 2025 sa podľa §</w:t>
      </w:r>
      <w:r>
        <w:rPr>
          <w:szCs w:val="24"/>
        </w:rPr>
        <w:t> </w:t>
      </w:r>
      <w:r w:rsidRPr="0005211B">
        <w:rPr>
          <w:szCs w:val="24"/>
        </w:rPr>
        <w:t>8 zákona č.</w:t>
      </w:r>
      <w:r>
        <w:rPr>
          <w:szCs w:val="24"/>
        </w:rPr>
        <w:t> </w:t>
      </w:r>
      <w:r w:rsidRPr="0005211B">
        <w:rPr>
          <w:szCs w:val="24"/>
        </w:rPr>
        <w:t>523/2004</w:t>
      </w:r>
      <w:r>
        <w:rPr>
          <w:szCs w:val="24"/>
        </w:rPr>
        <w:t> </w:t>
      </w:r>
      <w:r w:rsidRPr="0005211B">
        <w:rPr>
          <w:szCs w:val="24"/>
        </w:rPr>
        <w:t>Z.</w:t>
      </w:r>
      <w:r>
        <w:rPr>
          <w:szCs w:val="24"/>
        </w:rPr>
        <w:t> </w:t>
      </w:r>
      <w:r w:rsidRPr="0005211B">
        <w:rPr>
          <w:szCs w:val="24"/>
        </w:rPr>
        <w:t>z. viazali výdavky v sume 2 321</w:t>
      </w:r>
      <w:r>
        <w:rPr>
          <w:szCs w:val="24"/>
        </w:rPr>
        <w:t> </w:t>
      </w:r>
      <w:r w:rsidRPr="0005211B">
        <w:rPr>
          <w:szCs w:val="24"/>
        </w:rPr>
        <w:t>064</w:t>
      </w:r>
      <w:r>
        <w:rPr>
          <w:szCs w:val="24"/>
        </w:rPr>
        <w:t> </w:t>
      </w:r>
      <w:r w:rsidRPr="0005211B">
        <w:rPr>
          <w:szCs w:val="24"/>
        </w:rPr>
        <w:t>tis.</w:t>
      </w:r>
      <w:r>
        <w:rPr>
          <w:szCs w:val="24"/>
        </w:rPr>
        <w:t> </w:t>
      </w:r>
      <w:r w:rsidRPr="0005211B">
        <w:rPr>
          <w:szCs w:val="24"/>
        </w:rPr>
        <w:t>eur, z toho:</w:t>
      </w:r>
    </w:p>
    <w:p w14:paraId="7E9C1F8D" w14:textId="06132CAF" w:rsidR="0005211B" w:rsidRPr="0005211B" w:rsidRDefault="0005211B" w:rsidP="008B1431">
      <w:pPr>
        <w:numPr>
          <w:ilvl w:val="0"/>
          <w:numId w:val="5"/>
        </w:numPr>
        <w:spacing w:line="240" w:lineRule="auto"/>
        <w:ind w:left="851"/>
        <w:contextualSpacing/>
        <w:jc w:val="both"/>
        <w:rPr>
          <w:szCs w:val="24"/>
        </w:rPr>
      </w:pPr>
      <w:r w:rsidRPr="0005211B">
        <w:rPr>
          <w:szCs w:val="24"/>
        </w:rPr>
        <w:t>prostriedky z rozpočtu Európskej únie v sume 1 853</w:t>
      </w:r>
      <w:r>
        <w:rPr>
          <w:szCs w:val="24"/>
        </w:rPr>
        <w:t> </w:t>
      </w:r>
      <w:r w:rsidRPr="0005211B">
        <w:rPr>
          <w:szCs w:val="24"/>
        </w:rPr>
        <w:t>847</w:t>
      </w:r>
      <w:r>
        <w:rPr>
          <w:szCs w:val="24"/>
        </w:rPr>
        <w:t> </w:t>
      </w:r>
      <w:r w:rsidRPr="0005211B">
        <w:rPr>
          <w:szCs w:val="24"/>
        </w:rPr>
        <w:t>tis.</w:t>
      </w:r>
      <w:r>
        <w:rPr>
          <w:szCs w:val="24"/>
        </w:rPr>
        <w:t> </w:t>
      </w:r>
      <w:r w:rsidRPr="0005211B">
        <w:rPr>
          <w:szCs w:val="24"/>
        </w:rPr>
        <w:t>eur (v tom kód zdroja 13 v sume 623</w:t>
      </w:r>
      <w:r>
        <w:rPr>
          <w:szCs w:val="24"/>
        </w:rPr>
        <w:t> </w:t>
      </w:r>
      <w:r w:rsidRPr="0005211B">
        <w:rPr>
          <w:szCs w:val="24"/>
        </w:rPr>
        <w:t>501 tis.</w:t>
      </w:r>
      <w:r>
        <w:rPr>
          <w:szCs w:val="24"/>
        </w:rPr>
        <w:t> </w:t>
      </w:r>
      <w:r w:rsidRPr="0005211B">
        <w:rPr>
          <w:szCs w:val="24"/>
        </w:rPr>
        <w:t>eur a kód zdroja 11 v sume 1</w:t>
      </w:r>
      <w:r>
        <w:rPr>
          <w:szCs w:val="24"/>
        </w:rPr>
        <w:t> </w:t>
      </w:r>
      <w:r w:rsidRPr="0005211B">
        <w:rPr>
          <w:szCs w:val="24"/>
        </w:rPr>
        <w:t>230</w:t>
      </w:r>
      <w:r>
        <w:rPr>
          <w:szCs w:val="24"/>
        </w:rPr>
        <w:t> </w:t>
      </w:r>
      <w:r w:rsidRPr="0005211B">
        <w:rPr>
          <w:szCs w:val="24"/>
        </w:rPr>
        <w:t>346</w:t>
      </w:r>
      <w:r>
        <w:rPr>
          <w:szCs w:val="24"/>
        </w:rPr>
        <w:t> </w:t>
      </w:r>
      <w:r w:rsidRPr="0005211B">
        <w:rPr>
          <w:szCs w:val="24"/>
        </w:rPr>
        <w:t>tis.</w:t>
      </w:r>
      <w:r>
        <w:rPr>
          <w:szCs w:val="24"/>
        </w:rPr>
        <w:t> </w:t>
      </w:r>
      <w:r w:rsidRPr="0005211B">
        <w:rPr>
          <w:szCs w:val="24"/>
        </w:rPr>
        <w:t>eur),</w:t>
      </w:r>
    </w:p>
    <w:p w14:paraId="43DAB276" w14:textId="108FC677" w:rsidR="00415273" w:rsidRPr="0005211B" w:rsidRDefault="0005211B" w:rsidP="007F2068">
      <w:pPr>
        <w:spacing w:line="240" w:lineRule="auto"/>
        <w:ind w:left="851"/>
        <w:jc w:val="both"/>
        <w:rPr>
          <w:szCs w:val="24"/>
        </w:rPr>
      </w:pPr>
      <w:r w:rsidRPr="0005211B">
        <w:rPr>
          <w:szCs w:val="24"/>
        </w:rPr>
        <w:t>prostriedky na spolufinancovanie v sume 467</w:t>
      </w:r>
      <w:r>
        <w:rPr>
          <w:szCs w:val="24"/>
        </w:rPr>
        <w:t> </w:t>
      </w:r>
      <w:r w:rsidRPr="0005211B">
        <w:rPr>
          <w:szCs w:val="24"/>
        </w:rPr>
        <w:t>217</w:t>
      </w:r>
      <w:r>
        <w:rPr>
          <w:szCs w:val="24"/>
        </w:rPr>
        <w:t> </w:t>
      </w:r>
      <w:r w:rsidRPr="0005211B">
        <w:rPr>
          <w:szCs w:val="24"/>
        </w:rPr>
        <w:t>tis.</w:t>
      </w:r>
      <w:r>
        <w:rPr>
          <w:szCs w:val="24"/>
        </w:rPr>
        <w:t> </w:t>
      </w:r>
      <w:r w:rsidRPr="0005211B">
        <w:rPr>
          <w:szCs w:val="24"/>
        </w:rPr>
        <w:t>eur (v tom kód zdroja 13 v sume 190</w:t>
      </w:r>
      <w:r>
        <w:rPr>
          <w:szCs w:val="24"/>
        </w:rPr>
        <w:t> </w:t>
      </w:r>
      <w:r w:rsidRPr="0005211B">
        <w:rPr>
          <w:szCs w:val="24"/>
        </w:rPr>
        <w:t>813 tis. eur a kód zdroja 11 v sume 276</w:t>
      </w:r>
      <w:r>
        <w:rPr>
          <w:szCs w:val="24"/>
        </w:rPr>
        <w:t> </w:t>
      </w:r>
      <w:r w:rsidRPr="0005211B">
        <w:rPr>
          <w:szCs w:val="24"/>
        </w:rPr>
        <w:t>404</w:t>
      </w:r>
      <w:r>
        <w:rPr>
          <w:szCs w:val="24"/>
        </w:rPr>
        <w:t> </w:t>
      </w:r>
      <w:r w:rsidRPr="0005211B">
        <w:rPr>
          <w:szCs w:val="24"/>
        </w:rPr>
        <w:t>tis.</w:t>
      </w:r>
      <w:r>
        <w:rPr>
          <w:szCs w:val="24"/>
        </w:rPr>
        <w:t> </w:t>
      </w:r>
      <w:r w:rsidRPr="0005211B">
        <w:rPr>
          <w:szCs w:val="24"/>
        </w:rPr>
        <w:t>eur).</w:t>
      </w:r>
    </w:p>
    <w:p w14:paraId="7F4DCAA3" w14:textId="77777777" w:rsidR="0005211B" w:rsidRPr="0050710A" w:rsidRDefault="0005211B" w:rsidP="0005211B">
      <w:pPr>
        <w:spacing w:line="240" w:lineRule="auto"/>
        <w:jc w:val="both"/>
        <w:rPr>
          <w:rFonts w:cs="Times New Roman"/>
          <w:b/>
          <w:szCs w:val="24"/>
          <w:highlight w:val="yellow"/>
        </w:rPr>
      </w:pPr>
    </w:p>
    <w:p w14:paraId="1E8CF935" w14:textId="0A768CEB" w:rsidR="009A05C7" w:rsidRPr="0005211B" w:rsidRDefault="009A05C7" w:rsidP="00532D85">
      <w:pPr>
        <w:spacing w:line="240" w:lineRule="auto"/>
        <w:jc w:val="both"/>
        <w:rPr>
          <w:rFonts w:cs="Times New Roman"/>
          <w:b/>
          <w:szCs w:val="24"/>
        </w:rPr>
      </w:pPr>
      <w:r w:rsidRPr="0005211B">
        <w:rPr>
          <w:rFonts w:cs="Times New Roman"/>
          <w:b/>
          <w:szCs w:val="24"/>
        </w:rPr>
        <w:t xml:space="preserve">Prostriedky z </w:t>
      </w:r>
      <w:r w:rsidR="00C4036E">
        <w:rPr>
          <w:rFonts w:cs="Times New Roman"/>
          <w:b/>
          <w:szCs w:val="24"/>
        </w:rPr>
        <w:t>POO</w:t>
      </w:r>
      <w:r w:rsidRPr="0005211B">
        <w:rPr>
          <w:rFonts w:cs="Times New Roman"/>
          <w:b/>
          <w:szCs w:val="24"/>
        </w:rPr>
        <w:t xml:space="preserve"> a prostriedky na úhradu DPH</w:t>
      </w:r>
    </w:p>
    <w:p w14:paraId="22B52B60" w14:textId="08BFAE8F" w:rsidR="0005211B" w:rsidRPr="0005211B" w:rsidRDefault="0005211B" w:rsidP="0005211B">
      <w:pPr>
        <w:spacing w:line="240" w:lineRule="auto"/>
        <w:contextualSpacing/>
        <w:jc w:val="both"/>
        <w:rPr>
          <w:szCs w:val="24"/>
        </w:rPr>
      </w:pPr>
      <w:r w:rsidRPr="0005211B">
        <w:rPr>
          <w:szCs w:val="24"/>
        </w:rPr>
        <w:t>V roku 2024 sa podľa §</w:t>
      </w:r>
      <w:r>
        <w:rPr>
          <w:szCs w:val="24"/>
        </w:rPr>
        <w:t> </w:t>
      </w:r>
      <w:r w:rsidRPr="0005211B">
        <w:rPr>
          <w:szCs w:val="24"/>
        </w:rPr>
        <w:t>8 zákona č.</w:t>
      </w:r>
      <w:r>
        <w:rPr>
          <w:szCs w:val="24"/>
        </w:rPr>
        <w:t> </w:t>
      </w:r>
      <w:r w:rsidRPr="0005211B">
        <w:rPr>
          <w:szCs w:val="24"/>
        </w:rPr>
        <w:t>523/2004</w:t>
      </w:r>
      <w:r>
        <w:rPr>
          <w:szCs w:val="24"/>
        </w:rPr>
        <w:t> </w:t>
      </w:r>
      <w:r w:rsidRPr="0005211B">
        <w:rPr>
          <w:szCs w:val="24"/>
        </w:rPr>
        <w:t>Z.</w:t>
      </w:r>
      <w:r>
        <w:rPr>
          <w:szCs w:val="24"/>
        </w:rPr>
        <w:t> </w:t>
      </w:r>
      <w:r w:rsidRPr="0005211B">
        <w:rPr>
          <w:szCs w:val="24"/>
        </w:rPr>
        <w:t>z. viazali prostriedky z</w:t>
      </w:r>
      <w:r>
        <w:rPr>
          <w:szCs w:val="24"/>
        </w:rPr>
        <w:t> </w:t>
      </w:r>
      <w:r w:rsidR="00C4036E">
        <w:rPr>
          <w:szCs w:val="24"/>
        </w:rPr>
        <w:t>POO</w:t>
      </w:r>
      <w:r w:rsidRPr="0005211B">
        <w:rPr>
          <w:szCs w:val="24"/>
        </w:rPr>
        <w:t xml:space="preserve"> a prostriedky na</w:t>
      </w:r>
      <w:r w:rsidR="00C4036E">
        <w:rPr>
          <w:szCs w:val="24"/>
        </w:rPr>
        <w:t> </w:t>
      </w:r>
      <w:r w:rsidRPr="0005211B">
        <w:rPr>
          <w:szCs w:val="24"/>
        </w:rPr>
        <w:t>úhradu DPH v sume 3</w:t>
      </w:r>
      <w:r>
        <w:rPr>
          <w:szCs w:val="24"/>
        </w:rPr>
        <w:t> </w:t>
      </w:r>
      <w:r w:rsidRPr="0005211B">
        <w:rPr>
          <w:szCs w:val="24"/>
        </w:rPr>
        <w:t>835</w:t>
      </w:r>
      <w:r>
        <w:rPr>
          <w:szCs w:val="24"/>
        </w:rPr>
        <w:t> </w:t>
      </w:r>
      <w:r w:rsidRPr="0005211B">
        <w:rPr>
          <w:szCs w:val="24"/>
        </w:rPr>
        <w:t>953</w:t>
      </w:r>
      <w:r>
        <w:rPr>
          <w:szCs w:val="24"/>
        </w:rPr>
        <w:t> </w:t>
      </w:r>
      <w:r w:rsidRPr="0005211B">
        <w:rPr>
          <w:szCs w:val="24"/>
        </w:rPr>
        <w:t>tis.</w:t>
      </w:r>
      <w:r>
        <w:rPr>
          <w:szCs w:val="24"/>
        </w:rPr>
        <w:t> </w:t>
      </w:r>
      <w:r w:rsidRPr="0005211B">
        <w:rPr>
          <w:szCs w:val="24"/>
        </w:rPr>
        <w:t>eur, z toho:</w:t>
      </w:r>
    </w:p>
    <w:p w14:paraId="1B4DD08D" w14:textId="67A4737E" w:rsidR="0005211B" w:rsidRPr="0005211B" w:rsidRDefault="0005211B" w:rsidP="008B1431">
      <w:pPr>
        <w:numPr>
          <w:ilvl w:val="0"/>
          <w:numId w:val="6"/>
        </w:numPr>
        <w:spacing w:line="240" w:lineRule="auto"/>
        <w:ind w:left="851"/>
        <w:contextualSpacing/>
        <w:jc w:val="both"/>
        <w:rPr>
          <w:szCs w:val="24"/>
        </w:rPr>
      </w:pPr>
      <w:r w:rsidRPr="0005211B">
        <w:rPr>
          <w:szCs w:val="24"/>
        </w:rPr>
        <w:t xml:space="preserve">prostriedky z </w:t>
      </w:r>
      <w:r w:rsidR="00C4036E">
        <w:rPr>
          <w:szCs w:val="24"/>
        </w:rPr>
        <w:t>POO</w:t>
      </w:r>
      <w:r w:rsidRPr="0005211B">
        <w:rPr>
          <w:szCs w:val="24"/>
        </w:rPr>
        <w:t xml:space="preserve"> v sume 3</w:t>
      </w:r>
      <w:r>
        <w:rPr>
          <w:szCs w:val="24"/>
        </w:rPr>
        <w:t> </w:t>
      </w:r>
      <w:r w:rsidRPr="0005211B">
        <w:rPr>
          <w:szCs w:val="24"/>
        </w:rPr>
        <w:t>294</w:t>
      </w:r>
      <w:r>
        <w:rPr>
          <w:szCs w:val="24"/>
        </w:rPr>
        <w:t> </w:t>
      </w:r>
      <w:r w:rsidRPr="0005211B">
        <w:rPr>
          <w:szCs w:val="24"/>
        </w:rPr>
        <w:t>317</w:t>
      </w:r>
      <w:r>
        <w:rPr>
          <w:szCs w:val="24"/>
        </w:rPr>
        <w:t> </w:t>
      </w:r>
      <w:r w:rsidRPr="0005211B">
        <w:rPr>
          <w:szCs w:val="24"/>
        </w:rPr>
        <w:t>tis.</w:t>
      </w:r>
      <w:r>
        <w:rPr>
          <w:szCs w:val="24"/>
        </w:rPr>
        <w:t> </w:t>
      </w:r>
      <w:r w:rsidRPr="0005211B">
        <w:rPr>
          <w:szCs w:val="24"/>
        </w:rPr>
        <w:t>eur (v tom kód zdroja 13 v sume 2</w:t>
      </w:r>
      <w:r>
        <w:rPr>
          <w:szCs w:val="24"/>
        </w:rPr>
        <w:t> </w:t>
      </w:r>
      <w:r w:rsidRPr="0005211B">
        <w:rPr>
          <w:szCs w:val="24"/>
        </w:rPr>
        <w:t>196</w:t>
      </w:r>
      <w:r>
        <w:rPr>
          <w:szCs w:val="24"/>
        </w:rPr>
        <w:t> </w:t>
      </w:r>
      <w:r w:rsidRPr="0005211B">
        <w:rPr>
          <w:szCs w:val="24"/>
        </w:rPr>
        <w:t>734 tis. eur a kód zdroja 11 v sume 1</w:t>
      </w:r>
      <w:r>
        <w:rPr>
          <w:szCs w:val="24"/>
        </w:rPr>
        <w:t> </w:t>
      </w:r>
      <w:r w:rsidRPr="0005211B">
        <w:rPr>
          <w:szCs w:val="24"/>
        </w:rPr>
        <w:t>097</w:t>
      </w:r>
      <w:r>
        <w:rPr>
          <w:szCs w:val="24"/>
        </w:rPr>
        <w:t> </w:t>
      </w:r>
      <w:r w:rsidRPr="0005211B">
        <w:rPr>
          <w:szCs w:val="24"/>
        </w:rPr>
        <w:t>583</w:t>
      </w:r>
      <w:r>
        <w:rPr>
          <w:szCs w:val="24"/>
        </w:rPr>
        <w:t> </w:t>
      </w:r>
      <w:r w:rsidRPr="0005211B">
        <w:rPr>
          <w:szCs w:val="24"/>
        </w:rPr>
        <w:t>tis. eur),</w:t>
      </w:r>
    </w:p>
    <w:p w14:paraId="1346806D" w14:textId="231F3EC8" w:rsidR="0005211B" w:rsidRPr="0005211B" w:rsidRDefault="0005211B" w:rsidP="008B1431">
      <w:pPr>
        <w:numPr>
          <w:ilvl w:val="0"/>
          <w:numId w:val="6"/>
        </w:numPr>
        <w:spacing w:line="240" w:lineRule="auto"/>
        <w:ind w:left="851"/>
        <w:contextualSpacing/>
        <w:jc w:val="both"/>
        <w:rPr>
          <w:szCs w:val="24"/>
        </w:rPr>
      </w:pPr>
      <w:r w:rsidRPr="0005211B">
        <w:rPr>
          <w:szCs w:val="24"/>
        </w:rPr>
        <w:t xml:space="preserve">prostriedky </w:t>
      </w:r>
      <w:r w:rsidR="00C4036E">
        <w:rPr>
          <w:szCs w:val="24"/>
        </w:rPr>
        <w:t>POO</w:t>
      </w:r>
      <w:r w:rsidRPr="0005211B">
        <w:rPr>
          <w:szCs w:val="24"/>
        </w:rPr>
        <w:t xml:space="preserve"> – prostriedky na úhradu DPH v</w:t>
      </w:r>
      <w:r>
        <w:rPr>
          <w:szCs w:val="24"/>
        </w:rPr>
        <w:t> </w:t>
      </w:r>
      <w:r w:rsidRPr="0005211B">
        <w:rPr>
          <w:szCs w:val="24"/>
        </w:rPr>
        <w:t>sume 541 635 tis.</w:t>
      </w:r>
      <w:r>
        <w:rPr>
          <w:szCs w:val="24"/>
        </w:rPr>
        <w:t> </w:t>
      </w:r>
      <w:r w:rsidRPr="0005211B">
        <w:rPr>
          <w:szCs w:val="24"/>
        </w:rPr>
        <w:t>eur (v</w:t>
      </w:r>
      <w:r w:rsidR="00395727">
        <w:rPr>
          <w:szCs w:val="24"/>
        </w:rPr>
        <w:t> </w:t>
      </w:r>
      <w:r w:rsidRPr="0005211B">
        <w:rPr>
          <w:szCs w:val="24"/>
        </w:rPr>
        <w:t>tom kód zdroja 13 v sume 402</w:t>
      </w:r>
      <w:r>
        <w:rPr>
          <w:szCs w:val="24"/>
        </w:rPr>
        <w:t> </w:t>
      </w:r>
      <w:r w:rsidRPr="0005211B">
        <w:rPr>
          <w:szCs w:val="24"/>
        </w:rPr>
        <w:t>967</w:t>
      </w:r>
      <w:r>
        <w:rPr>
          <w:szCs w:val="24"/>
        </w:rPr>
        <w:t> </w:t>
      </w:r>
      <w:r w:rsidRPr="0005211B">
        <w:rPr>
          <w:szCs w:val="24"/>
        </w:rPr>
        <w:t>tis.</w:t>
      </w:r>
      <w:r>
        <w:rPr>
          <w:szCs w:val="24"/>
        </w:rPr>
        <w:t> </w:t>
      </w:r>
      <w:r w:rsidRPr="0005211B">
        <w:rPr>
          <w:szCs w:val="24"/>
        </w:rPr>
        <w:t>eur a kód zdroja 11 v sume 138</w:t>
      </w:r>
      <w:r>
        <w:rPr>
          <w:szCs w:val="24"/>
        </w:rPr>
        <w:t> </w:t>
      </w:r>
      <w:r w:rsidRPr="0005211B">
        <w:rPr>
          <w:szCs w:val="24"/>
        </w:rPr>
        <w:t>668</w:t>
      </w:r>
      <w:r>
        <w:rPr>
          <w:szCs w:val="24"/>
        </w:rPr>
        <w:t> </w:t>
      </w:r>
      <w:r w:rsidRPr="0005211B">
        <w:rPr>
          <w:szCs w:val="24"/>
        </w:rPr>
        <w:t>tis.</w:t>
      </w:r>
      <w:r>
        <w:rPr>
          <w:szCs w:val="24"/>
        </w:rPr>
        <w:t> </w:t>
      </w:r>
      <w:r w:rsidRPr="0005211B">
        <w:rPr>
          <w:szCs w:val="24"/>
        </w:rPr>
        <w:t>eur),</w:t>
      </w:r>
    </w:p>
    <w:p w14:paraId="12B988DA" w14:textId="5220B4F8" w:rsidR="0005211B" w:rsidRPr="0005211B" w:rsidRDefault="0005211B" w:rsidP="0005211B">
      <w:pPr>
        <w:spacing w:line="240" w:lineRule="auto"/>
        <w:contextualSpacing/>
        <w:jc w:val="both"/>
        <w:rPr>
          <w:szCs w:val="24"/>
        </w:rPr>
      </w:pPr>
      <w:r w:rsidRPr="0005211B">
        <w:rPr>
          <w:szCs w:val="24"/>
        </w:rPr>
        <w:t>z ktorých sa v roku 2025 použilo 1</w:t>
      </w:r>
      <w:r>
        <w:rPr>
          <w:szCs w:val="24"/>
        </w:rPr>
        <w:t> </w:t>
      </w:r>
      <w:r w:rsidRPr="0005211B">
        <w:rPr>
          <w:szCs w:val="24"/>
        </w:rPr>
        <w:t>769</w:t>
      </w:r>
      <w:r>
        <w:rPr>
          <w:szCs w:val="24"/>
        </w:rPr>
        <w:t> </w:t>
      </w:r>
      <w:r w:rsidRPr="0005211B">
        <w:rPr>
          <w:szCs w:val="24"/>
        </w:rPr>
        <w:t>664</w:t>
      </w:r>
      <w:r>
        <w:rPr>
          <w:szCs w:val="24"/>
        </w:rPr>
        <w:t> </w:t>
      </w:r>
      <w:r w:rsidRPr="0005211B">
        <w:rPr>
          <w:szCs w:val="24"/>
        </w:rPr>
        <w:t>tis.</w:t>
      </w:r>
      <w:r>
        <w:rPr>
          <w:szCs w:val="24"/>
        </w:rPr>
        <w:t> </w:t>
      </w:r>
      <w:r w:rsidRPr="0005211B">
        <w:rPr>
          <w:szCs w:val="24"/>
        </w:rPr>
        <w:t>eur, z toho:</w:t>
      </w:r>
    </w:p>
    <w:p w14:paraId="72C3CFF6" w14:textId="24612138" w:rsidR="0005211B" w:rsidRPr="0005211B" w:rsidRDefault="0005211B" w:rsidP="008B1431">
      <w:pPr>
        <w:numPr>
          <w:ilvl w:val="0"/>
          <w:numId w:val="6"/>
        </w:numPr>
        <w:spacing w:line="240" w:lineRule="auto"/>
        <w:ind w:left="851"/>
        <w:contextualSpacing/>
        <w:jc w:val="both"/>
        <w:rPr>
          <w:szCs w:val="24"/>
        </w:rPr>
      </w:pPr>
      <w:r w:rsidRPr="0005211B">
        <w:rPr>
          <w:szCs w:val="24"/>
        </w:rPr>
        <w:t xml:space="preserve">prostriedky z </w:t>
      </w:r>
      <w:r w:rsidR="00C4036E">
        <w:rPr>
          <w:szCs w:val="24"/>
        </w:rPr>
        <w:t>POO</w:t>
      </w:r>
      <w:r w:rsidRPr="0005211B">
        <w:rPr>
          <w:szCs w:val="24"/>
        </w:rPr>
        <w:t xml:space="preserve"> v sume 1</w:t>
      </w:r>
      <w:r>
        <w:rPr>
          <w:szCs w:val="24"/>
        </w:rPr>
        <w:t> </w:t>
      </w:r>
      <w:r w:rsidRPr="0005211B">
        <w:rPr>
          <w:szCs w:val="24"/>
        </w:rPr>
        <w:t>769</w:t>
      </w:r>
      <w:r>
        <w:rPr>
          <w:szCs w:val="24"/>
        </w:rPr>
        <w:t> </w:t>
      </w:r>
      <w:r w:rsidRPr="0005211B">
        <w:rPr>
          <w:szCs w:val="24"/>
        </w:rPr>
        <w:t>664</w:t>
      </w:r>
      <w:r>
        <w:rPr>
          <w:szCs w:val="24"/>
        </w:rPr>
        <w:t> </w:t>
      </w:r>
      <w:r w:rsidRPr="0005211B">
        <w:rPr>
          <w:szCs w:val="24"/>
        </w:rPr>
        <w:t>tis.</w:t>
      </w:r>
      <w:r>
        <w:rPr>
          <w:szCs w:val="24"/>
        </w:rPr>
        <w:t> </w:t>
      </w:r>
      <w:r w:rsidRPr="0005211B">
        <w:rPr>
          <w:szCs w:val="24"/>
        </w:rPr>
        <w:t>eur,</w:t>
      </w:r>
    </w:p>
    <w:p w14:paraId="5D0DF61E" w14:textId="7B7B8681" w:rsidR="0005211B" w:rsidRPr="0005211B" w:rsidRDefault="0005211B" w:rsidP="008B1431">
      <w:pPr>
        <w:numPr>
          <w:ilvl w:val="0"/>
          <w:numId w:val="6"/>
        </w:numPr>
        <w:spacing w:line="240" w:lineRule="auto"/>
        <w:ind w:left="851"/>
        <w:jc w:val="both"/>
        <w:rPr>
          <w:szCs w:val="24"/>
        </w:rPr>
      </w:pPr>
      <w:r w:rsidRPr="0005211B">
        <w:rPr>
          <w:szCs w:val="24"/>
        </w:rPr>
        <w:t xml:space="preserve">prostriedky </w:t>
      </w:r>
      <w:r w:rsidR="00C4036E">
        <w:rPr>
          <w:szCs w:val="24"/>
        </w:rPr>
        <w:t>POO</w:t>
      </w:r>
      <w:r w:rsidRPr="0005211B">
        <w:rPr>
          <w:szCs w:val="24"/>
        </w:rPr>
        <w:t xml:space="preserve"> – prostriedky na úhradu DPH v sume 0 tis.</w:t>
      </w:r>
      <w:r>
        <w:rPr>
          <w:szCs w:val="24"/>
        </w:rPr>
        <w:t> </w:t>
      </w:r>
      <w:r w:rsidRPr="0005211B">
        <w:rPr>
          <w:szCs w:val="24"/>
        </w:rPr>
        <w:t>eur.</w:t>
      </w:r>
    </w:p>
    <w:p w14:paraId="7BA7D082" w14:textId="49302218" w:rsidR="0005211B" w:rsidRPr="0005211B" w:rsidRDefault="0005211B" w:rsidP="0005211B">
      <w:pPr>
        <w:spacing w:line="240" w:lineRule="auto"/>
        <w:contextualSpacing/>
        <w:jc w:val="both"/>
        <w:rPr>
          <w:szCs w:val="24"/>
        </w:rPr>
      </w:pPr>
      <w:r w:rsidRPr="0005211B">
        <w:rPr>
          <w:szCs w:val="24"/>
        </w:rPr>
        <w:t>V roku 2025 sa podľa §</w:t>
      </w:r>
      <w:r>
        <w:rPr>
          <w:szCs w:val="24"/>
        </w:rPr>
        <w:t> </w:t>
      </w:r>
      <w:r w:rsidRPr="0005211B">
        <w:rPr>
          <w:szCs w:val="24"/>
        </w:rPr>
        <w:t>8 zákona č.</w:t>
      </w:r>
      <w:r>
        <w:rPr>
          <w:szCs w:val="24"/>
        </w:rPr>
        <w:t> </w:t>
      </w:r>
      <w:r w:rsidRPr="0005211B">
        <w:rPr>
          <w:szCs w:val="24"/>
        </w:rPr>
        <w:t>523/2004</w:t>
      </w:r>
      <w:r>
        <w:rPr>
          <w:szCs w:val="24"/>
        </w:rPr>
        <w:t> </w:t>
      </w:r>
      <w:r w:rsidRPr="0005211B">
        <w:rPr>
          <w:szCs w:val="24"/>
        </w:rPr>
        <w:t>Z.</w:t>
      </w:r>
      <w:r>
        <w:rPr>
          <w:szCs w:val="24"/>
        </w:rPr>
        <w:t> </w:t>
      </w:r>
      <w:r w:rsidRPr="0005211B">
        <w:rPr>
          <w:szCs w:val="24"/>
        </w:rPr>
        <w:t>z. viazali výdavky v sume 2</w:t>
      </w:r>
      <w:r>
        <w:rPr>
          <w:szCs w:val="24"/>
        </w:rPr>
        <w:t> </w:t>
      </w:r>
      <w:r w:rsidRPr="0005211B">
        <w:rPr>
          <w:szCs w:val="24"/>
        </w:rPr>
        <w:t>605</w:t>
      </w:r>
      <w:r>
        <w:rPr>
          <w:szCs w:val="24"/>
        </w:rPr>
        <w:t> </w:t>
      </w:r>
      <w:r w:rsidRPr="0005211B">
        <w:rPr>
          <w:szCs w:val="24"/>
        </w:rPr>
        <w:t>704</w:t>
      </w:r>
      <w:r>
        <w:rPr>
          <w:szCs w:val="24"/>
        </w:rPr>
        <w:t> </w:t>
      </w:r>
      <w:r w:rsidRPr="0005211B">
        <w:rPr>
          <w:szCs w:val="24"/>
        </w:rPr>
        <w:t>tis. eur, z toho:</w:t>
      </w:r>
    </w:p>
    <w:p w14:paraId="6FF715D7" w14:textId="158F20A1" w:rsidR="0005211B" w:rsidRPr="0005211B" w:rsidRDefault="0005211B" w:rsidP="008B1431">
      <w:pPr>
        <w:numPr>
          <w:ilvl w:val="0"/>
          <w:numId w:val="6"/>
        </w:numPr>
        <w:spacing w:line="240" w:lineRule="auto"/>
        <w:ind w:left="851"/>
        <w:contextualSpacing/>
        <w:jc w:val="both"/>
        <w:rPr>
          <w:szCs w:val="24"/>
        </w:rPr>
      </w:pPr>
      <w:r w:rsidRPr="0005211B">
        <w:rPr>
          <w:szCs w:val="24"/>
        </w:rPr>
        <w:t xml:space="preserve">prostriedky z </w:t>
      </w:r>
      <w:r w:rsidR="00C4036E">
        <w:rPr>
          <w:szCs w:val="24"/>
        </w:rPr>
        <w:t>POO</w:t>
      </w:r>
      <w:r w:rsidRPr="0005211B">
        <w:rPr>
          <w:szCs w:val="24"/>
        </w:rPr>
        <w:t xml:space="preserve"> v sume 2</w:t>
      </w:r>
      <w:r>
        <w:rPr>
          <w:szCs w:val="24"/>
        </w:rPr>
        <w:t> </w:t>
      </w:r>
      <w:r w:rsidRPr="0005211B">
        <w:rPr>
          <w:szCs w:val="24"/>
        </w:rPr>
        <w:t>554</w:t>
      </w:r>
      <w:r>
        <w:rPr>
          <w:szCs w:val="24"/>
        </w:rPr>
        <w:t> </w:t>
      </w:r>
      <w:r w:rsidRPr="0005211B">
        <w:rPr>
          <w:szCs w:val="24"/>
        </w:rPr>
        <w:t>108</w:t>
      </w:r>
      <w:r>
        <w:rPr>
          <w:szCs w:val="24"/>
        </w:rPr>
        <w:t> </w:t>
      </w:r>
      <w:r w:rsidRPr="0005211B">
        <w:rPr>
          <w:szCs w:val="24"/>
        </w:rPr>
        <w:t>tis.</w:t>
      </w:r>
      <w:r>
        <w:rPr>
          <w:szCs w:val="24"/>
        </w:rPr>
        <w:t> </w:t>
      </w:r>
      <w:r w:rsidRPr="0005211B">
        <w:rPr>
          <w:szCs w:val="24"/>
        </w:rPr>
        <w:t>eur (v tom kód zdroja 13 v sume 1</w:t>
      </w:r>
      <w:r>
        <w:rPr>
          <w:szCs w:val="24"/>
        </w:rPr>
        <w:t> </w:t>
      </w:r>
      <w:r w:rsidRPr="0005211B">
        <w:rPr>
          <w:szCs w:val="24"/>
        </w:rPr>
        <w:t>652</w:t>
      </w:r>
      <w:r>
        <w:rPr>
          <w:szCs w:val="24"/>
        </w:rPr>
        <w:t> </w:t>
      </w:r>
      <w:r w:rsidRPr="0005211B">
        <w:rPr>
          <w:szCs w:val="24"/>
        </w:rPr>
        <w:t>211 tis.</w:t>
      </w:r>
      <w:r>
        <w:rPr>
          <w:szCs w:val="24"/>
        </w:rPr>
        <w:t> </w:t>
      </w:r>
      <w:r w:rsidRPr="0005211B">
        <w:rPr>
          <w:szCs w:val="24"/>
        </w:rPr>
        <w:t>eur a kód zdroja 11 v sume 901</w:t>
      </w:r>
      <w:r>
        <w:rPr>
          <w:szCs w:val="24"/>
        </w:rPr>
        <w:t> </w:t>
      </w:r>
      <w:r w:rsidRPr="0005211B">
        <w:rPr>
          <w:szCs w:val="24"/>
        </w:rPr>
        <w:t>896</w:t>
      </w:r>
      <w:r>
        <w:rPr>
          <w:szCs w:val="24"/>
        </w:rPr>
        <w:t> </w:t>
      </w:r>
      <w:r w:rsidRPr="0005211B">
        <w:rPr>
          <w:szCs w:val="24"/>
        </w:rPr>
        <w:t>tis. eur),</w:t>
      </w:r>
    </w:p>
    <w:p w14:paraId="750DDACE" w14:textId="354B5551" w:rsidR="0005211B" w:rsidRDefault="0005211B" w:rsidP="008B1431">
      <w:pPr>
        <w:numPr>
          <w:ilvl w:val="0"/>
          <w:numId w:val="6"/>
        </w:numPr>
        <w:spacing w:line="240" w:lineRule="auto"/>
        <w:ind w:left="851"/>
        <w:jc w:val="both"/>
        <w:rPr>
          <w:szCs w:val="24"/>
        </w:rPr>
      </w:pPr>
      <w:r w:rsidRPr="0005211B">
        <w:rPr>
          <w:szCs w:val="24"/>
        </w:rPr>
        <w:t xml:space="preserve">prostriedky </w:t>
      </w:r>
      <w:r w:rsidR="00C4036E">
        <w:rPr>
          <w:szCs w:val="24"/>
        </w:rPr>
        <w:t>POO</w:t>
      </w:r>
      <w:r w:rsidRPr="0005211B">
        <w:rPr>
          <w:szCs w:val="24"/>
        </w:rPr>
        <w:t xml:space="preserve"> – prostriedky na úhradu DPH v</w:t>
      </w:r>
      <w:r>
        <w:rPr>
          <w:szCs w:val="24"/>
        </w:rPr>
        <w:t> </w:t>
      </w:r>
      <w:r w:rsidRPr="0005211B">
        <w:rPr>
          <w:szCs w:val="24"/>
        </w:rPr>
        <w:t>sume 51</w:t>
      </w:r>
      <w:r>
        <w:rPr>
          <w:szCs w:val="24"/>
        </w:rPr>
        <w:t> </w:t>
      </w:r>
      <w:r w:rsidRPr="0005211B">
        <w:rPr>
          <w:szCs w:val="24"/>
        </w:rPr>
        <w:t>596 tis.</w:t>
      </w:r>
      <w:r>
        <w:rPr>
          <w:szCs w:val="24"/>
        </w:rPr>
        <w:t> </w:t>
      </w:r>
      <w:r w:rsidRPr="0005211B">
        <w:rPr>
          <w:szCs w:val="24"/>
        </w:rPr>
        <w:t>eur (v</w:t>
      </w:r>
      <w:r w:rsidR="00395727">
        <w:rPr>
          <w:szCs w:val="24"/>
        </w:rPr>
        <w:t> </w:t>
      </w:r>
      <w:r w:rsidRPr="0005211B">
        <w:rPr>
          <w:szCs w:val="24"/>
        </w:rPr>
        <w:t>tom kód zdroja 13 v sume 16</w:t>
      </w:r>
      <w:r>
        <w:rPr>
          <w:szCs w:val="24"/>
        </w:rPr>
        <w:t> </w:t>
      </w:r>
      <w:r w:rsidRPr="0005211B">
        <w:rPr>
          <w:szCs w:val="24"/>
        </w:rPr>
        <w:t>361</w:t>
      </w:r>
      <w:r>
        <w:rPr>
          <w:szCs w:val="24"/>
        </w:rPr>
        <w:t> </w:t>
      </w:r>
      <w:r w:rsidRPr="0005211B">
        <w:rPr>
          <w:szCs w:val="24"/>
        </w:rPr>
        <w:t>tis.</w:t>
      </w:r>
      <w:r>
        <w:rPr>
          <w:szCs w:val="24"/>
        </w:rPr>
        <w:t> </w:t>
      </w:r>
      <w:r w:rsidRPr="0005211B">
        <w:rPr>
          <w:szCs w:val="24"/>
        </w:rPr>
        <w:t>eur a kód zdroja 11 v sume 35</w:t>
      </w:r>
      <w:r>
        <w:rPr>
          <w:szCs w:val="24"/>
        </w:rPr>
        <w:t> </w:t>
      </w:r>
      <w:r w:rsidRPr="0005211B">
        <w:rPr>
          <w:szCs w:val="24"/>
        </w:rPr>
        <w:t>235</w:t>
      </w:r>
      <w:r>
        <w:rPr>
          <w:szCs w:val="24"/>
        </w:rPr>
        <w:t> </w:t>
      </w:r>
      <w:r w:rsidRPr="0005211B">
        <w:rPr>
          <w:szCs w:val="24"/>
        </w:rPr>
        <w:t>tis.</w:t>
      </w:r>
      <w:r>
        <w:rPr>
          <w:szCs w:val="24"/>
        </w:rPr>
        <w:t> </w:t>
      </w:r>
      <w:r w:rsidRPr="0005211B">
        <w:rPr>
          <w:szCs w:val="24"/>
        </w:rPr>
        <w:t>eur).</w:t>
      </w:r>
    </w:p>
    <w:p w14:paraId="6C862245" w14:textId="77777777" w:rsidR="009C5EF7" w:rsidRPr="0087783F" w:rsidRDefault="009C5EF7" w:rsidP="009C5EF7">
      <w:pPr>
        <w:rPr>
          <w:szCs w:val="24"/>
        </w:rPr>
      </w:pPr>
    </w:p>
    <w:p w14:paraId="32DFA52B" w14:textId="5628122C" w:rsidR="009A05C7" w:rsidRPr="00376600" w:rsidRDefault="009A05C7" w:rsidP="00532D85">
      <w:pPr>
        <w:pStyle w:val="Podtitul"/>
        <w:spacing w:before="0"/>
        <w:jc w:val="both"/>
      </w:pPr>
      <w:r w:rsidRPr="00376600">
        <w:t>Vzťahy s EÚ</w:t>
      </w:r>
    </w:p>
    <w:p w14:paraId="0B651ED4" w14:textId="77777777" w:rsidR="00071FF0" w:rsidRDefault="00071FF0" w:rsidP="00071FF0">
      <w:pPr>
        <w:spacing w:line="240" w:lineRule="auto"/>
        <w:jc w:val="both"/>
        <w:rPr>
          <w:szCs w:val="24"/>
        </w:rPr>
      </w:pPr>
      <w:r w:rsidRPr="001E16C4">
        <w:rPr>
          <w:b/>
          <w:szCs w:val="24"/>
        </w:rPr>
        <w:t>Odvody do rozpočtu EÚ</w:t>
      </w:r>
      <w:r w:rsidRPr="001E16C4">
        <w:rPr>
          <w:szCs w:val="24"/>
        </w:rPr>
        <w:t xml:space="preserve"> (spolu s odvodom z tradičných vlastných zdrojov) predstavovali v roku 2025 na akruálnej báze 1</w:t>
      </w:r>
      <w:r>
        <w:rPr>
          <w:szCs w:val="24"/>
        </w:rPr>
        <w:t> </w:t>
      </w:r>
      <w:r w:rsidRPr="001E16C4">
        <w:rPr>
          <w:szCs w:val="24"/>
        </w:rPr>
        <w:t>124</w:t>
      </w:r>
      <w:r>
        <w:rPr>
          <w:szCs w:val="24"/>
        </w:rPr>
        <w:t> </w:t>
      </w:r>
      <w:r w:rsidRPr="001E16C4">
        <w:rPr>
          <w:szCs w:val="24"/>
        </w:rPr>
        <w:t>927 tis. eur a boli vyššie oproti rozpočtu o</w:t>
      </w:r>
      <w:r>
        <w:rPr>
          <w:szCs w:val="24"/>
        </w:rPr>
        <w:t> </w:t>
      </w:r>
      <w:r w:rsidRPr="001E16C4">
        <w:rPr>
          <w:szCs w:val="24"/>
        </w:rPr>
        <w:t>26</w:t>
      </w:r>
      <w:r>
        <w:rPr>
          <w:szCs w:val="24"/>
        </w:rPr>
        <w:t> </w:t>
      </w:r>
      <w:r w:rsidRPr="001E16C4">
        <w:rPr>
          <w:szCs w:val="24"/>
        </w:rPr>
        <w:t>225 tis. eur.</w:t>
      </w:r>
    </w:p>
    <w:p w14:paraId="415C5C3E" w14:textId="77777777" w:rsidR="00071FF0" w:rsidRPr="0050710A" w:rsidRDefault="00071FF0" w:rsidP="00071FF0">
      <w:pPr>
        <w:spacing w:line="240" w:lineRule="auto"/>
        <w:jc w:val="both"/>
        <w:rPr>
          <w:szCs w:val="24"/>
          <w:highlight w:val="yellow"/>
        </w:rPr>
      </w:pPr>
    </w:p>
    <w:p w14:paraId="79FDE806" w14:textId="3AC0E139" w:rsidR="008C19E4" w:rsidRDefault="00071FF0" w:rsidP="00071FF0">
      <w:pPr>
        <w:spacing w:line="240" w:lineRule="auto"/>
        <w:jc w:val="both"/>
        <w:rPr>
          <w:szCs w:val="24"/>
        </w:rPr>
      </w:pPr>
      <w:r w:rsidRPr="001E16C4">
        <w:rPr>
          <w:szCs w:val="24"/>
        </w:rPr>
        <w:t xml:space="preserve">Pri zaznamenávaní vplyvu EU tokov </w:t>
      </w:r>
      <w:r>
        <w:rPr>
          <w:szCs w:val="24"/>
        </w:rPr>
        <w:t xml:space="preserve">v národných účtoch </w:t>
      </w:r>
      <w:r w:rsidRPr="001E16C4">
        <w:rPr>
          <w:szCs w:val="24"/>
        </w:rPr>
        <w:t>je potrebné postupovať podľa Rozhodnutia Eurostatu č. 22/2005 o zaznamenávaní transferov z EÚ do členských krajín. Podľa tohto rozhodnutia má byť celkový vplyv EÚ tokov podľa metodiky ESA 2010 na schodok verejnej správy neutrálny</w:t>
      </w:r>
      <w:r w:rsidRPr="00732647">
        <w:rPr>
          <w:szCs w:val="24"/>
        </w:rPr>
        <w:t xml:space="preserve">. </w:t>
      </w:r>
      <w:r w:rsidRPr="00732647">
        <w:rPr>
          <w:b/>
          <w:szCs w:val="24"/>
        </w:rPr>
        <w:t xml:space="preserve">Upravujúca položka, ktorou sa eliminuje vplyv EÚ </w:t>
      </w:r>
      <w:r w:rsidRPr="00732647">
        <w:rPr>
          <w:b/>
          <w:szCs w:val="24"/>
        </w:rPr>
        <w:lastRenderedPageBreak/>
        <w:t>fondov</w:t>
      </w:r>
      <w:r w:rsidRPr="00732647">
        <w:rPr>
          <w:szCs w:val="24"/>
        </w:rPr>
        <w:t xml:space="preserve"> na saldo verejnej správy v skutočnosti dosiahla negatívnu hodnotu 14</w:t>
      </w:r>
      <w:r>
        <w:rPr>
          <w:szCs w:val="24"/>
        </w:rPr>
        <w:t> </w:t>
      </w:r>
      <w:r w:rsidRPr="00732647">
        <w:rPr>
          <w:szCs w:val="24"/>
        </w:rPr>
        <w:t>689 tis. eur, čo predstavuje negatívny rozdiel medzi príjmami a výdavkami z</w:t>
      </w:r>
      <w:r w:rsidR="00952B49">
        <w:rPr>
          <w:szCs w:val="24"/>
        </w:rPr>
        <w:t> </w:t>
      </w:r>
      <w:r w:rsidRPr="00732647">
        <w:rPr>
          <w:szCs w:val="24"/>
        </w:rPr>
        <w:t>EU</w:t>
      </w:r>
      <w:r w:rsidR="00952B49">
        <w:rPr>
          <w:szCs w:val="24"/>
        </w:rPr>
        <w:t>.</w:t>
      </w:r>
      <w:r>
        <w:rPr>
          <w:rStyle w:val="Odkaznapoznmkupodiarou"/>
          <w:szCs w:val="24"/>
        </w:rPr>
        <w:footnoteReference w:id="8"/>
      </w:r>
      <w:r w:rsidRPr="00732647">
        <w:rPr>
          <w:szCs w:val="24"/>
        </w:rPr>
        <w:t xml:space="preserve"> Upravujúca položka sa rozpočtuje v nulovej hodnote, preto jej vplyv mal negatívny dopad na rozdiel medzi rozpočtom a skutočným plnením rozpočtu.</w:t>
      </w:r>
      <w:r w:rsidR="00105F74">
        <w:rPr>
          <w:szCs w:val="24"/>
        </w:rPr>
        <w:t xml:space="preserve"> </w:t>
      </w:r>
      <w:r w:rsidRPr="00732647">
        <w:rPr>
          <w:szCs w:val="24"/>
        </w:rPr>
        <w:t xml:space="preserve">V upravujúcej položke je následne potrebné ešte zohľadniť hodnoty, ktoré ju ovplyvňujú, ak existujú informácie, že niektoré výdavky v mene </w:t>
      </w:r>
    </w:p>
    <w:p w14:paraId="62DF5B15" w14:textId="1CBB2DB6" w:rsidR="00071FF0" w:rsidRPr="00732647" w:rsidRDefault="00071FF0" w:rsidP="00071FF0">
      <w:pPr>
        <w:spacing w:line="240" w:lineRule="auto"/>
        <w:jc w:val="both"/>
        <w:rPr>
          <w:szCs w:val="24"/>
        </w:rPr>
      </w:pPr>
      <w:r w:rsidRPr="00732647">
        <w:rPr>
          <w:szCs w:val="24"/>
        </w:rPr>
        <w:t xml:space="preserve">EU Komisia nepreplatí (korekcie, </w:t>
      </w:r>
      <w:r>
        <w:rPr>
          <w:szCs w:val="24"/>
        </w:rPr>
        <w:t>nadkontrahovanie</w:t>
      </w:r>
      <w:r w:rsidRPr="00732647">
        <w:rPr>
          <w:szCs w:val="24"/>
        </w:rPr>
        <w:t>).</w:t>
      </w:r>
    </w:p>
    <w:p w14:paraId="33B5B579" w14:textId="77777777" w:rsidR="008C19E4" w:rsidRDefault="008C19E4" w:rsidP="00071FF0">
      <w:pPr>
        <w:spacing w:line="240" w:lineRule="auto"/>
        <w:jc w:val="both"/>
        <w:rPr>
          <w:szCs w:val="24"/>
        </w:rPr>
      </w:pPr>
    </w:p>
    <w:p w14:paraId="2DB61DFB" w14:textId="3AB4588C" w:rsidR="00071FF0" w:rsidRPr="00D11F20" w:rsidRDefault="00071FF0" w:rsidP="00071FF0">
      <w:pPr>
        <w:spacing w:line="240" w:lineRule="auto"/>
        <w:jc w:val="both"/>
        <w:rPr>
          <w:szCs w:val="24"/>
        </w:rPr>
      </w:pPr>
      <w:r w:rsidRPr="00D11F20">
        <w:rPr>
          <w:szCs w:val="24"/>
        </w:rPr>
        <w:t>Negatívny vplyv na saldo verejnej správy v roku 2025 mali finančné korekcie vo výške 44</w:t>
      </w:r>
      <w:r>
        <w:rPr>
          <w:szCs w:val="24"/>
        </w:rPr>
        <w:t> </w:t>
      </w:r>
      <w:r w:rsidRPr="00D11F20">
        <w:rPr>
          <w:szCs w:val="24"/>
        </w:rPr>
        <w:t>617 tis. eur z dôvodu systémových korekcií</w:t>
      </w:r>
      <w:r w:rsidRPr="00D11F20">
        <w:rPr>
          <w:szCs w:val="24"/>
          <w:vertAlign w:val="superscript"/>
        </w:rPr>
        <w:footnoteReference w:id="9"/>
      </w:r>
      <w:r w:rsidRPr="00D11F20">
        <w:rPr>
          <w:szCs w:val="24"/>
        </w:rPr>
        <w:t xml:space="preserve"> v sume 42</w:t>
      </w:r>
      <w:r>
        <w:rPr>
          <w:szCs w:val="24"/>
        </w:rPr>
        <w:t> </w:t>
      </w:r>
      <w:r w:rsidRPr="00D11F20">
        <w:rPr>
          <w:szCs w:val="24"/>
        </w:rPr>
        <w:t>826 tis. eur a individuálnych korekcií</w:t>
      </w:r>
      <w:r w:rsidRPr="00D11F20">
        <w:rPr>
          <w:szCs w:val="24"/>
          <w:vertAlign w:val="superscript"/>
        </w:rPr>
        <w:footnoteReference w:id="10"/>
      </w:r>
      <w:r w:rsidRPr="00D11F20">
        <w:rPr>
          <w:szCs w:val="24"/>
        </w:rPr>
        <w:t xml:space="preserve"> v sume 1</w:t>
      </w:r>
      <w:r>
        <w:rPr>
          <w:szCs w:val="24"/>
        </w:rPr>
        <w:t> </w:t>
      </w:r>
      <w:r w:rsidRPr="00D11F20">
        <w:rPr>
          <w:szCs w:val="24"/>
        </w:rPr>
        <w:t>791 tis. eur. Negatívny vplyv korekcií bol eliminovaný očistením vplyvu príjmov za prostriedky EÚ z dôvodu úhrady korekcií na náklady štátu vo výške 28</w:t>
      </w:r>
      <w:r>
        <w:rPr>
          <w:szCs w:val="24"/>
        </w:rPr>
        <w:t> </w:t>
      </w:r>
      <w:r w:rsidRPr="00D11F20">
        <w:rPr>
          <w:szCs w:val="24"/>
        </w:rPr>
        <w:t xml:space="preserve">454 tis. eur (v rozpočte sa táto upravujúca položka rozpočtovala vo výške 65 000 tis. eur a rozdiel oproti skutočnosti predstavuje </w:t>
      </w:r>
      <w:r>
        <w:rPr>
          <w:szCs w:val="24"/>
        </w:rPr>
        <w:t xml:space="preserve">tak zlepšenie o </w:t>
      </w:r>
      <w:r w:rsidRPr="00D11F20">
        <w:rPr>
          <w:szCs w:val="24"/>
        </w:rPr>
        <w:t>36</w:t>
      </w:r>
      <w:r>
        <w:rPr>
          <w:szCs w:val="24"/>
        </w:rPr>
        <w:t> </w:t>
      </w:r>
      <w:r w:rsidRPr="00D11F20">
        <w:rPr>
          <w:szCs w:val="24"/>
        </w:rPr>
        <w:t>546 tis. eur).</w:t>
      </w:r>
    </w:p>
    <w:p w14:paraId="3EA8E87F" w14:textId="77777777" w:rsidR="00071FF0" w:rsidRPr="0087783F" w:rsidRDefault="00071FF0" w:rsidP="0087783F">
      <w:pPr>
        <w:rPr>
          <w:szCs w:val="24"/>
          <w:highlight w:val="yellow"/>
        </w:rPr>
      </w:pPr>
    </w:p>
    <w:p w14:paraId="3A7A9C6B" w14:textId="5B5A56A7" w:rsidR="009A05C7" w:rsidRPr="00376600" w:rsidRDefault="009A05C7" w:rsidP="00532D85">
      <w:pPr>
        <w:pStyle w:val="Podtitul"/>
        <w:spacing w:before="0"/>
        <w:jc w:val="both"/>
      </w:pPr>
      <w:r w:rsidRPr="00376600">
        <w:t>Zelená energia</w:t>
      </w:r>
    </w:p>
    <w:p w14:paraId="4AD3C90A" w14:textId="77777777" w:rsidR="00353357" w:rsidRPr="00376600" w:rsidRDefault="00353357" w:rsidP="00353357">
      <w:pPr>
        <w:spacing w:line="240" w:lineRule="auto"/>
        <w:jc w:val="both"/>
        <w:rPr>
          <w:szCs w:val="24"/>
        </w:rPr>
      </w:pPr>
      <w:r w:rsidRPr="00376600">
        <w:rPr>
          <w:szCs w:val="24"/>
        </w:rPr>
        <w:t>Podpora obnoviteľných zdrojov energie (OZE) sa realizuje prostredníctvom politiky štátu, ktorou chce podporiť OZE pomocou povinného výkupu energie za vyššiu cenu. Od roku 2020 už túto povinnosť výkupu nemajú distribučné spoločnosti, ale spoločnosť SPP resp. OKTE (Organizátor krátkodobého trhu s elektrinou). Pri podpore výroby ide o nekomerčnú aktivitu vykonávanú jednotkami nepatriacimi do sektora verejnej správy, ktoré vykupujú za vyššie ceny elektrinu vyrobenú z OZE, pretože im to ukladá zákon, teda reálne vykonávajú vládnu politiku v oblasti podpory OZE. Z tohto dôvodu sa predmetné transakcie presmerovávajú cez sektor verejnej správy, kde neverejné jednotky vyberajú dane a zároveň poskytujú subvencie výrobcom energie. Dane platí obyvateľstvo v cenách energie v rámci tarify za prevádzku systému (TPS) a podpora OZE sa realizuje výkupom elektriny za zvýšenú cenu v podobe subvencie.</w:t>
      </w:r>
    </w:p>
    <w:p w14:paraId="56FB324F" w14:textId="77777777" w:rsidR="008C19E4" w:rsidRDefault="008C19E4" w:rsidP="00353357">
      <w:pPr>
        <w:spacing w:line="240" w:lineRule="auto"/>
        <w:jc w:val="both"/>
        <w:rPr>
          <w:szCs w:val="24"/>
        </w:rPr>
      </w:pPr>
    </w:p>
    <w:p w14:paraId="39D4673D" w14:textId="5CFFA8CA" w:rsidR="00353357" w:rsidRDefault="00353357" w:rsidP="00353357">
      <w:pPr>
        <w:spacing w:line="240" w:lineRule="auto"/>
        <w:jc w:val="both"/>
        <w:rPr>
          <w:bCs/>
          <w:szCs w:val="24"/>
        </w:rPr>
      </w:pPr>
      <w:r w:rsidRPr="00F32F04">
        <w:rPr>
          <w:szCs w:val="24"/>
        </w:rPr>
        <w:t>V roku 2025 boli inkasované daňové príjmy prostredníctvom TPS vo výške 238</w:t>
      </w:r>
      <w:r>
        <w:rPr>
          <w:szCs w:val="24"/>
        </w:rPr>
        <w:t> </w:t>
      </w:r>
      <w:r w:rsidRPr="00F32F04">
        <w:rPr>
          <w:szCs w:val="24"/>
        </w:rPr>
        <w:t>256 tis. eur a na strane výdavkov na podporu obnoviteľných zdrojov energie a vysoko účinnej kombinovanej výroby elektriny a tepla bol vyplatený objem subvencií vo výške 288</w:t>
      </w:r>
      <w:r>
        <w:rPr>
          <w:szCs w:val="24"/>
        </w:rPr>
        <w:t> </w:t>
      </w:r>
      <w:r w:rsidRPr="00F32F04">
        <w:rPr>
          <w:szCs w:val="24"/>
        </w:rPr>
        <w:t xml:space="preserve">268 tis. eur. Výsledné </w:t>
      </w:r>
      <w:r w:rsidRPr="00F32F04">
        <w:rPr>
          <w:b/>
          <w:szCs w:val="24"/>
        </w:rPr>
        <w:t xml:space="preserve">saldo </w:t>
      </w:r>
      <w:r w:rsidRPr="00F32F04">
        <w:rPr>
          <w:bCs/>
          <w:szCs w:val="24"/>
        </w:rPr>
        <w:t>schémy</w:t>
      </w:r>
      <w:r w:rsidRPr="00F32F04">
        <w:rPr>
          <w:b/>
          <w:szCs w:val="24"/>
        </w:rPr>
        <w:t xml:space="preserve"> podpory zelenej energie v roku 2025 </w:t>
      </w:r>
      <w:r w:rsidRPr="00F32F04">
        <w:rPr>
          <w:bCs/>
          <w:szCs w:val="24"/>
        </w:rPr>
        <w:t>bolo schodkové vo výške 50</w:t>
      </w:r>
      <w:r>
        <w:rPr>
          <w:bCs/>
          <w:szCs w:val="24"/>
        </w:rPr>
        <w:t> </w:t>
      </w:r>
      <w:r w:rsidRPr="00F32F04">
        <w:rPr>
          <w:bCs/>
          <w:szCs w:val="24"/>
        </w:rPr>
        <w:t>012 tis. eur</w:t>
      </w:r>
      <w:r>
        <w:rPr>
          <w:bCs/>
          <w:szCs w:val="24"/>
        </w:rPr>
        <w:t xml:space="preserve"> čo zároveň predstavuje celkový rozdiel </w:t>
      </w:r>
      <w:r w:rsidRPr="00F32F04">
        <w:rPr>
          <w:bCs/>
          <w:szCs w:val="24"/>
        </w:rPr>
        <w:t>oproti rozpočtu</w:t>
      </w:r>
      <w:r>
        <w:rPr>
          <w:bCs/>
          <w:szCs w:val="24"/>
        </w:rPr>
        <w:t>,</w:t>
      </w:r>
      <w:r w:rsidRPr="00F32F04">
        <w:rPr>
          <w:bCs/>
          <w:szCs w:val="24"/>
        </w:rPr>
        <w:t xml:space="preserve"> keďže saldo schémy podpory sa rozpočtuje v nulovej výške</w:t>
      </w:r>
      <w:r w:rsidR="00952B49">
        <w:rPr>
          <w:bCs/>
          <w:szCs w:val="24"/>
        </w:rPr>
        <w:t>.</w:t>
      </w:r>
      <w:r>
        <w:rPr>
          <w:rStyle w:val="Odkaznapoznmkupodiarou"/>
          <w:bCs/>
          <w:szCs w:val="24"/>
        </w:rPr>
        <w:footnoteReference w:id="11"/>
      </w:r>
    </w:p>
    <w:p w14:paraId="170268F0" w14:textId="5E168033" w:rsidR="007453BD" w:rsidRDefault="007453BD">
      <w:pPr>
        <w:rPr>
          <w:szCs w:val="24"/>
        </w:rPr>
      </w:pPr>
    </w:p>
    <w:p w14:paraId="797807B0" w14:textId="45A52B7A" w:rsidR="009A05C7" w:rsidRPr="008B5909" w:rsidRDefault="009A05C7" w:rsidP="00532D85">
      <w:pPr>
        <w:pStyle w:val="Podtitul"/>
        <w:spacing w:before="0"/>
        <w:jc w:val="both"/>
      </w:pPr>
      <w:r w:rsidRPr="008B5909">
        <w:t>Vplyv akruálnych príjmov a výdavkov na obsluhu štátneho dlhu</w:t>
      </w:r>
    </w:p>
    <w:p w14:paraId="150A2D55" w14:textId="3775F768" w:rsidR="008B5909" w:rsidRPr="008B5909" w:rsidRDefault="00796036" w:rsidP="008B5909">
      <w:pPr>
        <w:spacing w:line="240" w:lineRule="auto"/>
        <w:jc w:val="both"/>
        <w:rPr>
          <w:szCs w:val="24"/>
        </w:rPr>
      </w:pPr>
      <w:r w:rsidRPr="003F570E">
        <w:rPr>
          <w:szCs w:val="24"/>
        </w:rPr>
        <w:t xml:space="preserve">V roku 2025 bol schodok príjmov a výdavkov na obsluhu štátneho dlhu v akruálnom vyjadrení 283 397 tis. eur. </w:t>
      </w:r>
      <w:r w:rsidR="008B5909" w:rsidRPr="003F570E">
        <w:rPr>
          <w:szCs w:val="24"/>
        </w:rPr>
        <w:t>Oproti</w:t>
      </w:r>
      <w:r w:rsidR="008B5909" w:rsidRPr="008B5909">
        <w:rPr>
          <w:szCs w:val="24"/>
        </w:rPr>
        <w:t xml:space="preserve"> rozpočtovanej úrovni 213 637 tis. eur sa deficit zvýšil o 6</w:t>
      </w:r>
      <w:r w:rsidR="001C3131">
        <w:rPr>
          <w:szCs w:val="24"/>
        </w:rPr>
        <w:t>9</w:t>
      </w:r>
      <w:r w:rsidR="008B5909" w:rsidRPr="008B5909">
        <w:rPr>
          <w:szCs w:val="24"/>
        </w:rPr>
        <w:t> </w:t>
      </w:r>
      <w:r w:rsidR="001C3131">
        <w:rPr>
          <w:szCs w:val="24"/>
        </w:rPr>
        <w:t>76</w:t>
      </w:r>
      <w:r w:rsidR="008B5909" w:rsidRPr="008B5909">
        <w:rPr>
          <w:szCs w:val="24"/>
        </w:rPr>
        <w:t xml:space="preserve">0 tis. eur. Negatívny vplyv na bilanciu príjmov a výdavkov mal pokles </w:t>
      </w:r>
      <w:r w:rsidR="00251FC3">
        <w:rPr>
          <w:szCs w:val="24"/>
        </w:rPr>
        <w:t>príjmov</w:t>
      </w:r>
      <w:r w:rsidR="008B5909" w:rsidRPr="008B5909">
        <w:rPr>
          <w:szCs w:val="24"/>
        </w:rPr>
        <w:t xml:space="preserve"> oproti rozpočtu, keďže trhové úrokové sadzby boli vyššie ako sa plánovalo a pri emisiách štát inkasoval nižšie ážio.</w:t>
      </w:r>
    </w:p>
    <w:p w14:paraId="05CF186A" w14:textId="47DF1EF2" w:rsidR="009A05C7" w:rsidRPr="00196EE7" w:rsidRDefault="009A05C7" w:rsidP="00532D85">
      <w:pPr>
        <w:spacing w:line="240" w:lineRule="auto"/>
        <w:jc w:val="both"/>
        <w:rPr>
          <w:b/>
          <w:bCs/>
          <w:color w:val="5B9BD5" w:themeColor="accent1"/>
          <w:szCs w:val="24"/>
        </w:rPr>
      </w:pPr>
      <w:bookmarkStart w:id="53" w:name="_Hlk226620645"/>
      <w:r w:rsidRPr="00196EE7">
        <w:rPr>
          <w:b/>
          <w:color w:val="5B9BD5" w:themeColor="accent1"/>
          <w:szCs w:val="24"/>
        </w:rPr>
        <w:lastRenderedPageBreak/>
        <w:t xml:space="preserve">Vplyv </w:t>
      </w:r>
      <w:r w:rsidRPr="00196EE7">
        <w:rPr>
          <w:b/>
          <w:bCs/>
          <w:color w:val="5B9BD5" w:themeColor="accent1"/>
          <w:szCs w:val="24"/>
        </w:rPr>
        <w:t>akruálneho zaznamenania výdavkov na energopomoc</w:t>
      </w:r>
    </w:p>
    <w:bookmarkEnd w:id="53"/>
    <w:p w14:paraId="457BE590" w14:textId="1F254329" w:rsidR="00353357" w:rsidRPr="003024FA" w:rsidRDefault="00353357" w:rsidP="00353357">
      <w:pPr>
        <w:pStyle w:val="Odsekzoznamu"/>
        <w:ind w:left="0"/>
        <w:contextualSpacing w:val="0"/>
        <w:jc w:val="both"/>
        <w:rPr>
          <w:rFonts w:ascii="Times New Roman" w:hAnsi="Times New Roman" w:cstheme="minorBidi"/>
          <w:szCs w:val="24"/>
        </w:rPr>
      </w:pPr>
      <w:r w:rsidRPr="003024FA">
        <w:rPr>
          <w:rFonts w:ascii="Times New Roman" w:hAnsi="Times New Roman" w:cstheme="minorBidi"/>
          <w:szCs w:val="24"/>
        </w:rPr>
        <w:t xml:space="preserve">Akruálne výdavky na energopomoc </w:t>
      </w:r>
      <w:r>
        <w:rPr>
          <w:rFonts w:ascii="Times New Roman" w:hAnsi="Times New Roman" w:cstheme="minorBidi"/>
          <w:szCs w:val="24"/>
        </w:rPr>
        <w:t>dosiahli za rok 2025 celkovú sumu 491</w:t>
      </w:r>
      <w:r w:rsidR="00A048DC">
        <w:rPr>
          <w:rFonts w:ascii="Times New Roman" w:hAnsi="Times New Roman" w:cstheme="minorBidi"/>
          <w:szCs w:val="24"/>
        </w:rPr>
        <w:t> </w:t>
      </w:r>
      <w:r>
        <w:rPr>
          <w:rFonts w:ascii="Times New Roman" w:hAnsi="Times New Roman" w:cstheme="minorBidi"/>
          <w:szCs w:val="24"/>
        </w:rPr>
        <w:t>339</w:t>
      </w:r>
      <w:r w:rsidR="00A048DC">
        <w:rPr>
          <w:rFonts w:ascii="Times New Roman" w:hAnsi="Times New Roman" w:cstheme="minorBidi"/>
          <w:szCs w:val="24"/>
        </w:rPr>
        <w:t> </w:t>
      </w:r>
      <w:r>
        <w:rPr>
          <w:rFonts w:ascii="Times New Roman" w:hAnsi="Times New Roman" w:cstheme="minorBidi"/>
          <w:szCs w:val="24"/>
        </w:rPr>
        <w:t>tis.</w:t>
      </w:r>
      <w:r w:rsidR="00A048DC">
        <w:rPr>
          <w:rFonts w:ascii="Times New Roman" w:hAnsi="Times New Roman" w:cstheme="minorBidi"/>
          <w:szCs w:val="24"/>
        </w:rPr>
        <w:t> </w:t>
      </w:r>
      <w:r>
        <w:rPr>
          <w:rFonts w:ascii="Times New Roman" w:hAnsi="Times New Roman" w:cstheme="minorBidi"/>
          <w:szCs w:val="24"/>
        </w:rPr>
        <w:t>eur a</w:t>
      </w:r>
      <w:r w:rsidR="00A048DC">
        <w:rPr>
          <w:rFonts w:ascii="Times New Roman" w:hAnsi="Times New Roman" w:cstheme="minorBidi"/>
          <w:szCs w:val="24"/>
        </w:rPr>
        <w:t> </w:t>
      </w:r>
      <w:r w:rsidRPr="003024FA">
        <w:rPr>
          <w:rFonts w:ascii="Times New Roman" w:hAnsi="Times New Roman" w:cstheme="minorBidi"/>
          <w:szCs w:val="24"/>
        </w:rPr>
        <w:t xml:space="preserve">oproti </w:t>
      </w:r>
      <w:r>
        <w:rPr>
          <w:rFonts w:ascii="Times New Roman" w:hAnsi="Times New Roman" w:cstheme="minorBidi"/>
          <w:szCs w:val="24"/>
        </w:rPr>
        <w:t>predpokladom v rozpočte boli</w:t>
      </w:r>
      <w:r w:rsidRPr="003024FA">
        <w:rPr>
          <w:rFonts w:ascii="Times New Roman" w:hAnsi="Times New Roman" w:cstheme="minorBidi"/>
          <w:szCs w:val="24"/>
        </w:rPr>
        <w:t xml:space="preserve"> vyššie o 256</w:t>
      </w:r>
      <w:r>
        <w:rPr>
          <w:rFonts w:ascii="Times New Roman" w:hAnsi="Times New Roman" w:cstheme="minorBidi"/>
          <w:szCs w:val="24"/>
        </w:rPr>
        <w:t> </w:t>
      </w:r>
      <w:r w:rsidRPr="003024FA">
        <w:rPr>
          <w:rFonts w:ascii="Times New Roman" w:hAnsi="Times New Roman" w:cstheme="minorBidi"/>
          <w:szCs w:val="24"/>
        </w:rPr>
        <w:t>339</w:t>
      </w:r>
      <w:r>
        <w:rPr>
          <w:rFonts w:ascii="Times New Roman" w:hAnsi="Times New Roman" w:cstheme="minorBidi"/>
          <w:szCs w:val="24"/>
        </w:rPr>
        <w:t> </w:t>
      </w:r>
      <w:r w:rsidRPr="003024FA">
        <w:rPr>
          <w:rFonts w:ascii="Times New Roman" w:hAnsi="Times New Roman" w:cstheme="minorBidi"/>
          <w:szCs w:val="24"/>
        </w:rPr>
        <w:t>tis.</w:t>
      </w:r>
      <w:r>
        <w:rPr>
          <w:rFonts w:ascii="Times New Roman" w:hAnsi="Times New Roman" w:cstheme="minorBidi"/>
          <w:szCs w:val="24"/>
        </w:rPr>
        <w:t> </w:t>
      </w:r>
      <w:r w:rsidRPr="003024FA">
        <w:rPr>
          <w:rFonts w:ascii="Times New Roman" w:hAnsi="Times New Roman" w:cstheme="minorBidi"/>
          <w:szCs w:val="24"/>
        </w:rPr>
        <w:t>eur</w:t>
      </w:r>
      <w:r>
        <w:rPr>
          <w:rFonts w:ascii="Times New Roman" w:hAnsi="Times New Roman" w:cstheme="minorBidi"/>
          <w:szCs w:val="24"/>
        </w:rPr>
        <w:t xml:space="preserve">. </w:t>
      </w:r>
      <w:r w:rsidR="007D2A76">
        <w:rPr>
          <w:rFonts w:ascii="Times New Roman" w:hAnsi="Times New Roman" w:cstheme="minorBidi"/>
          <w:szCs w:val="24"/>
        </w:rPr>
        <w:t>V</w:t>
      </w:r>
      <w:r>
        <w:rPr>
          <w:rFonts w:ascii="Times New Roman" w:hAnsi="Times New Roman" w:cstheme="minorBidi"/>
          <w:szCs w:val="24"/>
        </w:rPr>
        <w:t>ýdavky boli rozpočtované na</w:t>
      </w:r>
      <w:r w:rsidR="00DA1E5C">
        <w:rPr>
          <w:rFonts w:ascii="Times New Roman" w:hAnsi="Times New Roman" w:cstheme="minorBidi"/>
          <w:szCs w:val="24"/>
        </w:rPr>
        <w:t> </w:t>
      </w:r>
      <w:r>
        <w:rPr>
          <w:rFonts w:ascii="Times New Roman" w:hAnsi="Times New Roman" w:cstheme="minorBidi"/>
          <w:szCs w:val="24"/>
        </w:rPr>
        <w:t>úrovni 235</w:t>
      </w:r>
      <w:r w:rsidR="00A048DC">
        <w:rPr>
          <w:rFonts w:ascii="Times New Roman" w:hAnsi="Times New Roman" w:cstheme="minorBidi"/>
          <w:szCs w:val="24"/>
        </w:rPr>
        <w:t> </w:t>
      </w:r>
      <w:r>
        <w:rPr>
          <w:rFonts w:ascii="Times New Roman" w:hAnsi="Times New Roman" w:cstheme="minorBidi"/>
          <w:szCs w:val="24"/>
        </w:rPr>
        <w:t>000</w:t>
      </w:r>
      <w:r w:rsidR="00A048DC">
        <w:rPr>
          <w:rFonts w:ascii="Times New Roman" w:hAnsi="Times New Roman" w:cstheme="minorBidi"/>
          <w:szCs w:val="24"/>
        </w:rPr>
        <w:t> </w:t>
      </w:r>
      <w:r>
        <w:rPr>
          <w:rFonts w:ascii="Times New Roman" w:hAnsi="Times New Roman" w:cstheme="minorBidi"/>
          <w:szCs w:val="24"/>
        </w:rPr>
        <w:t>tis. eur</w:t>
      </w:r>
      <w:r w:rsidR="007D2A76">
        <w:rPr>
          <w:rFonts w:ascii="Times New Roman" w:hAnsi="Times New Roman" w:cstheme="minorBidi"/>
          <w:szCs w:val="24"/>
        </w:rPr>
        <w:t xml:space="preserve"> (rozpočet hotovostných a rovnako tak aj akruálnych výdavkov)</w:t>
      </w:r>
      <w:r>
        <w:rPr>
          <w:rFonts w:ascii="Times New Roman" w:hAnsi="Times New Roman" w:cstheme="minorBidi"/>
          <w:szCs w:val="24"/>
        </w:rPr>
        <w:t xml:space="preserve"> pričom v skutočnosti dosiahli </w:t>
      </w:r>
      <w:r w:rsidR="007D2A76">
        <w:rPr>
          <w:rFonts w:ascii="Times New Roman" w:hAnsi="Times New Roman" w:cstheme="minorBidi"/>
          <w:szCs w:val="24"/>
        </w:rPr>
        <w:t xml:space="preserve">hotovostné výdavky </w:t>
      </w:r>
      <w:r>
        <w:rPr>
          <w:rFonts w:ascii="Times New Roman" w:hAnsi="Times New Roman" w:cstheme="minorBidi"/>
          <w:szCs w:val="24"/>
        </w:rPr>
        <w:t>362</w:t>
      </w:r>
      <w:r w:rsidR="00A048DC">
        <w:rPr>
          <w:rFonts w:ascii="Times New Roman" w:hAnsi="Times New Roman" w:cstheme="minorBidi"/>
          <w:szCs w:val="24"/>
        </w:rPr>
        <w:t> </w:t>
      </w:r>
      <w:r>
        <w:rPr>
          <w:rFonts w:ascii="Times New Roman" w:hAnsi="Times New Roman" w:cstheme="minorBidi"/>
          <w:szCs w:val="24"/>
        </w:rPr>
        <w:t>028</w:t>
      </w:r>
      <w:r w:rsidR="00A048DC">
        <w:rPr>
          <w:rFonts w:ascii="Times New Roman" w:hAnsi="Times New Roman" w:cstheme="minorBidi"/>
          <w:szCs w:val="24"/>
        </w:rPr>
        <w:t> </w:t>
      </w:r>
      <w:r>
        <w:rPr>
          <w:rFonts w:ascii="Times New Roman" w:hAnsi="Times New Roman" w:cstheme="minorBidi"/>
          <w:szCs w:val="24"/>
        </w:rPr>
        <w:t>tis.</w:t>
      </w:r>
      <w:r w:rsidR="00A048DC">
        <w:rPr>
          <w:rFonts w:ascii="Times New Roman" w:hAnsi="Times New Roman" w:cstheme="minorBidi"/>
          <w:szCs w:val="24"/>
        </w:rPr>
        <w:t> </w:t>
      </w:r>
      <w:r>
        <w:rPr>
          <w:rFonts w:ascii="Times New Roman" w:hAnsi="Times New Roman" w:cstheme="minorBidi"/>
          <w:szCs w:val="24"/>
        </w:rPr>
        <w:t>eur</w:t>
      </w:r>
      <w:r w:rsidR="007D2A76">
        <w:rPr>
          <w:rFonts w:ascii="Times New Roman" w:hAnsi="Times New Roman" w:cstheme="minorBidi"/>
          <w:szCs w:val="24"/>
        </w:rPr>
        <w:t>, ktoré bolo následne nutné upraviť o časové rozlíšenie a iné úpravy</w:t>
      </w:r>
      <w:r>
        <w:rPr>
          <w:rFonts w:ascii="Times New Roman" w:hAnsi="Times New Roman" w:cstheme="minorBidi"/>
          <w:szCs w:val="24"/>
        </w:rPr>
        <w:t>.</w:t>
      </w:r>
      <w:r w:rsidRPr="003024FA">
        <w:rPr>
          <w:rFonts w:ascii="Times New Roman" w:hAnsi="Times New Roman" w:cstheme="minorBidi"/>
          <w:szCs w:val="24"/>
        </w:rPr>
        <w:t xml:space="preserve"> </w:t>
      </w:r>
      <w:r>
        <w:rPr>
          <w:rFonts w:ascii="Times New Roman" w:hAnsi="Times New Roman" w:cstheme="minorBidi"/>
          <w:szCs w:val="24"/>
        </w:rPr>
        <w:t>Na</w:t>
      </w:r>
      <w:r w:rsidR="00A048DC">
        <w:rPr>
          <w:rFonts w:ascii="Times New Roman" w:hAnsi="Times New Roman" w:cstheme="minorBidi"/>
          <w:szCs w:val="24"/>
        </w:rPr>
        <w:t> </w:t>
      </w:r>
      <w:r>
        <w:rPr>
          <w:rFonts w:ascii="Times New Roman" w:hAnsi="Times New Roman" w:cstheme="minorBidi"/>
          <w:szCs w:val="24"/>
        </w:rPr>
        <w:t>základe informácií z Ministerstva hospodárstva SR o platbách realizovaných v roku 2025-2026,</w:t>
      </w:r>
      <w:r w:rsidR="00E71BD7">
        <w:rPr>
          <w:rFonts w:ascii="Times New Roman" w:hAnsi="Times New Roman" w:cstheme="minorBidi"/>
          <w:szCs w:val="24"/>
        </w:rPr>
        <w:t xml:space="preserve"> boli z dôvodu časového posunu platieb na energopomoc v roku 2025 znížené výdavky o sumu 12 728 tis. eur na 349 </w:t>
      </w:r>
      <w:r w:rsidR="000A0D15">
        <w:rPr>
          <w:rFonts w:ascii="Times New Roman" w:hAnsi="Times New Roman" w:cstheme="minorBidi"/>
          <w:szCs w:val="24"/>
        </w:rPr>
        <w:t>2</w:t>
      </w:r>
      <w:r w:rsidR="002C0411">
        <w:rPr>
          <w:rFonts w:ascii="Times New Roman" w:hAnsi="Times New Roman" w:cstheme="minorBidi"/>
          <w:szCs w:val="24"/>
        </w:rPr>
        <w:t>9</w:t>
      </w:r>
      <w:r w:rsidR="000A0D15">
        <w:rPr>
          <w:rFonts w:ascii="Times New Roman" w:hAnsi="Times New Roman" w:cstheme="minorBidi"/>
          <w:szCs w:val="24"/>
        </w:rPr>
        <w:t>3</w:t>
      </w:r>
      <w:r w:rsidR="00E71BD7">
        <w:rPr>
          <w:rFonts w:ascii="Times New Roman" w:hAnsi="Times New Roman" w:cstheme="minorBidi"/>
          <w:szCs w:val="24"/>
        </w:rPr>
        <w:t xml:space="preserve"> tis. eur. Ďalej sa do akruálnych výdavkov roku 2025 zahrnuli aj </w:t>
      </w:r>
      <w:r>
        <w:rPr>
          <w:rFonts w:ascii="Times New Roman" w:hAnsi="Times New Roman" w:cstheme="minorBidi"/>
          <w:szCs w:val="24"/>
        </w:rPr>
        <w:t>vratk</w:t>
      </w:r>
      <w:r w:rsidR="00E71BD7">
        <w:rPr>
          <w:rFonts w:ascii="Times New Roman" w:hAnsi="Times New Roman" w:cstheme="minorBidi"/>
          <w:szCs w:val="24"/>
        </w:rPr>
        <w:t>y</w:t>
      </w:r>
      <w:r w:rsidR="008A0EE6">
        <w:rPr>
          <w:rFonts w:ascii="Times New Roman" w:hAnsi="Times New Roman" w:cstheme="minorBidi"/>
          <w:szCs w:val="24"/>
        </w:rPr>
        <w:t xml:space="preserve"> započítan</w:t>
      </w:r>
      <w:r w:rsidR="00E71BD7">
        <w:rPr>
          <w:rFonts w:ascii="Times New Roman" w:hAnsi="Times New Roman" w:cstheme="minorBidi"/>
          <w:szCs w:val="24"/>
        </w:rPr>
        <w:t>é</w:t>
      </w:r>
      <w:r w:rsidR="008A0EE6">
        <w:rPr>
          <w:rFonts w:ascii="Times New Roman" w:hAnsi="Times New Roman" w:cstheme="minorBidi"/>
          <w:szCs w:val="24"/>
        </w:rPr>
        <w:t xml:space="preserve"> </w:t>
      </w:r>
      <w:r w:rsidR="00166244">
        <w:rPr>
          <w:rFonts w:ascii="Times New Roman" w:hAnsi="Times New Roman" w:cstheme="minorBidi"/>
          <w:szCs w:val="24"/>
        </w:rPr>
        <w:t xml:space="preserve">s nárokom na energopomoc </w:t>
      </w:r>
      <w:r>
        <w:rPr>
          <w:rFonts w:ascii="Times New Roman" w:hAnsi="Times New Roman" w:cstheme="minorBidi"/>
          <w:szCs w:val="24"/>
        </w:rPr>
        <w:t>v roku 2025</w:t>
      </w:r>
      <w:r w:rsidR="00E71BD7">
        <w:rPr>
          <w:rFonts w:ascii="Times New Roman" w:hAnsi="Times New Roman" w:cstheme="minorBidi"/>
          <w:szCs w:val="24"/>
        </w:rPr>
        <w:t xml:space="preserve"> v objeme 54 200 tis. eur.</w:t>
      </w:r>
      <w:r>
        <w:rPr>
          <w:rFonts w:ascii="Times New Roman" w:hAnsi="Times New Roman" w:cstheme="minorBidi"/>
          <w:szCs w:val="24"/>
        </w:rPr>
        <w:t xml:space="preserve"> </w:t>
      </w:r>
      <w:r w:rsidRPr="008A0EE6">
        <w:rPr>
          <w:rFonts w:ascii="Times New Roman" w:hAnsi="Times New Roman" w:cstheme="minorBidi"/>
          <w:szCs w:val="24"/>
        </w:rPr>
        <w:t>Akruálne</w:t>
      </w:r>
      <w:r w:rsidRPr="003024FA">
        <w:rPr>
          <w:rFonts w:ascii="Times New Roman" w:hAnsi="Times New Roman" w:cstheme="minorBidi"/>
          <w:szCs w:val="24"/>
        </w:rPr>
        <w:t xml:space="preserve"> výdavky tiež navýšil</w:t>
      </w:r>
      <w:r w:rsidR="00E71BD7">
        <w:rPr>
          <w:rFonts w:ascii="Times New Roman" w:hAnsi="Times New Roman" w:cstheme="minorBidi"/>
          <w:szCs w:val="24"/>
        </w:rPr>
        <w:t>o</w:t>
      </w:r>
      <w:r w:rsidRPr="003024FA">
        <w:rPr>
          <w:rFonts w:ascii="Times New Roman" w:hAnsi="Times New Roman" w:cstheme="minorBidi"/>
          <w:szCs w:val="24"/>
        </w:rPr>
        <w:t xml:space="preserve"> imputovanie výdavkov na energopomoc </w:t>
      </w:r>
      <w:r w:rsidR="00775931">
        <w:rPr>
          <w:rFonts w:ascii="Times New Roman" w:hAnsi="Times New Roman" w:cstheme="minorBidi"/>
          <w:szCs w:val="24"/>
        </w:rPr>
        <w:t xml:space="preserve">poskytovanú prostredníctvom </w:t>
      </w:r>
      <w:r w:rsidRPr="003024FA">
        <w:rPr>
          <w:rFonts w:ascii="Times New Roman" w:hAnsi="Times New Roman" w:cstheme="minorBidi"/>
          <w:szCs w:val="24"/>
        </w:rPr>
        <w:t>SPP vo</w:t>
      </w:r>
      <w:r>
        <w:rPr>
          <w:rFonts w:ascii="Times New Roman" w:hAnsi="Times New Roman" w:cstheme="minorBidi"/>
          <w:szCs w:val="24"/>
        </w:rPr>
        <w:t> </w:t>
      </w:r>
      <w:r w:rsidRPr="003024FA">
        <w:rPr>
          <w:rFonts w:ascii="Times New Roman" w:hAnsi="Times New Roman" w:cstheme="minorBidi"/>
          <w:szCs w:val="24"/>
        </w:rPr>
        <w:t>výške 63</w:t>
      </w:r>
      <w:r>
        <w:rPr>
          <w:rFonts w:ascii="Times New Roman" w:hAnsi="Times New Roman" w:cstheme="minorBidi"/>
          <w:szCs w:val="24"/>
        </w:rPr>
        <w:t> </w:t>
      </w:r>
      <w:r w:rsidRPr="003024FA">
        <w:rPr>
          <w:rFonts w:ascii="Times New Roman" w:hAnsi="Times New Roman" w:cstheme="minorBidi"/>
          <w:szCs w:val="24"/>
        </w:rPr>
        <w:t>146</w:t>
      </w:r>
      <w:r>
        <w:rPr>
          <w:rFonts w:ascii="Times New Roman" w:hAnsi="Times New Roman" w:cstheme="minorBidi"/>
          <w:szCs w:val="24"/>
        </w:rPr>
        <w:t> </w:t>
      </w:r>
      <w:r w:rsidRPr="003024FA">
        <w:rPr>
          <w:rFonts w:ascii="Times New Roman" w:hAnsi="Times New Roman" w:cstheme="minorBidi"/>
          <w:szCs w:val="24"/>
        </w:rPr>
        <w:t>tis.</w:t>
      </w:r>
      <w:r>
        <w:rPr>
          <w:rFonts w:ascii="Times New Roman" w:hAnsi="Times New Roman" w:cstheme="minorBidi"/>
          <w:szCs w:val="24"/>
        </w:rPr>
        <w:t> </w:t>
      </w:r>
      <w:r w:rsidRPr="003024FA">
        <w:rPr>
          <w:rFonts w:ascii="Times New Roman" w:hAnsi="Times New Roman" w:cstheme="minorBidi"/>
          <w:szCs w:val="24"/>
        </w:rPr>
        <w:t>eur a Teplárenské</w:t>
      </w:r>
      <w:r w:rsidR="00775931">
        <w:rPr>
          <w:rFonts w:ascii="Times New Roman" w:hAnsi="Times New Roman" w:cstheme="minorBidi"/>
          <w:szCs w:val="24"/>
        </w:rPr>
        <w:t>ho</w:t>
      </w:r>
      <w:r w:rsidRPr="003024FA">
        <w:rPr>
          <w:rFonts w:ascii="Times New Roman" w:hAnsi="Times New Roman" w:cstheme="minorBidi"/>
          <w:szCs w:val="24"/>
        </w:rPr>
        <w:t xml:space="preserve"> Holdingu vo výške 24</w:t>
      </w:r>
      <w:r>
        <w:rPr>
          <w:rFonts w:ascii="Times New Roman" w:hAnsi="Times New Roman" w:cstheme="minorBidi"/>
          <w:szCs w:val="24"/>
        </w:rPr>
        <w:t> </w:t>
      </w:r>
      <w:r w:rsidRPr="003024FA">
        <w:rPr>
          <w:rFonts w:ascii="Times New Roman" w:hAnsi="Times New Roman" w:cstheme="minorBidi"/>
          <w:szCs w:val="24"/>
        </w:rPr>
        <w:t>700</w:t>
      </w:r>
      <w:r>
        <w:rPr>
          <w:rFonts w:ascii="Times New Roman" w:hAnsi="Times New Roman" w:cstheme="minorBidi"/>
          <w:szCs w:val="24"/>
        </w:rPr>
        <w:t> </w:t>
      </w:r>
      <w:r w:rsidRPr="003024FA">
        <w:rPr>
          <w:rFonts w:ascii="Times New Roman" w:hAnsi="Times New Roman" w:cstheme="minorBidi"/>
          <w:szCs w:val="24"/>
        </w:rPr>
        <w:t>tis.</w:t>
      </w:r>
      <w:r>
        <w:rPr>
          <w:rFonts w:ascii="Times New Roman" w:hAnsi="Times New Roman" w:cstheme="minorBidi"/>
          <w:szCs w:val="24"/>
        </w:rPr>
        <w:t> </w:t>
      </w:r>
      <w:r w:rsidRPr="003024FA">
        <w:rPr>
          <w:rFonts w:ascii="Times New Roman" w:hAnsi="Times New Roman" w:cstheme="minorBidi"/>
          <w:szCs w:val="24"/>
        </w:rPr>
        <w:t>eur</w:t>
      </w:r>
      <w:r w:rsidR="000E04B2">
        <w:rPr>
          <w:rFonts w:ascii="Times New Roman" w:hAnsi="Times New Roman" w:cstheme="minorBidi"/>
          <w:szCs w:val="24"/>
        </w:rPr>
        <w:t>, s ktorými rozpočet pôvodne nepočítal.</w:t>
      </w:r>
    </w:p>
    <w:p w14:paraId="11DD4B7C" w14:textId="77777777" w:rsidR="00402102" w:rsidRPr="00196EE7" w:rsidRDefault="00402102" w:rsidP="00532D85">
      <w:pPr>
        <w:pStyle w:val="Odsekzoznamu"/>
        <w:ind w:left="0"/>
        <w:contextualSpacing w:val="0"/>
        <w:jc w:val="both"/>
        <w:rPr>
          <w:rFonts w:ascii="Times New Roman" w:eastAsia="Calibri" w:hAnsi="Times New Roman"/>
          <w:szCs w:val="24"/>
        </w:rPr>
      </w:pPr>
    </w:p>
    <w:p w14:paraId="7D159597" w14:textId="67109EB6" w:rsidR="00D96E6C" w:rsidRPr="00026426" w:rsidRDefault="00D96E6C" w:rsidP="00532D85">
      <w:pPr>
        <w:pStyle w:val="Popis"/>
        <w:jc w:val="both"/>
      </w:pPr>
      <w:bookmarkStart w:id="54" w:name="_Toc196313637"/>
      <w:bookmarkStart w:id="55" w:name="_Toc227670147"/>
      <w:r w:rsidRPr="00026426">
        <w:t xml:space="preserve">Tabuľka </w:t>
      </w:r>
      <w:r w:rsidR="00995280">
        <w:fldChar w:fldCharType="begin"/>
      </w:r>
      <w:r w:rsidR="00995280">
        <w:instrText xml:space="preserve"> SEQ Tabuľka \* ARABIC </w:instrText>
      </w:r>
      <w:r w:rsidR="00995280">
        <w:fldChar w:fldCharType="separate"/>
      </w:r>
      <w:r w:rsidR="00396BE8">
        <w:rPr>
          <w:noProof/>
        </w:rPr>
        <w:t>11</w:t>
      </w:r>
      <w:r w:rsidR="00995280">
        <w:rPr>
          <w:noProof/>
        </w:rPr>
        <w:fldChar w:fldCharType="end"/>
      </w:r>
      <w:r w:rsidRPr="00026426">
        <w:t xml:space="preserve"> </w:t>
      </w:r>
      <w:r w:rsidR="005F5412">
        <w:t>–</w:t>
      </w:r>
      <w:r w:rsidRPr="00026426">
        <w:t xml:space="preserve"> </w:t>
      </w:r>
      <w:r w:rsidR="005F5412">
        <w:t xml:space="preserve">Časové rozlíšenie hotovostných výdavkov </w:t>
      </w:r>
      <w:r w:rsidRPr="00026426">
        <w:t>na energopomoc 202</w:t>
      </w:r>
      <w:bookmarkEnd w:id="54"/>
      <w:r w:rsidR="00026426">
        <w:t>5</w:t>
      </w:r>
      <w:bookmarkEnd w:id="55"/>
    </w:p>
    <w:tbl>
      <w:tblPr>
        <w:tblW w:w="5000" w:type="pct"/>
        <w:tblCellMar>
          <w:left w:w="70" w:type="dxa"/>
          <w:right w:w="70" w:type="dxa"/>
        </w:tblCellMar>
        <w:tblLook w:val="04A0" w:firstRow="1" w:lastRow="0" w:firstColumn="1" w:lastColumn="0" w:noHBand="0" w:noVBand="1"/>
      </w:tblPr>
      <w:tblGrid>
        <w:gridCol w:w="3796"/>
        <w:gridCol w:w="950"/>
        <w:gridCol w:w="950"/>
        <w:gridCol w:w="950"/>
        <w:gridCol w:w="1384"/>
        <w:gridCol w:w="1040"/>
      </w:tblGrid>
      <w:tr w:rsidR="00026426" w:rsidRPr="00026426" w14:paraId="3E8D44CF" w14:textId="77777777" w:rsidTr="00026426">
        <w:trPr>
          <w:trHeight w:val="840"/>
          <w:tblHeader/>
        </w:trPr>
        <w:tc>
          <w:tcPr>
            <w:tcW w:w="2197" w:type="pct"/>
            <w:vMerge w:val="restart"/>
            <w:tcBorders>
              <w:top w:val="single" w:sz="4" w:space="0" w:color="auto"/>
              <w:left w:val="nil"/>
              <w:bottom w:val="single" w:sz="4" w:space="0" w:color="auto"/>
              <w:right w:val="nil"/>
            </w:tcBorders>
            <w:vAlign w:val="center"/>
            <w:hideMark/>
          </w:tcPr>
          <w:p w14:paraId="2FCE45D0" w14:textId="77777777" w:rsidR="00026426" w:rsidRPr="00026426" w:rsidRDefault="00026426" w:rsidP="00026426">
            <w:pPr>
              <w:spacing w:line="240" w:lineRule="auto"/>
              <w:rPr>
                <w:rFonts w:eastAsia="Times New Roman" w:cs="Times New Roman"/>
                <w:b/>
                <w:bCs/>
                <w:sz w:val="18"/>
                <w:szCs w:val="18"/>
                <w:lang w:eastAsia="sk-SK"/>
              </w:rPr>
            </w:pPr>
            <w:r w:rsidRPr="00026426">
              <w:rPr>
                <w:rFonts w:eastAsia="Times New Roman" w:cs="Times New Roman"/>
                <w:b/>
                <w:bCs/>
                <w:sz w:val="18"/>
                <w:szCs w:val="18"/>
                <w:lang w:eastAsia="sk-SK"/>
              </w:rPr>
              <w:t>Názov opatrenia</w:t>
            </w:r>
          </w:p>
        </w:tc>
        <w:tc>
          <w:tcPr>
            <w:tcW w:w="1310" w:type="pct"/>
            <w:gridSpan w:val="3"/>
            <w:tcBorders>
              <w:top w:val="single" w:sz="4" w:space="0" w:color="auto"/>
              <w:left w:val="single" w:sz="4" w:space="0" w:color="auto"/>
              <w:bottom w:val="single" w:sz="4" w:space="0" w:color="auto"/>
              <w:right w:val="single" w:sz="4" w:space="0" w:color="000000"/>
            </w:tcBorders>
            <w:vAlign w:val="center"/>
            <w:hideMark/>
          </w:tcPr>
          <w:p w14:paraId="175910EF" w14:textId="77777777" w:rsidR="00026426" w:rsidRPr="00026426" w:rsidRDefault="00026426" w:rsidP="00026426">
            <w:pPr>
              <w:spacing w:line="240" w:lineRule="auto"/>
              <w:jc w:val="center"/>
              <w:rPr>
                <w:rFonts w:eastAsia="Times New Roman" w:cs="Times New Roman"/>
                <w:b/>
                <w:bCs/>
                <w:sz w:val="18"/>
                <w:szCs w:val="18"/>
                <w:lang w:eastAsia="sk-SK"/>
              </w:rPr>
            </w:pPr>
            <w:r w:rsidRPr="00026426">
              <w:rPr>
                <w:rFonts w:eastAsia="Times New Roman" w:cs="Times New Roman"/>
                <w:b/>
                <w:bCs/>
                <w:sz w:val="18"/>
                <w:szCs w:val="18"/>
                <w:lang w:eastAsia="sk-SK"/>
              </w:rPr>
              <w:t>Vyplatené kompenzácie v roku 2025 v mil. eur</w:t>
            </w:r>
          </w:p>
        </w:tc>
        <w:tc>
          <w:tcPr>
            <w:tcW w:w="866" w:type="pct"/>
            <w:vMerge w:val="restart"/>
            <w:tcBorders>
              <w:top w:val="single" w:sz="4" w:space="0" w:color="auto"/>
              <w:left w:val="nil"/>
              <w:bottom w:val="single" w:sz="4" w:space="0" w:color="000000"/>
              <w:right w:val="single" w:sz="4" w:space="0" w:color="auto"/>
            </w:tcBorders>
            <w:vAlign w:val="center"/>
            <w:hideMark/>
          </w:tcPr>
          <w:p w14:paraId="4EEB6888" w14:textId="77777777" w:rsidR="00026426" w:rsidRPr="00026426" w:rsidRDefault="00026426" w:rsidP="00026426">
            <w:pPr>
              <w:spacing w:line="240" w:lineRule="auto"/>
              <w:jc w:val="center"/>
              <w:rPr>
                <w:rFonts w:eastAsia="Times New Roman" w:cs="Times New Roman"/>
                <w:b/>
                <w:bCs/>
                <w:sz w:val="18"/>
                <w:szCs w:val="18"/>
                <w:lang w:eastAsia="sk-SK"/>
              </w:rPr>
            </w:pPr>
            <w:r w:rsidRPr="00026426">
              <w:rPr>
                <w:rFonts w:eastAsia="Times New Roman" w:cs="Times New Roman"/>
                <w:b/>
                <w:bCs/>
                <w:sz w:val="18"/>
                <w:szCs w:val="18"/>
                <w:lang w:eastAsia="sk-SK"/>
              </w:rPr>
              <w:t>Vyplatené kompenzácie v roku 2026 za rok 2025 v mil. eur</w:t>
            </w:r>
          </w:p>
        </w:tc>
        <w:tc>
          <w:tcPr>
            <w:tcW w:w="627" w:type="pct"/>
            <w:vMerge w:val="restart"/>
            <w:tcBorders>
              <w:top w:val="single" w:sz="4" w:space="0" w:color="auto"/>
              <w:left w:val="single" w:sz="4" w:space="0" w:color="auto"/>
              <w:bottom w:val="single" w:sz="4" w:space="0" w:color="auto"/>
              <w:right w:val="nil"/>
            </w:tcBorders>
            <w:vAlign w:val="center"/>
            <w:hideMark/>
          </w:tcPr>
          <w:p w14:paraId="3815FCBA" w14:textId="28A1E624" w:rsidR="00026426" w:rsidRPr="00026426" w:rsidRDefault="00026426" w:rsidP="00026426">
            <w:pPr>
              <w:spacing w:line="240" w:lineRule="auto"/>
              <w:jc w:val="center"/>
              <w:rPr>
                <w:rFonts w:eastAsia="Times New Roman" w:cs="Times New Roman"/>
                <w:b/>
                <w:bCs/>
                <w:sz w:val="18"/>
                <w:szCs w:val="18"/>
                <w:lang w:eastAsia="sk-SK"/>
              </w:rPr>
            </w:pPr>
            <w:r w:rsidRPr="00026426">
              <w:rPr>
                <w:rFonts w:eastAsia="Times New Roman" w:cs="Times New Roman"/>
                <w:b/>
                <w:bCs/>
                <w:sz w:val="18"/>
                <w:szCs w:val="18"/>
                <w:lang w:eastAsia="sk-SK"/>
              </w:rPr>
              <w:t>Akruálne výdavky na energetickú pomoc</w:t>
            </w:r>
            <w:r w:rsidR="005F5412">
              <w:rPr>
                <w:rFonts w:eastAsia="Times New Roman" w:cs="Times New Roman"/>
                <w:b/>
                <w:bCs/>
                <w:sz w:val="18"/>
                <w:szCs w:val="18"/>
                <w:lang w:eastAsia="sk-SK"/>
              </w:rPr>
              <w:t xml:space="preserve"> 2025</w:t>
            </w:r>
          </w:p>
        </w:tc>
      </w:tr>
      <w:tr w:rsidR="00026426" w:rsidRPr="00026426" w14:paraId="2F3B4887" w14:textId="77777777" w:rsidTr="00026426">
        <w:trPr>
          <w:trHeight w:val="460"/>
          <w:tblHeader/>
        </w:trPr>
        <w:tc>
          <w:tcPr>
            <w:tcW w:w="2197" w:type="pct"/>
            <w:vMerge/>
            <w:tcBorders>
              <w:top w:val="single" w:sz="4" w:space="0" w:color="auto"/>
              <w:left w:val="nil"/>
              <w:bottom w:val="single" w:sz="4" w:space="0" w:color="auto"/>
              <w:right w:val="nil"/>
            </w:tcBorders>
            <w:vAlign w:val="center"/>
            <w:hideMark/>
          </w:tcPr>
          <w:p w14:paraId="4C959FDA" w14:textId="77777777" w:rsidR="00026426" w:rsidRPr="00026426" w:rsidRDefault="00026426" w:rsidP="00026426">
            <w:pPr>
              <w:spacing w:line="240" w:lineRule="auto"/>
              <w:rPr>
                <w:rFonts w:eastAsia="Times New Roman" w:cs="Times New Roman"/>
                <w:b/>
                <w:bCs/>
                <w:sz w:val="18"/>
                <w:szCs w:val="18"/>
                <w:lang w:eastAsia="sk-SK"/>
              </w:rPr>
            </w:pPr>
          </w:p>
        </w:tc>
        <w:tc>
          <w:tcPr>
            <w:tcW w:w="437" w:type="pct"/>
            <w:tcBorders>
              <w:top w:val="nil"/>
              <w:left w:val="single" w:sz="4" w:space="0" w:color="auto"/>
              <w:bottom w:val="single" w:sz="4" w:space="0" w:color="auto"/>
              <w:right w:val="single" w:sz="4" w:space="0" w:color="auto"/>
            </w:tcBorders>
            <w:vAlign w:val="center"/>
            <w:hideMark/>
          </w:tcPr>
          <w:p w14:paraId="23224231" w14:textId="77777777" w:rsidR="00026426" w:rsidRPr="00026426" w:rsidRDefault="00026426" w:rsidP="00026426">
            <w:pPr>
              <w:spacing w:line="240" w:lineRule="auto"/>
              <w:jc w:val="center"/>
              <w:rPr>
                <w:rFonts w:eastAsia="Times New Roman" w:cs="Times New Roman"/>
                <w:b/>
                <w:bCs/>
                <w:sz w:val="18"/>
                <w:szCs w:val="18"/>
                <w:lang w:eastAsia="sk-SK"/>
              </w:rPr>
            </w:pPr>
            <w:r w:rsidRPr="00026426">
              <w:rPr>
                <w:rFonts w:eastAsia="Times New Roman" w:cs="Times New Roman"/>
                <w:b/>
                <w:bCs/>
                <w:sz w:val="18"/>
                <w:szCs w:val="18"/>
                <w:lang w:eastAsia="sk-SK"/>
              </w:rPr>
              <w:t xml:space="preserve">za oprávnené </w:t>
            </w:r>
            <w:r w:rsidRPr="00026426">
              <w:rPr>
                <w:rFonts w:eastAsia="Times New Roman" w:cs="Times New Roman"/>
                <w:b/>
                <w:bCs/>
                <w:sz w:val="18"/>
                <w:szCs w:val="18"/>
                <w:lang w:eastAsia="sk-SK"/>
              </w:rPr>
              <w:br/>
              <w:t>obdobie 2023</w:t>
            </w:r>
          </w:p>
        </w:tc>
        <w:tc>
          <w:tcPr>
            <w:tcW w:w="437" w:type="pct"/>
            <w:tcBorders>
              <w:top w:val="nil"/>
              <w:left w:val="nil"/>
              <w:bottom w:val="single" w:sz="4" w:space="0" w:color="auto"/>
              <w:right w:val="single" w:sz="4" w:space="0" w:color="auto"/>
            </w:tcBorders>
            <w:vAlign w:val="center"/>
            <w:hideMark/>
          </w:tcPr>
          <w:p w14:paraId="74521D07" w14:textId="77777777" w:rsidR="00026426" w:rsidRPr="00026426" w:rsidRDefault="00026426" w:rsidP="00026426">
            <w:pPr>
              <w:spacing w:line="240" w:lineRule="auto"/>
              <w:jc w:val="center"/>
              <w:rPr>
                <w:rFonts w:eastAsia="Times New Roman" w:cs="Times New Roman"/>
                <w:b/>
                <w:bCs/>
                <w:sz w:val="18"/>
                <w:szCs w:val="18"/>
                <w:lang w:eastAsia="sk-SK"/>
              </w:rPr>
            </w:pPr>
            <w:r w:rsidRPr="00026426">
              <w:rPr>
                <w:rFonts w:eastAsia="Times New Roman" w:cs="Times New Roman"/>
                <w:b/>
                <w:bCs/>
                <w:sz w:val="18"/>
                <w:szCs w:val="18"/>
                <w:lang w:eastAsia="sk-SK"/>
              </w:rPr>
              <w:t xml:space="preserve">za oprávnené </w:t>
            </w:r>
            <w:r w:rsidRPr="00026426">
              <w:rPr>
                <w:rFonts w:eastAsia="Times New Roman" w:cs="Times New Roman"/>
                <w:b/>
                <w:bCs/>
                <w:sz w:val="18"/>
                <w:szCs w:val="18"/>
                <w:lang w:eastAsia="sk-SK"/>
              </w:rPr>
              <w:br/>
              <w:t>obdobie 2024</w:t>
            </w:r>
          </w:p>
        </w:tc>
        <w:tc>
          <w:tcPr>
            <w:tcW w:w="437" w:type="pct"/>
            <w:tcBorders>
              <w:top w:val="nil"/>
              <w:left w:val="nil"/>
              <w:bottom w:val="single" w:sz="4" w:space="0" w:color="auto"/>
              <w:right w:val="single" w:sz="4" w:space="0" w:color="auto"/>
            </w:tcBorders>
            <w:vAlign w:val="center"/>
            <w:hideMark/>
          </w:tcPr>
          <w:p w14:paraId="0D307D79" w14:textId="77777777" w:rsidR="00026426" w:rsidRPr="00026426" w:rsidRDefault="00026426" w:rsidP="00026426">
            <w:pPr>
              <w:spacing w:line="240" w:lineRule="auto"/>
              <w:jc w:val="center"/>
              <w:rPr>
                <w:rFonts w:eastAsia="Times New Roman" w:cs="Times New Roman"/>
                <w:b/>
                <w:bCs/>
                <w:sz w:val="18"/>
                <w:szCs w:val="18"/>
                <w:lang w:eastAsia="sk-SK"/>
              </w:rPr>
            </w:pPr>
            <w:r w:rsidRPr="00026426">
              <w:rPr>
                <w:rFonts w:eastAsia="Times New Roman" w:cs="Times New Roman"/>
                <w:b/>
                <w:bCs/>
                <w:sz w:val="18"/>
                <w:szCs w:val="18"/>
                <w:lang w:eastAsia="sk-SK"/>
              </w:rPr>
              <w:t xml:space="preserve">za oprávnené </w:t>
            </w:r>
            <w:r w:rsidRPr="00026426">
              <w:rPr>
                <w:rFonts w:eastAsia="Times New Roman" w:cs="Times New Roman"/>
                <w:b/>
                <w:bCs/>
                <w:sz w:val="18"/>
                <w:szCs w:val="18"/>
                <w:lang w:eastAsia="sk-SK"/>
              </w:rPr>
              <w:br/>
              <w:t>obdobie 2025</w:t>
            </w:r>
          </w:p>
        </w:tc>
        <w:tc>
          <w:tcPr>
            <w:tcW w:w="866" w:type="pct"/>
            <w:vMerge/>
            <w:tcBorders>
              <w:top w:val="single" w:sz="4" w:space="0" w:color="auto"/>
              <w:left w:val="nil"/>
              <w:bottom w:val="single" w:sz="4" w:space="0" w:color="000000"/>
              <w:right w:val="single" w:sz="4" w:space="0" w:color="auto"/>
            </w:tcBorders>
            <w:vAlign w:val="center"/>
            <w:hideMark/>
          </w:tcPr>
          <w:p w14:paraId="184A3C0A" w14:textId="77777777" w:rsidR="00026426" w:rsidRPr="00026426" w:rsidRDefault="00026426" w:rsidP="00026426">
            <w:pPr>
              <w:spacing w:line="240" w:lineRule="auto"/>
              <w:rPr>
                <w:rFonts w:eastAsia="Times New Roman" w:cs="Times New Roman"/>
                <w:b/>
                <w:bCs/>
                <w:sz w:val="18"/>
                <w:szCs w:val="18"/>
                <w:lang w:eastAsia="sk-SK"/>
              </w:rPr>
            </w:pPr>
          </w:p>
        </w:tc>
        <w:tc>
          <w:tcPr>
            <w:tcW w:w="627" w:type="pct"/>
            <w:vMerge/>
            <w:tcBorders>
              <w:top w:val="single" w:sz="4" w:space="0" w:color="auto"/>
              <w:left w:val="single" w:sz="4" w:space="0" w:color="auto"/>
              <w:bottom w:val="single" w:sz="4" w:space="0" w:color="auto"/>
              <w:right w:val="nil"/>
            </w:tcBorders>
            <w:vAlign w:val="center"/>
            <w:hideMark/>
          </w:tcPr>
          <w:p w14:paraId="72EDFE22" w14:textId="77777777" w:rsidR="00026426" w:rsidRPr="00026426" w:rsidRDefault="00026426" w:rsidP="00026426">
            <w:pPr>
              <w:spacing w:line="240" w:lineRule="auto"/>
              <w:rPr>
                <w:rFonts w:eastAsia="Times New Roman" w:cs="Times New Roman"/>
                <w:b/>
                <w:bCs/>
                <w:sz w:val="18"/>
                <w:szCs w:val="18"/>
                <w:lang w:eastAsia="sk-SK"/>
              </w:rPr>
            </w:pPr>
          </w:p>
        </w:tc>
      </w:tr>
      <w:tr w:rsidR="00026426" w:rsidRPr="00026426" w14:paraId="5B5D3A05" w14:textId="77777777" w:rsidTr="00026426">
        <w:trPr>
          <w:trHeight w:val="290"/>
        </w:trPr>
        <w:tc>
          <w:tcPr>
            <w:tcW w:w="2197" w:type="pct"/>
            <w:tcBorders>
              <w:top w:val="nil"/>
              <w:left w:val="nil"/>
              <w:bottom w:val="nil"/>
              <w:right w:val="single" w:sz="4" w:space="0" w:color="auto"/>
            </w:tcBorders>
            <w:vAlign w:val="center"/>
            <w:hideMark/>
          </w:tcPr>
          <w:p w14:paraId="105A255C" w14:textId="77777777" w:rsidR="00026426" w:rsidRPr="00026426" w:rsidRDefault="00026426" w:rsidP="00026426">
            <w:pPr>
              <w:spacing w:line="240" w:lineRule="auto"/>
              <w:rPr>
                <w:rFonts w:eastAsia="Times New Roman" w:cs="Times New Roman"/>
                <w:color w:val="000000"/>
                <w:sz w:val="18"/>
                <w:szCs w:val="18"/>
                <w:lang w:eastAsia="sk-SK"/>
              </w:rPr>
            </w:pPr>
            <w:r w:rsidRPr="00026426">
              <w:rPr>
                <w:rFonts w:eastAsia="Times New Roman" w:cs="Times New Roman"/>
                <w:color w:val="000000"/>
                <w:sz w:val="18"/>
                <w:szCs w:val="18"/>
                <w:lang w:eastAsia="sk-SK"/>
              </w:rPr>
              <w:t>Kompenzácia cien plynu za odberateľov plynu v domácnosti</w:t>
            </w:r>
          </w:p>
        </w:tc>
        <w:tc>
          <w:tcPr>
            <w:tcW w:w="437" w:type="pct"/>
            <w:tcBorders>
              <w:top w:val="nil"/>
              <w:left w:val="nil"/>
              <w:bottom w:val="nil"/>
              <w:right w:val="single" w:sz="4" w:space="0" w:color="auto"/>
            </w:tcBorders>
            <w:noWrap/>
            <w:vAlign w:val="center"/>
            <w:hideMark/>
          </w:tcPr>
          <w:p w14:paraId="6D57E461"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437" w:type="pct"/>
            <w:tcBorders>
              <w:top w:val="nil"/>
              <w:left w:val="nil"/>
              <w:bottom w:val="nil"/>
              <w:right w:val="single" w:sz="4" w:space="0" w:color="auto"/>
            </w:tcBorders>
            <w:noWrap/>
            <w:vAlign w:val="center"/>
            <w:hideMark/>
          </w:tcPr>
          <w:p w14:paraId="5FE152A6"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59,3</w:t>
            </w:r>
          </w:p>
        </w:tc>
        <w:tc>
          <w:tcPr>
            <w:tcW w:w="437" w:type="pct"/>
            <w:tcBorders>
              <w:top w:val="nil"/>
              <w:left w:val="nil"/>
              <w:bottom w:val="nil"/>
              <w:right w:val="nil"/>
            </w:tcBorders>
            <w:noWrap/>
            <w:vAlign w:val="center"/>
            <w:hideMark/>
          </w:tcPr>
          <w:p w14:paraId="622C9C6B"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130,6</w:t>
            </w:r>
          </w:p>
        </w:tc>
        <w:tc>
          <w:tcPr>
            <w:tcW w:w="866" w:type="pct"/>
            <w:tcBorders>
              <w:top w:val="nil"/>
              <w:left w:val="single" w:sz="4" w:space="0" w:color="auto"/>
              <w:bottom w:val="nil"/>
              <w:right w:val="single" w:sz="4" w:space="0" w:color="auto"/>
            </w:tcBorders>
            <w:noWrap/>
            <w:vAlign w:val="center"/>
            <w:hideMark/>
          </w:tcPr>
          <w:p w14:paraId="6479A736"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74,4</w:t>
            </w:r>
          </w:p>
        </w:tc>
        <w:tc>
          <w:tcPr>
            <w:tcW w:w="627" w:type="pct"/>
            <w:tcBorders>
              <w:top w:val="nil"/>
              <w:left w:val="nil"/>
              <w:bottom w:val="nil"/>
              <w:right w:val="nil"/>
            </w:tcBorders>
            <w:noWrap/>
            <w:vAlign w:val="center"/>
            <w:hideMark/>
          </w:tcPr>
          <w:p w14:paraId="2A10A380"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205,0</w:t>
            </w:r>
          </w:p>
        </w:tc>
      </w:tr>
      <w:tr w:rsidR="00026426" w:rsidRPr="00026426" w14:paraId="68494326" w14:textId="77777777" w:rsidTr="00026426">
        <w:trPr>
          <w:trHeight w:val="460"/>
        </w:trPr>
        <w:tc>
          <w:tcPr>
            <w:tcW w:w="2197" w:type="pct"/>
            <w:tcBorders>
              <w:top w:val="nil"/>
              <w:left w:val="nil"/>
              <w:bottom w:val="nil"/>
              <w:right w:val="single" w:sz="4" w:space="0" w:color="auto"/>
            </w:tcBorders>
            <w:vAlign w:val="center"/>
            <w:hideMark/>
          </w:tcPr>
          <w:p w14:paraId="2287A776" w14:textId="77777777" w:rsidR="00026426" w:rsidRPr="00026426" w:rsidRDefault="00026426" w:rsidP="00026426">
            <w:pPr>
              <w:spacing w:line="240" w:lineRule="auto"/>
              <w:rPr>
                <w:rFonts w:eastAsia="Times New Roman" w:cs="Times New Roman"/>
                <w:color w:val="000000"/>
                <w:sz w:val="18"/>
                <w:szCs w:val="18"/>
                <w:lang w:eastAsia="sk-SK"/>
              </w:rPr>
            </w:pPr>
            <w:r w:rsidRPr="00026426">
              <w:rPr>
                <w:rFonts w:eastAsia="Times New Roman" w:cs="Times New Roman"/>
                <w:color w:val="000000"/>
                <w:sz w:val="18"/>
                <w:szCs w:val="18"/>
                <w:lang w:eastAsia="sk-SK"/>
              </w:rPr>
              <w:t>Kompenzácia cien elektriny a plynu za vybraných zraniteľných odberateľov elektriny a plynu</w:t>
            </w:r>
          </w:p>
        </w:tc>
        <w:tc>
          <w:tcPr>
            <w:tcW w:w="437" w:type="pct"/>
            <w:tcBorders>
              <w:top w:val="nil"/>
              <w:left w:val="single" w:sz="4" w:space="0" w:color="auto"/>
              <w:bottom w:val="nil"/>
              <w:right w:val="single" w:sz="4" w:space="0" w:color="auto"/>
            </w:tcBorders>
            <w:noWrap/>
            <w:vAlign w:val="center"/>
            <w:hideMark/>
          </w:tcPr>
          <w:p w14:paraId="493024F2"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437" w:type="pct"/>
            <w:tcBorders>
              <w:top w:val="nil"/>
              <w:left w:val="nil"/>
              <w:bottom w:val="nil"/>
              <w:right w:val="single" w:sz="4" w:space="0" w:color="auto"/>
            </w:tcBorders>
            <w:noWrap/>
            <w:vAlign w:val="center"/>
            <w:hideMark/>
          </w:tcPr>
          <w:p w14:paraId="570631E7"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6,3</w:t>
            </w:r>
          </w:p>
        </w:tc>
        <w:tc>
          <w:tcPr>
            <w:tcW w:w="437" w:type="pct"/>
            <w:tcBorders>
              <w:top w:val="nil"/>
              <w:left w:val="nil"/>
              <w:bottom w:val="nil"/>
              <w:right w:val="nil"/>
            </w:tcBorders>
            <w:noWrap/>
            <w:vAlign w:val="center"/>
            <w:hideMark/>
          </w:tcPr>
          <w:p w14:paraId="23B54A87"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3,6</w:t>
            </w:r>
          </w:p>
        </w:tc>
        <w:tc>
          <w:tcPr>
            <w:tcW w:w="866" w:type="pct"/>
            <w:tcBorders>
              <w:top w:val="nil"/>
              <w:left w:val="single" w:sz="4" w:space="0" w:color="auto"/>
              <w:bottom w:val="nil"/>
              <w:right w:val="single" w:sz="4" w:space="0" w:color="auto"/>
            </w:tcBorders>
            <w:noWrap/>
            <w:vAlign w:val="center"/>
            <w:hideMark/>
          </w:tcPr>
          <w:p w14:paraId="7CF8EE30"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0,5</w:t>
            </w:r>
          </w:p>
        </w:tc>
        <w:tc>
          <w:tcPr>
            <w:tcW w:w="627" w:type="pct"/>
            <w:tcBorders>
              <w:top w:val="nil"/>
              <w:left w:val="nil"/>
              <w:bottom w:val="nil"/>
              <w:right w:val="nil"/>
            </w:tcBorders>
            <w:noWrap/>
            <w:vAlign w:val="center"/>
            <w:hideMark/>
          </w:tcPr>
          <w:p w14:paraId="74D69CC6"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4,1</w:t>
            </w:r>
          </w:p>
        </w:tc>
      </w:tr>
      <w:tr w:rsidR="00026426" w:rsidRPr="00026426" w14:paraId="6F1683E1" w14:textId="77777777" w:rsidTr="00026426">
        <w:trPr>
          <w:trHeight w:val="460"/>
        </w:trPr>
        <w:tc>
          <w:tcPr>
            <w:tcW w:w="2197" w:type="pct"/>
            <w:tcBorders>
              <w:top w:val="nil"/>
              <w:left w:val="nil"/>
              <w:bottom w:val="nil"/>
              <w:right w:val="single" w:sz="4" w:space="0" w:color="auto"/>
            </w:tcBorders>
            <w:vAlign w:val="center"/>
            <w:hideMark/>
          </w:tcPr>
          <w:p w14:paraId="5DA2064F" w14:textId="77777777" w:rsidR="00026426" w:rsidRPr="00026426" w:rsidRDefault="00026426" w:rsidP="00026426">
            <w:pPr>
              <w:spacing w:line="240" w:lineRule="auto"/>
              <w:rPr>
                <w:rFonts w:eastAsia="Times New Roman" w:cs="Times New Roman"/>
                <w:color w:val="000000"/>
                <w:sz w:val="18"/>
                <w:szCs w:val="18"/>
                <w:lang w:eastAsia="sk-SK"/>
              </w:rPr>
            </w:pPr>
            <w:r w:rsidRPr="00026426">
              <w:rPr>
                <w:rFonts w:eastAsia="Times New Roman" w:cs="Times New Roman"/>
                <w:color w:val="000000"/>
                <w:sz w:val="18"/>
                <w:szCs w:val="18"/>
                <w:lang w:eastAsia="sk-SK"/>
              </w:rPr>
              <w:t>Kompenzácia cien tepla za domácnosti v bytoch a ostatných vybraných odberateľov tepla</w:t>
            </w:r>
          </w:p>
        </w:tc>
        <w:tc>
          <w:tcPr>
            <w:tcW w:w="437" w:type="pct"/>
            <w:tcBorders>
              <w:top w:val="nil"/>
              <w:left w:val="single" w:sz="4" w:space="0" w:color="auto"/>
              <w:bottom w:val="nil"/>
              <w:right w:val="single" w:sz="4" w:space="0" w:color="auto"/>
            </w:tcBorders>
            <w:noWrap/>
            <w:vAlign w:val="center"/>
            <w:hideMark/>
          </w:tcPr>
          <w:p w14:paraId="2BD8E80E"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437" w:type="pct"/>
            <w:tcBorders>
              <w:top w:val="nil"/>
              <w:left w:val="nil"/>
              <w:bottom w:val="nil"/>
              <w:right w:val="single" w:sz="4" w:space="0" w:color="auto"/>
            </w:tcBorders>
            <w:noWrap/>
            <w:vAlign w:val="center"/>
            <w:hideMark/>
          </w:tcPr>
          <w:p w14:paraId="3B4B3562"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0,3</w:t>
            </w:r>
          </w:p>
        </w:tc>
        <w:tc>
          <w:tcPr>
            <w:tcW w:w="437" w:type="pct"/>
            <w:tcBorders>
              <w:top w:val="nil"/>
              <w:left w:val="nil"/>
              <w:bottom w:val="nil"/>
              <w:right w:val="nil"/>
            </w:tcBorders>
            <w:noWrap/>
            <w:vAlign w:val="center"/>
            <w:hideMark/>
          </w:tcPr>
          <w:p w14:paraId="4F4BB157"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110,1</w:t>
            </w:r>
          </w:p>
        </w:tc>
        <w:tc>
          <w:tcPr>
            <w:tcW w:w="866" w:type="pct"/>
            <w:tcBorders>
              <w:top w:val="nil"/>
              <w:left w:val="single" w:sz="4" w:space="0" w:color="auto"/>
              <w:bottom w:val="nil"/>
              <w:right w:val="single" w:sz="4" w:space="0" w:color="auto"/>
            </w:tcBorders>
            <w:noWrap/>
            <w:vAlign w:val="center"/>
            <w:hideMark/>
          </w:tcPr>
          <w:p w14:paraId="25DF2E0C"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20,1</w:t>
            </w:r>
          </w:p>
        </w:tc>
        <w:tc>
          <w:tcPr>
            <w:tcW w:w="627" w:type="pct"/>
            <w:tcBorders>
              <w:top w:val="nil"/>
              <w:left w:val="nil"/>
              <w:bottom w:val="nil"/>
              <w:right w:val="nil"/>
            </w:tcBorders>
            <w:noWrap/>
            <w:vAlign w:val="center"/>
            <w:hideMark/>
          </w:tcPr>
          <w:p w14:paraId="7DF65B39" w14:textId="7F337E03"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130,</w:t>
            </w:r>
            <w:r w:rsidR="000A0D15">
              <w:rPr>
                <w:rFonts w:eastAsia="Times New Roman" w:cs="Times New Roman"/>
                <w:sz w:val="18"/>
                <w:szCs w:val="18"/>
                <w:lang w:eastAsia="sk-SK"/>
              </w:rPr>
              <w:t>2</w:t>
            </w:r>
          </w:p>
        </w:tc>
      </w:tr>
      <w:tr w:rsidR="00026426" w:rsidRPr="00026426" w14:paraId="45442043" w14:textId="77777777" w:rsidTr="00026426">
        <w:trPr>
          <w:trHeight w:val="460"/>
        </w:trPr>
        <w:tc>
          <w:tcPr>
            <w:tcW w:w="2197" w:type="pct"/>
            <w:tcBorders>
              <w:top w:val="nil"/>
              <w:left w:val="nil"/>
              <w:bottom w:val="nil"/>
              <w:right w:val="single" w:sz="4" w:space="0" w:color="auto"/>
            </w:tcBorders>
            <w:vAlign w:val="center"/>
            <w:hideMark/>
          </w:tcPr>
          <w:p w14:paraId="4DCE376A" w14:textId="77777777" w:rsidR="00026426" w:rsidRPr="00026426" w:rsidRDefault="00026426" w:rsidP="00026426">
            <w:pPr>
              <w:spacing w:line="240" w:lineRule="auto"/>
              <w:rPr>
                <w:rFonts w:eastAsia="Times New Roman" w:cs="Times New Roman"/>
                <w:color w:val="000000"/>
                <w:sz w:val="18"/>
                <w:szCs w:val="18"/>
                <w:lang w:eastAsia="sk-SK"/>
              </w:rPr>
            </w:pPr>
            <w:r w:rsidRPr="00026426">
              <w:rPr>
                <w:rFonts w:eastAsia="Times New Roman" w:cs="Times New Roman"/>
                <w:color w:val="000000"/>
                <w:sz w:val="18"/>
                <w:szCs w:val="18"/>
                <w:lang w:eastAsia="sk-SK"/>
              </w:rPr>
              <w:t>Kompenzácia cien vybraných druhov taríf za odberateľov plynu v domácnosti a vybraných zraniteľných odberateľov plynu</w:t>
            </w:r>
          </w:p>
        </w:tc>
        <w:tc>
          <w:tcPr>
            <w:tcW w:w="437" w:type="pct"/>
            <w:tcBorders>
              <w:top w:val="nil"/>
              <w:left w:val="single" w:sz="4" w:space="0" w:color="auto"/>
              <w:bottom w:val="nil"/>
              <w:right w:val="single" w:sz="4" w:space="0" w:color="auto"/>
            </w:tcBorders>
            <w:noWrap/>
            <w:vAlign w:val="center"/>
            <w:hideMark/>
          </w:tcPr>
          <w:p w14:paraId="7B30ADE7"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437" w:type="pct"/>
            <w:tcBorders>
              <w:top w:val="nil"/>
              <w:left w:val="nil"/>
              <w:bottom w:val="nil"/>
              <w:right w:val="single" w:sz="4" w:space="0" w:color="auto"/>
            </w:tcBorders>
            <w:noWrap/>
            <w:vAlign w:val="center"/>
            <w:hideMark/>
          </w:tcPr>
          <w:p w14:paraId="158C734D"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7,6</w:t>
            </w:r>
          </w:p>
        </w:tc>
        <w:tc>
          <w:tcPr>
            <w:tcW w:w="437" w:type="pct"/>
            <w:tcBorders>
              <w:top w:val="nil"/>
              <w:left w:val="nil"/>
              <w:bottom w:val="nil"/>
              <w:right w:val="nil"/>
            </w:tcBorders>
            <w:noWrap/>
            <w:vAlign w:val="center"/>
            <w:hideMark/>
          </w:tcPr>
          <w:p w14:paraId="48301887" w14:textId="442A1481"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8,</w:t>
            </w:r>
            <w:r w:rsidR="000A0D15">
              <w:rPr>
                <w:rFonts w:eastAsia="Times New Roman" w:cs="Times New Roman"/>
                <w:sz w:val="18"/>
                <w:szCs w:val="18"/>
                <w:lang w:eastAsia="sk-SK"/>
              </w:rPr>
              <w:t>0</w:t>
            </w:r>
          </w:p>
        </w:tc>
        <w:tc>
          <w:tcPr>
            <w:tcW w:w="866" w:type="pct"/>
            <w:tcBorders>
              <w:top w:val="nil"/>
              <w:left w:val="single" w:sz="4" w:space="0" w:color="auto"/>
              <w:bottom w:val="nil"/>
              <w:right w:val="single" w:sz="4" w:space="0" w:color="auto"/>
            </w:tcBorders>
            <w:noWrap/>
            <w:vAlign w:val="center"/>
            <w:hideMark/>
          </w:tcPr>
          <w:p w14:paraId="7829DEC9"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1,9</w:t>
            </w:r>
          </w:p>
        </w:tc>
        <w:tc>
          <w:tcPr>
            <w:tcW w:w="627" w:type="pct"/>
            <w:tcBorders>
              <w:top w:val="nil"/>
              <w:left w:val="nil"/>
              <w:bottom w:val="nil"/>
              <w:right w:val="nil"/>
            </w:tcBorders>
            <w:noWrap/>
            <w:vAlign w:val="center"/>
            <w:hideMark/>
          </w:tcPr>
          <w:p w14:paraId="7954CCDD" w14:textId="5CE666D0" w:rsidR="00026426" w:rsidRPr="00026426" w:rsidRDefault="000A0D15" w:rsidP="00026426">
            <w:pPr>
              <w:spacing w:line="240" w:lineRule="auto"/>
              <w:jc w:val="right"/>
              <w:rPr>
                <w:rFonts w:eastAsia="Times New Roman" w:cs="Times New Roman"/>
                <w:sz w:val="18"/>
                <w:szCs w:val="18"/>
                <w:lang w:eastAsia="sk-SK"/>
              </w:rPr>
            </w:pPr>
            <w:r>
              <w:rPr>
                <w:rFonts w:eastAsia="Times New Roman" w:cs="Times New Roman"/>
                <w:sz w:val="18"/>
                <w:szCs w:val="18"/>
                <w:lang w:eastAsia="sk-SK"/>
              </w:rPr>
              <w:t>9</w:t>
            </w:r>
            <w:r w:rsidR="00026426" w:rsidRPr="00026426">
              <w:rPr>
                <w:rFonts w:eastAsia="Times New Roman" w:cs="Times New Roman"/>
                <w:sz w:val="18"/>
                <w:szCs w:val="18"/>
                <w:lang w:eastAsia="sk-SK"/>
              </w:rPr>
              <w:t>,</w:t>
            </w:r>
            <w:r>
              <w:rPr>
                <w:rFonts w:eastAsia="Times New Roman" w:cs="Times New Roman"/>
                <w:sz w:val="18"/>
                <w:szCs w:val="18"/>
                <w:lang w:eastAsia="sk-SK"/>
              </w:rPr>
              <w:t>9</w:t>
            </w:r>
          </w:p>
        </w:tc>
      </w:tr>
      <w:tr w:rsidR="00026426" w:rsidRPr="00026426" w14:paraId="1248B583" w14:textId="77777777" w:rsidTr="00026426">
        <w:trPr>
          <w:trHeight w:val="290"/>
        </w:trPr>
        <w:tc>
          <w:tcPr>
            <w:tcW w:w="2197" w:type="pct"/>
            <w:tcBorders>
              <w:top w:val="nil"/>
              <w:left w:val="nil"/>
              <w:bottom w:val="nil"/>
              <w:right w:val="single" w:sz="4" w:space="0" w:color="auto"/>
            </w:tcBorders>
            <w:vAlign w:val="center"/>
            <w:hideMark/>
          </w:tcPr>
          <w:p w14:paraId="61968C6B" w14:textId="77777777" w:rsidR="00026426" w:rsidRPr="00026426" w:rsidRDefault="00026426" w:rsidP="00026426">
            <w:pPr>
              <w:spacing w:line="240" w:lineRule="auto"/>
              <w:rPr>
                <w:rFonts w:eastAsia="Times New Roman" w:cs="Times New Roman"/>
                <w:color w:val="000000"/>
                <w:sz w:val="18"/>
                <w:szCs w:val="18"/>
                <w:lang w:eastAsia="sk-SK"/>
              </w:rPr>
            </w:pPr>
            <w:r w:rsidRPr="00026426">
              <w:rPr>
                <w:rFonts w:eastAsia="Times New Roman" w:cs="Times New Roman"/>
                <w:color w:val="000000"/>
                <w:sz w:val="18"/>
                <w:szCs w:val="18"/>
                <w:lang w:eastAsia="sk-SK"/>
              </w:rPr>
              <w:t>Kompenzácia cien vybraných druhov taríf za odberateľov elektriny</w:t>
            </w:r>
          </w:p>
        </w:tc>
        <w:tc>
          <w:tcPr>
            <w:tcW w:w="437" w:type="pct"/>
            <w:tcBorders>
              <w:top w:val="nil"/>
              <w:left w:val="single" w:sz="4" w:space="0" w:color="auto"/>
              <w:bottom w:val="nil"/>
              <w:right w:val="single" w:sz="4" w:space="0" w:color="auto"/>
            </w:tcBorders>
            <w:noWrap/>
            <w:vAlign w:val="center"/>
            <w:hideMark/>
          </w:tcPr>
          <w:p w14:paraId="6795DC28"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437" w:type="pct"/>
            <w:tcBorders>
              <w:top w:val="nil"/>
              <w:left w:val="nil"/>
              <w:bottom w:val="nil"/>
              <w:right w:val="single" w:sz="4" w:space="0" w:color="auto"/>
            </w:tcBorders>
            <w:noWrap/>
            <w:vAlign w:val="center"/>
            <w:hideMark/>
          </w:tcPr>
          <w:p w14:paraId="7B2BCAF6"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21,3</w:t>
            </w:r>
          </w:p>
        </w:tc>
        <w:tc>
          <w:tcPr>
            <w:tcW w:w="437" w:type="pct"/>
            <w:tcBorders>
              <w:top w:val="nil"/>
              <w:left w:val="nil"/>
              <w:bottom w:val="nil"/>
              <w:right w:val="nil"/>
            </w:tcBorders>
            <w:noWrap/>
            <w:vAlign w:val="center"/>
            <w:hideMark/>
          </w:tcPr>
          <w:p w14:paraId="5A1636CD"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866" w:type="pct"/>
            <w:tcBorders>
              <w:top w:val="nil"/>
              <w:left w:val="single" w:sz="4" w:space="0" w:color="auto"/>
              <w:bottom w:val="nil"/>
              <w:right w:val="single" w:sz="4" w:space="0" w:color="auto"/>
            </w:tcBorders>
            <w:noWrap/>
            <w:vAlign w:val="center"/>
            <w:hideMark/>
          </w:tcPr>
          <w:p w14:paraId="214144FE"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627" w:type="pct"/>
            <w:tcBorders>
              <w:top w:val="nil"/>
              <w:left w:val="nil"/>
              <w:bottom w:val="nil"/>
              <w:right w:val="nil"/>
            </w:tcBorders>
            <w:noWrap/>
            <w:vAlign w:val="center"/>
            <w:hideMark/>
          </w:tcPr>
          <w:p w14:paraId="60009B0A"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r>
      <w:tr w:rsidR="00026426" w:rsidRPr="00026426" w14:paraId="680ADEF3" w14:textId="77777777" w:rsidTr="00026426">
        <w:trPr>
          <w:trHeight w:val="460"/>
        </w:trPr>
        <w:tc>
          <w:tcPr>
            <w:tcW w:w="2197" w:type="pct"/>
            <w:tcBorders>
              <w:top w:val="nil"/>
              <w:left w:val="nil"/>
              <w:bottom w:val="nil"/>
              <w:right w:val="single" w:sz="4" w:space="0" w:color="auto"/>
            </w:tcBorders>
            <w:vAlign w:val="center"/>
            <w:hideMark/>
          </w:tcPr>
          <w:p w14:paraId="0A682521" w14:textId="77777777" w:rsidR="00026426" w:rsidRPr="00026426" w:rsidRDefault="00026426" w:rsidP="00026426">
            <w:pPr>
              <w:spacing w:line="240" w:lineRule="auto"/>
              <w:rPr>
                <w:rFonts w:eastAsia="Times New Roman" w:cs="Times New Roman"/>
                <w:color w:val="000000"/>
                <w:sz w:val="18"/>
                <w:szCs w:val="18"/>
                <w:lang w:eastAsia="sk-SK"/>
              </w:rPr>
            </w:pPr>
            <w:r w:rsidRPr="00026426">
              <w:rPr>
                <w:rFonts w:eastAsia="Times New Roman" w:cs="Times New Roman"/>
                <w:color w:val="000000"/>
                <w:sz w:val="18"/>
                <w:szCs w:val="18"/>
                <w:lang w:eastAsia="sk-SK"/>
              </w:rPr>
              <w:t>Zúčtovanie kompenzácii cien elektriny a plynu za vybraných zraniteľných odberateľov elektriny a plynu za rok 2024</w:t>
            </w:r>
          </w:p>
        </w:tc>
        <w:tc>
          <w:tcPr>
            <w:tcW w:w="437" w:type="pct"/>
            <w:tcBorders>
              <w:top w:val="nil"/>
              <w:left w:val="single" w:sz="4" w:space="0" w:color="auto"/>
              <w:bottom w:val="nil"/>
              <w:right w:val="single" w:sz="4" w:space="0" w:color="auto"/>
            </w:tcBorders>
            <w:noWrap/>
            <w:vAlign w:val="center"/>
            <w:hideMark/>
          </w:tcPr>
          <w:p w14:paraId="586521DA"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437" w:type="pct"/>
            <w:tcBorders>
              <w:top w:val="nil"/>
              <w:left w:val="nil"/>
              <w:bottom w:val="nil"/>
              <w:right w:val="single" w:sz="4" w:space="0" w:color="auto"/>
            </w:tcBorders>
            <w:noWrap/>
            <w:vAlign w:val="center"/>
            <w:hideMark/>
          </w:tcPr>
          <w:p w14:paraId="3AD0913F"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0,6</w:t>
            </w:r>
          </w:p>
        </w:tc>
        <w:tc>
          <w:tcPr>
            <w:tcW w:w="437" w:type="pct"/>
            <w:tcBorders>
              <w:top w:val="nil"/>
              <w:left w:val="nil"/>
              <w:bottom w:val="nil"/>
              <w:right w:val="nil"/>
            </w:tcBorders>
            <w:noWrap/>
            <w:vAlign w:val="center"/>
            <w:hideMark/>
          </w:tcPr>
          <w:p w14:paraId="6E60EAB0"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866" w:type="pct"/>
            <w:tcBorders>
              <w:top w:val="nil"/>
              <w:left w:val="single" w:sz="4" w:space="0" w:color="auto"/>
              <w:bottom w:val="nil"/>
              <w:right w:val="single" w:sz="4" w:space="0" w:color="auto"/>
            </w:tcBorders>
            <w:noWrap/>
            <w:vAlign w:val="center"/>
            <w:hideMark/>
          </w:tcPr>
          <w:p w14:paraId="171842BF"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627" w:type="pct"/>
            <w:tcBorders>
              <w:top w:val="nil"/>
              <w:left w:val="nil"/>
              <w:bottom w:val="nil"/>
              <w:right w:val="nil"/>
            </w:tcBorders>
            <w:noWrap/>
            <w:vAlign w:val="center"/>
            <w:hideMark/>
          </w:tcPr>
          <w:p w14:paraId="18C566F1"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r>
      <w:tr w:rsidR="00026426" w:rsidRPr="00026426" w14:paraId="1725FD65" w14:textId="77777777" w:rsidTr="00727BDF">
        <w:trPr>
          <w:trHeight w:val="460"/>
        </w:trPr>
        <w:tc>
          <w:tcPr>
            <w:tcW w:w="2197" w:type="pct"/>
            <w:tcBorders>
              <w:top w:val="nil"/>
              <w:left w:val="nil"/>
              <w:bottom w:val="single" w:sz="4" w:space="0" w:color="auto"/>
              <w:right w:val="single" w:sz="4" w:space="0" w:color="auto"/>
            </w:tcBorders>
            <w:vAlign w:val="center"/>
            <w:hideMark/>
          </w:tcPr>
          <w:p w14:paraId="04180159" w14:textId="77777777" w:rsidR="00026426" w:rsidRPr="00026426" w:rsidRDefault="00026426" w:rsidP="00026426">
            <w:pPr>
              <w:spacing w:line="240" w:lineRule="auto"/>
              <w:rPr>
                <w:rFonts w:eastAsia="Times New Roman" w:cs="Times New Roman"/>
                <w:color w:val="000000"/>
                <w:sz w:val="18"/>
                <w:szCs w:val="18"/>
                <w:lang w:eastAsia="sk-SK"/>
              </w:rPr>
            </w:pPr>
            <w:r w:rsidRPr="00026426">
              <w:rPr>
                <w:rFonts w:eastAsia="Times New Roman" w:cs="Times New Roman"/>
                <w:color w:val="000000"/>
                <w:sz w:val="18"/>
                <w:szCs w:val="18"/>
                <w:lang w:eastAsia="sk-SK"/>
              </w:rPr>
              <w:t>Zúčtovanie kompenzácií cien vybraných druhov taríf za odberateľov elektriny za rok 2023</w:t>
            </w:r>
          </w:p>
        </w:tc>
        <w:tc>
          <w:tcPr>
            <w:tcW w:w="437" w:type="pct"/>
            <w:tcBorders>
              <w:top w:val="nil"/>
              <w:left w:val="nil"/>
              <w:bottom w:val="single" w:sz="4" w:space="0" w:color="auto"/>
              <w:right w:val="single" w:sz="4" w:space="0" w:color="auto"/>
            </w:tcBorders>
            <w:noWrap/>
            <w:vAlign w:val="center"/>
            <w:hideMark/>
          </w:tcPr>
          <w:p w14:paraId="27F86A7B"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14,3</w:t>
            </w:r>
          </w:p>
        </w:tc>
        <w:tc>
          <w:tcPr>
            <w:tcW w:w="437" w:type="pct"/>
            <w:tcBorders>
              <w:top w:val="nil"/>
              <w:left w:val="nil"/>
              <w:bottom w:val="single" w:sz="4" w:space="0" w:color="auto"/>
              <w:right w:val="single" w:sz="4" w:space="0" w:color="auto"/>
            </w:tcBorders>
            <w:noWrap/>
            <w:vAlign w:val="center"/>
            <w:hideMark/>
          </w:tcPr>
          <w:p w14:paraId="0019BE8A"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437" w:type="pct"/>
            <w:tcBorders>
              <w:top w:val="nil"/>
              <w:left w:val="nil"/>
              <w:bottom w:val="single" w:sz="4" w:space="0" w:color="auto"/>
              <w:right w:val="nil"/>
            </w:tcBorders>
            <w:noWrap/>
            <w:vAlign w:val="center"/>
            <w:hideMark/>
          </w:tcPr>
          <w:p w14:paraId="76AF5D0A"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866" w:type="pct"/>
            <w:tcBorders>
              <w:top w:val="nil"/>
              <w:left w:val="single" w:sz="4" w:space="0" w:color="auto"/>
              <w:bottom w:val="single" w:sz="4" w:space="0" w:color="auto"/>
              <w:right w:val="single" w:sz="4" w:space="0" w:color="auto"/>
            </w:tcBorders>
            <w:noWrap/>
            <w:vAlign w:val="center"/>
            <w:hideMark/>
          </w:tcPr>
          <w:p w14:paraId="40914F95"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c>
          <w:tcPr>
            <w:tcW w:w="627" w:type="pct"/>
            <w:tcBorders>
              <w:top w:val="nil"/>
              <w:left w:val="nil"/>
              <w:bottom w:val="single" w:sz="4" w:space="0" w:color="auto"/>
              <w:right w:val="nil"/>
            </w:tcBorders>
            <w:noWrap/>
            <w:vAlign w:val="center"/>
            <w:hideMark/>
          </w:tcPr>
          <w:p w14:paraId="21A6CD7D" w14:textId="77777777" w:rsidR="00026426" w:rsidRPr="00026426" w:rsidRDefault="00026426" w:rsidP="00026426">
            <w:pPr>
              <w:spacing w:line="240" w:lineRule="auto"/>
              <w:jc w:val="right"/>
              <w:rPr>
                <w:rFonts w:eastAsia="Times New Roman" w:cs="Times New Roman"/>
                <w:sz w:val="18"/>
                <w:szCs w:val="18"/>
                <w:lang w:eastAsia="sk-SK"/>
              </w:rPr>
            </w:pPr>
            <w:r w:rsidRPr="00026426">
              <w:rPr>
                <w:rFonts w:eastAsia="Times New Roman" w:cs="Times New Roman"/>
                <w:sz w:val="18"/>
                <w:szCs w:val="18"/>
                <w:lang w:eastAsia="sk-SK"/>
              </w:rPr>
              <w:t>0,0</w:t>
            </w:r>
          </w:p>
        </w:tc>
      </w:tr>
      <w:tr w:rsidR="00026426" w:rsidRPr="00026426" w14:paraId="65B0FCD4" w14:textId="77777777" w:rsidTr="00727BDF">
        <w:trPr>
          <w:trHeight w:val="290"/>
        </w:trPr>
        <w:tc>
          <w:tcPr>
            <w:tcW w:w="2197" w:type="pct"/>
            <w:tcBorders>
              <w:top w:val="nil"/>
              <w:left w:val="nil"/>
              <w:bottom w:val="single" w:sz="4" w:space="0" w:color="auto"/>
              <w:right w:val="single" w:sz="4" w:space="0" w:color="auto"/>
            </w:tcBorders>
            <w:vAlign w:val="center"/>
            <w:hideMark/>
          </w:tcPr>
          <w:p w14:paraId="2776BC06" w14:textId="77777777" w:rsidR="00026426" w:rsidRPr="00026426" w:rsidRDefault="00026426" w:rsidP="00026426">
            <w:pPr>
              <w:spacing w:line="240" w:lineRule="auto"/>
              <w:rPr>
                <w:rFonts w:eastAsia="Times New Roman" w:cs="Times New Roman"/>
                <w:b/>
                <w:bCs/>
                <w:color w:val="000000"/>
                <w:sz w:val="18"/>
                <w:szCs w:val="18"/>
                <w:lang w:eastAsia="sk-SK"/>
              </w:rPr>
            </w:pPr>
            <w:r w:rsidRPr="00026426">
              <w:rPr>
                <w:rFonts w:eastAsia="Times New Roman" w:cs="Times New Roman"/>
                <w:b/>
                <w:bCs/>
                <w:color w:val="000000"/>
                <w:sz w:val="18"/>
                <w:szCs w:val="18"/>
                <w:lang w:eastAsia="sk-SK"/>
              </w:rPr>
              <w:t>Spolu</w:t>
            </w:r>
          </w:p>
        </w:tc>
        <w:tc>
          <w:tcPr>
            <w:tcW w:w="437" w:type="pct"/>
            <w:tcBorders>
              <w:top w:val="nil"/>
              <w:left w:val="nil"/>
              <w:bottom w:val="single" w:sz="4" w:space="0" w:color="auto"/>
              <w:right w:val="single" w:sz="4" w:space="0" w:color="auto"/>
            </w:tcBorders>
            <w:vAlign w:val="center"/>
            <w:hideMark/>
          </w:tcPr>
          <w:p w14:paraId="1117EBBA" w14:textId="77777777" w:rsidR="00026426" w:rsidRPr="00026426" w:rsidRDefault="00026426" w:rsidP="00026426">
            <w:pPr>
              <w:spacing w:line="240" w:lineRule="auto"/>
              <w:jc w:val="right"/>
              <w:rPr>
                <w:rFonts w:eastAsia="Times New Roman" w:cs="Times New Roman"/>
                <w:b/>
                <w:bCs/>
                <w:color w:val="000000"/>
                <w:sz w:val="18"/>
                <w:szCs w:val="18"/>
                <w:lang w:eastAsia="sk-SK"/>
              </w:rPr>
            </w:pPr>
            <w:r w:rsidRPr="00026426">
              <w:rPr>
                <w:rFonts w:eastAsia="Times New Roman" w:cs="Times New Roman"/>
                <w:b/>
                <w:bCs/>
                <w:color w:val="000000"/>
                <w:sz w:val="18"/>
                <w:szCs w:val="18"/>
                <w:lang w:eastAsia="sk-SK"/>
              </w:rPr>
              <w:t>14,3</w:t>
            </w:r>
          </w:p>
        </w:tc>
        <w:tc>
          <w:tcPr>
            <w:tcW w:w="437" w:type="pct"/>
            <w:tcBorders>
              <w:top w:val="nil"/>
              <w:left w:val="nil"/>
              <w:bottom w:val="single" w:sz="4" w:space="0" w:color="auto"/>
              <w:right w:val="single" w:sz="4" w:space="0" w:color="auto"/>
            </w:tcBorders>
            <w:vAlign w:val="center"/>
            <w:hideMark/>
          </w:tcPr>
          <w:p w14:paraId="5DBB053A" w14:textId="77777777" w:rsidR="00026426" w:rsidRPr="00026426" w:rsidRDefault="00026426" w:rsidP="00026426">
            <w:pPr>
              <w:spacing w:line="240" w:lineRule="auto"/>
              <w:jc w:val="right"/>
              <w:rPr>
                <w:rFonts w:eastAsia="Times New Roman" w:cs="Times New Roman"/>
                <w:b/>
                <w:bCs/>
                <w:color w:val="000000"/>
                <w:sz w:val="18"/>
                <w:szCs w:val="18"/>
                <w:lang w:eastAsia="sk-SK"/>
              </w:rPr>
            </w:pPr>
            <w:r w:rsidRPr="00026426">
              <w:rPr>
                <w:rFonts w:eastAsia="Times New Roman" w:cs="Times New Roman"/>
                <w:b/>
                <w:bCs/>
                <w:color w:val="000000"/>
                <w:sz w:val="18"/>
                <w:szCs w:val="18"/>
                <w:lang w:eastAsia="sk-SK"/>
              </w:rPr>
              <w:t>95,3</w:t>
            </w:r>
          </w:p>
        </w:tc>
        <w:tc>
          <w:tcPr>
            <w:tcW w:w="437" w:type="pct"/>
            <w:tcBorders>
              <w:top w:val="nil"/>
              <w:left w:val="nil"/>
              <w:bottom w:val="single" w:sz="4" w:space="0" w:color="auto"/>
              <w:right w:val="single" w:sz="4" w:space="0" w:color="auto"/>
            </w:tcBorders>
            <w:vAlign w:val="center"/>
            <w:hideMark/>
          </w:tcPr>
          <w:p w14:paraId="6AC466EC" w14:textId="3F492BC0" w:rsidR="00026426" w:rsidRPr="00026426" w:rsidRDefault="00026426" w:rsidP="00026426">
            <w:pPr>
              <w:spacing w:line="240" w:lineRule="auto"/>
              <w:jc w:val="right"/>
              <w:rPr>
                <w:rFonts w:eastAsia="Times New Roman" w:cs="Times New Roman"/>
                <w:b/>
                <w:bCs/>
                <w:color w:val="000000"/>
                <w:sz w:val="18"/>
                <w:szCs w:val="18"/>
                <w:lang w:eastAsia="sk-SK"/>
              </w:rPr>
            </w:pPr>
            <w:r w:rsidRPr="00026426">
              <w:rPr>
                <w:rFonts w:eastAsia="Times New Roman" w:cs="Times New Roman"/>
                <w:b/>
                <w:bCs/>
                <w:color w:val="000000"/>
                <w:sz w:val="18"/>
                <w:szCs w:val="18"/>
                <w:lang w:eastAsia="sk-SK"/>
              </w:rPr>
              <w:t>252,</w:t>
            </w:r>
            <w:r w:rsidR="000A0D15">
              <w:rPr>
                <w:rFonts w:eastAsia="Times New Roman" w:cs="Times New Roman"/>
                <w:b/>
                <w:bCs/>
                <w:color w:val="000000"/>
                <w:sz w:val="18"/>
                <w:szCs w:val="18"/>
                <w:lang w:eastAsia="sk-SK"/>
              </w:rPr>
              <w:t>3</w:t>
            </w:r>
          </w:p>
        </w:tc>
        <w:tc>
          <w:tcPr>
            <w:tcW w:w="866" w:type="pct"/>
            <w:tcBorders>
              <w:top w:val="nil"/>
              <w:left w:val="nil"/>
              <w:bottom w:val="single" w:sz="4" w:space="0" w:color="auto"/>
              <w:right w:val="single" w:sz="4" w:space="0" w:color="auto"/>
            </w:tcBorders>
            <w:vAlign w:val="center"/>
            <w:hideMark/>
          </w:tcPr>
          <w:p w14:paraId="0BAD584F" w14:textId="77777777" w:rsidR="00026426" w:rsidRPr="00026426" w:rsidRDefault="00026426" w:rsidP="00026426">
            <w:pPr>
              <w:spacing w:line="240" w:lineRule="auto"/>
              <w:jc w:val="right"/>
              <w:rPr>
                <w:rFonts w:eastAsia="Times New Roman" w:cs="Times New Roman"/>
                <w:b/>
                <w:bCs/>
                <w:color w:val="000000"/>
                <w:sz w:val="18"/>
                <w:szCs w:val="18"/>
                <w:lang w:eastAsia="sk-SK"/>
              </w:rPr>
            </w:pPr>
            <w:r w:rsidRPr="00026426">
              <w:rPr>
                <w:rFonts w:eastAsia="Times New Roman" w:cs="Times New Roman"/>
                <w:b/>
                <w:bCs/>
                <w:color w:val="000000"/>
                <w:sz w:val="18"/>
                <w:szCs w:val="18"/>
                <w:lang w:eastAsia="sk-SK"/>
              </w:rPr>
              <w:t>96,9</w:t>
            </w:r>
          </w:p>
        </w:tc>
        <w:tc>
          <w:tcPr>
            <w:tcW w:w="627" w:type="pct"/>
            <w:tcBorders>
              <w:top w:val="single" w:sz="4" w:space="0" w:color="auto"/>
              <w:left w:val="nil"/>
              <w:bottom w:val="single" w:sz="4" w:space="0" w:color="auto"/>
            </w:tcBorders>
            <w:vAlign w:val="center"/>
            <w:hideMark/>
          </w:tcPr>
          <w:p w14:paraId="142189D2" w14:textId="2B1CB947" w:rsidR="00026426" w:rsidRPr="00026426" w:rsidRDefault="00026426" w:rsidP="00026426">
            <w:pPr>
              <w:spacing w:line="240" w:lineRule="auto"/>
              <w:jc w:val="right"/>
              <w:rPr>
                <w:rFonts w:eastAsia="Times New Roman" w:cs="Times New Roman"/>
                <w:b/>
                <w:bCs/>
                <w:color w:val="000000"/>
                <w:sz w:val="18"/>
                <w:szCs w:val="18"/>
                <w:lang w:eastAsia="sk-SK"/>
              </w:rPr>
            </w:pPr>
            <w:r w:rsidRPr="00026426">
              <w:rPr>
                <w:rFonts w:eastAsia="Times New Roman" w:cs="Times New Roman"/>
                <w:b/>
                <w:bCs/>
                <w:color w:val="000000"/>
                <w:sz w:val="18"/>
                <w:szCs w:val="18"/>
                <w:lang w:eastAsia="sk-SK"/>
              </w:rPr>
              <w:t>349,</w:t>
            </w:r>
            <w:r w:rsidR="000A0D15">
              <w:rPr>
                <w:rFonts w:eastAsia="Times New Roman" w:cs="Times New Roman"/>
                <w:b/>
                <w:bCs/>
                <w:color w:val="000000"/>
                <w:sz w:val="18"/>
                <w:szCs w:val="18"/>
                <w:lang w:eastAsia="sk-SK"/>
              </w:rPr>
              <w:t>2</w:t>
            </w:r>
          </w:p>
        </w:tc>
      </w:tr>
    </w:tbl>
    <w:p w14:paraId="4EBD399A" w14:textId="10A6917D" w:rsidR="009A05C7" w:rsidRPr="00026426" w:rsidRDefault="009A05C7" w:rsidP="004942CF">
      <w:pPr>
        <w:keepNext/>
        <w:tabs>
          <w:tab w:val="right" w:pos="9072"/>
        </w:tabs>
        <w:spacing w:line="240" w:lineRule="auto"/>
        <w:ind w:right="-2"/>
        <w:jc w:val="both"/>
        <w:rPr>
          <w:sz w:val="16"/>
          <w:szCs w:val="16"/>
        </w:rPr>
      </w:pPr>
      <w:r w:rsidRPr="00026426">
        <w:rPr>
          <w:rFonts w:cs="Times New Roman"/>
          <w:sz w:val="18"/>
          <w:szCs w:val="18"/>
        </w:rPr>
        <w:tab/>
        <w:t>Zdroj: MH SR, MF SR</w:t>
      </w:r>
    </w:p>
    <w:p w14:paraId="75DCD664" w14:textId="0B2DEC97" w:rsidR="00402102" w:rsidRPr="0087783F" w:rsidRDefault="00402102" w:rsidP="00532D85">
      <w:pPr>
        <w:spacing w:line="240" w:lineRule="auto"/>
        <w:jc w:val="both"/>
        <w:rPr>
          <w:bCs/>
          <w:color w:val="5B9BD5" w:themeColor="accent1"/>
          <w:szCs w:val="24"/>
          <w:highlight w:val="yellow"/>
        </w:rPr>
      </w:pPr>
    </w:p>
    <w:p w14:paraId="5E39327F" w14:textId="228663EF" w:rsidR="009A05C7" w:rsidRPr="008F3BDF" w:rsidRDefault="009A05C7" w:rsidP="00532D85">
      <w:pPr>
        <w:spacing w:line="240" w:lineRule="auto"/>
        <w:jc w:val="both"/>
        <w:rPr>
          <w:b/>
          <w:bCs/>
          <w:color w:val="5B9BD5" w:themeColor="accent1"/>
          <w:szCs w:val="24"/>
        </w:rPr>
      </w:pPr>
      <w:r w:rsidRPr="008F3BDF">
        <w:rPr>
          <w:b/>
          <w:color w:val="5B9BD5" w:themeColor="accent1"/>
          <w:szCs w:val="24"/>
        </w:rPr>
        <w:t xml:space="preserve">Vplyv </w:t>
      </w:r>
      <w:r w:rsidRPr="008F3BDF">
        <w:rPr>
          <w:b/>
          <w:bCs/>
          <w:color w:val="5B9BD5" w:themeColor="accent1"/>
          <w:szCs w:val="24"/>
        </w:rPr>
        <w:t>akruálneho zaznamenania vojenských výdavkov</w:t>
      </w:r>
    </w:p>
    <w:p w14:paraId="0A4F80A7" w14:textId="75751F69" w:rsidR="00353357" w:rsidRPr="008F3BDF" w:rsidRDefault="00353357" w:rsidP="00353357">
      <w:pPr>
        <w:pStyle w:val="Odsekzoznamu"/>
        <w:ind w:left="0"/>
        <w:contextualSpacing w:val="0"/>
        <w:jc w:val="both"/>
        <w:rPr>
          <w:rFonts w:ascii="Times New Roman" w:hAnsi="Times New Roman"/>
          <w:szCs w:val="24"/>
        </w:rPr>
      </w:pPr>
      <w:r w:rsidRPr="00166CF0">
        <w:rPr>
          <w:rFonts w:ascii="Times New Roman" w:hAnsi="Times New Roman"/>
          <w:szCs w:val="24"/>
        </w:rPr>
        <w:t>Podľa metodiky ESA sa výdavky na obstaranie vojenského zariadenia a techniky majú zaznamenávať na akruálnom princípe, teda v čase ich dodania a zaradenia do používania, a nie v čase realizácie hotovostných platieb, napríklad formou preddavkov. Vplyv akrualizácie na</w:t>
      </w:r>
      <w:r w:rsidR="007B0BF5">
        <w:rPr>
          <w:rFonts w:ascii="Times New Roman" w:hAnsi="Times New Roman"/>
          <w:szCs w:val="24"/>
        </w:rPr>
        <w:t> </w:t>
      </w:r>
      <w:r w:rsidRPr="00166CF0">
        <w:rPr>
          <w:rFonts w:ascii="Times New Roman" w:hAnsi="Times New Roman"/>
          <w:szCs w:val="24"/>
        </w:rPr>
        <w:t>zaznamenanie výšky vojenských výdavkov v metodike ESA bol negatívny v celkovej výške medziročnej zmeny stavu zaplatených preddavkov v hodnote 90 243 tis. eur, z toho zníženie preddavkov z dôvodu dodania tovarov a služieb bolo v hodnote 82 003 tis. eur (zníženie preddavkov sa chápe ako dodanie majetku a jeho zaradenie do používania,) a 8 240 tis. eur predstavuje zníženie stavu preddavkov z dôvodu zaúčtovania opravnej položky. Rozpočet na</w:t>
      </w:r>
      <w:r w:rsidR="007B0BF5">
        <w:rPr>
          <w:rFonts w:ascii="Times New Roman" w:hAnsi="Times New Roman"/>
          <w:szCs w:val="24"/>
        </w:rPr>
        <w:t> </w:t>
      </w:r>
      <w:r w:rsidRPr="00166CF0">
        <w:rPr>
          <w:rFonts w:ascii="Times New Roman" w:hAnsi="Times New Roman"/>
          <w:szCs w:val="24"/>
        </w:rPr>
        <w:t>rok 2025 podľa informácií Ministerstva obrany SR počítal s negatívnym vplyvom akruálneho zaznamenania vojenských výdavkov vo výške 707 974</w:t>
      </w:r>
      <w:r w:rsidR="007B0BF5">
        <w:rPr>
          <w:rFonts w:ascii="Times New Roman" w:hAnsi="Times New Roman"/>
          <w:szCs w:val="24"/>
        </w:rPr>
        <w:t> </w:t>
      </w:r>
      <w:r w:rsidRPr="00166CF0">
        <w:rPr>
          <w:rFonts w:ascii="Times New Roman" w:hAnsi="Times New Roman"/>
          <w:szCs w:val="24"/>
        </w:rPr>
        <w:t>tis.</w:t>
      </w:r>
      <w:r w:rsidR="007B0BF5">
        <w:rPr>
          <w:rFonts w:ascii="Times New Roman" w:hAnsi="Times New Roman"/>
          <w:szCs w:val="24"/>
        </w:rPr>
        <w:t> </w:t>
      </w:r>
      <w:r w:rsidRPr="00166CF0">
        <w:rPr>
          <w:rFonts w:ascii="Times New Roman" w:hAnsi="Times New Roman"/>
          <w:szCs w:val="24"/>
        </w:rPr>
        <w:t>eur, pričom v skutočnosti dosiahol len 90</w:t>
      </w:r>
      <w:r w:rsidR="007B0BF5">
        <w:rPr>
          <w:rFonts w:ascii="Times New Roman" w:hAnsi="Times New Roman"/>
          <w:szCs w:val="24"/>
        </w:rPr>
        <w:t> </w:t>
      </w:r>
      <w:r w:rsidRPr="00166CF0">
        <w:rPr>
          <w:rFonts w:ascii="Times New Roman" w:hAnsi="Times New Roman"/>
          <w:szCs w:val="24"/>
        </w:rPr>
        <w:t>243</w:t>
      </w:r>
      <w:r w:rsidR="007B0BF5">
        <w:rPr>
          <w:rFonts w:ascii="Times New Roman" w:hAnsi="Times New Roman"/>
          <w:szCs w:val="24"/>
        </w:rPr>
        <w:t> </w:t>
      </w:r>
      <w:r w:rsidRPr="00166CF0">
        <w:rPr>
          <w:rFonts w:ascii="Times New Roman" w:hAnsi="Times New Roman"/>
          <w:szCs w:val="24"/>
        </w:rPr>
        <w:t>tis.</w:t>
      </w:r>
      <w:r w:rsidR="007B0BF5">
        <w:rPr>
          <w:rFonts w:ascii="Times New Roman" w:hAnsi="Times New Roman"/>
          <w:szCs w:val="24"/>
        </w:rPr>
        <w:t> </w:t>
      </w:r>
      <w:r w:rsidRPr="00166CF0">
        <w:rPr>
          <w:rFonts w:ascii="Times New Roman" w:hAnsi="Times New Roman"/>
          <w:szCs w:val="24"/>
        </w:rPr>
        <w:t>eur. Očakávaný negatívny vplyv dodania vojenskej techniky a teda akruálnych výdavkov na obranu sa nenaplnil, rozdiel oproti rozpočtu je tak pozitívny vo výške 617</w:t>
      </w:r>
      <w:r w:rsidR="007B0BF5">
        <w:rPr>
          <w:rFonts w:ascii="Times New Roman" w:hAnsi="Times New Roman"/>
          <w:szCs w:val="24"/>
        </w:rPr>
        <w:t> </w:t>
      </w:r>
      <w:r w:rsidRPr="00166CF0">
        <w:rPr>
          <w:rFonts w:ascii="Times New Roman" w:hAnsi="Times New Roman"/>
          <w:szCs w:val="24"/>
        </w:rPr>
        <w:t>731</w:t>
      </w:r>
      <w:r w:rsidR="007B0BF5">
        <w:rPr>
          <w:rFonts w:ascii="Times New Roman" w:hAnsi="Times New Roman"/>
          <w:szCs w:val="24"/>
        </w:rPr>
        <w:t> </w:t>
      </w:r>
      <w:r w:rsidRPr="00166CF0">
        <w:rPr>
          <w:rFonts w:ascii="Times New Roman" w:hAnsi="Times New Roman"/>
          <w:szCs w:val="24"/>
        </w:rPr>
        <w:t>tis.</w:t>
      </w:r>
      <w:r w:rsidR="007B0BF5">
        <w:rPr>
          <w:rFonts w:ascii="Times New Roman" w:hAnsi="Times New Roman"/>
          <w:szCs w:val="24"/>
        </w:rPr>
        <w:t> </w:t>
      </w:r>
      <w:r w:rsidRPr="00166CF0">
        <w:rPr>
          <w:rFonts w:ascii="Times New Roman" w:hAnsi="Times New Roman"/>
          <w:szCs w:val="24"/>
        </w:rPr>
        <w:t>eur.</w:t>
      </w:r>
    </w:p>
    <w:p w14:paraId="35BFB351" w14:textId="6B18CC69" w:rsidR="009A05C7" w:rsidRPr="009B63FC" w:rsidRDefault="009A05C7" w:rsidP="00532D85">
      <w:pPr>
        <w:spacing w:line="240" w:lineRule="auto"/>
        <w:jc w:val="both"/>
        <w:rPr>
          <w:rFonts w:cs="Times New Roman"/>
          <w:b/>
          <w:color w:val="5B9BD5" w:themeColor="accent1"/>
          <w:szCs w:val="24"/>
        </w:rPr>
      </w:pPr>
      <w:r w:rsidRPr="009B63FC">
        <w:rPr>
          <w:rFonts w:cs="Times New Roman"/>
          <w:b/>
          <w:color w:val="5B9BD5" w:themeColor="accent1"/>
          <w:szCs w:val="24"/>
        </w:rPr>
        <w:lastRenderedPageBreak/>
        <w:t>Hospodárenie vybraných subjektov verejnej správy (na nekonsolidovanej báze)</w:t>
      </w:r>
    </w:p>
    <w:p w14:paraId="19434CF9" w14:textId="48B1DF21" w:rsidR="00195F3E" w:rsidRDefault="00195F3E" w:rsidP="00195F3E">
      <w:pPr>
        <w:spacing w:line="240" w:lineRule="auto"/>
        <w:jc w:val="both"/>
        <w:rPr>
          <w:rFonts w:cs="Times New Roman"/>
          <w:szCs w:val="24"/>
        </w:rPr>
      </w:pPr>
      <w:r w:rsidRPr="003342C5">
        <w:rPr>
          <w:rFonts w:cs="Times New Roman"/>
          <w:b/>
          <w:szCs w:val="24"/>
        </w:rPr>
        <w:t xml:space="preserve">Sociálna poisťovňa </w:t>
      </w:r>
      <w:r w:rsidRPr="003342C5">
        <w:rPr>
          <w:rFonts w:cs="Times New Roman"/>
          <w:szCs w:val="24"/>
        </w:rPr>
        <w:t>dosiahla ESA prebytok vo výške 732 638 tis. eur (oproti rozpočtu je o 351 639 tis. eur vyšší).</w:t>
      </w:r>
      <w:r w:rsidR="002A1188">
        <w:rPr>
          <w:rFonts w:cs="Times New Roman"/>
          <w:szCs w:val="24"/>
        </w:rPr>
        <w:t xml:space="preserve"> </w:t>
      </w:r>
      <w:r w:rsidRPr="00C425AF">
        <w:rPr>
          <w:rFonts w:cs="Times New Roman"/>
          <w:szCs w:val="24"/>
        </w:rPr>
        <w:t>Najvýznamnejší pozitívny vplyv</w:t>
      </w:r>
      <w:r w:rsidR="00FB7ECB">
        <w:rPr>
          <w:rFonts w:cs="Times New Roman"/>
          <w:szCs w:val="24"/>
        </w:rPr>
        <w:t xml:space="preserve"> na </w:t>
      </w:r>
      <w:r w:rsidR="00FB7ECB" w:rsidRPr="00251FC3">
        <w:rPr>
          <w:rFonts w:cs="Times New Roman"/>
          <w:szCs w:val="24"/>
        </w:rPr>
        <w:t>ESA prebytok</w:t>
      </w:r>
      <w:r w:rsidRPr="00251FC3">
        <w:rPr>
          <w:rFonts w:cs="Times New Roman"/>
          <w:szCs w:val="24"/>
        </w:rPr>
        <w:t xml:space="preserve"> mal predovšetkým prijatý transfer zo ŠR vo výške 2 4</w:t>
      </w:r>
      <w:r w:rsidR="00FB7ECB" w:rsidRPr="00251FC3">
        <w:rPr>
          <w:rFonts w:cs="Times New Roman"/>
          <w:szCs w:val="24"/>
        </w:rPr>
        <w:t>55</w:t>
      </w:r>
      <w:r w:rsidRPr="00251FC3">
        <w:rPr>
          <w:rFonts w:cs="Times New Roman"/>
          <w:szCs w:val="24"/>
        </w:rPr>
        <w:t> </w:t>
      </w:r>
      <w:r w:rsidR="00FB7ECB" w:rsidRPr="00251FC3">
        <w:rPr>
          <w:rFonts w:cs="Times New Roman"/>
          <w:szCs w:val="24"/>
        </w:rPr>
        <w:t>000</w:t>
      </w:r>
      <w:r w:rsidRPr="00251FC3">
        <w:rPr>
          <w:rFonts w:cs="Times New Roman"/>
          <w:szCs w:val="24"/>
        </w:rPr>
        <w:t> </w:t>
      </w:r>
      <w:r w:rsidR="00C463F7" w:rsidRPr="00251FC3">
        <w:rPr>
          <w:rFonts w:cs="Times New Roman"/>
          <w:szCs w:val="24"/>
        </w:rPr>
        <w:t xml:space="preserve">tis. eur </w:t>
      </w:r>
      <w:r w:rsidRPr="00251FC3">
        <w:rPr>
          <w:rFonts w:cs="Times New Roman"/>
          <w:szCs w:val="24"/>
        </w:rPr>
        <w:t>v porovnaní s rozpočtom bol však o 29</w:t>
      </w:r>
      <w:r w:rsidR="00FB7ECB" w:rsidRPr="00251FC3">
        <w:rPr>
          <w:rFonts w:cs="Times New Roman"/>
          <w:szCs w:val="24"/>
        </w:rPr>
        <w:t>5</w:t>
      </w:r>
      <w:r w:rsidRPr="00251FC3">
        <w:rPr>
          <w:rFonts w:cs="Times New Roman"/>
          <w:szCs w:val="24"/>
        </w:rPr>
        <w:t> </w:t>
      </w:r>
      <w:r w:rsidR="00FB7ECB" w:rsidRPr="00251FC3">
        <w:rPr>
          <w:rFonts w:cs="Times New Roman"/>
          <w:szCs w:val="24"/>
        </w:rPr>
        <w:t>000</w:t>
      </w:r>
      <w:r w:rsidRPr="00251FC3">
        <w:rPr>
          <w:rFonts w:cs="Times New Roman"/>
          <w:szCs w:val="24"/>
        </w:rPr>
        <w:t> tis. eur nižší ako sa predpokladalo), ktorý súvisí so zvýšenými výdavkami</w:t>
      </w:r>
      <w:r w:rsidRPr="00C425AF">
        <w:rPr>
          <w:rFonts w:cs="Times New Roman"/>
          <w:szCs w:val="24"/>
        </w:rPr>
        <w:t xml:space="preserve"> niektorých druhov poistenia, najmä výdavkov na dôchodkové dávky.</w:t>
      </w:r>
    </w:p>
    <w:p w14:paraId="5C411EFA" w14:textId="77777777" w:rsidR="002A1188" w:rsidRPr="00C425AF" w:rsidRDefault="002A1188" w:rsidP="00195F3E">
      <w:pPr>
        <w:spacing w:line="240" w:lineRule="auto"/>
        <w:jc w:val="both"/>
        <w:rPr>
          <w:rFonts w:cs="Times New Roman"/>
          <w:szCs w:val="24"/>
        </w:rPr>
      </w:pPr>
    </w:p>
    <w:p w14:paraId="45ECB3F0" w14:textId="5876ABED" w:rsidR="00195F3E" w:rsidRDefault="00195F3E" w:rsidP="00195F3E">
      <w:pPr>
        <w:spacing w:line="240" w:lineRule="auto"/>
        <w:jc w:val="both"/>
        <w:rPr>
          <w:szCs w:val="24"/>
          <w:highlight w:val="yellow"/>
        </w:rPr>
      </w:pPr>
      <w:r w:rsidRPr="00831BE4">
        <w:rPr>
          <w:rFonts w:cs="Times New Roman"/>
          <w:szCs w:val="24"/>
        </w:rPr>
        <w:t>V prípade hotovostných príjmov na poistnom bola skutočnosť o 133 641 tis. eur vyššia ako sa predpokladalo v rozpočte,</w:t>
      </w:r>
      <w:r w:rsidRPr="00831BE4">
        <w:rPr>
          <w:szCs w:val="24"/>
        </w:rPr>
        <w:t xml:space="preserve"> z toho príjmy z poistného od ekonomicky aktívnych osôb boli vyššie </w:t>
      </w:r>
      <w:r w:rsidRPr="0035605C">
        <w:rPr>
          <w:szCs w:val="24"/>
        </w:rPr>
        <w:t>o 215 10</w:t>
      </w:r>
      <w:r w:rsidR="0035605C" w:rsidRPr="0035605C">
        <w:rPr>
          <w:szCs w:val="24"/>
        </w:rPr>
        <w:t>5</w:t>
      </w:r>
      <w:r w:rsidRPr="0035605C">
        <w:rPr>
          <w:szCs w:val="24"/>
        </w:rPr>
        <w:t> tis. eur, dlžné poistné bolo nižšie o 31 65</w:t>
      </w:r>
      <w:r w:rsidR="0035605C" w:rsidRPr="0035605C">
        <w:rPr>
          <w:szCs w:val="24"/>
        </w:rPr>
        <w:t>5</w:t>
      </w:r>
      <w:r w:rsidRPr="0035605C">
        <w:rPr>
          <w:szCs w:val="24"/>
        </w:rPr>
        <w:t xml:space="preserve"> tis. eur, </w:t>
      </w:r>
      <w:r w:rsidRPr="00831BE4">
        <w:rPr>
          <w:szCs w:val="24"/>
        </w:rPr>
        <w:t>poistné platené štátom bolo nižšie o 51 640 tis. eur a pokuty a penále boli vyššie o 2 802 tis. eur.</w:t>
      </w:r>
    </w:p>
    <w:p w14:paraId="24BFE2F8" w14:textId="77777777" w:rsidR="00195F3E" w:rsidRDefault="00195F3E" w:rsidP="00195F3E">
      <w:pPr>
        <w:spacing w:line="240" w:lineRule="auto"/>
        <w:jc w:val="both"/>
        <w:rPr>
          <w:szCs w:val="24"/>
          <w:highlight w:val="yellow"/>
        </w:rPr>
      </w:pPr>
    </w:p>
    <w:p w14:paraId="70730355" w14:textId="77777777" w:rsidR="00195F3E" w:rsidRDefault="00195F3E" w:rsidP="00195F3E">
      <w:pPr>
        <w:spacing w:line="240" w:lineRule="auto"/>
        <w:jc w:val="both"/>
        <w:rPr>
          <w:rFonts w:cs="Times New Roman"/>
          <w:szCs w:val="24"/>
        </w:rPr>
      </w:pPr>
      <w:r w:rsidRPr="004C4D1B">
        <w:rPr>
          <w:rFonts w:cs="Times New Roman"/>
          <w:szCs w:val="24"/>
        </w:rPr>
        <w:t>Na zlepšenie hospodárenia oproti hotovostnému saldu vplývala najmä imputácia nových pohľadávok na poistnom voči zdravotníckym zariadeniam vo výške 262 367</w:t>
      </w:r>
      <w:r w:rsidRPr="004C4D1B">
        <w:rPr>
          <w:szCs w:val="24"/>
        </w:rPr>
        <w:t> tis</w:t>
      </w:r>
      <w:r w:rsidRPr="004C4D1B">
        <w:rPr>
          <w:rFonts w:cs="Times New Roman"/>
          <w:szCs w:val="24"/>
        </w:rPr>
        <w:t xml:space="preserve">. eur. </w:t>
      </w:r>
      <w:r w:rsidRPr="001B3B69">
        <w:rPr>
          <w:rFonts w:cs="Times New Roman"/>
          <w:szCs w:val="24"/>
        </w:rPr>
        <w:t>Ďalší pozitívny vplyv mala akrualizácia poistného vo výške 55 235 tis. eur (o 21 105 tis. eur viac ako sa predpokladalo)</w:t>
      </w:r>
      <w:r w:rsidRPr="001B3B69">
        <w:rPr>
          <w:rFonts w:cs="Times New Roman"/>
          <w:szCs w:val="24"/>
          <w:vertAlign w:val="superscript"/>
        </w:rPr>
        <w:footnoteReference w:id="12"/>
      </w:r>
      <w:r w:rsidRPr="001B3B69">
        <w:rPr>
          <w:rFonts w:cs="Times New Roman"/>
          <w:szCs w:val="24"/>
        </w:rPr>
        <w:t xml:space="preserve"> a akrualizácia hotovostného výdavku z dôchodkových dávok</w:t>
      </w:r>
      <w:r w:rsidRPr="001B3B69">
        <w:rPr>
          <w:rFonts w:cs="Times New Roman"/>
          <w:szCs w:val="24"/>
          <w:vertAlign w:val="superscript"/>
        </w:rPr>
        <w:footnoteReference w:id="13"/>
      </w:r>
      <w:r w:rsidRPr="001B3B69">
        <w:rPr>
          <w:rFonts w:cs="Times New Roman"/>
          <w:szCs w:val="24"/>
        </w:rPr>
        <w:t xml:space="preserve"> o 36 341 tis. eur</w:t>
      </w:r>
      <w:r w:rsidRPr="001B3B69">
        <w:rPr>
          <w:szCs w:val="24"/>
        </w:rPr>
        <w:t xml:space="preserve"> (o 33 602 tis. eur viac ako sa predpokladalo)</w:t>
      </w:r>
      <w:r w:rsidRPr="001B3B69">
        <w:rPr>
          <w:rFonts w:cs="Times New Roman"/>
          <w:szCs w:val="24"/>
        </w:rPr>
        <w:t>.</w:t>
      </w:r>
    </w:p>
    <w:p w14:paraId="5C091B3C" w14:textId="77777777" w:rsidR="002A1188" w:rsidRPr="0050710A" w:rsidRDefault="002A1188" w:rsidP="00195F3E">
      <w:pPr>
        <w:spacing w:line="240" w:lineRule="auto"/>
        <w:jc w:val="both"/>
        <w:rPr>
          <w:szCs w:val="24"/>
          <w:highlight w:val="yellow"/>
        </w:rPr>
      </w:pPr>
    </w:p>
    <w:p w14:paraId="48CB8365" w14:textId="7873C9E4" w:rsidR="00C463F7" w:rsidRPr="00704014" w:rsidRDefault="00C463F7" w:rsidP="00C463F7">
      <w:pPr>
        <w:spacing w:line="240" w:lineRule="auto"/>
        <w:jc w:val="both"/>
        <w:rPr>
          <w:rFonts w:cs="Times New Roman"/>
          <w:szCs w:val="24"/>
        </w:rPr>
      </w:pPr>
      <w:r>
        <w:rPr>
          <w:rFonts w:cs="Times New Roman"/>
          <w:szCs w:val="24"/>
        </w:rPr>
        <w:t>Hotovostné v</w:t>
      </w:r>
      <w:r w:rsidR="00195F3E" w:rsidRPr="001B3B69">
        <w:rPr>
          <w:rFonts w:cs="Times New Roman"/>
          <w:szCs w:val="24"/>
        </w:rPr>
        <w:t>ýdavky poistenia v roku 2025 prestavovali sumu 1</w:t>
      </w:r>
      <w:r w:rsidR="00195F3E">
        <w:rPr>
          <w:rFonts w:cs="Times New Roman"/>
          <w:szCs w:val="24"/>
        </w:rPr>
        <w:t>4</w:t>
      </w:r>
      <w:r w:rsidR="00195F3E" w:rsidRPr="001B3B69">
        <w:rPr>
          <w:rFonts w:cs="Times New Roman"/>
          <w:szCs w:val="24"/>
        </w:rPr>
        <w:t> 237 255 tis. eur</w:t>
      </w:r>
      <w:r w:rsidR="00195F3E">
        <w:rPr>
          <w:rFonts w:cs="Times New Roman"/>
          <w:szCs w:val="24"/>
        </w:rPr>
        <w:t>, v porovnaní s rozpočtom poklesli o 212 984 tis. eur.</w:t>
      </w:r>
      <w:r w:rsidR="002A1188">
        <w:rPr>
          <w:rFonts w:cs="Times New Roman"/>
          <w:szCs w:val="24"/>
        </w:rPr>
        <w:t xml:space="preserve"> </w:t>
      </w:r>
      <w:r w:rsidRPr="00F8677F">
        <w:rPr>
          <w:rFonts w:cs="Times New Roman"/>
          <w:szCs w:val="24"/>
        </w:rPr>
        <w:t xml:space="preserve">Výdavky na dôchodkové dávky sú </w:t>
      </w:r>
      <w:r>
        <w:rPr>
          <w:rFonts w:cs="Times New Roman"/>
          <w:szCs w:val="24"/>
        </w:rPr>
        <w:t>niž</w:t>
      </w:r>
      <w:r w:rsidRPr="00F8677F">
        <w:rPr>
          <w:rFonts w:cs="Times New Roman"/>
          <w:szCs w:val="24"/>
        </w:rPr>
        <w:t>šie o 136 276 tis. eur, a to o</w:t>
      </w:r>
      <w:r>
        <w:rPr>
          <w:rFonts w:cs="Times New Roman"/>
          <w:szCs w:val="24"/>
        </w:rPr>
        <w:t> </w:t>
      </w:r>
      <w:r w:rsidRPr="00F8677F">
        <w:rPr>
          <w:rFonts w:cs="Times New Roman"/>
          <w:szCs w:val="24"/>
        </w:rPr>
        <w:t>80</w:t>
      </w:r>
      <w:r>
        <w:rPr>
          <w:rFonts w:cs="Times New Roman"/>
          <w:szCs w:val="24"/>
        </w:rPr>
        <w:t> </w:t>
      </w:r>
      <w:r w:rsidRPr="00F8677F">
        <w:rPr>
          <w:rFonts w:cs="Times New Roman"/>
          <w:szCs w:val="24"/>
        </w:rPr>
        <w:t>301</w:t>
      </w:r>
      <w:r>
        <w:rPr>
          <w:rFonts w:cs="Times New Roman"/>
          <w:szCs w:val="24"/>
        </w:rPr>
        <w:t> </w:t>
      </w:r>
      <w:r w:rsidRPr="00F8677F">
        <w:rPr>
          <w:rFonts w:cs="Times New Roman"/>
          <w:szCs w:val="24"/>
        </w:rPr>
        <w:t>tis.</w:t>
      </w:r>
      <w:r>
        <w:rPr>
          <w:rFonts w:cs="Times New Roman"/>
          <w:szCs w:val="24"/>
        </w:rPr>
        <w:t> </w:t>
      </w:r>
      <w:r w:rsidRPr="00F8677F">
        <w:rPr>
          <w:rFonts w:cs="Times New Roman"/>
          <w:szCs w:val="24"/>
        </w:rPr>
        <w:t>eur v</w:t>
      </w:r>
      <w:r>
        <w:rPr>
          <w:rFonts w:cs="Times New Roman"/>
          <w:szCs w:val="24"/>
        </w:rPr>
        <w:t> </w:t>
      </w:r>
      <w:r w:rsidRPr="00F8677F">
        <w:rPr>
          <w:rFonts w:cs="Times New Roman"/>
          <w:szCs w:val="24"/>
        </w:rPr>
        <w:t>základnom fonde starobného poistenia a</w:t>
      </w:r>
      <w:r w:rsidR="002A1188">
        <w:rPr>
          <w:rFonts w:cs="Times New Roman"/>
          <w:szCs w:val="24"/>
        </w:rPr>
        <w:t> </w:t>
      </w:r>
      <w:r w:rsidRPr="00F8677F">
        <w:rPr>
          <w:rFonts w:cs="Times New Roman"/>
          <w:szCs w:val="24"/>
        </w:rPr>
        <w:t>o</w:t>
      </w:r>
      <w:r>
        <w:rPr>
          <w:rFonts w:cs="Times New Roman"/>
          <w:szCs w:val="24"/>
        </w:rPr>
        <w:t> </w:t>
      </w:r>
      <w:r w:rsidRPr="00F8677F">
        <w:rPr>
          <w:rFonts w:cs="Times New Roman"/>
          <w:szCs w:val="24"/>
        </w:rPr>
        <w:t>55</w:t>
      </w:r>
      <w:r>
        <w:rPr>
          <w:rFonts w:cs="Times New Roman"/>
          <w:szCs w:val="24"/>
        </w:rPr>
        <w:t> </w:t>
      </w:r>
      <w:r w:rsidRPr="00F8677F">
        <w:rPr>
          <w:rFonts w:cs="Times New Roman"/>
          <w:szCs w:val="24"/>
        </w:rPr>
        <w:t>975</w:t>
      </w:r>
      <w:r>
        <w:rPr>
          <w:rFonts w:cs="Times New Roman"/>
          <w:szCs w:val="24"/>
        </w:rPr>
        <w:t> </w:t>
      </w:r>
      <w:r w:rsidRPr="00F8677F">
        <w:rPr>
          <w:rFonts w:cs="Times New Roman"/>
          <w:szCs w:val="24"/>
        </w:rPr>
        <w:t>tis.</w:t>
      </w:r>
      <w:r>
        <w:rPr>
          <w:rFonts w:cs="Times New Roman"/>
          <w:szCs w:val="24"/>
        </w:rPr>
        <w:t> </w:t>
      </w:r>
      <w:r w:rsidRPr="00F8677F">
        <w:rPr>
          <w:rFonts w:cs="Times New Roman"/>
          <w:szCs w:val="24"/>
        </w:rPr>
        <w:t>eur v základnom fonde invalidného poistenia. V porovnaní s rozpočtom došlo k</w:t>
      </w:r>
      <w:r w:rsidR="002A1188">
        <w:rPr>
          <w:rFonts w:cs="Times New Roman"/>
          <w:szCs w:val="24"/>
        </w:rPr>
        <w:t> </w:t>
      </w:r>
      <w:r w:rsidRPr="00F8677F">
        <w:rPr>
          <w:rFonts w:cs="Times New Roman"/>
          <w:szCs w:val="24"/>
        </w:rPr>
        <w:t>nižšiemu čerpaniu výdavkov základného fondu</w:t>
      </w:r>
      <w:r w:rsidRPr="00704014">
        <w:rPr>
          <w:rFonts w:cs="Times New Roman"/>
          <w:szCs w:val="24"/>
        </w:rPr>
        <w:t xml:space="preserve"> nemocenského poistenia o</w:t>
      </w:r>
      <w:r w:rsidR="002A1188">
        <w:rPr>
          <w:rFonts w:cs="Times New Roman"/>
          <w:szCs w:val="24"/>
        </w:rPr>
        <w:t> </w:t>
      </w:r>
      <w:r w:rsidRPr="00704014">
        <w:rPr>
          <w:rFonts w:cs="Times New Roman"/>
          <w:szCs w:val="24"/>
        </w:rPr>
        <w:t>sumu 10</w:t>
      </w:r>
      <w:r>
        <w:rPr>
          <w:rFonts w:cs="Times New Roman"/>
          <w:szCs w:val="24"/>
        </w:rPr>
        <w:t>9</w:t>
      </w:r>
      <w:r w:rsidRPr="00704014">
        <w:rPr>
          <w:rFonts w:cs="Times New Roman"/>
          <w:szCs w:val="24"/>
        </w:rPr>
        <w:t> </w:t>
      </w:r>
      <w:r>
        <w:rPr>
          <w:rFonts w:cs="Times New Roman"/>
          <w:szCs w:val="24"/>
        </w:rPr>
        <w:t>766</w:t>
      </w:r>
      <w:r w:rsidRPr="00704014">
        <w:rPr>
          <w:rFonts w:cs="Times New Roman"/>
          <w:szCs w:val="24"/>
        </w:rPr>
        <w:t> tis. eur. Pokles zaznamenávajú výdavky na dávku materského a tehotenského z</w:t>
      </w:r>
      <w:r w:rsidR="002A1188">
        <w:rPr>
          <w:rFonts w:cs="Times New Roman"/>
          <w:szCs w:val="24"/>
        </w:rPr>
        <w:t> </w:t>
      </w:r>
      <w:r w:rsidRPr="00704014">
        <w:rPr>
          <w:rFonts w:cs="Times New Roman"/>
          <w:szCs w:val="24"/>
        </w:rPr>
        <w:t>dôvodu pokračujúceho trendu nižšej pôrodnosti oproti rozpočtu o 29 133 tis. eur.</w:t>
      </w:r>
      <w:r w:rsidRPr="00CE0F5E">
        <w:t xml:space="preserve"> </w:t>
      </w:r>
      <w:r w:rsidRPr="00CE0F5E">
        <w:rPr>
          <w:rFonts w:cs="Times New Roman"/>
          <w:szCs w:val="24"/>
        </w:rPr>
        <w:t>Výdavky základného fondu poistenia v nezamestnanosti sú oproti rozpočtu vyššie o</w:t>
      </w:r>
      <w:r>
        <w:rPr>
          <w:rFonts w:cs="Times New Roman"/>
          <w:szCs w:val="24"/>
        </w:rPr>
        <w:t> </w:t>
      </w:r>
      <w:r w:rsidRPr="00CE0F5E">
        <w:rPr>
          <w:rFonts w:cs="Times New Roman"/>
          <w:szCs w:val="24"/>
        </w:rPr>
        <w:t>32</w:t>
      </w:r>
      <w:r>
        <w:rPr>
          <w:rFonts w:cs="Times New Roman"/>
          <w:szCs w:val="24"/>
        </w:rPr>
        <w:t> </w:t>
      </w:r>
      <w:r w:rsidRPr="00CE0F5E">
        <w:rPr>
          <w:rFonts w:cs="Times New Roman"/>
          <w:szCs w:val="24"/>
        </w:rPr>
        <w:t>770</w:t>
      </w:r>
      <w:r>
        <w:rPr>
          <w:rFonts w:cs="Times New Roman"/>
          <w:szCs w:val="24"/>
        </w:rPr>
        <w:t> </w:t>
      </w:r>
      <w:r w:rsidRPr="00CE0F5E">
        <w:rPr>
          <w:rFonts w:cs="Times New Roman"/>
          <w:szCs w:val="24"/>
        </w:rPr>
        <w:t>tis.</w:t>
      </w:r>
      <w:r>
        <w:rPr>
          <w:rFonts w:cs="Times New Roman"/>
          <w:szCs w:val="24"/>
        </w:rPr>
        <w:t> </w:t>
      </w:r>
      <w:r w:rsidRPr="00CE0F5E">
        <w:rPr>
          <w:rFonts w:cs="Times New Roman"/>
          <w:szCs w:val="24"/>
        </w:rPr>
        <w:t>eur.</w:t>
      </w:r>
    </w:p>
    <w:p w14:paraId="30335CCE" w14:textId="77777777" w:rsidR="00402102" w:rsidRPr="0087783F" w:rsidRDefault="00402102" w:rsidP="00532D85">
      <w:pPr>
        <w:spacing w:line="240" w:lineRule="auto"/>
        <w:jc w:val="both"/>
        <w:rPr>
          <w:rFonts w:cs="Times New Roman"/>
          <w:bCs/>
          <w:szCs w:val="24"/>
          <w:highlight w:val="yellow"/>
        </w:rPr>
      </w:pPr>
    </w:p>
    <w:p w14:paraId="33329551" w14:textId="412A40D6" w:rsidR="009A05C7" w:rsidRDefault="009A05C7" w:rsidP="00532D85">
      <w:pPr>
        <w:spacing w:line="240" w:lineRule="auto"/>
        <w:jc w:val="both"/>
        <w:rPr>
          <w:rFonts w:cs="Times New Roman"/>
          <w:szCs w:val="24"/>
        </w:rPr>
      </w:pPr>
      <w:r w:rsidRPr="004B24AD">
        <w:rPr>
          <w:rFonts w:cs="Times New Roman"/>
          <w:b/>
          <w:szCs w:val="24"/>
        </w:rPr>
        <w:t>Zdravotné poisťovne</w:t>
      </w:r>
      <w:r w:rsidRPr="004B24AD">
        <w:rPr>
          <w:rFonts w:cs="Times New Roman"/>
          <w:szCs w:val="24"/>
        </w:rPr>
        <w:t xml:space="preserve"> dosiahli celkovo prebytkové hospodárenie vo výške </w:t>
      </w:r>
      <w:r w:rsidR="004B24AD" w:rsidRPr="004B24AD">
        <w:rPr>
          <w:rFonts w:cs="Times New Roman"/>
          <w:szCs w:val="24"/>
        </w:rPr>
        <w:t>198</w:t>
      </w:r>
      <w:r w:rsidRPr="004B24AD">
        <w:rPr>
          <w:rFonts w:cs="Times New Roman"/>
          <w:szCs w:val="24"/>
        </w:rPr>
        <w:t> </w:t>
      </w:r>
      <w:r w:rsidR="004B24AD" w:rsidRPr="004B24AD">
        <w:rPr>
          <w:rFonts w:cs="Times New Roman"/>
          <w:szCs w:val="24"/>
        </w:rPr>
        <w:t>062</w:t>
      </w:r>
      <w:r w:rsidRPr="004B24AD">
        <w:rPr>
          <w:rFonts w:cs="Times New Roman"/>
          <w:szCs w:val="24"/>
        </w:rPr>
        <w:t> tis. eur, čo je oproti rozpočtu o 1</w:t>
      </w:r>
      <w:r w:rsidR="004B24AD" w:rsidRPr="004B24AD">
        <w:rPr>
          <w:rFonts w:cs="Times New Roman"/>
          <w:szCs w:val="24"/>
        </w:rPr>
        <w:t>10</w:t>
      </w:r>
      <w:r w:rsidRPr="004B24AD">
        <w:rPr>
          <w:rFonts w:cs="Times New Roman"/>
          <w:szCs w:val="24"/>
        </w:rPr>
        <w:t> </w:t>
      </w:r>
      <w:r w:rsidR="004B24AD" w:rsidRPr="004B24AD">
        <w:rPr>
          <w:rFonts w:cs="Times New Roman"/>
          <w:szCs w:val="24"/>
        </w:rPr>
        <w:t>802</w:t>
      </w:r>
      <w:r w:rsidRPr="004B24AD">
        <w:rPr>
          <w:rFonts w:cs="Times New Roman"/>
          <w:szCs w:val="24"/>
        </w:rPr>
        <w:t xml:space="preserve"> tis. eur menej ako sa plánovalo. Podstatný vplyv mal </w:t>
      </w:r>
      <w:r w:rsidR="004B24AD" w:rsidRPr="004B24AD">
        <w:rPr>
          <w:rFonts w:cs="Times New Roman"/>
          <w:szCs w:val="24"/>
        </w:rPr>
        <w:t>vyšší</w:t>
      </w:r>
      <w:r w:rsidRPr="004B24AD">
        <w:rPr>
          <w:rFonts w:cs="Times New Roman"/>
          <w:szCs w:val="24"/>
        </w:rPr>
        <w:t xml:space="preserve"> výber odvodových príjmov o </w:t>
      </w:r>
      <w:r w:rsidR="004B24AD" w:rsidRPr="004B24AD">
        <w:rPr>
          <w:rFonts w:cs="Times New Roman"/>
          <w:szCs w:val="24"/>
        </w:rPr>
        <w:t>64</w:t>
      </w:r>
      <w:r w:rsidRPr="004B24AD">
        <w:rPr>
          <w:rFonts w:cs="Times New Roman"/>
          <w:szCs w:val="24"/>
        </w:rPr>
        <w:t> </w:t>
      </w:r>
      <w:r w:rsidR="004B24AD" w:rsidRPr="004B24AD">
        <w:rPr>
          <w:rFonts w:cs="Times New Roman"/>
          <w:szCs w:val="24"/>
        </w:rPr>
        <w:t>058</w:t>
      </w:r>
      <w:r w:rsidRPr="004B24AD">
        <w:rPr>
          <w:rFonts w:cs="Times New Roman"/>
          <w:szCs w:val="24"/>
        </w:rPr>
        <w:t xml:space="preserve"> tis. eur viac ako sa predpokladalo </w:t>
      </w:r>
      <w:r w:rsidRPr="004C34BB">
        <w:rPr>
          <w:rFonts w:cs="Times New Roman"/>
          <w:szCs w:val="24"/>
        </w:rPr>
        <w:t>(išlo predovšetkým o príjmy z poistného od ekonomicky aktívnych osôb vrátane ročného zúčtovania).</w:t>
      </w:r>
    </w:p>
    <w:p w14:paraId="55CF2AA5" w14:textId="77777777" w:rsidR="002A1188" w:rsidRPr="0050710A" w:rsidRDefault="002A1188" w:rsidP="00532D85">
      <w:pPr>
        <w:spacing w:line="240" w:lineRule="auto"/>
        <w:jc w:val="both"/>
        <w:rPr>
          <w:rFonts w:cs="Times New Roman"/>
          <w:szCs w:val="24"/>
          <w:highlight w:val="yellow"/>
        </w:rPr>
      </w:pPr>
    </w:p>
    <w:p w14:paraId="5C32193E" w14:textId="7D3D1E8D" w:rsidR="009A05C7" w:rsidRDefault="009A05C7" w:rsidP="00532D85">
      <w:pPr>
        <w:spacing w:line="240" w:lineRule="auto"/>
        <w:jc w:val="both"/>
        <w:rPr>
          <w:rFonts w:cs="Times New Roman"/>
          <w:szCs w:val="24"/>
        </w:rPr>
      </w:pPr>
      <w:r w:rsidRPr="00363063">
        <w:rPr>
          <w:rFonts w:cs="Times New Roman"/>
          <w:szCs w:val="24"/>
        </w:rPr>
        <w:t>Pozitívny vplyv predstavoval aj medziročný nárast pohľadávok o </w:t>
      </w:r>
      <w:r w:rsidR="00363063" w:rsidRPr="00363063">
        <w:rPr>
          <w:rFonts w:cs="Times New Roman"/>
          <w:szCs w:val="24"/>
        </w:rPr>
        <w:t>78</w:t>
      </w:r>
      <w:r w:rsidRPr="00363063">
        <w:rPr>
          <w:rFonts w:cs="Times New Roman"/>
          <w:szCs w:val="24"/>
        </w:rPr>
        <w:t> </w:t>
      </w:r>
      <w:r w:rsidR="00363063" w:rsidRPr="00363063">
        <w:rPr>
          <w:rFonts w:cs="Times New Roman"/>
          <w:szCs w:val="24"/>
        </w:rPr>
        <w:t>605</w:t>
      </w:r>
      <w:r w:rsidRPr="00363063">
        <w:rPr>
          <w:rFonts w:cs="Times New Roman"/>
          <w:szCs w:val="24"/>
        </w:rPr>
        <w:t xml:space="preserve"> tis. eur </w:t>
      </w:r>
      <w:r w:rsidRPr="00B91B5A">
        <w:rPr>
          <w:rFonts w:cs="Times New Roman"/>
          <w:szCs w:val="24"/>
        </w:rPr>
        <w:t>(išlo najmä o pohľadávky voči poskytovateľom zdravotnej starostlivosti o </w:t>
      </w:r>
      <w:r w:rsidR="00B91B5A" w:rsidRPr="00B91B5A">
        <w:rPr>
          <w:rFonts w:cs="Times New Roman"/>
          <w:szCs w:val="24"/>
        </w:rPr>
        <w:t>30</w:t>
      </w:r>
      <w:r w:rsidRPr="00B91B5A">
        <w:rPr>
          <w:rFonts w:cs="Times New Roman"/>
          <w:szCs w:val="24"/>
        </w:rPr>
        <w:t> </w:t>
      </w:r>
      <w:r w:rsidR="00B91B5A" w:rsidRPr="00B91B5A">
        <w:rPr>
          <w:rFonts w:cs="Times New Roman"/>
          <w:szCs w:val="24"/>
        </w:rPr>
        <w:t>912</w:t>
      </w:r>
      <w:r w:rsidRPr="00B91B5A">
        <w:rPr>
          <w:rFonts w:cs="Times New Roman"/>
          <w:szCs w:val="24"/>
        </w:rPr>
        <w:t> tis. eur, pohľadávky z daní o 1</w:t>
      </w:r>
      <w:r w:rsidR="00B91B5A" w:rsidRPr="00B91B5A">
        <w:rPr>
          <w:rFonts w:cs="Times New Roman"/>
          <w:szCs w:val="24"/>
        </w:rPr>
        <w:t>8</w:t>
      </w:r>
      <w:r w:rsidRPr="00B91B5A">
        <w:rPr>
          <w:rFonts w:cs="Times New Roman"/>
          <w:szCs w:val="24"/>
        </w:rPr>
        <w:t> </w:t>
      </w:r>
      <w:r w:rsidR="00B91B5A" w:rsidRPr="00B91B5A">
        <w:rPr>
          <w:rFonts w:cs="Times New Roman"/>
          <w:szCs w:val="24"/>
        </w:rPr>
        <w:t>728</w:t>
      </w:r>
      <w:r w:rsidRPr="00B91B5A">
        <w:rPr>
          <w:rFonts w:cs="Times New Roman"/>
          <w:szCs w:val="24"/>
        </w:rPr>
        <w:t> tis. eur</w:t>
      </w:r>
      <w:r w:rsidR="00B91B5A" w:rsidRPr="00B91B5A">
        <w:rPr>
          <w:rFonts w:cs="Times New Roman"/>
          <w:szCs w:val="24"/>
        </w:rPr>
        <w:t>, pohľadávky voči inej zdravotnej poisťovni o 21 014 tis. eur</w:t>
      </w:r>
      <w:r w:rsidRPr="00B91B5A">
        <w:rPr>
          <w:rFonts w:cs="Times New Roman"/>
          <w:szCs w:val="24"/>
        </w:rPr>
        <w:t xml:space="preserve"> a pohľadávky voči Úradu pre dohľad nad zdravotnou starostlivosťou o </w:t>
      </w:r>
      <w:r w:rsidR="00B91B5A" w:rsidRPr="00B91B5A">
        <w:rPr>
          <w:rFonts w:cs="Times New Roman"/>
          <w:szCs w:val="24"/>
        </w:rPr>
        <w:t>6</w:t>
      </w:r>
      <w:r w:rsidRPr="00B91B5A">
        <w:rPr>
          <w:rFonts w:cs="Times New Roman"/>
          <w:szCs w:val="24"/>
        </w:rPr>
        <w:t> </w:t>
      </w:r>
      <w:r w:rsidR="00B91B5A" w:rsidRPr="00B91B5A">
        <w:rPr>
          <w:rFonts w:cs="Times New Roman"/>
          <w:szCs w:val="24"/>
        </w:rPr>
        <w:t>554</w:t>
      </w:r>
      <w:r w:rsidRPr="00B91B5A">
        <w:rPr>
          <w:rFonts w:cs="Times New Roman"/>
          <w:szCs w:val="24"/>
        </w:rPr>
        <w:t xml:space="preserve"> tis. eur. Medziročný </w:t>
      </w:r>
      <w:r w:rsidR="00B91B5A" w:rsidRPr="00B91B5A">
        <w:rPr>
          <w:rFonts w:cs="Times New Roman"/>
          <w:szCs w:val="24"/>
        </w:rPr>
        <w:t>nárast</w:t>
      </w:r>
      <w:r w:rsidRPr="00B91B5A">
        <w:rPr>
          <w:rFonts w:cs="Times New Roman"/>
          <w:szCs w:val="24"/>
        </w:rPr>
        <w:t xml:space="preserve"> záväzkov z</w:t>
      </w:r>
      <w:r w:rsidR="00B91B5A" w:rsidRPr="00B91B5A">
        <w:rPr>
          <w:rFonts w:cs="Times New Roman"/>
          <w:szCs w:val="24"/>
        </w:rPr>
        <w:t>hor</w:t>
      </w:r>
      <w:r w:rsidRPr="00B91B5A">
        <w:rPr>
          <w:rFonts w:cs="Times New Roman"/>
          <w:szCs w:val="24"/>
        </w:rPr>
        <w:t>šil hospodárenie zdravotných poisťovní o </w:t>
      </w:r>
      <w:r w:rsidR="00B91B5A" w:rsidRPr="00B91B5A">
        <w:rPr>
          <w:rFonts w:cs="Times New Roman"/>
          <w:szCs w:val="24"/>
        </w:rPr>
        <w:t>5</w:t>
      </w:r>
      <w:r w:rsidRPr="00B91B5A">
        <w:rPr>
          <w:rFonts w:cs="Times New Roman"/>
          <w:szCs w:val="24"/>
        </w:rPr>
        <w:t>5 </w:t>
      </w:r>
      <w:r w:rsidR="00B91B5A" w:rsidRPr="00B91B5A">
        <w:rPr>
          <w:rFonts w:cs="Times New Roman"/>
          <w:szCs w:val="24"/>
        </w:rPr>
        <w:t>830</w:t>
      </w:r>
      <w:r w:rsidRPr="00B91B5A">
        <w:rPr>
          <w:rFonts w:cs="Times New Roman"/>
          <w:szCs w:val="24"/>
        </w:rPr>
        <w:t> tis. eur. Išlo predovšetkým o </w:t>
      </w:r>
      <w:r w:rsidR="00B91B5A" w:rsidRPr="00B91B5A">
        <w:rPr>
          <w:rFonts w:cs="Times New Roman"/>
          <w:szCs w:val="24"/>
        </w:rPr>
        <w:t>nárast</w:t>
      </w:r>
      <w:r w:rsidRPr="00B91B5A">
        <w:rPr>
          <w:rFonts w:cs="Times New Roman"/>
          <w:szCs w:val="24"/>
        </w:rPr>
        <w:t xml:space="preserve"> záväzkov</w:t>
      </w:r>
      <w:r w:rsidR="00B91B5A" w:rsidRPr="00B91B5A">
        <w:rPr>
          <w:rFonts w:cs="Times New Roman"/>
          <w:szCs w:val="24"/>
        </w:rPr>
        <w:t xml:space="preserve"> </w:t>
      </w:r>
      <w:r w:rsidR="00653105">
        <w:rPr>
          <w:rFonts w:cs="Times New Roman"/>
          <w:szCs w:val="24"/>
        </w:rPr>
        <w:t>voči inej zdravotnej poisťovni o 21</w:t>
      </w:r>
      <w:r w:rsidR="00472D6C">
        <w:rPr>
          <w:rFonts w:cs="Times New Roman"/>
          <w:szCs w:val="24"/>
        </w:rPr>
        <w:t> </w:t>
      </w:r>
      <w:r w:rsidR="00653105">
        <w:rPr>
          <w:rFonts w:cs="Times New Roman"/>
          <w:szCs w:val="24"/>
        </w:rPr>
        <w:t>014</w:t>
      </w:r>
      <w:r w:rsidR="00472D6C">
        <w:rPr>
          <w:rFonts w:cs="Times New Roman"/>
          <w:szCs w:val="24"/>
        </w:rPr>
        <w:t> </w:t>
      </w:r>
      <w:r w:rsidR="00653105">
        <w:rPr>
          <w:rFonts w:cs="Times New Roman"/>
          <w:szCs w:val="24"/>
        </w:rPr>
        <w:t>tis.</w:t>
      </w:r>
      <w:r w:rsidR="00472D6C">
        <w:rPr>
          <w:rFonts w:cs="Times New Roman"/>
          <w:szCs w:val="24"/>
        </w:rPr>
        <w:t> </w:t>
      </w:r>
      <w:r w:rsidR="00653105">
        <w:rPr>
          <w:rFonts w:cs="Times New Roman"/>
          <w:szCs w:val="24"/>
        </w:rPr>
        <w:t xml:space="preserve">eur, </w:t>
      </w:r>
      <w:r w:rsidRPr="00B91B5A">
        <w:rPr>
          <w:rFonts w:cs="Times New Roman"/>
          <w:szCs w:val="24"/>
        </w:rPr>
        <w:t>voči poskytovateľom zdravotnej starostlivosti o 1</w:t>
      </w:r>
      <w:r w:rsidR="00B91B5A" w:rsidRPr="00B91B5A">
        <w:rPr>
          <w:rFonts w:cs="Times New Roman"/>
          <w:szCs w:val="24"/>
        </w:rPr>
        <w:t>7</w:t>
      </w:r>
      <w:r w:rsidRPr="00B91B5A">
        <w:rPr>
          <w:rFonts w:cs="Times New Roman"/>
          <w:szCs w:val="24"/>
        </w:rPr>
        <w:t> </w:t>
      </w:r>
      <w:r w:rsidR="00B91B5A" w:rsidRPr="00B91B5A">
        <w:rPr>
          <w:rFonts w:cs="Times New Roman"/>
          <w:szCs w:val="24"/>
        </w:rPr>
        <w:t>878</w:t>
      </w:r>
      <w:r w:rsidRPr="00B91B5A">
        <w:rPr>
          <w:rFonts w:cs="Times New Roman"/>
          <w:szCs w:val="24"/>
        </w:rPr>
        <w:t> tis. eur</w:t>
      </w:r>
      <w:r w:rsidR="00653105">
        <w:rPr>
          <w:rFonts w:cs="Times New Roman"/>
          <w:szCs w:val="24"/>
        </w:rPr>
        <w:t xml:space="preserve"> a nárast</w:t>
      </w:r>
      <w:r w:rsidR="00B91B5A">
        <w:rPr>
          <w:rFonts w:cs="Times New Roman"/>
          <w:szCs w:val="24"/>
        </w:rPr>
        <w:t xml:space="preserve"> </w:t>
      </w:r>
      <w:r w:rsidR="00653105">
        <w:rPr>
          <w:rFonts w:cs="Times New Roman"/>
          <w:szCs w:val="24"/>
        </w:rPr>
        <w:t>ostatných záväzkov o 16 010 tis. eur.</w:t>
      </w:r>
      <w:r w:rsidR="002A1188">
        <w:rPr>
          <w:rFonts w:cs="Times New Roman"/>
          <w:szCs w:val="24"/>
        </w:rPr>
        <w:t xml:space="preserve"> </w:t>
      </w:r>
      <w:r w:rsidRPr="003A7C1F">
        <w:rPr>
          <w:rFonts w:cs="Times New Roman"/>
          <w:szCs w:val="24"/>
        </w:rPr>
        <w:t xml:space="preserve">Akrualizácia poistného predstavovala pozitívny vplyv na hospodárenie vo výške </w:t>
      </w:r>
      <w:r w:rsidR="003A7C1F" w:rsidRPr="003A7C1F">
        <w:rPr>
          <w:rFonts w:cs="Times New Roman"/>
          <w:szCs w:val="24"/>
        </w:rPr>
        <w:t>31</w:t>
      </w:r>
      <w:r w:rsidRPr="003A7C1F">
        <w:rPr>
          <w:rFonts w:cs="Times New Roman"/>
          <w:szCs w:val="24"/>
        </w:rPr>
        <w:t> </w:t>
      </w:r>
      <w:r w:rsidR="003A7C1F" w:rsidRPr="003A7C1F">
        <w:rPr>
          <w:rFonts w:cs="Times New Roman"/>
          <w:szCs w:val="24"/>
        </w:rPr>
        <w:t>473</w:t>
      </w:r>
      <w:r w:rsidRPr="003A7C1F">
        <w:rPr>
          <w:rFonts w:cs="Times New Roman"/>
          <w:szCs w:val="24"/>
        </w:rPr>
        <w:t> tis. eur (o </w:t>
      </w:r>
      <w:r w:rsidR="003A7C1F" w:rsidRPr="003A7C1F">
        <w:rPr>
          <w:rFonts w:cs="Times New Roman"/>
          <w:szCs w:val="24"/>
        </w:rPr>
        <w:t>9</w:t>
      </w:r>
      <w:r w:rsidRPr="003A7C1F">
        <w:rPr>
          <w:rFonts w:cs="Times New Roman"/>
          <w:szCs w:val="24"/>
        </w:rPr>
        <w:t> </w:t>
      </w:r>
      <w:r w:rsidR="003A7C1F" w:rsidRPr="003A7C1F">
        <w:rPr>
          <w:rFonts w:cs="Times New Roman"/>
          <w:szCs w:val="24"/>
        </w:rPr>
        <w:t>949</w:t>
      </w:r>
      <w:r w:rsidRPr="003A7C1F">
        <w:rPr>
          <w:rFonts w:cs="Times New Roman"/>
          <w:szCs w:val="24"/>
        </w:rPr>
        <w:t xml:space="preserve"> tis. eur viac ako sa predpokladalo). </w:t>
      </w:r>
      <w:r w:rsidRPr="00806630">
        <w:rPr>
          <w:rFonts w:cs="Times New Roman"/>
          <w:szCs w:val="24"/>
        </w:rPr>
        <w:t>Na hospodárenie negatívne vplýval výdavkový transfer z verejnej časti zdravotného poistenia do súkromnej časti zdravotných poisťovní vo výške 2</w:t>
      </w:r>
      <w:r w:rsidR="00806630" w:rsidRPr="00806630">
        <w:rPr>
          <w:rFonts w:cs="Times New Roman"/>
          <w:szCs w:val="24"/>
        </w:rPr>
        <w:t>9</w:t>
      </w:r>
      <w:r w:rsidRPr="00806630">
        <w:rPr>
          <w:rFonts w:cs="Times New Roman"/>
          <w:szCs w:val="24"/>
        </w:rPr>
        <w:t> </w:t>
      </w:r>
      <w:r w:rsidR="00806630" w:rsidRPr="00806630">
        <w:rPr>
          <w:rFonts w:cs="Times New Roman"/>
          <w:szCs w:val="24"/>
        </w:rPr>
        <w:t>384</w:t>
      </w:r>
      <w:r w:rsidRPr="00806630">
        <w:rPr>
          <w:rFonts w:cs="Times New Roman"/>
          <w:szCs w:val="24"/>
        </w:rPr>
        <w:t> tis. eur (išlo o výplat</w:t>
      </w:r>
      <w:r w:rsidR="003A7C1F" w:rsidRPr="00806630">
        <w:rPr>
          <w:rFonts w:cs="Times New Roman"/>
          <w:szCs w:val="24"/>
        </w:rPr>
        <w:t>u</w:t>
      </w:r>
      <w:r w:rsidRPr="00806630">
        <w:rPr>
          <w:rFonts w:cs="Times New Roman"/>
          <w:szCs w:val="24"/>
        </w:rPr>
        <w:t xml:space="preserve"> dividend akcionárom </w:t>
      </w:r>
      <w:r w:rsidRPr="00806630">
        <w:rPr>
          <w:rFonts w:cs="Times New Roman"/>
          <w:szCs w:val="24"/>
        </w:rPr>
        <w:lastRenderedPageBreak/>
        <w:t>Dôvery, a. s.) a platba za správu verejného zdravotného poistenia spolu vo výške 11</w:t>
      </w:r>
      <w:r w:rsidR="00806630" w:rsidRPr="00806630">
        <w:rPr>
          <w:rFonts w:cs="Times New Roman"/>
          <w:szCs w:val="24"/>
        </w:rPr>
        <w:t>5</w:t>
      </w:r>
      <w:r w:rsidRPr="00806630">
        <w:rPr>
          <w:rFonts w:cs="Times New Roman"/>
          <w:szCs w:val="24"/>
        </w:rPr>
        <w:t> </w:t>
      </w:r>
      <w:r w:rsidR="00806630" w:rsidRPr="00806630">
        <w:rPr>
          <w:rFonts w:cs="Times New Roman"/>
          <w:szCs w:val="24"/>
        </w:rPr>
        <w:t>601</w:t>
      </w:r>
      <w:r w:rsidRPr="00806630">
        <w:rPr>
          <w:rFonts w:cs="Times New Roman"/>
          <w:szCs w:val="24"/>
        </w:rPr>
        <w:t> tis. eur (tieto výdavky nie sú rozpočtované).</w:t>
      </w:r>
    </w:p>
    <w:p w14:paraId="5D665419" w14:textId="77777777" w:rsidR="002A1188" w:rsidRPr="00806630" w:rsidRDefault="002A1188" w:rsidP="00532D85">
      <w:pPr>
        <w:spacing w:line="240" w:lineRule="auto"/>
        <w:jc w:val="both"/>
        <w:rPr>
          <w:rFonts w:cs="Times New Roman"/>
          <w:szCs w:val="24"/>
        </w:rPr>
      </w:pPr>
    </w:p>
    <w:p w14:paraId="08FF426F" w14:textId="3F81975A" w:rsidR="009A05C7" w:rsidRPr="0050710A" w:rsidRDefault="009A05C7" w:rsidP="00532D85">
      <w:pPr>
        <w:spacing w:line="240" w:lineRule="auto"/>
        <w:jc w:val="both"/>
        <w:rPr>
          <w:szCs w:val="24"/>
          <w:highlight w:val="yellow"/>
        </w:rPr>
      </w:pPr>
      <w:bookmarkStart w:id="56" w:name="_Hlk195447350"/>
      <w:r w:rsidRPr="00806630">
        <w:rPr>
          <w:rFonts w:eastAsia="Times New Roman" w:cs="Times New Roman"/>
          <w:color w:val="000000"/>
          <w:szCs w:val="24"/>
          <w:lang w:eastAsia="sk-SK"/>
        </w:rPr>
        <w:t xml:space="preserve">Výdavky verejného zdravotného poistenia na zdravotnú starostlivosť poskytnutú zdravotníckym zariadeniam </w:t>
      </w:r>
      <w:r w:rsidRPr="00806630">
        <w:rPr>
          <w:szCs w:val="24"/>
        </w:rPr>
        <w:t xml:space="preserve">boli rozpočtované v sume </w:t>
      </w:r>
      <w:r w:rsidR="00806630" w:rsidRPr="00806630">
        <w:rPr>
          <w:szCs w:val="24"/>
        </w:rPr>
        <w:t>8</w:t>
      </w:r>
      <w:r w:rsidRPr="00806630">
        <w:rPr>
          <w:szCs w:val="24"/>
        </w:rPr>
        <w:t> </w:t>
      </w:r>
      <w:r w:rsidR="00806630" w:rsidRPr="00806630">
        <w:rPr>
          <w:szCs w:val="24"/>
        </w:rPr>
        <w:t>303</w:t>
      </w:r>
      <w:r w:rsidRPr="00806630">
        <w:rPr>
          <w:szCs w:val="24"/>
        </w:rPr>
        <w:t> </w:t>
      </w:r>
      <w:r w:rsidR="00806630" w:rsidRPr="00806630">
        <w:rPr>
          <w:szCs w:val="24"/>
        </w:rPr>
        <w:t>830</w:t>
      </w:r>
      <w:r w:rsidRPr="00806630">
        <w:rPr>
          <w:szCs w:val="24"/>
        </w:rPr>
        <w:t> tis. eur, skutočnosť bola o </w:t>
      </w:r>
      <w:r w:rsidR="00806630" w:rsidRPr="00806630">
        <w:rPr>
          <w:szCs w:val="24"/>
        </w:rPr>
        <w:t>23</w:t>
      </w:r>
      <w:r w:rsidRPr="00806630">
        <w:rPr>
          <w:szCs w:val="24"/>
        </w:rPr>
        <w:t> </w:t>
      </w:r>
      <w:r w:rsidR="00806630" w:rsidRPr="00806630">
        <w:rPr>
          <w:szCs w:val="24"/>
        </w:rPr>
        <w:t>854</w:t>
      </w:r>
      <w:r w:rsidRPr="00806630">
        <w:rPr>
          <w:szCs w:val="24"/>
        </w:rPr>
        <w:t xml:space="preserve"> tis. eur vyššia. </w:t>
      </w:r>
      <w:r w:rsidR="00E37023" w:rsidRPr="00E37023">
        <w:rPr>
          <w:szCs w:val="24"/>
        </w:rPr>
        <w:t>Prekročenie výdavkov poistenia súviselo s ostatnými položkami poistenia (najmä platenými daňami, poplatkami, úrokmi, penále a ďalšími výdavkami). Výdavky na zdravotnú starostlivosť neboli prekročené. Napriek výraznejšiemu prekročeniu výdavkov v oblasti úhrad za lieky bola celková úhrada za poskytnutú zdravotnú starostlivosť nižšia, než predpokladal dopočet celkových súm Ministerstva zdravotníctva SR uvedený v</w:t>
      </w:r>
      <w:r w:rsidR="009D3A3F">
        <w:rPr>
          <w:szCs w:val="24"/>
        </w:rPr>
        <w:t> </w:t>
      </w:r>
      <w:r w:rsidR="00E37023" w:rsidRPr="00E37023">
        <w:rPr>
          <w:szCs w:val="24"/>
        </w:rPr>
        <w:t>dokumentácii k Programovej vyhláške č.</w:t>
      </w:r>
      <w:r w:rsidR="00B64DDE">
        <w:rPr>
          <w:szCs w:val="24"/>
        </w:rPr>
        <w:t> </w:t>
      </w:r>
      <w:r w:rsidR="00E37023" w:rsidRPr="00E37023">
        <w:rPr>
          <w:szCs w:val="24"/>
        </w:rPr>
        <w:t>64/2025</w:t>
      </w:r>
      <w:r w:rsidR="00B64DDE">
        <w:rPr>
          <w:szCs w:val="24"/>
        </w:rPr>
        <w:t> </w:t>
      </w:r>
      <w:r w:rsidR="00E37023" w:rsidRPr="00E37023">
        <w:rPr>
          <w:szCs w:val="24"/>
        </w:rPr>
        <w:t>Z.</w:t>
      </w:r>
      <w:r w:rsidR="00B64DDE">
        <w:rPr>
          <w:szCs w:val="24"/>
        </w:rPr>
        <w:t> </w:t>
      </w:r>
      <w:r w:rsidR="00E37023" w:rsidRPr="00E37023">
        <w:rPr>
          <w:szCs w:val="24"/>
        </w:rPr>
        <w:t>z. K neprekročeniu rozpočtu prispeli nižšie výdavky v iných segmentoch, najmä v oblasti SVLZ a v ambulantnej sfére, kde neboli naplnené minimálne sumy, ktoré sú približne o</w:t>
      </w:r>
      <w:r w:rsidR="00B64DDE">
        <w:rPr>
          <w:szCs w:val="24"/>
        </w:rPr>
        <w:t> </w:t>
      </w:r>
      <w:r w:rsidR="00E37023" w:rsidRPr="00E37023">
        <w:rPr>
          <w:szCs w:val="24"/>
        </w:rPr>
        <w:t>3</w:t>
      </w:r>
      <w:r w:rsidR="00B64DDE">
        <w:rPr>
          <w:szCs w:val="24"/>
        </w:rPr>
        <w:t> </w:t>
      </w:r>
      <w:r w:rsidR="00E37023" w:rsidRPr="00E37023">
        <w:rPr>
          <w:szCs w:val="24"/>
        </w:rPr>
        <w:t>% nižšie ako celkový odhad výdavkov.</w:t>
      </w:r>
    </w:p>
    <w:bookmarkEnd w:id="56"/>
    <w:p w14:paraId="5B1E3941" w14:textId="77777777" w:rsidR="00402102" w:rsidRPr="0050710A" w:rsidRDefault="00402102" w:rsidP="00532D85">
      <w:pPr>
        <w:spacing w:line="240" w:lineRule="auto"/>
        <w:jc w:val="both"/>
        <w:rPr>
          <w:rFonts w:cs="Times New Roman"/>
          <w:b/>
          <w:szCs w:val="24"/>
          <w:highlight w:val="yellow"/>
        </w:rPr>
      </w:pPr>
    </w:p>
    <w:p w14:paraId="06FC222C" w14:textId="10570B02" w:rsidR="00436A25" w:rsidRPr="00436A25" w:rsidRDefault="00436A25" w:rsidP="00436A25">
      <w:pPr>
        <w:spacing w:line="240" w:lineRule="auto"/>
        <w:jc w:val="both"/>
        <w:rPr>
          <w:rFonts w:cs="Times New Roman"/>
          <w:bCs/>
          <w:szCs w:val="24"/>
        </w:rPr>
      </w:pPr>
      <w:bookmarkStart w:id="57" w:name="_Hlk195626970"/>
      <w:r w:rsidRPr="00436A25">
        <w:rPr>
          <w:rFonts w:cs="Times New Roman"/>
          <w:bCs/>
          <w:szCs w:val="24"/>
        </w:rPr>
        <w:t xml:space="preserve">Hospodárenie </w:t>
      </w:r>
      <w:r w:rsidRPr="00436A25">
        <w:rPr>
          <w:rFonts w:cs="Times New Roman"/>
          <w:b/>
          <w:szCs w:val="24"/>
        </w:rPr>
        <w:t>Národnej diaľničnej spoločnosti, a. s</w:t>
      </w:r>
      <w:r w:rsidRPr="00467F0B">
        <w:rPr>
          <w:rFonts w:cs="Times New Roman"/>
          <w:b/>
          <w:szCs w:val="24"/>
        </w:rPr>
        <w:t>.</w:t>
      </w:r>
      <w:r w:rsidR="00467F0B">
        <w:rPr>
          <w:rFonts w:cs="Times New Roman"/>
          <w:bCs/>
          <w:szCs w:val="24"/>
        </w:rPr>
        <w:t>,</w:t>
      </w:r>
      <w:r w:rsidRPr="00436A25">
        <w:rPr>
          <w:rFonts w:cs="Times New Roman"/>
          <w:bCs/>
          <w:szCs w:val="24"/>
        </w:rPr>
        <w:t xml:space="preserve"> v roku 2025 bolo determinované vysokou mierou investičnej aktivity pri dostavbe kľúčových úsekov diaľničnej siete a</w:t>
      </w:r>
      <w:r w:rsidR="00FB21A9">
        <w:rPr>
          <w:rFonts w:cs="Times New Roman"/>
          <w:bCs/>
          <w:szCs w:val="24"/>
        </w:rPr>
        <w:t> </w:t>
      </w:r>
      <w:r w:rsidRPr="00436A25">
        <w:rPr>
          <w:rFonts w:cs="Times New Roman"/>
          <w:bCs/>
          <w:szCs w:val="24"/>
        </w:rPr>
        <w:t>implementáciou nových rozpočtových princípov. Spoločnosť v sledovanom období dosiahla hotovostný schodok vo výške 59 594 tis. eur, čo v porovnaní s rozpočtovaným prebytkom 39 313 tis. eur predstavuje zhoršenie o 98 907 tis. eur. Tento výsledok reflektuje najmä akceleráciu kapitálových výdavkov, ktoré výrazne prevýšili rast celkových príjmov.</w:t>
      </w:r>
    </w:p>
    <w:p w14:paraId="11B7B7AC" w14:textId="77777777" w:rsidR="00436A25" w:rsidRPr="00436A25" w:rsidRDefault="00436A25" w:rsidP="00436A25">
      <w:pPr>
        <w:spacing w:line="240" w:lineRule="auto"/>
        <w:jc w:val="both"/>
        <w:rPr>
          <w:rFonts w:cs="Times New Roman"/>
          <w:bCs/>
          <w:szCs w:val="24"/>
        </w:rPr>
      </w:pPr>
    </w:p>
    <w:p w14:paraId="500DF21D" w14:textId="7C0D0990" w:rsidR="00436A25" w:rsidRDefault="00436A25" w:rsidP="00436A25">
      <w:pPr>
        <w:spacing w:line="240" w:lineRule="auto"/>
        <w:jc w:val="both"/>
        <w:rPr>
          <w:rFonts w:cs="Times New Roman"/>
          <w:bCs/>
          <w:szCs w:val="24"/>
        </w:rPr>
      </w:pPr>
      <w:r w:rsidRPr="00436A25">
        <w:rPr>
          <w:rFonts w:cs="Times New Roman"/>
          <w:bCs/>
          <w:szCs w:val="24"/>
        </w:rPr>
        <w:t>Celkové príjmy spoločnosti vo výške 727 768 tis. eur prekročili schválený rozpočet o 180 441 tis. eur, čo bolo spôsobené najmä výrazným nárastom kapitálových transferov zo</w:t>
      </w:r>
      <w:r w:rsidR="00FB21A9">
        <w:rPr>
          <w:rFonts w:cs="Times New Roman"/>
          <w:bCs/>
          <w:szCs w:val="24"/>
        </w:rPr>
        <w:t> </w:t>
      </w:r>
      <w:r w:rsidRPr="00436A25">
        <w:rPr>
          <w:rFonts w:cs="Times New Roman"/>
          <w:bCs/>
          <w:szCs w:val="24"/>
        </w:rPr>
        <w:t>zdrojov EÚ a štátneho rozpočtu o 188 657 tis.  Naopak, rozpočtované granty zo</w:t>
      </w:r>
      <w:r w:rsidR="003F1280">
        <w:rPr>
          <w:rFonts w:cs="Times New Roman"/>
          <w:bCs/>
          <w:szCs w:val="24"/>
        </w:rPr>
        <w:t> </w:t>
      </w:r>
      <w:r w:rsidRPr="00436A25">
        <w:rPr>
          <w:rFonts w:cs="Times New Roman"/>
          <w:bCs/>
          <w:szCs w:val="24"/>
        </w:rPr>
        <w:t xml:space="preserve">zdroja CEF neboli čerpané a ich využitie sa presúva do roku 2026. Nedaňové príjmy dosiahli </w:t>
      </w:r>
      <w:r w:rsidR="00743AFC">
        <w:rPr>
          <w:rFonts w:cs="Times New Roman"/>
          <w:bCs/>
          <w:szCs w:val="24"/>
        </w:rPr>
        <w:t xml:space="preserve">hodnotu </w:t>
      </w:r>
      <w:r w:rsidRPr="00436A25">
        <w:rPr>
          <w:rFonts w:cs="Times New Roman"/>
          <w:bCs/>
          <w:szCs w:val="24"/>
        </w:rPr>
        <w:t>449 871 tis. eur (pokles o 8 216 tis. eur), pričom mierny pokles v oblasti predaja služieb elektronického mýta (ETC) o 11 418 tis. eur spôsobený reálnym vývojom dopravy</w:t>
      </w:r>
      <w:r w:rsidR="00743AFC">
        <w:rPr>
          <w:rFonts w:cs="Times New Roman"/>
          <w:bCs/>
          <w:szCs w:val="24"/>
        </w:rPr>
        <w:t xml:space="preserve"> </w:t>
      </w:r>
      <w:r w:rsidRPr="00436A25">
        <w:rPr>
          <w:rFonts w:cs="Times New Roman"/>
          <w:bCs/>
          <w:szCs w:val="24"/>
        </w:rPr>
        <w:t>bol čiastočne kompenzovaný vyššími výnosmi z prenájmu diaľničných odpočívadiel, bankovými úrokmi a náhradami škôd na diaľničnej infraštruktúre.</w:t>
      </w:r>
    </w:p>
    <w:p w14:paraId="787049DF" w14:textId="77777777" w:rsidR="002A1188" w:rsidRPr="00436A25" w:rsidRDefault="002A1188" w:rsidP="00436A25">
      <w:pPr>
        <w:spacing w:line="240" w:lineRule="auto"/>
        <w:jc w:val="both"/>
        <w:rPr>
          <w:rFonts w:cs="Times New Roman"/>
          <w:bCs/>
          <w:szCs w:val="24"/>
        </w:rPr>
      </w:pPr>
    </w:p>
    <w:p w14:paraId="420E17F4" w14:textId="2AA31081" w:rsidR="00436A25" w:rsidRPr="00436A25" w:rsidRDefault="00436A25" w:rsidP="00436A25">
      <w:pPr>
        <w:spacing w:line="240" w:lineRule="auto"/>
        <w:jc w:val="both"/>
      </w:pPr>
      <w:r w:rsidRPr="00436A25">
        <w:rPr>
          <w:rFonts w:cs="Times New Roman"/>
          <w:bCs/>
          <w:szCs w:val="24"/>
        </w:rPr>
        <w:t>Celkové výdavky spoločnos</w:t>
      </w:r>
      <w:r w:rsidR="00D17D61">
        <w:rPr>
          <w:rFonts w:cs="Times New Roman"/>
          <w:bCs/>
          <w:szCs w:val="24"/>
        </w:rPr>
        <w:t>ť</w:t>
      </w:r>
      <w:r w:rsidRPr="00436A25">
        <w:rPr>
          <w:rFonts w:cs="Times New Roman"/>
          <w:bCs/>
          <w:szCs w:val="24"/>
        </w:rPr>
        <w:t xml:space="preserve"> čerpala v objeme 787 362 tis. eur, čo predstavuje nárast o 279 348 tis. eur oproti rozpočtu. Dominantnú časť tvorili kapitálové výdavky v objeme 515 389 tis. eur, ktoré boli prioritne alokované do strategických projektov, ako sú úseky D1 Hubová – Ivachnová (97 510 tis. eur), R4 Prešov – severný obchvat, II.</w:t>
      </w:r>
      <w:r w:rsidR="00FB21A9">
        <w:rPr>
          <w:rFonts w:cs="Times New Roman"/>
          <w:bCs/>
          <w:szCs w:val="24"/>
        </w:rPr>
        <w:t> </w:t>
      </w:r>
      <w:r w:rsidRPr="00436A25">
        <w:rPr>
          <w:rFonts w:cs="Times New Roman"/>
          <w:bCs/>
          <w:szCs w:val="24"/>
        </w:rPr>
        <w:t>etapa (71 689 tis. eur), R2 Kriváň – Mýtna (69 659 tis. eur), R2 Šaca – Košické Olšany (58 112 tis. eur) a D1 Lietavská Lúčka – Višňové – Dubná Skala (43 562 tis. eur). V</w:t>
      </w:r>
      <w:r w:rsidR="00FB21A9">
        <w:rPr>
          <w:rFonts w:cs="Times New Roman"/>
          <w:bCs/>
          <w:szCs w:val="24"/>
        </w:rPr>
        <w:t> </w:t>
      </w:r>
      <w:r w:rsidRPr="00436A25">
        <w:rPr>
          <w:rFonts w:cs="Times New Roman"/>
          <w:bCs/>
          <w:szCs w:val="24"/>
        </w:rPr>
        <w:t>oblasti bežných výdavkov spoločnosť dodržala nákladovú disciplínu naplánovaním prostriedkov na</w:t>
      </w:r>
      <w:r w:rsidR="00FB21A9">
        <w:rPr>
          <w:rFonts w:cs="Times New Roman"/>
          <w:bCs/>
          <w:szCs w:val="24"/>
        </w:rPr>
        <w:t> </w:t>
      </w:r>
      <w:r w:rsidRPr="00436A25">
        <w:rPr>
          <w:rFonts w:cs="Times New Roman"/>
          <w:bCs/>
          <w:szCs w:val="24"/>
        </w:rPr>
        <w:t>valorizáciu, čo sa prejavilo v mzdovej úspore o 4 412 tis. eur, pričom nárast v</w:t>
      </w:r>
      <w:r w:rsidR="00FB21A9">
        <w:rPr>
          <w:rFonts w:cs="Times New Roman"/>
          <w:bCs/>
          <w:szCs w:val="24"/>
        </w:rPr>
        <w:t> </w:t>
      </w:r>
      <w:r w:rsidRPr="00436A25">
        <w:rPr>
          <w:rFonts w:cs="Times New Roman"/>
          <w:bCs/>
          <w:szCs w:val="24"/>
        </w:rPr>
        <w:t>kategórii tovarov a služieb o 2 859 tis. eur bol sústredený na nevyhnutnú prevádzku a údržbu siete.</w:t>
      </w:r>
      <w:r>
        <w:rPr>
          <w:rFonts w:cs="Times New Roman"/>
          <w:bCs/>
          <w:szCs w:val="24"/>
        </w:rPr>
        <w:t xml:space="preserve"> Z dôvodu konsolidácie sa plánované prostriedky na </w:t>
      </w:r>
      <w:r w:rsidRPr="008A4DC2">
        <w:rPr>
          <w:rFonts w:cs="Times New Roman"/>
          <w:bCs/>
          <w:szCs w:val="24"/>
        </w:rPr>
        <w:t>energie čerpali o 2 983</w:t>
      </w:r>
      <w:r w:rsidR="008A4DC2" w:rsidRPr="008A4DC2">
        <w:rPr>
          <w:rFonts w:cs="Times New Roman"/>
          <w:bCs/>
          <w:szCs w:val="24"/>
        </w:rPr>
        <w:t> tis.</w:t>
      </w:r>
      <w:r w:rsidR="00FB21A9" w:rsidRPr="008A4DC2">
        <w:rPr>
          <w:rFonts w:cs="Times New Roman"/>
          <w:bCs/>
          <w:szCs w:val="24"/>
        </w:rPr>
        <w:t> </w:t>
      </w:r>
      <w:r w:rsidRPr="008A4DC2">
        <w:rPr>
          <w:rFonts w:cs="Times New Roman"/>
          <w:bCs/>
          <w:szCs w:val="24"/>
        </w:rPr>
        <w:t>eur</w:t>
      </w:r>
      <w:r>
        <w:rPr>
          <w:rFonts w:cs="Times New Roman"/>
          <w:bCs/>
          <w:szCs w:val="24"/>
        </w:rPr>
        <w:t xml:space="preserve"> menej ako bolo plánované. V rámci rutinnej a štandardnej údržby poklesli výdavky na o</w:t>
      </w:r>
      <w:r w:rsidRPr="00436A25">
        <w:rPr>
          <w:rFonts w:cs="Times New Roman"/>
          <w:bCs/>
          <w:szCs w:val="24"/>
        </w:rPr>
        <w:t>prav</w:t>
      </w:r>
      <w:r>
        <w:rPr>
          <w:rFonts w:cs="Times New Roman"/>
          <w:bCs/>
          <w:szCs w:val="24"/>
        </w:rPr>
        <w:t>u</w:t>
      </w:r>
      <w:r w:rsidRPr="00436A25">
        <w:rPr>
          <w:rFonts w:cs="Times New Roman"/>
          <w:bCs/>
          <w:szCs w:val="24"/>
        </w:rPr>
        <w:t xml:space="preserve"> a</w:t>
      </w:r>
      <w:r w:rsidR="002E462C">
        <w:rPr>
          <w:rFonts w:cs="Times New Roman"/>
          <w:bCs/>
          <w:szCs w:val="24"/>
        </w:rPr>
        <w:t> </w:t>
      </w:r>
      <w:r w:rsidRPr="00436A25">
        <w:rPr>
          <w:rFonts w:cs="Times New Roman"/>
          <w:bCs/>
          <w:szCs w:val="24"/>
        </w:rPr>
        <w:t>údržb</w:t>
      </w:r>
      <w:r>
        <w:rPr>
          <w:rFonts w:cs="Times New Roman"/>
          <w:bCs/>
          <w:szCs w:val="24"/>
        </w:rPr>
        <w:t>u</w:t>
      </w:r>
      <w:r w:rsidRPr="00436A25">
        <w:rPr>
          <w:rFonts w:cs="Times New Roman"/>
          <w:bCs/>
          <w:szCs w:val="24"/>
        </w:rPr>
        <w:t xml:space="preserve"> technologických zariadení tunelov a</w:t>
      </w:r>
      <w:r>
        <w:rPr>
          <w:rFonts w:cs="Times New Roman"/>
          <w:bCs/>
          <w:szCs w:val="24"/>
        </w:rPr>
        <w:t> </w:t>
      </w:r>
      <w:r w:rsidRPr="00436A25">
        <w:rPr>
          <w:rFonts w:cs="Times New Roman"/>
          <w:bCs/>
          <w:szCs w:val="24"/>
        </w:rPr>
        <w:t>Informačn</w:t>
      </w:r>
      <w:r>
        <w:rPr>
          <w:rFonts w:cs="Times New Roman"/>
          <w:bCs/>
          <w:szCs w:val="24"/>
        </w:rPr>
        <w:t>ého</w:t>
      </w:r>
      <w:r w:rsidRPr="00436A25">
        <w:rPr>
          <w:rFonts w:cs="Times New Roman"/>
          <w:bCs/>
          <w:szCs w:val="24"/>
        </w:rPr>
        <w:t xml:space="preserve"> systém</w:t>
      </w:r>
      <w:r>
        <w:rPr>
          <w:rFonts w:cs="Times New Roman"/>
          <w:bCs/>
          <w:szCs w:val="24"/>
        </w:rPr>
        <w:t>u</w:t>
      </w:r>
      <w:r w:rsidRPr="00436A25">
        <w:rPr>
          <w:rFonts w:cs="Times New Roman"/>
          <w:bCs/>
          <w:szCs w:val="24"/>
        </w:rPr>
        <w:t xml:space="preserve"> diaľnic</w:t>
      </w:r>
      <w:r>
        <w:rPr>
          <w:rFonts w:cs="Times New Roman"/>
          <w:bCs/>
          <w:szCs w:val="24"/>
        </w:rPr>
        <w:t xml:space="preserve"> o</w:t>
      </w:r>
      <w:r w:rsidR="002E462C">
        <w:rPr>
          <w:rFonts w:cs="Times New Roman"/>
          <w:bCs/>
          <w:szCs w:val="24"/>
        </w:rPr>
        <w:t> </w:t>
      </w:r>
      <w:r>
        <w:rPr>
          <w:rFonts w:cs="Times New Roman"/>
          <w:bCs/>
          <w:szCs w:val="24"/>
        </w:rPr>
        <w:t>5</w:t>
      </w:r>
      <w:r w:rsidR="002E462C">
        <w:rPr>
          <w:rFonts w:cs="Times New Roman"/>
          <w:bCs/>
          <w:szCs w:val="24"/>
        </w:rPr>
        <w:t> </w:t>
      </w:r>
      <w:r w:rsidRPr="00FB21A9">
        <w:rPr>
          <w:rFonts w:cs="Times New Roman"/>
          <w:bCs/>
          <w:szCs w:val="24"/>
        </w:rPr>
        <w:t>837</w:t>
      </w:r>
      <w:r w:rsidR="002E462C">
        <w:rPr>
          <w:rFonts w:cs="Times New Roman"/>
          <w:bCs/>
          <w:szCs w:val="24"/>
        </w:rPr>
        <w:t> </w:t>
      </w:r>
      <w:r w:rsidRPr="00FB21A9">
        <w:rPr>
          <w:rFonts w:cs="Times New Roman"/>
          <w:bCs/>
          <w:szCs w:val="24"/>
        </w:rPr>
        <w:t>tis. eur</w:t>
      </w:r>
      <w:r w:rsidR="00BC4E11" w:rsidRPr="00FB21A9">
        <w:rPr>
          <w:rFonts w:cs="Times New Roman"/>
          <w:bCs/>
          <w:szCs w:val="24"/>
        </w:rPr>
        <w:t>, ktoré však boli eliminované nárastom výdavkov o 10</w:t>
      </w:r>
      <w:r w:rsidR="002E462C">
        <w:rPr>
          <w:rFonts w:cs="Times New Roman"/>
          <w:bCs/>
          <w:szCs w:val="24"/>
        </w:rPr>
        <w:t> </w:t>
      </w:r>
      <w:r w:rsidR="00BC4E11" w:rsidRPr="00FB21A9">
        <w:rPr>
          <w:rFonts w:cs="Times New Roman"/>
          <w:bCs/>
          <w:szCs w:val="24"/>
        </w:rPr>
        <w:t>538</w:t>
      </w:r>
      <w:r w:rsidR="002E462C">
        <w:rPr>
          <w:rFonts w:cs="Times New Roman"/>
          <w:bCs/>
          <w:szCs w:val="24"/>
        </w:rPr>
        <w:t> </w:t>
      </w:r>
      <w:r w:rsidR="00BC4E11" w:rsidRPr="00FB21A9">
        <w:rPr>
          <w:rFonts w:cs="Times New Roman"/>
          <w:bCs/>
          <w:szCs w:val="24"/>
        </w:rPr>
        <w:t>tis. eur na opravu mostov, tunelov a údržbu vozoviek. Úspora sa prejavila aj v poklese výdavkov na nájom o 7 950 tis. eur. Ten</w:t>
      </w:r>
      <w:r w:rsidR="00D17D61">
        <w:rPr>
          <w:rFonts w:cs="Times New Roman"/>
          <w:bCs/>
          <w:szCs w:val="24"/>
        </w:rPr>
        <w:t>to</w:t>
      </w:r>
      <w:r w:rsidR="00BC4E11" w:rsidRPr="00FB21A9">
        <w:rPr>
          <w:rFonts w:cs="Times New Roman"/>
          <w:bCs/>
          <w:szCs w:val="24"/>
        </w:rPr>
        <w:t xml:space="preserve"> pozitívny trend čiastočne negoval nárast výdavkov na prevádzku ETC (Skytoll) o 16</w:t>
      </w:r>
      <w:r w:rsidR="002E462C">
        <w:rPr>
          <w:rFonts w:cs="Times New Roman"/>
          <w:bCs/>
          <w:szCs w:val="24"/>
        </w:rPr>
        <w:t> </w:t>
      </w:r>
      <w:r w:rsidR="00BC4E11" w:rsidRPr="00FB21A9">
        <w:rPr>
          <w:rFonts w:cs="Times New Roman"/>
          <w:bCs/>
          <w:szCs w:val="24"/>
        </w:rPr>
        <w:t>198</w:t>
      </w:r>
      <w:r w:rsidR="002E462C">
        <w:rPr>
          <w:rFonts w:cs="Times New Roman"/>
          <w:bCs/>
          <w:szCs w:val="24"/>
        </w:rPr>
        <w:t> </w:t>
      </w:r>
      <w:r w:rsidR="00BC4E11" w:rsidRPr="00FB21A9">
        <w:rPr>
          <w:rFonts w:cs="Times New Roman"/>
          <w:bCs/>
          <w:szCs w:val="24"/>
        </w:rPr>
        <w:t>tis. eur.</w:t>
      </w:r>
      <w:r w:rsidR="00687C53">
        <w:rPr>
          <w:rFonts w:cs="Times New Roman"/>
          <w:bCs/>
          <w:szCs w:val="24"/>
        </w:rPr>
        <w:t xml:space="preserve"> </w:t>
      </w:r>
      <w:r w:rsidR="00687C53" w:rsidRPr="00687C53">
        <w:rPr>
          <w:rFonts w:cs="Times New Roman"/>
          <w:bCs/>
          <w:szCs w:val="24"/>
        </w:rPr>
        <w:t>Výdavky na prevádzku ETC SkyToll v roku 2025 vzrástli primárne kvôli zmenám súvisiacim s európskou smernicou Eurovignette a technologickými úpravami. Kľúčovými faktormi boli</w:t>
      </w:r>
      <w:r w:rsidR="00680C34">
        <w:rPr>
          <w:rFonts w:cs="Times New Roman"/>
          <w:bCs/>
          <w:szCs w:val="24"/>
        </w:rPr>
        <w:t xml:space="preserve"> </w:t>
      </w:r>
      <w:r w:rsidR="00687C53" w:rsidRPr="00687C53">
        <w:rPr>
          <w:rFonts w:cs="Times New Roman"/>
          <w:b/>
          <w:bCs/>
          <w:szCs w:val="24"/>
        </w:rPr>
        <w:t>zavedenie nových úsekov (napr. posun značiek obcí, nové križovatky)</w:t>
      </w:r>
      <w:r w:rsidR="00680C34">
        <w:rPr>
          <w:rFonts w:cs="Times New Roman"/>
          <w:bCs/>
          <w:szCs w:val="24"/>
        </w:rPr>
        <w:t xml:space="preserve"> </w:t>
      </w:r>
      <w:r w:rsidR="00687C53" w:rsidRPr="00687C53">
        <w:rPr>
          <w:rFonts w:cs="Times New Roman"/>
          <w:bCs/>
          <w:szCs w:val="24"/>
        </w:rPr>
        <w:t>a</w:t>
      </w:r>
      <w:r w:rsidR="00680C34">
        <w:rPr>
          <w:rFonts w:cs="Times New Roman"/>
          <w:bCs/>
          <w:szCs w:val="24"/>
        </w:rPr>
        <w:t> </w:t>
      </w:r>
      <w:r w:rsidR="00687C53" w:rsidRPr="00687C53">
        <w:rPr>
          <w:rFonts w:cs="Times New Roman"/>
          <w:bCs/>
          <w:szCs w:val="24"/>
        </w:rPr>
        <w:t>komplexná</w:t>
      </w:r>
      <w:r w:rsidR="00680C34">
        <w:rPr>
          <w:rFonts w:cs="Times New Roman"/>
          <w:bCs/>
          <w:szCs w:val="24"/>
        </w:rPr>
        <w:t xml:space="preserve"> </w:t>
      </w:r>
      <w:r w:rsidR="00687C53" w:rsidRPr="00687C53">
        <w:rPr>
          <w:rFonts w:cs="Times New Roman"/>
          <w:b/>
          <w:bCs/>
          <w:szCs w:val="24"/>
        </w:rPr>
        <w:t>implementácia nového spôsobu výpočtu mýta od 1.</w:t>
      </w:r>
      <w:r w:rsidR="00680C34">
        <w:rPr>
          <w:rFonts w:cs="Times New Roman"/>
          <w:b/>
          <w:bCs/>
          <w:szCs w:val="24"/>
        </w:rPr>
        <w:t> </w:t>
      </w:r>
      <w:r w:rsidR="00687C53" w:rsidRPr="00687C53">
        <w:rPr>
          <w:rFonts w:cs="Times New Roman"/>
          <w:b/>
          <w:bCs/>
          <w:szCs w:val="24"/>
        </w:rPr>
        <w:t>júla 2025</w:t>
      </w:r>
      <w:r w:rsidR="00687C53" w:rsidRPr="00687C53">
        <w:rPr>
          <w:rFonts w:cs="Times New Roman"/>
          <w:bCs/>
          <w:szCs w:val="24"/>
        </w:rPr>
        <w:t>, čo vyžadovalo nákladné aktualizácie systému</w:t>
      </w:r>
      <w:r w:rsidR="00687C53">
        <w:rPr>
          <w:rFonts w:cs="Times New Roman"/>
          <w:bCs/>
          <w:szCs w:val="24"/>
        </w:rPr>
        <w:t>.</w:t>
      </w:r>
    </w:p>
    <w:p w14:paraId="461BB41B" w14:textId="3D9CB669" w:rsidR="005429B9" w:rsidRDefault="00926243" w:rsidP="00436A25">
      <w:pPr>
        <w:spacing w:line="240" w:lineRule="auto"/>
        <w:jc w:val="both"/>
        <w:rPr>
          <w:rFonts w:cs="Times New Roman"/>
          <w:bCs/>
          <w:szCs w:val="24"/>
        </w:rPr>
      </w:pPr>
      <w:r w:rsidRPr="005429B9">
        <w:rPr>
          <w:rFonts w:eastAsia="Times New Roman" w:cs="Times New Roman"/>
          <w:szCs w:val="24"/>
          <w:lang w:eastAsia="sk-SK"/>
        </w:rPr>
        <w:lastRenderedPageBreak/>
        <w:t>Na dosiahnutý ESA schodok vo výške 66 215 tis. eur negatívne vplýval medziročný nárast záväzkov o 10 425 tis. eur čiastočne eliminovaný nárastom pohľadávok o</w:t>
      </w:r>
      <w:r w:rsidR="005429B9" w:rsidRPr="005429B9">
        <w:rPr>
          <w:rFonts w:eastAsia="Times New Roman" w:cs="Times New Roman"/>
          <w:szCs w:val="24"/>
          <w:lang w:eastAsia="sk-SK"/>
        </w:rPr>
        <w:t> 3</w:t>
      </w:r>
      <w:r w:rsidR="002E462C">
        <w:rPr>
          <w:rFonts w:eastAsia="Times New Roman" w:cs="Times New Roman"/>
          <w:szCs w:val="24"/>
          <w:lang w:eastAsia="sk-SK"/>
        </w:rPr>
        <w:t> </w:t>
      </w:r>
      <w:r w:rsidR="005429B9" w:rsidRPr="005429B9">
        <w:rPr>
          <w:rFonts w:eastAsia="Times New Roman" w:cs="Times New Roman"/>
          <w:szCs w:val="24"/>
          <w:lang w:eastAsia="sk-SK"/>
        </w:rPr>
        <w:t>804</w:t>
      </w:r>
      <w:r w:rsidR="002E462C">
        <w:rPr>
          <w:rFonts w:eastAsia="Times New Roman" w:cs="Times New Roman"/>
          <w:szCs w:val="24"/>
          <w:lang w:eastAsia="sk-SK"/>
        </w:rPr>
        <w:t> </w:t>
      </w:r>
      <w:r w:rsidR="005429B9" w:rsidRPr="005429B9">
        <w:rPr>
          <w:rFonts w:eastAsia="Times New Roman" w:cs="Times New Roman"/>
          <w:szCs w:val="24"/>
          <w:lang w:eastAsia="sk-SK"/>
        </w:rPr>
        <w:t>tis. eur.</w:t>
      </w:r>
      <w:r w:rsidR="00436A25" w:rsidRPr="00436A25">
        <w:rPr>
          <w:rFonts w:cs="Times New Roman"/>
          <w:bCs/>
          <w:szCs w:val="24"/>
        </w:rPr>
        <w:t xml:space="preserve"> Pohľadávky k záveru roka narástli primárne z titulu výberu mýta</w:t>
      </w:r>
      <w:r w:rsidR="005429B9">
        <w:rPr>
          <w:rFonts w:cs="Times New Roman"/>
          <w:bCs/>
          <w:szCs w:val="24"/>
        </w:rPr>
        <w:t xml:space="preserve"> o 3</w:t>
      </w:r>
      <w:r w:rsidR="002E462C">
        <w:rPr>
          <w:rFonts w:cs="Times New Roman"/>
          <w:bCs/>
          <w:szCs w:val="24"/>
        </w:rPr>
        <w:t> </w:t>
      </w:r>
      <w:r w:rsidR="005429B9">
        <w:rPr>
          <w:rFonts w:cs="Times New Roman"/>
          <w:bCs/>
          <w:szCs w:val="24"/>
        </w:rPr>
        <w:t>490</w:t>
      </w:r>
      <w:r w:rsidR="002E462C">
        <w:rPr>
          <w:rFonts w:cs="Times New Roman"/>
          <w:bCs/>
          <w:szCs w:val="24"/>
        </w:rPr>
        <w:t> </w:t>
      </w:r>
      <w:r w:rsidR="005429B9">
        <w:rPr>
          <w:rFonts w:cs="Times New Roman"/>
          <w:bCs/>
          <w:szCs w:val="24"/>
        </w:rPr>
        <w:t>tis. eur</w:t>
      </w:r>
      <w:r w:rsidR="00436A25" w:rsidRPr="00436A25">
        <w:rPr>
          <w:rFonts w:cs="Times New Roman"/>
          <w:bCs/>
          <w:szCs w:val="24"/>
        </w:rPr>
        <w:t>, kde k</w:t>
      </w:r>
      <w:r w:rsidR="002E462C">
        <w:rPr>
          <w:rFonts w:cs="Times New Roman"/>
          <w:bCs/>
          <w:szCs w:val="24"/>
        </w:rPr>
        <w:t> </w:t>
      </w:r>
      <w:r w:rsidR="00436A25" w:rsidRPr="00436A25">
        <w:rPr>
          <w:rFonts w:cs="Times New Roman"/>
          <w:bCs/>
          <w:szCs w:val="24"/>
        </w:rPr>
        <w:t>fakturačnému vzniku došlo v roku 2025, avšak k reálnej úhrade až v</w:t>
      </w:r>
      <w:r w:rsidR="00B64DDE">
        <w:rPr>
          <w:rFonts w:cs="Times New Roman"/>
          <w:bCs/>
          <w:szCs w:val="24"/>
        </w:rPr>
        <w:t> </w:t>
      </w:r>
      <w:r w:rsidR="00436A25" w:rsidRPr="00436A25">
        <w:rPr>
          <w:rFonts w:cs="Times New Roman"/>
          <w:bCs/>
          <w:szCs w:val="24"/>
        </w:rPr>
        <w:t>úvode roka 2026. Naopak, pokles</w:t>
      </w:r>
      <w:r w:rsidR="00687C53">
        <w:rPr>
          <w:rFonts w:cs="Times New Roman"/>
          <w:bCs/>
          <w:szCs w:val="24"/>
        </w:rPr>
        <w:t xml:space="preserve"> </w:t>
      </w:r>
      <w:r w:rsidR="00436A25" w:rsidRPr="00436A25">
        <w:rPr>
          <w:rFonts w:cs="Times New Roman"/>
          <w:bCs/>
          <w:szCs w:val="24"/>
        </w:rPr>
        <w:t>bol zaznamenaný pri ostatných pohľadávkach za</w:t>
      </w:r>
      <w:r w:rsidR="00B64DDE">
        <w:rPr>
          <w:rFonts w:cs="Times New Roman"/>
          <w:bCs/>
          <w:szCs w:val="24"/>
        </w:rPr>
        <w:t> </w:t>
      </w:r>
      <w:r w:rsidR="00436A25" w:rsidRPr="00436A25">
        <w:rPr>
          <w:rFonts w:cs="Times New Roman"/>
          <w:bCs/>
          <w:szCs w:val="24"/>
        </w:rPr>
        <w:t>diaľničné známky a</w:t>
      </w:r>
      <w:r w:rsidR="002E462C">
        <w:rPr>
          <w:rFonts w:cs="Times New Roman"/>
          <w:bCs/>
          <w:szCs w:val="24"/>
        </w:rPr>
        <w:t> </w:t>
      </w:r>
      <w:r w:rsidR="00436A25" w:rsidRPr="00436A25">
        <w:rPr>
          <w:rFonts w:cs="Times New Roman"/>
          <w:bCs/>
          <w:szCs w:val="24"/>
        </w:rPr>
        <w:t>pri</w:t>
      </w:r>
      <w:r w:rsidR="002E462C">
        <w:rPr>
          <w:rFonts w:cs="Times New Roman"/>
          <w:bCs/>
          <w:szCs w:val="24"/>
        </w:rPr>
        <w:t> </w:t>
      </w:r>
      <w:r w:rsidR="00436A25" w:rsidRPr="00436A25">
        <w:rPr>
          <w:rFonts w:cs="Times New Roman"/>
          <w:bCs/>
          <w:szCs w:val="24"/>
        </w:rPr>
        <w:t>poistných plneniach za škody na cestách.</w:t>
      </w:r>
    </w:p>
    <w:p w14:paraId="1E60E16B" w14:textId="77777777" w:rsidR="002A1188" w:rsidRDefault="002A1188" w:rsidP="00436A25">
      <w:pPr>
        <w:spacing w:line="240" w:lineRule="auto"/>
        <w:jc w:val="both"/>
        <w:rPr>
          <w:rFonts w:cs="Times New Roman"/>
          <w:bCs/>
          <w:szCs w:val="24"/>
        </w:rPr>
      </w:pPr>
    </w:p>
    <w:p w14:paraId="31B9C82E" w14:textId="2801F399" w:rsidR="00436A25" w:rsidRPr="00436A25" w:rsidRDefault="005429B9" w:rsidP="005429B9">
      <w:pPr>
        <w:spacing w:line="240" w:lineRule="auto"/>
        <w:jc w:val="both"/>
        <w:rPr>
          <w:rFonts w:cs="Times New Roman"/>
          <w:bCs/>
          <w:szCs w:val="24"/>
        </w:rPr>
      </w:pPr>
      <w:r>
        <w:rPr>
          <w:rFonts w:cs="Times New Roman"/>
          <w:bCs/>
          <w:szCs w:val="24"/>
        </w:rPr>
        <w:t xml:space="preserve">Medziročne došlo </w:t>
      </w:r>
      <w:r w:rsidR="00436A25" w:rsidRPr="00436A25">
        <w:rPr>
          <w:rFonts w:cs="Times New Roman"/>
          <w:bCs/>
          <w:szCs w:val="24"/>
        </w:rPr>
        <w:t xml:space="preserve">k nárastu dlhodobých záväzkov, </w:t>
      </w:r>
      <w:r>
        <w:rPr>
          <w:rFonts w:cs="Times New Roman"/>
          <w:bCs/>
          <w:szCs w:val="24"/>
        </w:rPr>
        <w:t xml:space="preserve">najmä zvýšením </w:t>
      </w:r>
      <w:r w:rsidR="00436A25" w:rsidRPr="00436A25">
        <w:rPr>
          <w:rFonts w:cs="Times New Roman"/>
          <w:bCs/>
          <w:szCs w:val="24"/>
        </w:rPr>
        <w:t>odloženého daňového záväzku</w:t>
      </w:r>
      <w:r>
        <w:rPr>
          <w:rFonts w:cs="Times New Roman"/>
          <w:bCs/>
          <w:szCs w:val="24"/>
        </w:rPr>
        <w:t xml:space="preserve"> (o 24</w:t>
      </w:r>
      <w:r w:rsidR="002E462C">
        <w:rPr>
          <w:rFonts w:cs="Times New Roman"/>
          <w:bCs/>
          <w:szCs w:val="24"/>
        </w:rPr>
        <w:t> </w:t>
      </w:r>
      <w:r>
        <w:rPr>
          <w:rFonts w:cs="Times New Roman"/>
          <w:bCs/>
          <w:szCs w:val="24"/>
        </w:rPr>
        <w:t>377</w:t>
      </w:r>
      <w:r w:rsidR="002E462C">
        <w:rPr>
          <w:rFonts w:cs="Times New Roman"/>
          <w:bCs/>
          <w:szCs w:val="24"/>
        </w:rPr>
        <w:t> </w:t>
      </w:r>
      <w:r>
        <w:rPr>
          <w:rFonts w:cs="Times New Roman"/>
          <w:bCs/>
          <w:szCs w:val="24"/>
        </w:rPr>
        <w:t>tis.</w:t>
      </w:r>
      <w:r w:rsidR="002E462C">
        <w:rPr>
          <w:rFonts w:cs="Times New Roman"/>
          <w:bCs/>
          <w:szCs w:val="24"/>
        </w:rPr>
        <w:t> </w:t>
      </w:r>
      <w:r>
        <w:rPr>
          <w:rFonts w:cs="Times New Roman"/>
          <w:bCs/>
          <w:szCs w:val="24"/>
        </w:rPr>
        <w:t>eur)</w:t>
      </w:r>
      <w:r w:rsidR="00436A25" w:rsidRPr="00436A25">
        <w:rPr>
          <w:rFonts w:cs="Times New Roman"/>
          <w:bCs/>
          <w:szCs w:val="24"/>
        </w:rPr>
        <w:t xml:space="preserve"> a záväzkov z koncesných ciest voči Ministerstvu dopravy SR</w:t>
      </w:r>
      <w:r>
        <w:rPr>
          <w:rFonts w:cs="Times New Roman"/>
          <w:bCs/>
          <w:szCs w:val="24"/>
        </w:rPr>
        <w:t xml:space="preserve"> (o 2</w:t>
      </w:r>
      <w:r w:rsidR="002E462C">
        <w:rPr>
          <w:rFonts w:cs="Times New Roman"/>
          <w:bCs/>
          <w:szCs w:val="24"/>
        </w:rPr>
        <w:t> </w:t>
      </w:r>
      <w:r>
        <w:rPr>
          <w:rFonts w:cs="Times New Roman"/>
          <w:bCs/>
          <w:szCs w:val="24"/>
        </w:rPr>
        <w:t>289</w:t>
      </w:r>
      <w:r w:rsidR="002E462C">
        <w:rPr>
          <w:rFonts w:cs="Times New Roman"/>
          <w:bCs/>
          <w:szCs w:val="24"/>
        </w:rPr>
        <w:t> </w:t>
      </w:r>
      <w:r>
        <w:rPr>
          <w:rFonts w:cs="Times New Roman"/>
          <w:bCs/>
          <w:szCs w:val="24"/>
        </w:rPr>
        <w:t>tis.</w:t>
      </w:r>
      <w:r w:rsidR="002E462C">
        <w:rPr>
          <w:rFonts w:cs="Times New Roman"/>
          <w:bCs/>
          <w:szCs w:val="24"/>
        </w:rPr>
        <w:t> </w:t>
      </w:r>
      <w:r>
        <w:rPr>
          <w:rFonts w:cs="Times New Roman"/>
          <w:bCs/>
          <w:szCs w:val="24"/>
        </w:rPr>
        <w:t>eur)</w:t>
      </w:r>
      <w:r w:rsidR="00436A25" w:rsidRPr="00436A25">
        <w:rPr>
          <w:rFonts w:cs="Times New Roman"/>
          <w:bCs/>
          <w:szCs w:val="24"/>
        </w:rPr>
        <w:t>. Krátkodobé záväzky zaznamenali pokles, čo bolo spôsobené najmä nižším objemom nevyfakturovaných investičných dodávok v závere sledovaného obdobia. V</w:t>
      </w:r>
      <w:r w:rsidR="002E462C">
        <w:rPr>
          <w:rFonts w:cs="Times New Roman"/>
          <w:bCs/>
          <w:szCs w:val="24"/>
        </w:rPr>
        <w:t> </w:t>
      </w:r>
      <w:r w:rsidR="00436A25" w:rsidRPr="00436A25">
        <w:rPr>
          <w:rFonts w:cs="Times New Roman"/>
          <w:bCs/>
          <w:szCs w:val="24"/>
        </w:rPr>
        <w:t>rámci nákladov budúcich období bol evidovaný pokles pri poistnom, ktorý bol korigovaný nárastom nákladov na telekomunikačné služby a IT infraštruktúru.</w:t>
      </w:r>
    </w:p>
    <w:p w14:paraId="0D27D102" w14:textId="77777777" w:rsidR="00B622C2" w:rsidRDefault="00B622C2" w:rsidP="00532D85">
      <w:pPr>
        <w:spacing w:line="240" w:lineRule="auto"/>
        <w:jc w:val="both"/>
        <w:rPr>
          <w:rFonts w:eastAsia="Times New Roman" w:cs="Times New Roman"/>
          <w:szCs w:val="24"/>
          <w:highlight w:val="yellow"/>
          <w:lang w:eastAsia="sk-SK"/>
        </w:rPr>
      </w:pPr>
    </w:p>
    <w:p w14:paraId="785254FC" w14:textId="72127B4E" w:rsidR="002A1188" w:rsidRDefault="00A9272E" w:rsidP="00A23694">
      <w:pPr>
        <w:spacing w:line="240" w:lineRule="auto"/>
        <w:jc w:val="both"/>
        <w:rPr>
          <w:rFonts w:eastAsia="Times New Roman" w:cs="Times New Roman"/>
          <w:szCs w:val="24"/>
          <w:lang w:eastAsia="sk-SK"/>
        </w:rPr>
      </w:pPr>
      <w:r w:rsidRPr="002A1188">
        <w:rPr>
          <w:rFonts w:eastAsia="Times New Roman" w:cs="Times New Roman"/>
          <w:b/>
          <w:bCs/>
          <w:szCs w:val="24"/>
          <w:lang w:eastAsia="sk-SK"/>
        </w:rPr>
        <w:t>Tri š</w:t>
      </w:r>
      <w:r w:rsidR="00C9051C" w:rsidRPr="002A1188">
        <w:rPr>
          <w:rFonts w:eastAsia="Times New Roman" w:cs="Times New Roman"/>
          <w:b/>
          <w:bCs/>
          <w:szCs w:val="24"/>
          <w:lang w:eastAsia="sk-SK"/>
        </w:rPr>
        <w:t>tátne fondy v roku 2025 hospodárili s úhrnným prebytkom podľa metodiky ESA vo</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výške 165</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523</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tis.</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eur, čo predstavuje zlepšenie o</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53</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150</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tis.</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eur</w:t>
      </w:r>
      <w:r w:rsidR="00C9051C" w:rsidRPr="00C9051C">
        <w:rPr>
          <w:rFonts w:eastAsia="Times New Roman" w:cs="Times New Roman"/>
          <w:szCs w:val="24"/>
          <w:lang w:eastAsia="sk-SK"/>
        </w:rPr>
        <w:t xml:space="preserve"> </w:t>
      </w:r>
      <w:r w:rsidR="00C9051C" w:rsidRPr="002A1188">
        <w:rPr>
          <w:rFonts w:eastAsia="Times New Roman" w:cs="Times New Roman"/>
          <w:b/>
          <w:bCs/>
          <w:szCs w:val="24"/>
          <w:lang w:eastAsia="sk-SK"/>
        </w:rPr>
        <w:t>oproti rozpočtovanej hodnote 112</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373</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tis.</w:t>
      </w:r>
      <w:r w:rsidR="002E462C" w:rsidRPr="002A1188">
        <w:rPr>
          <w:rFonts w:eastAsia="Times New Roman" w:cs="Times New Roman"/>
          <w:b/>
          <w:bCs/>
          <w:szCs w:val="24"/>
          <w:lang w:eastAsia="sk-SK"/>
        </w:rPr>
        <w:t> </w:t>
      </w:r>
      <w:r w:rsidR="00C9051C" w:rsidRPr="002A1188">
        <w:rPr>
          <w:rFonts w:eastAsia="Times New Roman" w:cs="Times New Roman"/>
          <w:b/>
          <w:bCs/>
          <w:szCs w:val="24"/>
          <w:lang w:eastAsia="sk-SK"/>
        </w:rPr>
        <w:t>eur.</w:t>
      </w:r>
      <w:r w:rsidR="00C9051C" w:rsidRPr="00C9051C">
        <w:rPr>
          <w:rFonts w:eastAsia="Times New Roman" w:cs="Times New Roman"/>
          <w:szCs w:val="24"/>
          <w:lang w:eastAsia="sk-SK"/>
        </w:rPr>
        <w:t xml:space="preserve"> Najvýraznejší vplyv na priaznivejší výsledok hospodárenia v</w:t>
      </w:r>
      <w:r w:rsidR="002E462C">
        <w:rPr>
          <w:rFonts w:eastAsia="Times New Roman" w:cs="Times New Roman"/>
          <w:szCs w:val="24"/>
          <w:lang w:eastAsia="sk-SK"/>
        </w:rPr>
        <w:t> </w:t>
      </w:r>
      <w:r w:rsidR="00C9051C" w:rsidRPr="00C9051C">
        <w:rPr>
          <w:rFonts w:eastAsia="Times New Roman" w:cs="Times New Roman"/>
          <w:szCs w:val="24"/>
          <w:lang w:eastAsia="sk-SK"/>
        </w:rPr>
        <w:t>porovnaní s</w:t>
      </w:r>
      <w:r w:rsidR="002E462C">
        <w:rPr>
          <w:rFonts w:eastAsia="Times New Roman" w:cs="Times New Roman"/>
          <w:szCs w:val="24"/>
          <w:lang w:eastAsia="sk-SK"/>
        </w:rPr>
        <w:t> </w:t>
      </w:r>
      <w:r w:rsidR="00C9051C" w:rsidRPr="00C9051C">
        <w:rPr>
          <w:rFonts w:eastAsia="Times New Roman" w:cs="Times New Roman"/>
          <w:szCs w:val="24"/>
          <w:lang w:eastAsia="sk-SK"/>
        </w:rPr>
        <w:t xml:space="preserve">rozpočtom mal </w:t>
      </w:r>
      <w:r w:rsidR="00C9051C" w:rsidRPr="00C9051C">
        <w:rPr>
          <w:rFonts w:eastAsia="Times New Roman" w:cs="Times New Roman"/>
          <w:b/>
          <w:bCs/>
          <w:szCs w:val="24"/>
          <w:lang w:eastAsia="sk-SK"/>
        </w:rPr>
        <w:t>Národný jadrový fond</w:t>
      </w:r>
      <w:r w:rsidR="00C9051C" w:rsidRPr="00C9051C">
        <w:rPr>
          <w:rFonts w:eastAsia="Times New Roman" w:cs="Times New Roman"/>
          <w:szCs w:val="24"/>
          <w:lang w:eastAsia="sk-SK"/>
        </w:rPr>
        <w:t>, ktorý síce vykázal schodok 12</w:t>
      </w:r>
      <w:r w:rsidR="002E462C">
        <w:rPr>
          <w:rFonts w:eastAsia="Times New Roman" w:cs="Times New Roman"/>
          <w:szCs w:val="24"/>
          <w:lang w:eastAsia="sk-SK"/>
        </w:rPr>
        <w:t> </w:t>
      </w:r>
      <w:r w:rsidR="00C9051C" w:rsidRPr="00C9051C">
        <w:rPr>
          <w:rFonts w:eastAsia="Times New Roman" w:cs="Times New Roman"/>
          <w:szCs w:val="24"/>
          <w:lang w:eastAsia="sk-SK"/>
        </w:rPr>
        <w:t>785</w:t>
      </w:r>
      <w:r w:rsidR="002E462C">
        <w:rPr>
          <w:rFonts w:eastAsia="Times New Roman" w:cs="Times New Roman"/>
          <w:szCs w:val="24"/>
          <w:lang w:eastAsia="sk-SK"/>
        </w:rPr>
        <w:t> </w:t>
      </w:r>
      <w:r w:rsidR="00C9051C" w:rsidRPr="00C9051C">
        <w:rPr>
          <w:rFonts w:eastAsia="Times New Roman" w:cs="Times New Roman"/>
          <w:szCs w:val="24"/>
          <w:lang w:eastAsia="sk-SK"/>
        </w:rPr>
        <w:t>tis.</w:t>
      </w:r>
      <w:r w:rsidR="002E462C">
        <w:rPr>
          <w:rFonts w:eastAsia="Times New Roman" w:cs="Times New Roman"/>
          <w:szCs w:val="24"/>
          <w:lang w:eastAsia="sk-SK"/>
        </w:rPr>
        <w:t> </w:t>
      </w:r>
      <w:r w:rsidR="00C9051C" w:rsidRPr="00C9051C">
        <w:rPr>
          <w:rFonts w:eastAsia="Times New Roman" w:cs="Times New Roman"/>
          <w:szCs w:val="24"/>
          <w:lang w:eastAsia="sk-SK"/>
        </w:rPr>
        <w:t>eur, avšak ten bol výrazne nižší, než pôvodne rozpočtovaný schodok na úrovni 58</w:t>
      </w:r>
      <w:r w:rsidR="002E462C">
        <w:rPr>
          <w:rFonts w:eastAsia="Times New Roman" w:cs="Times New Roman"/>
          <w:szCs w:val="24"/>
          <w:lang w:eastAsia="sk-SK"/>
        </w:rPr>
        <w:t> </w:t>
      </w:r>
      <w:r w:rsidR="00C9051C" w:rsidRPr="00C9051C">
        <w:rPr>
          <w:rFonts w:eastAsia="Times New Roman" w:cs="Times New Roman"/>
          <w:szCs w:val="24"/>
          <w:lang w:eastAsia="sk-SK"/>
        </w:rPr>
        <w:t>615</w:t>
      </w:r>
      <w:r w:rsidR="002E462C">
        <w:rPr>
          <w:rFonts w:eastAsia="Times New Roman" w:cs="Times New Roman"/>
          <w:szCs w:val="24"/>
          <w:lang w:eastAsia="sk-SK"/>
        </w:rPr>
        <w:t> </w:t>
      </w:r>
      <w:r w:rsidR="00C9051C" w:rsidRPr="00C9051C">
        <w:rPr>
          <w:rFonts w:eastAsia="Times New Roman" w:cs="Times New Roman"/>
          <w:szCs w:val="24"/>
          <w:lang w:eastAsia="sk-SK"/>
        </w:rPr>
        <w:t>tis.</w:t>
      </w:r>
      <w:r w:rsidR="002E462C">
        <w:rPr>
          <w:rFonts w:eastAsia="Times New Roman" w:cs="Times New Roman"/>
          <w:szCs w:val="24"/>
          <w:lang w:eastAsia="sk-SK"/>
        </w:rPr>
        <w:t> </w:t>
      </w:r>
      <w:r w:rsidR="00C9051C" w:rsidRPr="00C9051C">
        <w:rPr>
          <w:rFonts w:eastAsia="Times New Roman" w:cs="Times New Roman"/>
          <w:szCs w:val="24"/>
          <w:lang w:eastAsia="sk-SK"/>
        </w:rPr>
        <w:t xml:space="preserve">eur. </w:t>
      </w:r>
      <w:r w:rsidR="00963D9F" w:rsidRPr="00963D9F">
        <w:rPr>
          <w:rFonts w:eastAsia="Times New Roman" w:cs="Times New Roman"/>
          <w:szCs w:val="24"/>
          <w:lang w:eastAsia="sk-SK"/>
        </w:rPr>
        <w:t>Tento pozitívny vývoj bol spôsobený najmä nižšími výdavkovými transfermi v</w:t>
      </w:r>
      <w:r w:rsidR="002A1188">
        <w:rPr>
          <w:rFonts w:eastAsia="Times New Roman" w:cs="Times New Roman"/>
          <w:szCs w:val="24"/>
          <w:lang w:eastAsia="sk-SK"/>
        </w:rPr>
        <w:t> </w:t>
      </w:r>
      <w:r w:rsidR="00963D9F" w:rsidRPr="00963D9F">
        <w:rPr>
          <w:rFonts w:eastAsia="Times New Roman" w:cs="Times New Roman"/>
          <w:szCs w:val="24"/>
          <w:lang w:eastAsia="sk-SK"/>
        </w:rPr>
        <w:t>prospech platbami spoločnosti JAVYS približne o 51 106 tis. eur, čo čiastočne súviselo s</w:t>
      </w:r>
      <w:r w:rsidR="00865B7D">
        <w:rPr>
          <w:rFonts w:eastAsia="Times New Roman" w:cs="Times New Roman"/>
          <w:szCs w:val="24"/>
          <w:lang w:eastAsia="sk-SK"/>
        </w:rPr>
        <w:t> </w:t>
      </w:r>
      <w:r w:rsidR="00963D9F" w:rsidRPr="00963D9F">
        <w:rPr>
          <w:rFonts w:eastAsia="Times New Roman" w:cs="Times New Roman"/>
          <w:szCs w:val="24"/>
          <w:lang w:eastAsia="sk-SK"/>
        </w:rPr>
        <w:t>nižším plnením plánovaných prác, ako aj s financovaním prác na projektoch záverečnej časti jadrovej energetiky z vlastných zdrojov spoločnosti JAVYS  oproti pôvodným predpokladom.</w:t>
      </w:r>
      <w:r w:rsidR="00A23694">
        <w:rPr>
          <w:rFonts w:eastAsia="Times New Roman" w:cs="Times New Roman"/>
          <w:szCs w:val="24"/>
          <w:lang w:eastAsia="sk-SK"/>
        </w:rPr>
        <w:t xml:space="preserve"> </w:t>
      </w:r>
    </w:p>
    <w:p w14:paraId="6E578EFB" w14:textId="77777777" w:rsidR="002A1188" w:rsidRDefault="002A1188" w:rsidP="00A23694">
      <w:pPr>
        <w:spacing w:line="240" w:lineRule="auto"/>
        <w:jc w:val="both"/>
        <w:rPr>
          <w:rFonts w:eastAsia="Times New Roman" w:cs="Times New Roman"/>
          <w:szCs w:val="24"/>
          <w:lang w:eastAsia="sk-SK"/>
        </w:rPr>
      </w:pPr>
    </w:p>
    <w:p w14:paraId="391646A4" w14:textId="77777777" w:rsidR="002A1188" w:rsidRDefault="00C9051C" w:rsidP="00A23694">
      <w:pPr>
        <w:spacing w:line="240" w:lineRule="auto"/>
        <w:jc w:val="both"/>
        <w:rPr>
          <w:rFonts w:eastAsia="Times New Roman" w:cs="Times New Roman"/>
          <w:szCs w:val="24"/>
          <w:lang w:eastAsia="sk-SK"/>
        </w:rPr>
      </w:pPr>
      <w:r w:rsidRPr="00C9051C">
        <w:rPr>
          <w:rFonts w:eastAsia="Times New Roman" w:cs="Times New Roman"/>
          <w:szCs w:val="24"/>
          <w:lang w:eastAsia="sk-SK"/>
        </w:rPr>
        <w:t>K</w:t>
      </w:r>
      <w:r w:rsidR="001B6519">
        <w:rPr>
          <w:rFonts w:eastAsia="Times New Roman" w:cs="Times New Roman"/>
          <w:szCs w:val="24"/>
          <w:lang w:eastAsia="sk-SK"/>
        </w:rPr>
        <w:t> </w:t>
      </w:r>
      <w:r w:rsidRPr="00C9051C">
        <w:rPr>
          <w:rFonts w:eastAsia="Times New Roman" w:cs="Times New Roman"/>
          <w:szCs w:val="24"/>
          <w:lang w:eastAsia="sk-SK"/>
        </w:rPr>
        <w:t xml:space="preserve">lepšiemu výsledku hospodárenia prispel aj </w:t>
      </w:r>
      <w:r w:rsidRPr="00C9051C">
        <w:rPr>
          <w:rFonts w:eastAsia="Times New Roman" w:cs="Times New Roman"/>
          <w:b/>
          <w:bCs/>
          <w:szCs w:val="24"/>
          <w:lang w:eastAsia="sk-SK"/>
        </w:rPr>
        <w:t>Štátny fond rozvoja bývania</w:t>
      </w:r>
      <w:r w:rsidRPr="00C9051C">
        <w:rPr>
          <w:rFonts w:eastAsia="Times New Roman" w:cs="Times New Roman"/>
          <w:szCs w:val="24"/>
          <w:lang w:eastAsia="sk-SK"/>
        </w:rPr>
        <w:t>, ktorý dosiahol prebytok 30</w:t>
      </w:r>
      <w:r w:rsidR="002E462C">
        <w:rPr>
          <w:rFonts w:eastAsia="Times New Roman" w:cs="Times New Roman"/>
          <w:szCs w:val="24"/>
          <w:lang w:eastAsia="sk-SK"/>
        </w:rPr>
        <w:t> </w:t>
      </w:r>
      <w:r w:rsidRPr="00C9051C">
        <w:rPr>
          <w:rFonts w:eastAsia="Times New Roman" w:cs="Times New Roman"/>
          <w:szCs w:val="24"/>
          <w:lang w:eastAsia="sk-SK"/>
        </w:rPr>
        <w:t>306</w:t>
      </w:r>
      <w:r w:rsidR="002E462C">
        <w:rPr>
          <w:rFonts w:eastAsia="Times New Roman" w:cs="Times New Roman"/>
          <w:szCs w:val="24"/>
          <w:lang w:eastAsia="sk-SK"/>
        </w:rPr>
        <w:t> </w:t>
      </w:r>
      <w:r w:rsidRPr="00C9051C">
        <w:rPr>
          <w:rFonts w:eastAsia="Times New Roman" w:cs="Times New Roman"/>
          <w:szCs w:val="24"/>
          <w:lang w:eastAsia="sk-SK"/>
        </w:rPr>
        <w:t>tis.</w:t>
      </w:r>
      <w:r w:rsidR="002E462C">
        <w:rPr>
          <w:rFonts w:eastAsia="Times New Roman" w:cs="Times New Roman"/>
          <w:szCs w:val="24"/>
          <w:lang w:eastAsia="sk-SK"/>
        </w:rPr>
        <w:t> </w:t>
      </w:r>
      <w:r w:rsidRPr="00C9051C">
        <w:rPr>
          <w:rFonts w:eastAsia="Times New Roman" w:cs="Times New Roman"/>
          <w:szCs w:val="24"/>
          <w:lang w:eastAsia="sk-SK"/>
        </w:rPr>
        <w:t>eur, teda o</w:t>
      </w:r>
      <w:r w:rsidR="002E462C">
        <w:rPr>
          <w:rFonts w:eastAsia="Times New Roman" w:cs="Times New Roman"/>
          <w:szCs w:val="24"/>
          <w:lang w:eastAsia="sk-SK"/>
        </w:rPr>
        <w:t> </w:t>
      </w:r>
      <w:r w:rsidRPr="00C9051C">
        <w:rPr>
          <w:rFonts w:eastAsia="Times New Roman" w:cs="Times New Roman"/>
          <w:szCs w:val="24"/>
          <w:lang w:eastAsia="sk-SK"/>
        </w:rPr>
        <w:t>21</w:t>
      </w:r>
      <w:r w:rsidR="002E462C">
        <w:rPr>
          <w:rFonts w:eastAsia="Times New Roman" w:cs="Times New Roman"/>
          <w:szCs w:val="24"/>
          <w:lang w:eastAsia="sk-SK"/>
        </w:rPr>
        <w:t> </w:t>
      </w:r>
      <w:r w:rsidRPr="00C9051C">
        <w:rPr>
          <w:rFonts w:eastAsia="Times New Roman" w:cs="Times New Roman"/>
          <w:szCs w:val="24"/>
          <w:lang w:eastAsia="sk-SK"/>
        </w:rPr>
        <w:t>472</w:t>
      </w:r>
      <w:r w:rsidR="002E462C">
        <w:rPr>
          <w:rFonts w:eastAsia="Times New Roman" w:cs="Times New Roman"/>
          <w:szCs w:val="24"/>
          <w:lang w:eastAsia="sk-SK"/>
        </w:rPr>
        <w:t> </w:t>
      </w:r>
      <w:r w:rsidRPr="00C9051C">
        <w:rPr>
          <w:rFonts w:eastAsia="Times New Roman" w:cs="Times New Roman"/>
          <w:szCs w:val="24"/>
          <w:lang w:eastAsia="sk-SK"/>
        </w:rPr>
        <w:t>tis.</w:t>
      </w:r>
      <w:r w:rsidR="002E462C">
        <w:rPr>
          <w:rFonts w:eastAsia="Times New Roman" w:cs="Times New Roman"/>
          <w:szCs w:val="24"/>
          <w:lang w:eastAsia="sk-SK"/>
        </w:rPr>
        <w:t> </w:t>
      </w:r>
      <w:r w:rsidRPr="00C9051C">
        <w:rPr>
          <w:rFonts w:eastAsia="Times New Roman" w:cs="Times New Roman"/>
          <w:szCs w:val="24"/>
          <w:lang w:eastAsia="sk-SK"/>
        </w:rPr>
        <w:t>eur viac, než predpokladal rozpočet. Hlavným dôvodom tohto rozdielu boli prijaté bežné granty zo štátneho rozpočtu, ktoré neboli pôvodne rozpočtované. Štátny fond rozvoja bývania prijal granty v</w:t>
      </w:r>
      <w:r w:rsidR="002E462C">
        <w:rPr>
          <w:rFonts w:eastAsia="Times New Roman" w:cs="Times New Roman"/>
          <w:szCs w:val="24"/>
          <w:lang w:eastAsia="sk-SK"/>
        </w:rPr>
        <w:t> </w:t>
      </w:r>
      <w:r w:rsidRPr="00C9051C">
        <w:rPr>
          <w:rFonts w:eastAsia="Times New Roman" w:cs="Times New Roman"/>
          <w:szCs w:val="24"/>
          <w:lang w:eastAsia="sk-SK"/>
        </w:rPr>
        <w:t>celkovej výške 127</w:t>
      </w:r>
      <w:r w:rsidR="002E462C">
        <w:rPr>
          <w:rFonts w:eastAsia="Times New Roman" w:cs="Times New Roman"/>
          <w:szCs w:val="24"/>
          <w:lang w:eastAsia="sk-SK"/>
        </w:rPr>
        <w:t> </w:t>
      </w:r>
      <w:r w:rsidRPr="00C9051C">
        <w:rPr>
          <w:rFonts w:eastAsia="Times New Roman" w:cs="Times New Roman"/>
          <w:szCs w:val="24"/>
          <w:lang w:eastAsia="sk-SK"/>
        </w:rPr>
        <w:t>758</w:t>
      </w:r>
      <w:r w:rsidR="002E462C">
        <w:rPr>
          <w:rFonts w:eastAsia="Times New Roman" w:cs="Times New Roman"/>
          <w:szCs w:val="24"/>
          <w:lang w:eastAsia="sk-SK"/>
        </w:rPr>
        <w:t> </w:t>
      </w:r>
      <w:r w:rsidRPr="00C9051C">
        <w:rPr>
          <w:rFonts w:eastAsia="Times New Roman" w:cs="Times New Roman"/>
          <w:szCs w:val="24"/>
          <w:lang w:eastAsia="sk-SK"/>
        </w:rPr>
        <w:t>tis.</w:t>
      </w:r>
      <w:r w:rsidR="002E462C">
        <w:rPr>
          <w:rFonts w:eastAsia="Times New Roman" w:cs="Times New Roman"/>
          <w:szCs w:val="24"/>
          <w:lang w:eastAsia="sk-SK"/>
        </w:rPr>
        <w:t> </w:t>
      </w:r>
      <w:r w:rsidRPr="00C9051C">
        <w:rPr>
          <w:rFonts w:eastAsia="Times New Roman" w:cs="Times New Roman"/>
          <w:szCs w:val="24"/>
          <w:lang w:eastAsia="sk-SK"/>
        </w:rPr>
        <w:t>eur, pričom po úprave podľa metodiky ESA boli z tejto sumy vylúčené prostriedky Európskej únie vo výške 107</w:t>
      </w:r>
      <w:r w:rsidR="002E462C">
        <w:rPr>
          <w:rFonts w:eastAsia="Times New Roman" w:cs="Times New Roman"/>
          <w:szCs w:val="24"/>
          <w:lang w:eastAsia="sk-SK"/>
        </w:rPr>
        <w:t> </w:t>
      </w:r>
      <w:r w:rsidRPr="00C9051C">
        <w:rPr>
          <w:rFonts w:eastAsia="Times New Roman" w:cs="Times New Roman"/>
          <w:szCs w:val="24"/>
          <w:lang w:eastAsia="sk-SK"/>
        </w:rPr>
        <w:t>533</w:t>
      </w:r>
      <w:r w:rsidR="002E462C">
        <w:rPr>
          <w:rFonts w:eastAsia="Times New Roman" w:cs="Times New Roman"/>
          <w:szCs w:val="24"/>
          <w:lang w:eastAsia="sk-SK"/>
        </w:rPr>
        <w:t> </w:t>
      </w:r>
      <w:r w:rsidRPr="00C9051C">
        <w:rPr>
          <w:rFonts w:eastAsia="Times New Roman" w:cs="Times New Roman"/>
          <w:szCs w:val="24"/>
          <w:lang w:eastAsia="sk-SK"/>
        </w:rPr>
        <w:t>tis.</w:t>
      </w:r>
      <w:r w:rsidR="002E462C">
        <w:rPr>
          <w:rFonts w:eastAsia="Times New Roman" w:cs="Times New Roman"/>
          <w:szCs w:val="24"/>
          <w:lang w:eastAsia="sk-SK"/>
        </w:rPr>
        <w:t> </w:t>
      </w:r>
      <w:r w:rsidRPr="00C9051C">
        <w:rPr>
          <w:rFonts w:eastAsia="Times New Roman" w:cs="Times New Roman"/>
          <w:szCs w:val="24"/>
          <w:lang w:eastAsia="sk-SK"/>
        </w:rPr>
        <w:t xml:space="preserve">eur, keďže sa nepovažujú za </w:t>
      </w:r>
      <w:r w:rsidR="00AA68BF">
        <w:rPr>
          <w:rFonts w:eastAsia="Times New Roman" w:cs="Times New Roman"/>
          <w:szCs w:val="24"/>
          <w:lang w:eastAsia="sk-SK"/>
        </w:rPr>
        <w:t xml:space="preserve">ESA </w:t>
      </w:r>
      <w:r w:rsidRPr="00C9051C">
        <w:rPr>
          <w:rFonts w:eastAsia="Times New Roman" w:cs="Times New Roman"/>
          <w:szCs w:val="24"/>
          <w:lang w:eastAsia="sk-SK"/>
        </w:rPr>
        <w:t>príjem</w:t>
      </w:r>
      <w:r w:rsidR="00FC4CD5">
        <w:rPr>
          <w:rFonts w:eastAsia="Times New Roman" w:cs="Times New Roman"/>
          <w:szCs w:val="24"/>
          <w:lang w:eastAsia="sk-SK"/>
        </w:rPr>
        <w:t>, ale považujú sa za</w:t>
      </w:r>
      <w:r w:rsidR="001B6519">
        <w:rPr>
          <w:rFonts w:eastAsia="Times New Roman" w:cs="Times New Roman"/>
          <w:szCs w:val="24"/>
          <w:lang w:eastAsia="sk-SK"/>
        </w:rPr>
        <w:t> </w:t>
      </w:r>
      <w:r w:rsidR="00FC4CD5">
        <w:rPr>
          <w:rFonts w:eastAsia="Times New Roman" w:cs="Times New Roman"/>
          <w:szCs w:val="24"/>
          <w:lang w:eastAsia="sk-SK"/>
        </w:rPr>
        <w:t>finančnú operáciu</w:t>
      </w:r>
      <w:r w:rsidRPr="00C9051C">
        <w:rPr>
          <w:rFonts w:eastAsia="Times New Roman" w:cs="Times New Roman"/>
          <w:szCs w:val="24"/>
          <w:lang w:eastAsia="sk-SK"/>
        </w:rPr>
        <w:t>.</w:t>
      </w:r>
      <w:r w:rsidR="00FC4CD5">
        <w:rPr>
          <w:rFonts w:eastAsia="Times New Roman" w:cs="Times New Roman"/>
          <w:szCs w:val="24"/>
          <w:lang w:eastAsia="sk-SK"/>
        </w:rPr>
        <w:t xml:space="preserve"> Tieto prostriedky sú oficiálne použité ako finančné nástroje</w:t>
      </w:r>
      <w:r w:rsidR="00251FC3">
        <w:rPr>
          <w:rFonts w:eastAsia="Times New Roman" w:cs="Times New Roman"/>
          <w:szCs w:val="24"/>
          <w:lang w:eastAsia="sk-SK"/>
        </w:rPr>
        <w:t xml:space="preserve"> </w:t>
      </w:r>
      <w:r w:rsidR="00FC4CD5">
        <w:rPr>
          <w:rFonts w:eastAsia="Times New Roman" w:cs="Times New Roman"/>
          <w:szCs w:val="24"/>
          <w:lang w:eastAsia="sk-SK"/>
        </w:rPr>
        <w:t>- návratné zdroje financovania.</w:t>
      </w:r>
      <w:r w:rsidRPr="00C9051C">
        <w:rPr>
          <w:rFonts w:eastAsia="Times New Roman" w:cs="Times New Roman"/>
          <w:szCs w:val="24"/>
          <w:lang w:eastAsia="sk-SK"/>
        </w:rPr>
        <w:t xml:space="preserve"> Zvyšných 20</w:t>
      </w:r>
      <w:r w:rsidR="002E462C">
        <w:rPr>
          <w:rFonts w:eastAsia="Times New Roman" w:cs="Times New Roman"/>
          <w:szCs w:val="24"/>
          <w:lang w:eastAsia="sk-SK"/>
        </w:rPr>
        <w:t> </w:t>
      </w:r>
      <w:r w:rsidRPr="00C9051C">
        <w:rPr>
          <w:rFonts w:eastAsia="Times New Roman" w:cs="Times New Roman"/>
          <w:szCs w:val="24"/>
          <w:lang w:eastAsia="sk-SK"/>
        </w:rPr>
        <w:t>225</w:t>
      </w:r>
      <w:r w:rsidR="002E462C">
        <w:rPr>
          <w:rFonts w:eastAsia="Times New Roman" w:cs="Times New Roman"/>
          <w:szCs w:val="24"/>
          <w:lang w:eastAsia="sk-SK"/>
        </w:rPr>
        <w:t> </w:t>
      </w:r>
      <w:r w:rsidRPr="00C9051C">
        <w:rPr>
          <w:rFonts w:eastAsia="Times New Roman" w:cs="Times New Roman"/>
          <w:szCs w:val="24"/>
          <w:lang w:eastAsia="sk-SK"/>
        </w:rPr>
        <w:t>tis.</w:t>
      </w:r>
      <w:r w:rsidR="002E462C">
        <w:rPr>
          <w:rFonts w:eastAsia="Times New Roman" w:cs="Times New Roman"/>
          <w:szCs w:val="24"/>
          <w:lang w:eastAsia="sk-SK"/>
        </w:rPr>
        <w:t> </w:t>
      </w:r>
      <w:r w:rsidRPr="00C9051C">
        <w:rPr>
          <w:rFonts w:eastAsia="Times New Roman" w:cs="Times New Roman"/>
          <w:szCs w:val="24"/>
          <w:lang w:eastAsia="sk-SK"/>
        </w:rPr>
        <w:t>eur predstavuje spolufinancovanie týchto prostriedkov zo</w:t>
      </w:r>
      <w:r w:rsidR="001B6519">
        <w:rPr>
          <w:rFonts w:eastAsia="Times New Roman" w:cs="Times New Roman"/>
          <w:szCs w:val="24"/>
          <w:lang w:eastAsia="sk-SK"/>
        </w:rPr>
        <w:t> </w:t>
      </w:r>
      <w:r w:rsidRPr="00C9051C">
        <w:rPr>
          <w:rFonts w:eastAsia="Times New Roman" w:cs="Times New Roman"/>
          <w:szCs w:val="24"/>
          <w:lang w:eastAsia="sk-SK"/>
        </w:rPr>
        <w:t>štátneho rozpočtu, čo sa premietlo do rozdielu oproti rozpočtu.</w:t>
      </w:r>
      <w:r w:rsidR="00A23694">
        <w:rPr>
          <w:rFonts w:eastAsia="Times New Roman" w:cs="Times New Roman"/>
          <w:szCs w:val="24"/>
          <w:lang w:eastAsia="sk-SK"/>
        </w:rPr>
        <w:t xml:space="preserve"> </w:t>
      </w:r>
    </w:p>
    <w:p w14:paraId="01AA2518" w14:textId="77777777" w:rsidR="002A1188" w:rsidRDefault="002A1188" w:rsidP="00A23694">
      <w:pPr>
        <w:spacing w:line="240" w:lineRule="auto"/>
        <w:jc w:val="both"/>
        <w:rPr>
          <w:rFonts w:eastAsia="Times New Roman" w:cs="Times New Roman"/>
          <w:szCs w:val="24"/>
          <w:lang w:eastAsia="sk-SK"/>
        </w:rPr>
      </w:pPr>
    </w:p>
    <w:p w14:paraId="5CE2DF75" w14:textId="26A0CB76" w:rsidR="00415273" w:rsidRDefault="00005F22" w:rsidP="00A23694">
      <w:pPr>
        <w:spacing w:line="240" w:lineRule="auto"/>
        <w:jc w:val="both"/>
        <w:rPr>
          <w:rFonts w:eastAsia="Times New Roman" w:cs="Times New Roman"/>
          <w:szCs w:val="24"/>
          <w:lang w:eastAsia="sk-SK"/>
        </w:rPr>
      </w:pPr>
      <w:r w:rsidRPr="00005F22">
        <w:rPr>
          <w:rFonts w:eastAsia="Times New Roman" w:cs="Times New Roman"/>
          <w:szCs w:val="24"/>
          <w:lang w:eastAsia="sk-SK"/>
        </w:rPr>
        <w:t>Naopak, menej priaznivý vývoj hospodárenia v</w:t>
      </w:r>
      <w:r w:rsidR="002E462C">
        <w:rPr>
          <w:rFonts w:eastAsia="Times New Roman" w:cs="Times New Roman"/>
          <w:szCs w:val="24"/>
          <w:lang w:eastAsia="sk-SK"/>
        </w:rPr>
        <w:t> </w:t>
      </w:r>
      <w:r w:rsidRPr="00005F22">
        <w:rPr>
          <w:rFonts w:eastAsia="Times New Roman" w:cs="Times New Roman"/>
          <w:szCs w:val="24"/>
          <w:lang w:eastAsia="sk-SK"/>
        </w:rPr>
        <w:t xml:space="preserve">porovnaní s rozpočtom zaznamenal </w:t>
      </w:r>
      <w:r w:rsidRPr="00005F22">
        <w:rPr>
          <w:rFonts w:eastAsia="Times New Roman" w:cs="Times New Roman"/>
          <w:b/>
          <w:bCs/>
          <w:szCs w:val="24"/>
          <w:lang w:eastAsia="sk-SK"/>
        </w:rPr>
        <w:t>Environmentálny fond</w:t>
      </w:r>
      <w:r w:rsidRPr="00005F22">
        <w:rPr>
          <w:rFonts w:eastAsia="Times New Roman" w:cs="Times New Roman"/>
          <w:szCs w:val="24"/>
          <w:lang w:eastAsia="sk-SK"/>
        </w:rPr>
        <w:t>, ktorý síce dosiahol prebytok 148</w:t>
      </w:r>
      <w:r w:rsidR="002E462C">
        <w:rPr>
          <w:rFonts w:eastAsia="Times New Roman" w:cs="Times New Roman"/>
          <w:szCs w:val="24"/>
          <w:lang w:eastAsia="sk-SK"/>
        </w:rPr>
        <w:t> </w:t>
      </w:r>
      <w:r w:rsidRPr="00005F22">
        <w:rPr>
          <w:rFonts w:eastAsia="Times New Roman" w:cs="Times New Roman"/>
          <w:szCs w:val="24"/>
          <w:lang w:eastAsia="sk-SK"/>
        </w:rPr>
        <w:t>002</w:t>
      </w:r>
      <w:r w:rsidR="002E462C">
        <w:rPr>
          <w:rFonts w:eastAsia="Times New Roman" w:cs="Times New Roman"/>
          <w:szCs w:val="24"/>
          <w:lang w:eastAsia="sk-SK"/>
        </w:rPr>
        <w:t> </w:t>
      </w:r>
      <w:r w:rsidRPr="00005F22">
        <w:rPr>
          <w:rFonts w:eastAsia="Times New Roman" w:cs="Times New Roman"/>
          <w:szCs w:val="24"/>
          <w:lang w:eastAsia="sk-SK"/>
        </w:rPr>
        <w:t>tis.</w:t>
      </w:r>
      <w:r w:rsidR="002E462C">
        <w:rPr>
          <w:rFonts w:eastAsia="Times New Roman" w:cs="Times New Roman"/>
          <w:szCs w:val="24"/>
          <w:lang w:eastAsia="sk-SK"/>
        </w:rPr>
        <w:t> </w:t>
      </w:r>
      <w:r w:rsidRPr="00005F22">
        <w:rPr>
          <w:rFonts w:eastAsia="Times New Roman" w:cs="Times New Roman"/>
          <w:szCs w:val="24"/>
          <w:lang w:eastAsia="sk-SK"/>
        </w:rPr>
        <w:t>eur, avšak tento výsledok zaostal za</w:t>
      </w:r>
      <w:r w:rsidR="00B64DDE">
        <w:rPr>
          <w:rFonts w:eastAsia="Times New Roman" w:cs="Times New Roman"/>
          <w:szCs w:val="24"/>
          <w:lang w:eastAsia="sk-SK"/>
        </w:rPr>
        <w:t> </w:t>
      </w:r>
      <w:r w:rsidRPr="00005F22">
        <w:rPr>
          <w:rFonts w:eastAsia="Times New Roman" w:cs="Times New Roman"/>
          <w:szCs w:val="24"/>
          <w:lang w:eastAsia="sk-SK"/>
        </w:rPr>
        <w:t>rozpočtovaným očakávaním o</w:t>
      </w:r>
      <w:r w:rsidR="002E462C">
        <w:rPr>
          <w:rFonts w:eastAsia="Times New Roman" w:cs="Times New Roman"/>
          <w:szCs w:val="24"/>
          <w:lang w:eastAsia="sk-SK"/>
        </w:rPr>
        <w:t> </w:t>
      </w:r>
      <w:r w:rsidRPr="00005F22">
        <w:rPr>
          <w:rFonts w:eastAsia="Times New Roman" w:cs="Times New Roman"/>
          <w:szCs w:val="24"/>
          <w:lang w:eastAsia="sk-SK"/>
        </w:rPr>
        <w:t>14</w:t>
      </w:r>
      <w:r w:rsidR="002E462C">
        <w:rPr>
          <w:rFonts w:eastAsia="Times New Roman" w:cs="Times New Roman"/>
          <w:szCs w:val="24"/>
          <w:lang w:eastAsia="sk-SK"/>
        </w:rPr>
        <w:t> </w:t>
      </w:r>
      <w:r w:rsidRPr="00005F22">
        <w:rPr>
          <w:rFonts w:eastAsia="Times New Roman" w:cs="Times New Roman"/>
          <w:szCs w:val="24"/>
          <w:lang w:eastAsia="sk-SK"/>
        </w:rPr>
        <w:t>152</w:t>
      </w:r>
      <w:r w:rsidR="002E462C">
        <w:rPr>
          <w:rFonts w:eastAsia="Times New Roman" w:cs="Times New Roman"/>
          <w:szCs w:val="24"/>
          <w:lang w:eastAsia="sk-SK"/>
        </w:rPr>
        <w:t> </w:t>
      </w:r>
      <w:r w:rsidRPr="00005F22">
        <w:rPr>
          <w:rFonts w:eastAsia="Times New Roman" w:cs="Times New Roman"/>
          <w:szCs w:val="24"/>
          <w:lang w:eastAsia="sk-SK"/>
        </w:rPr>
        <w:t>tis.</w:t>
      </w:r>
      <w:r w:rsidR="002E462C">
        <w:rPr>
          <w:rFonts w:eastAsia="Times New Roman" w:cs="Times New Roman"/>
          <w:szCs w:val="24"/>
          <w:lang w:eastAsia="sk-SK"/>
        </w:rPr>
        <w:t> </w:t>
      </w:r>
      <w:r w:rsidRPr="00005F22">
        <w:rPr>
          <w:rFonts w:eastAsia="Times New Roman" w:cs="Times New Roman"/>
          <w:szCs w:val="24"/>
          <w:lang w:eastAsia="sk-SK"/>
        </w:rPr>
        <w:t>eur</w:t>
      </w:r>
      <w:r w:rsidR="00A23694" w:rsidRPr="00A23694">
        <w:rPr>
          <w:rFonts w:eastAsia="Times New Roman" w:cs="Times New Roman"/>
          <w:szCs w:val="24"/>
          <w:lang w:eastAsia="sk-SK"/>
        </w:rPr>
        <w:t>. Odchýlka od rozpočtu bola spôsobená najmä nižšími príjmami z</w:t>
      </w:r>
      <w:r w:rsidR="00B64DDE">
        <w:rPr>
          <w:rFonts w:eastAsia="Times New Roman" w:cs="Times New Roman"/>
          <w:szCs w:val="24"/>
          <w:lang w:eastAsia="sk-SK"/>
        </w:rPr>
        <w:t> </w:t>
      </w:r>
      <w:r w:rsidR="00A23694" w:rsidRPr="00A23694">
        <w:rPr>
          <w:rFonts w:eastAsia="Times New Roman" w:cs="Times New Roman"/>
          <w:szCs w:val="24"/>
          <w:lang w:eastAsia="sk-SK"/>
        </w:rPr>
        <w:t>úrokov na</w:t>
      </w:r>
      <w:r w:rsidR="001B6519">
        <w:rPr>
          <w:rFonts w:eastAsia="Times New Roman" w:cs="Times New Roman"/>
          <w:szCs w:val="24"/>
          <w:lang w:eastAsia="sk-SK"/>
        </w:rPr>
        <w:t> </w:t>
      </w:r>
      <w:r w:rsidR="00A23694" w:rsidRPr="00A23694">
        <w:rPr>
          <w:rFonts w:eastAsia="Times New Roman" w:cs="Times New Roman"/>
          <w:szCs w:val="24"/>
          <w:lang w:eastAsia="sk-SK"/>
        </w:rPr>
        <w:t>účtoch finančného hospodárenia vo výške 26</w:t>
      </w:r>
      <w:r w:rsidR="002E462C">
        <w:rPr>
          <w:rFonts w:eastAsia="Times New Roman" w:cs="Times New Roman"/>
          <w:szCs w:val="24"/>
          <w:lang w:eastAsia="sk-SK"/>
        </w:rPr>
        <w:t> </w:t>
      </w:r>
      <w:r w:rsidR="00A23694" w:rsidRPr="00A23694">
        <w:rPr>
          <w:rFonts w:eastAsia="Times New Roman" w:cs="Times New Roman"/>
          <w:szCs w:val="24"/>
          <w:lang w:eastAsia="sk-SK"/>
        </w:rPr>
        <w:t>986</w:t>
      </w:r>
      <w:r w:rsidR="002E462C">
        <w:rPr>
          <w:rFonts w:eastAsia="Times New Roman" w:cs="Times New Roman"/>
          <w:szCs w:val="24"/>
          <w:lang w:eastAsia="sk-SK"/>
        </w:rPr>
        <w:t> </w:t>
      </w:r>
      <w:r w:rsidR="00A23694" w:rsidRPr="00A23694">
        <w:rPr>
          <w:rFonts w:eastAsia="Times New Roman" w:cs="Times New Roman"/>
          <w:szCs w:val="24"/>
          <w:lang w:eastAsia="sk-SK"/>
        </w:rPr>
        <w:t>tis.</w:t>
      </w:r>
      <w:r w:rsidR="002E462C">
        <w:rPr>
          <w:rFonts w:eastAsia="Times New Roman" w:cs="Times New Roman"/>
          <w:szCs w:val="24"/>
          <w:lang w:eastAsia="sk-SK"/>
        </w:rPr>
        <w:t> </w:t>
      </w:r>
      <w:r w:rsidR="00A23694" w:rsidRPr="00A23694">
        <w:rPr>
          <w:rFonts w:eastAsia="Times New Roman" w:cs="Times New Roman"/>
          <w:szCs w:val="24"/>
          <w:lang w:eastAsia="sk-SK"/>
        </w:rPr>
        <w:t>eur, nižším imputovaným daňovým príjmom zo</w:t>
      </w:r>
      <w:r w:rsidR="002E462C">
        <w:rPr>
          <w:rFonts w:eastAsia="Times New Roman" w:cs="Times New Roman"/>
          <w:szCs w:val="24"/>
          <w:lang w:eastAsia="sk-SK"/>
        </w:rPr>
        <w:t> </w:t>
      </w:r>
      <w:r w:rsidR="00A23694" w:rsidRPr="00A23694">
        <w:rPr>
          <w:rFonts w:eastAsia="Times New Roman" w:cs="Times New Roman"/>
          <w:szCs w:val="24"/>
          <w:lang w:eastAsia="sk-SK"/>
        </w:rPr>
        <w:t>spotreby emisných kvót o</w:t>
      </w:r>
      <w:r w:rsidR="002E462C">
        <w:rPr>
          <w:rFonts w:eastAsia="Times New Roman" w:cs="Times New Roman"/>
          <w:szCs w:val="24"/>
          <w:lang w:eastAsia="sk-SK"/>
        </w:rPr>
        <w:t> </w:t>
      </w:r>
      <w:r w:rsidR="00A23694" w:rsidRPr="00A23694">
        <w:rPr>
          <w:rFonts w:eastAsia="Times New Roman" w:cs="Times New Roman"/>
          <w:szCs w:val="24"/>
          <w:lang w:eastAsia="sk-SK"/>
        </w:rPr>
        <w:t>15</w:t>
      </w:r>
      <w:r w:rsidR="002E462C">
        <w:rPr>
          <w:rFonts w:eastAsia="Times New Roman" w:cs="Times New Roman"/>
          <w:szCs w:val="24"/>
          <w:lang w:eastAsia="sk-SK"/>
        </w:rPr>
        <w:t> </w:t>
      </w:r>
      <w:r w:rsidR="00A23694" w:rsidRPr="00A23694">
        <w:rPr>
          <w:rFonts w:eastAsia="Times New Roman" w:cs="Times New Roman"/>
          <w:szCs w:val="24"/>
          <w:lang w:eastAsia="sk-SK"/>
        </w:rPr>
        <w:t>978</w:t>
      </w:r>
      <w:r w:rsidR="002E462C">
        <w:rPr>
          <w:rFonts w:eastAsia="Times New Roman" w:cs="Times New Roman"/>
          <w:szCs w:val="24"/>
          <w:lang w:eastAsia="sk-SK"/>
        </w:rPr>
        <w:t> </w:t>
      </w:r>
      <w:r w:rsidR="00A23694" w:rsidRPr="00A23694">
        <w:rPr>
          <w:rFonts w:eastAsia="Times New Roman" w:cs="Times New Roman"/>
          <w:szCs w:val="24"/>
          <w:lang w:eastAsia="sk-SK"/>
        </w:rPr>
        <w:t>tis.</w:t>
      </w:r>
      <w:r w:rsidR="002E462C">
        <w:rPr>
          <w:rFonts w:eastAsia="Times New Roman" w:cs="Times New Roman"/>
          <w:szCs w:val="24"/>
          <w:lang w:eastAsia="sk-SK"/>
        </w:rPr>
        <w:t> </w:t>
      </w:r>
      <w:r w:rsidR="00A23694" w:rsidRPr="00A23694">
        <w:rPr>
          <w:rFonts w:eastAsia="Times New Roman" w:cs="Times New Roman"/>
          <w:szCs w:val="24"/>
          <w:lang w:eastAsia="sk-SK"/>
        </w:rPr>
        <w:t>eur, ako aj nižšími príjmami z</w:t>
      </w:r>
      <w:r w:rsidR="00B64DDE">
        <w:rPr>
          <w:rFonts w:eastAsia="Times New Roman" w:cs="Times New Roman"/>
          <w:szCs w:val="24"/>
          <w:lang w:eastAsia="sk-SK"/>
        </w:rPr>
        <w:t> </w:t>
      </w:r>
      <w:r w:rsidR="00A23694" w:rsidRPr="00A23694">
        <w:rPr>
          <w:rFonts w:eastAsia="Times New Roman" w:cs="Times New Roman"/>
          <w:szCs w:val="24"/>
          <w:lang w:eastAsia="sk-SK"/>
        </w:rPr>
        <w:t>poplatkov za</w:t>
      </w:r>
      <w:r w:rsidR="001B6519">
        <w:rPr>
          <w:rFonts w:eastAsia="Times New Roman" w:cs="Times New Roman"/>
          <w:szCs w:val="24"/>
          <w:lang w:eastAsia="sk-SK"/>
        </w:rPr>
        <w:t> </w:t>
      </w:r>
      <w:r w:rsidR="00A23694" w:rsidRPr="00A23694">
        <w:rPr>
          <w:rFonts w:eastAsia="Times New Roman" w:cs="Times New Roman"/>
          <w:szCs w:val="24"/>
          <w:lang w:eastAsia="sk-SK"/>
        </w:rPr>
        <w:t>znečisťovanie ovzdušia o</w:t>
      </w:r>
      <w:r w:rsidR="002E462C">
        <w:rPr>
          <w:rFonts w:eastAsia="Times New Roman" w:cs="Times New Roman"/>
          <w:szCs w:val="24"/>
          <w:lang w:eastAsia="sk-SK"/>
        </w:rPr>
        <w:t> </w:t>
      </w:r>
      <w:r w:rsidR="00A23694" w:rsidRPr="00A23694">
        <w:rPr>
          <w:rFonts w:eastAsia="Times New Roman" w:cs="Times New Roman"/>
          <w:szCs w:val="24"/>
          <w:lang w:eastAsia="sk-SK"/>
        </w:rPr>
        <w:t>3</w:t>
      </w:r>
      <w:r w:rsidR="002E462C">
        <w:rPr>
          <w:rFonts w:eastAsia="Times New Roman" w:cs="Times New Roman"/>
          <w:szCs w:val="24"/>
          <w:lang w:eastAsia="sk-SK"/>
        </w:rPr>
        <w:t> </w:t>
      </w:r>
      <w:r w:rsidR="00A23694" w:rsidRPr="00A23694">
        <w:rPr>
          <w:rFonts w:eastAsia="Times New Roman" w:cs="Times New Roman"/>
          <w:szCs w:val="24"/>
          <w:lang w:eastAsia="sk-SK"/>
        </w:rPr>
        <w:t>985</w:t>
      </w:r>
      <w:r w:rsidR="002E462C">
        <w:rPr>
          <w:rFonts w:eastAsia="Times New Roman" w:cs="Times New Roman"/>
          <w:szCs w:val="24"/>
          <w:lang w:eastAsia="sk-SK"/>
        </w:rPr>
        <w:t> </w:t>
      </w:r>
      <w:r w:rsidR="00A23694" w:rsidRPr="00A23694">
        <w:rPr>
          <w:rFonts w:eastAsia="Times New Roman" w:cs="Times New Roman"/>
          <w:szCs w:val="24"/>
          <w:lang w:eastAsia="sk-SK"/>
        </w:rPr>
        <w:t>tis.</w:t>
      </w:r>
      <w:r w:rsidR="002E462C">
        <w:rPr>
          <w:rFonts w:eastAsia="Times New Roman" w:cs="Times New Roman"/>
          <w:szCs w:val="24"/>
          <w:lang w:eastAsia="sk-SK"/>
        </w:rPr>
        <w:t> </w:t>
      </w:r>
      <w:r w:rsidR="00A23694" w:rsidRPr="00A23694">
        <w:rPr>
          <w:rFonts w:eastAsia="Times New Roman" w:cs="Times New Roman"/>
          <w:szCs w:val="24"/>
          <w:lang w:eastAsia="sk-SK"/>
        </w:rPr>
        <w:t>eur. Negatívny vplyv predstavoval aj vyšší kapitálový transfer obciam o</w:t>
      </w:r>
      <w:r w:rsidR="002E462C">
        <w:rPr>
          <w:rFonts w:eastAsia="Times New Roman" w:cs="Times New Roman"/>
          <w:szCs w:val="24"/>
          <w:lang w:eastAsia="sk-SK"/>
        </w:rPr>
        <w:t> </w:t>
      </w:r>
      <w:r w:rsidR="00A23694" w:rsidRPr="00A23694">
        <w:rPr>
          <w:rFonts w:eastAsia="Times New Roman" w:cs="Times New Roman"/>
          <w:szCs w:val="24"/>
          <w:lang w:eastAsia="sk-SK"/>
        </w:rPr>
        <w:t>6</w:t>
      </w:r>
      <w:r w:rsidR="002E462C">
        <w:rPr>
          <w:rFonts w:eastAsia="Times New Roman" w:cs="Times New Roman"/>
          <w:szCs w:val="24"/>
          <w:lang w:eastAsia="sk-SK"/>
        </w:rPr>
        <w:t> </w:t>
      </w:r>
      <w:r w:rsidR="00A23694" w:rsidRPr="00A23694">
        <w:rPr>
          <w:rFonts w:eastAsia="Times New Roman" w:cs="Times New Roman"/>
          <w:szCs w:val="24"/>
          <w:lang w:eastAsia="sk-SK"/>
        </w:rPr>
        <w:t>433</w:t>
      </w:r>
      <w:r w:rsidR="002E462C">
        <w:rPr>
          <w:rFonts w:eastAsia="Times New Roman" w:cs="Times New Roman"/>
          <w:szCs w:val="24"/>
          <w:lang w:eastAsia="sk-SK"/>
        </w:rPr>
        <w:t> </w:t>
      </w:r>
      <w:r w:rsidR="00A23694" w:rsidRPr="00A23694">
        <w:rPr>
          <w:rFonts w:eastAsia="Times New Roman" w:cs="Times New Roman"/>
          <w:szCs w:val="24"/>
          <w:lang w:eastAsia="sk-SK"/>
        </w:rPr>
        <w:t>tis.</w:t>
      </w:r>
      <w:r w:rsidR="002E462C">
        <w:rPr>
          <w:rFonts w:eastAsia="Times New Roman" w:cs="Times New Roman"/>
          <w:szCs w:val="24"/>
          <w:lang w:eastAsia="sk-SK"/>
        </w:rPr>
        <w:t> </w:t>
      </w:r>
      <w:r w:rsidR="00A23694" w:rsidRPr="00A23694">
        <w:rPr>
          <w:rFonts w:eastAsia="Times New Roman" w:cs="Times New Roman"/>
          <w:szCs w:val="24"/>
          <w:lang w:eastAsia="sk-SK"/>
        </w:rPr>
        <w:t>eur.</w:t>
      </w:r>
      <w:r w:rsidR="00A23694">
        <w:rPr>
          <w:rFonts w:eastAsia="Times New Roman" w:cs="Times New Roman"/>
          <w:szCs w:val="24"/>
          <w:lang w:eastAsia="sk-SK"/>
        </w:rPr>
        <w:t xml:space="preserve"> </w:t>
      </w:r>
      <w:r w:rsidR="00A23694" w:rsidRPr="00A23694">
        <w:rPr>
          <w:rFonts w:eastAsia="Times New Roman" w:cs="Times New Roman"/>
          <w:szCs w:val="24"/>
          <w:lang w:eastAsia="sk-SK"/>
        </w:rPr>
        <w:t>Uvedené nepriaznivé faktory však boli čiastočne zmiernené vyššími príjmami z vratiek v sume 21</w:t>
      </w:r>
      <w:r w:rsidR="002E462C">
        <w:rPr>
          <w:rFonts w:eastAsia="Times New Roman" w:cs="Times New Roman"/>
          <w:szCs w:val="24"/>
          <w:lang w:eastAsia="sk-SK"/>
        </w:rPr>
        <w:t> </w:t>
      </w:r>
      <w:r w:rsidR="00A23694" w:rsidRPr="00A23694">
        <w:rPr>
          <w:rFonts w:eastAsia="Times New Roman" w:cs="Times New Roman"/>
          <w:szCs w:val="24"/>
          <w:lang w:eastAsia="sk-SK"/>
        </w:rPr>
        <w:t>835</w:t>
      </w:r>
      <w:r w:rsidR="002E462C">
        <w:rPr>
          <w:rFonts w:eastAsia="Times New Roman" w:cs="Times New Roman"/>
          <w:szCs w:val="24"/>
          <w:lang w:eastAsia="sk-SK"/>
        </w:rPr>
        <w:t> </w:t>
      </w:r>
      <w:r w:rsidR="00A23694" w:rsidRPr="00A23694">
        <w:rPr>
          <w:rFonts w:eastAsia="Times New Roman" w:cs="Times New Roman"/>
          <w:szCs w:val="24"/>
          <w:lang w:eastAsia="sk-SK"/>
        </w:rPr>
        <w:t>tis.</w:t>
      </w:r>
      <w:r w:rsidR="002E462C">
        <w:rPr>
          <w:rFonts w:eastAsia="Times New Roman" w:cs="Times New Roman"/>
          <w:szCs w:val="24"/>
          <w:lang w:eastAsia="sk-SK"/>
        </w:rPr>
        <w:t> </w:t>
      </w:r>
      <w:r w:rsidR="00A23694" w:rsidRPr="00A23694">
        <w:rPr>
          <w:rFonts w:eastAsia="Times New Roman" w:cs="Times New Roman"/>
          <w:szCs w:val="24"/>
          <w:lang w:eastAsia="sk-SK"/>
        </w:rPr>
        <w:t>eur a zároveň nižšími bežnými transfermi obciam a</w:t>
      </w:r>
      <w:r w:rsidR="00042F5E">
        <w:rPr>
          <w:rFonts w:eastAsia="Times New Roman" w:cs="Times New Roman"/>
          <w:szCs w:val="24"/>
          <w:lang w:eastAsia="sk-SK"/>
        </w:rPr>
        <w:t> </w:t>
      </w:r>
      <w:r w:rsidR="00A23694" w:rsidRPr="00A23694">
        <w:rPr>
          <w:rFonts w:eastAsia="Times New Roman" w:cs="Times New Roman"/>
          <w:szCs w:val="24"/>
          <w:lang w:eastAsia="sk-SK"/>
        </w:rPr>
        <w:t>iným subjektom, ktoré boli v úhrne nižšie o</w:t>
      </w:r>
      <w:r w:rsidR="00981EF0">
        <w:rPr>
          <w:rFonts w:eastAsia="Times New Roman" w:cs="Times New Roman"/>
          <w:szCs w:val="24"/>
          <w:lang w:eastAsia="sk-SK"/>
        </w:rPr>
        <w:t> </w:t>
      </w:r>
      <w:r w:rsidR="00A23694" w:rsidRPr="00A23694">
        <w:rPr>
          <w:rFonts w:eastAsia="Times New Roman" w:cs="Times New Roman"/>
          <w:szCs w:val="24"/>
          <w:lang w:eastAsia="sk-SK"/>
        </w:rPr>
        <w:t>20</w:t>
      </w:r>
      <w:r w:rsidR="00981EF0">
        <w:rPr>
          <w:rFonts w:eastAsia="Times New Roman" w:cs="Times New Roman"/>
          <w:szCs w:val="24"/>
          <w:lang w:eastAsia="sk-SK"/>
        </w:rPr>
        <w:t> </w:t>
      </w:r>
      <w:r w:rsidR="00A23694" w:rsidRPr="00A23694">
        <w:rPr>
          <w:rFonts w:eastAsia="Times New Roman" w:cs="Times New Roman"/>
          <w:szCs w:val="24"/>
          <w:lang w:eastAsia="sk-SK"/>
        </w:rPr>
        <w:t>198</w:t>
      </w:r>
      <w:r w:rsidR="00981EF0">
        <w:rPr>
          <w:rFonts w:eastAsia="Times New Roman" w:cs="Times New Roman"/>
          <w:szCs w:val="24"/>
          <w:lang w:eastAsia="sk-SK"/>
        </w:rPr>
        <w:t> </w:t>
      </w:r>
      <w:r w:rsidR="00A23694" w:rsidRPr="00A23694">
        <w:rPr>
          <w:rFonts w:eastAsia="Times New Roman" w:cs="Times New Roman"/>
          <w:szCs w:val="24"/>
          <w:lang w:eastAsia="sk-SK"/>
        </w:rPr>
        <w:t>tis.</w:t>
      </w:r>
      <w:r w:rsidR="00981EF0">
        <w:rPr>
          <w:rFonts w:eastAsia="Times New Roman" w:cs="Times New Roman"/>
          <w:szCs w:val="24"/>
          <w:lang w:eastAsia="sk-SK"/>
        </w:rPr>
        <w:t> </w:t>
      </w:r>
      <w:r w:rsidR="00A23694" w:rsidRPr="00A23694">
        <w:rPr>
          <w:rFonts w:eastAsia="Times New Roman" w:cs="Times New Roman"/>
          <w:szCs w:val="24"/>
          <w:lang w:eastAsia="sk-SK"/>
        </w:rPr>
        <w:t>eur.</w:t>
      </w:r>
    </w:p>
    <w:p w14:paraId="60D8A519" w14:textId="77777777" w:rsidR="009D3A3F" w:rsidRDefault="009D3A3F" w:rsidP="00A23694">
      <w:pPr>
        <w:spacing w:line="240" w:lineRule="auto"/>
        <w:jc w:val="both"/>
        <w:rPr>
          <w:rFonts w:eastAsia="Times New Roman" w:cs="Times New Roman"/>
          <w:szCs w:val="24"/>
          <w:lang w:eastAsia="sk-SK"/>
        </w:rPr>
      </w:pPr>
    </w:p>
    <w:p w14:paraId="1EF23A7E" w14:textId="56F7ADEA" w:rsidR="007E0614" w:rsidRDefault="007E0614" w:rsidP="00A23694">
      <w:pPr>
        <w:spacing w:line="240" w:lineRule="auto"/>
        <w:jc w:val="both"/>
        <w:rPr>
          <w:rFonts w:eastAsia="Times New Roman" w:cs="Times New Roman"/>
          <w:szCs w:val="24"/>
          <w:lang w:eastAsia="sk-SK"/>
        </w:rPr>
      </w:pPr>
      <w:r w:rsidRPr="001007C1">
        <w:rPr>
          <w:rFonts w:eastAsia="Times New Roman" w:cs="Times New Roman"/>
          <w:b/>
          <w:bCs/>
          <w:szCs w:val="24"/>
          <w:lang w:eastAsia="sk-SK"/>
        </w:rPr>
        <w:t>Verejné vysoké školy</w:t>
      </w:r>
      <w:r w:rsidRPr="001007C1">
        <w:rPr>
          <w:rFonts w:eastAsia="Times New Roman" w:cs="Times New Roman"/>
          <w:szCs w:val="24"/>
          <w:lang w:eastAsia="sk-SK"/>
        </w:rPr>
        <w:t xml:space="preserve"> hospodárili s prebytkom vo výške 67</w:t>
      </w:r>
      <w:r>
        <w:rPr>
          <w:rFonts w:eastAsia="Times New Roman" w:cs="Times New Roman"/>
          <w:szCs w:val="24"/>
          <w:lang w:eastAsia="sk-SK"/>
        </w:rPr>
        <w:t> </w:t>
      </w:r>
      <w:r w:rsidRPr="001007C1">
        <w:rPr>
          <w:rFonts w:eastAsia="Times New Roman" w:cs="Times New Roman"/>
          <w:szCs w:val="24"/>
          <w:lang w:eastAsia="sk-SK"/>
        </w:rPr>
        <w:t>447</w:t>
      </w:r>
      <w:r>
        <w:rPr>
          <w:rFonts w:eastAsia="Times New Roman" w:cs="Times New Roman"/>
          <w:szCs w:val="24"/>
          <w:lang w:eastAsia="sk-SK"/>
        </w:rPr>
        <w:t> </w:t>
      </w:r>
      <w:r w:rsidRPr="001007C1">
        <w:rPr>
          <w:rFonts w:eastAsia="Times New Roman" w:cs="Times New Roman"/>
          <w:szCs w:val="24"/>
          <w:lang w:eastAsia="sk-SK"/>
        </w:rPr>
        <w:t>tis.</w:t>
      </w:r>
      <w:r>
        <w:rPr>
          <w:rFonts w:eastAsia="Times New Roman" w:cs="Times New Roman"/>
          <w:szCs w:val="24"/>
          <w:lang w:eastAsia="sk-SK"/>
        </w:rPr>
        <w:t> </w:t>
      </w:r>
      <w:r w:rsidRPr="001007C1">
        <w:rPr>
          <w:rFonts w:eastAsia="Times New Roman" w:cs="Times New Roman"/>
          <w:szCs w:val="24"/>
          <w:lang w:eastAsia="sk-SK"/>
        </w:rPr>
        <w:t xml:space="preserve">eur, čo </w:t>
      </w:r>
      <w:r w:rsidR="00A9272E">
        <w:rPr>
          <w:rFonts w:eastAsia="Times New Roman" w:cs="Times New Roman"/>
          <w:szCs w:val="24"/>
          <w:lang w:eastAsia="sk-SK"/>
        </w:rPr>
        <w:t xml:space="preserve">oproti takmer vyrovnanému rozpočtu </w:t>
      </w:r>
      <w:r w:rsidRPr="001007C1">
        <w:rPr>
          <w:rFonts w:eastAsia="Times New Roman" w:cs="Times New Roman"/>
          <w:szCs w:val="24"/>
          <w:lang w:eastAsia="sk-SK"/>
        </w:rPr>
        <w:t xml:space="preserve">predstavuje </w:t>
      </w:r>
      <w:r w:rsidR="00A9272E">
        <w:rPr>
          <w:rFonts w:eastAsia="Times New Roman" w:cs="Times New Roman"/>
          <w:szCs w:val="24"/>
          <w:lang w:eastAsia="sk-SK"/>
        </w:rPr>
        <w:t xml:space="preserve">výrazné </w:t>
      </w:r>
      <w:r w:rsidRPr="001007C1">
        <w:rPr>
          <w:rFonts w:eastAsia="Times New Roman" w:cs="Times New Roman"/>
          <w:szCs w:val="24"/>
          <w:lang w:eastAsia="sk-SK"/>
        </w:rPr>
        <w:t>zlepšenie hospodárenia o</w:t>
      </w:r>
      <w:r>
        <w:rPr>
          <w:rFonts w:eastAsia="Times New Roman" w:cs="Times New Roman"/>
          <w:szCs w:val="24"/>
          <w:lang w:eastAsia="sk-SK"/>
        </w:rPr>
        <w:t> </w:t>
      </w:r>
      <w:r w:rsidRPr="001007C1">
        <w:rPr>
          <w:rFonts w:eastAsia="Times New Roman" w:cs="Times New Roman"/>
          <w:szCs w:val="24"/>
          <w:lang w:eastAsia="sk-SK"/>
        </w:rPr>
        <w:t>67</w:t>
      </w:r>
      <w:r>
        <w:rPr>
          <w:rFonts w:eastAsia="Times New Roman" w:cs="Times New Roman"/>
          <w:szCs w:val="24"/>
          <w:lang w:eastAsia="sk-SK"/>
        </w:rPr>
        <w:t> </w:t>
      </w:r>
      <w:r w:rsidRPr="001007C1">
        <w:rPr>
          <w:rFonts w:eastAsia="Times New Roman" w:cs="Times New Roman"/>
          <w:szCs w:val="24"/>
          <w:lang w:eastAsia="sk-SK"/>
        </w:rPr>
        <w:t>248</w:t>
      </w:r>
      <w:r>
        <w:rPr>
          <w:rFonts w:eastAsia="Times New Roman" w:cs="Times New Roman"/>
          <w:szCs w:val="24"/>
          <w:lang w:eastAsia="sk-SK"/>
        </w:rPr>
        <w:t> </w:t>
      </w:r>
      <w:r w:rsidRPr="001007C1">
        <w:rPr>
          <w:rFonts w:eastAsia="Times New Roman" w:cs="Times New Roman"/>
          <w:szCs w:val="24"/>
          <w:lang w:eastAsia="sk-SK"/>
        </w:rPr>
        <w:t>tis.</w:t>
      </w:r>
      <w:r>
        <w:rPr>
          <w:rFonts w:eastAsia="Times New Roman" w:cs="Times New Roman"/>
          <w:szCs w:val="24"/>
          <w:lang w:eastAsia="sk-SK"/>
        </w:rPr>
        <w:t> </w:t>
      </w:r>
      <w:r w:rsidRPr="001007C1">
        <w:rPr>
          <w:rFonts w:eastAsia="Times New Roman" w:cs="Times New Roman"/>
          <w:szCs w:val="24"/>
          <w:lang w:eastAsia="sk-SK"/>
        </w:rPr>
        <w:t>eur</w:t>
      </w:r>
      <w:r w:rsidR="00A9272E">
        <w:rPr>
          <w:rFonts w:eastAsia="Times New Roman" w:cs="Times New Roman"/>
          <w:szCs w:val="24"/>
          <w:lang w:eastAsia="sk-SK"/>
        </w:rPr>
        <w:t>.</w:t>
      </w:r>
      <w:r w:rsidRPr="001007C1">
        <w:rPr>
          <w:rFonts w:eastAsia="Times New Roman" w:cs="Times New Roman"/>
          <w:szCs w:val="24"/>
          <w:lang w:eastAsia="sk-SK"/>
        </w:rPr>
        <w:t xml:space="preserve"> K</w:t>
      </w:r>
      <w:r w:rsidR="003F1280">
        <w:rPr>
          <w:rFonts w:eastAsia="Times New Roman" w:cs="Times New Roman"/>
          <w:szCs w:val="24"/>
          <w:lang w:eastAsia="sk-SK"/>
        </w:rPr>
        <w:t> </w:t>
      </w:r>
      <w:r w:rsidRPr="001007C1">
        <w:rPr>
          <w:rFonts w:eastAsia="Times New Roman" w:cs="Times New Roman"/>
          <w:szCs w:val="24"/>
          <w:lang w:eastAsia="sk-SK"/>
        </w:rPr>
        <w:t>tomuto výsledku najvýraznejšie prispeli vyššie prijaté granty a transfery, ktoré prekročili rozpočtovanú úroveň o</w:t>
      </w:r>
      <w:r>
        <w:rPr>
          <w:rFonts w:eastAsia="Times New Roman" w:cs="Times New Roman"/>
          <w:szCs w:val="24"/>
          <w:lang w:eastAsia="sk-SK"/>
        </w:rPr>
        <w:t> </w:t>
      </w:r>
      <w:r w:rsidRPr="001007C1">
        <w:rPr>
          <w:rFonts w:eastAsia="Times New Roman" w:cs="Times New Roman"/>
          <w:szCs w:val="24"/>
          <w:lang w:eastAsia="sk-SK"/>
        </w:rPr>
        <w:t>287</w:t>
      </w:r>
      <w:r>
        <w:rPr>
          <w:rFonts w:eastAsia="Times New Roman" w:cs="Times New Roman"/>
          <w:szCs w:val="24"/>
          <w:lang w:eastAsia="sk-SK"/>
        </w:rPr>
        <w:t> </w:t>
      </w:r>
      <w:r w:rsidRPr="001007C1">
        <w:rPr>
          <w:rFonts w:eastAsia="Times New Roman" w:cs="Times New Roman"/>
          <w:szCs w:val="24"/>
          <w:lang w:eastAsia="sk-SK"/>
        </w:rPr>
        <w:t>602</w:t>
      </w:r>
      <w:r>
        <w:rPr>
          <w:rFonts w:eastAsia="Times New Roman" w:cs="Times New Roman"/>
          <w:szCs w:val="24"/>
          <w:lang w:eastAsia="sk-SK"/>
        </w:rPr>
        <w:t> </w:t>
      </w:r>
      <w:r w:rsidRPr="001007C1">
        <w:rPr>
          <w:rFonts w:eastAsia="Times New Roman" w:cs="Times New Roman"/>
          <w:szCs w:val="24"/>
          <w:lang w:eastAsia="sk-SK"/>
        </w:rPr>
        <w:t>tis.</w:t>
      </w:r>
      <w:r>
        <w:rPr>
          <w:rFonts w:eastAsia="Times New Roman" w:cs="Times New Roman"/>
          <w:szCs w:val="24"/>
          <w:lang w:eastAsia="sk-SK"/>
        </w:rPr>
        <w:t> </w:t>
      </w:r>
      <w:r w:rsidRPr="001007C1">
        <w:rPr>
          <w:rFonts w:eastAsia="Times New Roman" w:cs="Times New Roman"/>
          <w:szCs w:val="24"/>
          <w:lang w:eastAsia="sk-SK"/>
        </w:rPr>
        <w:t>eur. Tento nárast bol spôsobený najmä vyšším čerpaním prostriedkov zo</w:t>
      </w:r>
      <w:r w:rsidR="003F1280">
        <w:rPr>
          <w:rFonts w:eastAsia="Times New Roman" w:cs="Times New Roman"/>
          <w:szCs w:val="24"/>
          <w:lang w:eastAsia="sk-SK"/>
        </w:rPr>
        <w:t> </w:t>
      </w:r>
      <w:r w:rsidRPr="001007C1">
        <w:rPr>
          <w:rFonts w:eastAsia="Times New Roman" w:cs="Times New Roman"/>
          <w:szCs w:val="24"/>
          <w:lang w:eastAsia="sk-SK"/>
        </w:rPr>
        <w:t>štátneho rozpočtu</w:t>
      </w:r>
      <w:r w:rsidR="00EC24D5">
        <w:rPr>
          <w:rFonts w:eastAsia="Times New Roman" w:cs="Times New Roman"/>
          <w:szCs w:val="24"/>
          <w:lang w:eastAsia="sk-SK"/>
        </w:rPr>
        <w:t xml:space="preserve"> a POO</w:t>
      </w:r>
      <w:r w:rsidRPr="001007C1">
        <w:rPr>
          <w:rFonts w:eastAsia="Times New Roman" w:cs="Times New Roman"/>
          <w:szCs w:val="24"/>
          <w:lang w:eastAsia="sk-SK"/>
        </w:rPr>
        <w:t xml:space="preserve"> určených okrem iného na modernizáciu budov a</w:t>
      </w:r>
      <w:r w:rsidR="00E67125">
        <w:rPr>
          <w:rFonts w:eastAsia="Times New Roman" w:cs="Times New Roman"/>
          <w:szCs w:val="24"/>
          <w:lang w:eastAsia="sk-SK"/>
        </w:rPr>
        <w:t> </w:t>
      </w:r>
      <w:r w:rsidRPr="001007C1">
        <w:rPr>
          <w:rFonts w:eastAsia="Times New Roman" w:cs="Times New Roman"/>
          <w:szCs w:val="24"/>
          <w:lang w:eastAsia="sk-SK"/>
        </w:rPr>
        <w:t xml:space="preserve">ich vnútorného </w:t>
      </w:r>
      <w:r w:rsidRPr="001007C1">
        <w:rPr>
          <w:rFonts w:eastAsia="Times New Roman" w:cs="Times New Roman"/>
          <w:szCs w:val="24"/>
          <w:lang w:eastAsia="sk-SK"/>
        </w:rPr>
        <w:lastRenderedPageBreak/>
        <w:t>vybavenia. Pozitívny vplyv týchto príjmov bol na strane výdavkov čiastočne kompenzovaný vyššími bežnými a kapitálovými transfermi a vyššími výdavkami na</w:t>
      </w:r>
      <w:r w:rsidR="00B64DDE">
        <w:rPr>
          <w:rFonts w:eastAsia="Times New Roman" w:cs="Times New Roman"/>
          <w:szCs w:val="24"/>
          <w:lang w:eastAsia="sk-SK"/>
        </w:rPr>
        <w:t> </w:t>
      </w:r>
      <w:r w:rsidRPr="001007C1">
        <w:rPr>
          <w:rFonts w:eastAsia="Times New Roman" w:cs="Times New Roman"/>
          <w:szCs w:val="24"/>
          <w:lang w:eastAsia="sk-SK"/>
        </w:rPr>
        <w:t>obstaranie kapitálových aktív, ktoré presiahli rozpočet o</w:t>
      </w:r>
      <w:r>
        <w:rPr>
          <w:rFonts w:eastAsia="Times New Roman" w:cs="Times New Roman"/>
          <w:szCs w:val="24"/>
          <w:lang w:eastAsia="sk-SK"/>
        </w:rPr>
        <w:t> </w:t>
      </w:r>
      <w:r w:rsidRPr="001007C1">
        <w:rPr>
          <w:rFonts w:eastAsia="Times New Roman" w:cs="Times New Roman"/>
          <w:szCs w:val="24"/>
          <w:lang w:eastAsia="sk-SK"/>
        </w:rPr>
        <w:t>162</w:t>
      </w:r>
      <w:r>
        <w:rPr>
          <w:rFonts w:eastAsia="Times New Roman" w:cs="Times New Roman"/>
          <w:szCs w:val="24"/>
          <w:lang w:eastAsia="sk-SK"/>
        </w:rPr>
        <w:t> </w:t>
      </w:r>
      <w:r w:rsidRPr="001007C1">
        <w:rPr>
          <w:rFonts w:eastAsia="Times New Roman" w:cs="Times New Roman"/>
          <w:szCs w:val="24"/>
          <w:lang w:eastAsia="sk-SK"/>
        </w:rPr>
        <w:t>865</w:t>
      </w:r>
      <w:r>
        <w:rPr>
          <w:rFonts w:eastAsia="Times New Roman" w:cs="Times New Roman"/>
          <w:szCs w:val="24"/>
          <w:lang w:eastAsia="sk-SK"/>
        </w:rPr>
        <w:t> </w:t>
      </w:r>
      <w:r w:rsidRPr="001007C1">
        <w:rPr>
          <w:rFonts w:eastAsia="Times New Roman" w:cs="Times New Roman"/>
          <w:szCs w:val="24"/>
          <w:lang w:eastAsia="sk-SK"/>
        </w:rPr>
        <w:t>tis.</w:t>
      </w:r>
      <w:r>
        <w:rPr>
          <w:rFonts w:eastAsia="Times New Roman" w:cs="Times New Roman"/>
          <w:szCs w:val="24"/>
          <w:lang w:eastAsia="sk-SK"/>
        </w:rPr>
        <w:t> </w:t>
      </w:r>
      <w:r w:rsidRPr="001007C1">
        <w:rPr>
          <w:rFonts w:eastAsia="Times New Roman" w:cs="Times New Roman"/>
          <w:szCs w:val="24"/>
          <w:lang w:eastAsia="sk-SK"/>
        </w:rPr>
        <w:t>eur. Tieto výdavky súviseli predovšetkým s</w:t>
      </w:r>
      <w:r>
        <w:rPr>
          <w:rFonts w:eastAsia="Times New Roman" w:cs="Times New Roman"/>
          <w:szCs w:val="24"/>
          <w:lang w:eastAsia="sk-SK"/>
        </w:rPr>
        <w:t> </w:t>
      </w:r>
      <w:r w:rsidRPr="001007C1">
        <w:rPr>
          <w:rFonts w:eastAsia="Times New Roman" w:cs="Times New Roman"/>
          <w:szCs w:val="24"/>
          <w:lang w:eastAsia="sk-SK"/>
        </w:rPr>
        <w:t>rekonštrukciami a</w:t>
      </w:r>
      <w:r w:rsidR="00A9272E">
        <w:rPr>
          <w:rFonts w:eastAsia="Times New Roman" w:cs="Times New Roman"/>
          <w:szCs w:val="24"/>
          <w:lang w:eastAsia="sk-SK"/>
        </w:rPr>
        <w:t> </w:t>
      </w:r>
      <w:r w:rsidRPr="001007C1">
        <w:rPr>
          <w:rFonts w:eastAsia="Times New Roman" w:cs="Times New Roman"/>
          <w:szCs w:val="24"/>
          <w:lang w:eastAsia="sk-SK"/>
        </w:rPr>
        <w:t>modernizáciou</w:t>
      </w:r>
      <w:r w:rsidR="00A9272E">
        <w:rPr>
          <w:rFonts w:eastAsia="Times New Roman" w:cs="Times New Roman"/>
          <w:szCs w:val="24"/>
          <w:lang w:eastAsia="sk-SK"/>
        </w:rPr>
        <w:t xml:space="preserve"> infraštruktúry a</w:t>
      </w:r>
      <w:r w:rsidR="00B64DDE">
        <w:rPr>
          <w:rFonts w:eastAsia="Times New Roman" w:cs="Times New Roman"/>
          <w:szCs w:val="24"/>
          <w:lang w:eastAsia="sk-SK"/>
        </w:rPr>
        <w:t> </w:t>
      </w:r>
      <w:r w:rsidR="00A9272E">
        <w:rPr>
          <w:rFonts w:eastAsia="Times New Roman" w:cs="Times New Roman"/>
          <w:szCs w:val="24"/>
          <w:lang w:eastAsia="sk-SK"/>
        </w:rPr>
        <w:t>vybavenia</w:t>
      </w:r>
      <w:r w:rsidRPr="001007C1">
        <w:rPr>
          <w:rFonts w:eastAsia="Times New Roman" w:cs="Times New Roman"/>
          <w:szCs w:val="24"/>
          <w:lang w:eastAsia="sk-SK"/>
        </w:rPr>
        <w:t>. Negatívny dopad na</w:t>
      </w:r>
      <w:r w:rsidR="001B6519">
        <w:rPr>
          <w:rFonts w:eastAsia="Times New Roman" w:cs="Times New Roman"/>
          <w:szCs w:val="24"/>
          <w:lang w:eastAsia="sk-SK"/>
        </w:rPr>
        <w:t> </w:t>
      </w:r>
      <w:r w:rsidRPr="001007C1">
        <w:rPr>
          <w:rFonts w:eastAsia="Times New Roman" w:cs="Times New Roman"/>
          <w:szCs w:val="24"/>
          <w:lang w:eastAsia="sk-SK"/>
        </w:rPr>
        <w:t>hotovostný prebytok mali taktiež zvýšené výdavky na tovary a</w:t>
      </w:r>
      <w:r w:rsidR="00B64DDE">
        <w:rPr>
          <w:rFonts w:eastAsia="Times New Roman" w:cs="Times New Roman"/>
          <w:szCs w:val="24"/>
          <w:lang w:eastAsia="sk-SK"/>
        </w:rPr>
        <w:t> </w:t>
      </w:r>
      <w:r w:rsidRPr="001007C1">
        <w:rPr>
          <w:rFonts w:eastAsia="Times New Roman" w:cs="Times New Roman"/>
          <w:szCs w:val="24"/>
          <w:lang w:eastAsia="sk-SK"/>
        </w:rPr>
        <w:t>služby o</w:t>
      </w:r>
      <w:r>
        <w:rPr>
          <w:rFonts w:eastAsia="Times New Roman" w:cs="Times New Roman"/>
          <w:szCs w:val="24"/>
          <w:lang w:eastAsia="sk-SK"/>
        </w:rPr>
        <w:t> </w:t>
      </w:r>
      <w:r w:rsidRPr="001007C1">
        <w:rPr>
          <w:rFonts w:eastAsia="Times New Roman" w:cs="Times New Roman"/>
          <w:szCs w:val="24"/>
          <w:lang w:eastAsia="sk-SK"/>
        </w:rPr>
        <w:t>13</w:t>
      </w:r>
      <w:r>
        <w:rPr>
          <w:rFonts w:eastAsia="Times New Roman" w:cs="Times New Roman"/>
          <w:szCs w:val="24"/>
          <w:lang w:eastAsia="sk-SK"/>
        </w:rPr>
        <w:t> </w:t>
      </w:r>
      <w:r w:rsidRPr="001007C1">
        <w:rPr>
          <w:rFonts w:eastAsia="Times New Roman" w:cs="Times New Roman"/>
          <w:szCs w:val="24"/>
          <w:lang w:eastAsia="sk-SK"/>
        </w:rPr>
        <w:t>699</w:t>
      </w:r>
      <w:r>
        <w:rPr>
          <w:rFonts w:eastAsia="Times New Roman" w:cs="Times New Roman"/>
          <w:szCs w:val="24"/>
          <w:lang w:eastAsia="sk-SK"/>
        </w:rPr>
        <w:t> </w:t>
      </w:r>
      <w:r w:rsidRPr="001007C1">
        <w:rPr>
          <w:rFonts w:eastAsia="Times New Roman" w:cs="Times New Roman"/>
          <w:szCs w:val="24"/>
          <w:lang w:eastAsia="sk-SK"/>
        </w:rPr>
        <w:t>tis.</w:t>
      </w:r>
      <w:r>
        <w:rPr>
          <w:rFonts w:eastAsia="Times New Roman" w:cs="Times New Roman"/>
          <w:szCs w:val="24"/>
          <w:lang w:eastAsia="sk-SK"/>
        </w:rPr>
        <w:t> </w:t>
      </w:r>
      <w:r w:rsidRPr="001007C1">
        <w:rPr>
          <w:rFonts w:eastAsia="Times New Roman" w:cs="Times New Roman"/>
          <w:szCs w:val="24"/>
          <w:lang w:eastAsia="sk-SK"/>
        </w:rPr>
        <w:t>eur oproti rozpočtu. Na</w:t>
      </w:r>
      <w:r w:rsidR="00E67125">
        <w:rPr>
          <w:rFonts w:eastAsia="Times New Roman" w:cs="Times New Roman"/>
          <w:szCs w:val="24"/>
          <w:lang w:eastAsia="sk-SK"/>
        </w:rPr>
        <w:t> </w:t>
      </w:r>
      <w:r w:rsidRPr="001007C1">
        <w:rPr>
          <w:rFonts w:eastAsia="Times New Roman" w:cs="Times New Roman"/>
          <w:szCs w:val="24"/>
          <w:lang w:eastAsia="sk-SK"/>
        </w:rPr>
        <w:t>príjmovej strane pôsobili nepriaznivo nižšie príjmy z</w:t>
      </w:r>
      <w:r w:rsidR="00B64DDE">
        <w:rPr>
          <w:rFonts w:eastAsia="Times New Roman" w:cs="Times New Roman"/>
          <w:szCs w:val="24"/>
          <w:lang w:eastAsia="sk-SK"/>
        </w:rPr>
        <w:t> </w:t>
      </w:r>
      <w:r w:rsidRPr="001007C1">
        <w:rPr>
          <w:rFonts w:eastAsia="Times New Roman" w:cs="Times New Roman"/>
          <w:szCs w:val="24"/>
          <w:lang w:eastAsia="sk-SK"/>
        </w:rPr>
        <w:t>podnikania, nižšie administratívne poplatky a pokles iných nedaňových príjmov, ktoré v</w:t>
      </w:r>
      <w:r w:rsidR="00B64DDE">
        <w:rPr>
          <w:rFonts w:eastAsia="Times New Roman" w:cs="Times New Roman"/>
          <w:szCs w:val="24"/>
          <w:lang w:eastAsia="sk-SK"/>
        </w:rPr>
        <w:t> </w:t>
      </w:r>
      <w:r w:rsidRPr="001007C1">
        <w:rPr>
          <w:rFonts w:eastAsia="Times New Roman" w:cs="Times New Roman"/>
          <w:szCs w:val="24"/>
          <w:lang w:eastAsia="sk-SK"/>
        </w:rPr>
        <w:t>úhrne zaostali za</w:t>
      </w:r>
      <w:r w:rsidR="00E67125">
        <w:rPr>
          <w:rFonts w:eastAsia="Times New Roman" w:cs="Times New Roman"/>
          <w:szCs w:val="24"/>
          <w:lang w:eastAsia="sk-SK"/>
        </w:rPr>
        <w:t> </w:t>
      </w:r>
      <w:r w:rsidRPr="001007C1">
        <w:rPr>
          <w:rFonts w:eastAsia="Times New Roman" w:cs="Times New Roman"/>
          <w:szCs w:val="24"/>
          <w:lang w:eastAsia="sk-SK"/>
        </w:rPr>
        <w:t>rozpočtom o</w:t>
      </w:r>
      <w:r>
        <w:rPr>
          <w:rFonts w:eastAsia="Times New Roman" w:cs="Times New Roman"/>
          <w:szCs w:val="24"/>
          <w:lang w:eastAsia="sk-SK"/>
        </w:rPr>
        <w:t> </w:t>
      </w:r>
      <w:r w:rsidRPr="001007C1">
        <w:rPr>
          <w:rFonts w:eastAsia="Times New Roman" w:cs="Times New Roman"/>
          <w:szCs w:val="24"/>
          <w:lang w:eastAsia="sk-SK"/>
        </w:rPr>
        <w:t>54</w:t>
      </w:r>
      <w:r>
        <w:rPr>
          <w:rFonts w:eastAsia="Times New Roman" w:cs="Times New Roman"/>
          <w:szCs w:val="24"/>
          <w:lang w:eastAsia="sk-SK"/>
        </w:rPr>
        <w:t> </w:t>
      </w:r>
      <w:r w:rsidRPr="001007C1">
        <w:rPr>
          <w:rFonts w:eastAsia="Times New Roman" w:cs="Times New Roman"/>
          <w:szCs w:val="24"/>
          <w:lang w:eastAsia="sk-SK"/>
        </w:rPr>
        <w:t>902</w:t>
      </w:r>
      <w:r>
        <w:rPr>
          <w:rFonts w:eastAsia="Times New Roman" w:cs="Times New Roman"/>
          <w:szCs w:val="24"/>
          <w:lang w:eastAsia="sk-SK"/>
        </w:rPr>
        <w:t> </w:t>
      </w:r>
      <w:r w:rsidRPr="001007C1">
        <w:rPr>
          <w:rFonts w:eastAsia="Times New Roman" w:cs="Times New Roman"/>
          <w:szCs w:val="24"/>
          <w:lang w:eastAsia="sk-SK"/>
        </w:rPr>
        <w:t>tis.</w:t>
      </w:r>
      <w:r>
        <w:rPr>
          <w:rFonts w:eastAsia="Times New Roman" w:cs="Times New Roman"/>
          <w:szCs w:val="24"/>
          <w:lang w:eastAsia="sk-SK"/>
        </w:rPr>
        <w:t> </w:t>
      </w:r>
      <w:r w:rsidRPr="001007C1">
        <w:rPr>
          <w:rFonts w:eastAsia="Times New Roman" w:cs="Times New Roman"/>
          <w:szCs w:val="24"/>
          <w:lang w:eastAsia="sk-SK"/>
        </w:rPr>
        <w:t>eur.</w:t>
      </w:r>
    </w:p>
    <w:p w14:paraId="77197343" w14:textId="77777777" w:rsidR="00C9051C" w:rsidRPr="0050710A" w:rsidRDefault="00C9051C" w:rsidP="00C9051C">
      <w:pPr>
        <w:spacing w:line="240" w:lineRule="auto"/>
        <w:jc w:val="both"/>
        <w:rPr>
          <w:rFonts w:eastAsia="Times New Roman" w:cs="Times New Roman"/>
          <w:szCs w:val="24"/>
          <w:highlight w:val="yellow"/>
          <w:lang w:eastAsia="sk-SK"/>
        </w:rPr>
      </w:pPr>
    </w:p>
    <w:bookmarkEnd w:id="57"/>
    <w:p w14:paraId="6A929757" w14:textId="4EAD13D0" w:rsidR="009A05C7" w:rsidRDefault="009A05C7" w:rsidP="00532D85">
      <w:pPr>
        <w:spacing w:line="240" w:lineRule="auto"/>
        <w:jc w:val="both"/>
        <w:rPr>
          <w:rFonts w:eastAsia="Times New Roman" w:cs="Times New Roman"/>
          <w:szCs w:val="24"/>
          <w:lang w:eastAsia="sk-SK"/>
        </w:rPr>
      </w:pPr>
      <w:r w:rsidRPr="0022050F">
        <w:rPr>
          <w:rFonts w:cs="Times New Roman"/>
          <w:szCs w:val="24"/>
        </w:rPr>
        <w:t xml:space="preserve">Výsledok hospodárenia </w:t>
      </w:r>
      <w:r w:rsidRPr="0022050F">
        <w:rPr>
          <w:rFonts w:cs="Times New Roman"/>
          <w:b/>
          <w:szCs w:val="24"/>
        </w:rPr>
        <w:t>Železníc Slovenskej republiky (ŽSR)</w:t>
      </w:r>
      <w:r w:rsidRPr="0022050F">
        <w:rPr>
          <w:rFonts w:cs="Times New Roman"/>
          <w:szCs w:val="24"/>
        </w:rPr>
        <w:t xml:space="preserve"> </w:t>
      </w:r>
      <w:r w:rsidR="00687C53">
        <w:rPr>
          <w:rFonts w:cs="Times New Roman"/>
          <w:szCs w:val="24"/>
        </w:rPr>
        <w:t>predstavuje</w:t>
      </w:r>
      <w:r w:rsidRPr="0022050F">
        <w:rPr>
          <w:rFonts w:cs="Times New Roman"/>
          <w:szCs w:val="24"/>
        </w:rPr>
        <w:t xml:space="preserve"> hotovostný </w:t>
      </w:r>
      <w:r w:rsidR="00A63CD3" w:rsidRPr="0022050F">
        <w:rPr>
          <w:rFonts w:cs="Times New Roman"/>
          <w:szCs w:val="24"/>
        </w:rPr>
        <w:t>prebytok</w:t>
      </w:r>
      <w:r w:rsidRPr="0022050F">
        <w:rPr>
          <w:rFonts w:cs="Times New Roman"/>
          <w:szCs w:val="24"/>
        </w:rPr>
        <w:t> </w:t>
      </w:r>
      <w:r w:rsidR="00A63CD3" w:rsidRPr="0022050F">
        <w:rPr>
          <w:rFonts w:cs="Times New Roman"/>
          <w:szCs w:val="24"/>
        </w:rPr>
        <w:t>v sume 70 933 </w:t>
      </w:r>
      <w:r w:rsidRPr="0022050F">
        <w:rPr>
          <w:rFonts w:cs="Times New Roman"/>
          <w:szCs w:val="24"/>
        </w:rPr>
        <w:t>tis. eur</w:t>
      </w:r>
      <w:r w:rsidR="00DB1D7B">
        <w:rPr>
          <w:rFonts w:cs="Times New Roman"/>
          <w:szCs w:val="24"/>
        </w:rPr>
        <w:t xml:space="preserve"> a vplyv akrualizácie 51</w:t>
      </w:r>
      <w:r w:rsidR="00680C34">
        <w:rPr>
          <w:rFonts w:cs="Times New Roman"/>
          <w:szCs w:val="24"/>
        </w:rPr>
        <w:t> </w:t>
      </w:r>
      <w:r w:rsidR="00DB1D7B">
        <w:rPr>
          <w:rFonts w:cs="Times New Roman"/>
          <w:szCs w:val="24"/>
        </w:rPr>
        <w:t>759</w:t>
      </w:r>
      <w:r w:rsidR="00680C34">
        <w:rPr>
          <w:rFonts w:cs="Times New Roman"/>
          <w:szCs w:val="24"/>
        </w:rPr>
        <w:t> </w:t>
      </w:r>
      <w:r w:rsidR="00DB1D7B">
        <w:rPr>
          <w:rFonts w:cs="Times New Roman"/>
          <w:szCs w:val="24"/>
        </w:rPr>
        <w:t>tis.</w:t>
      </w:r>
      <w:r w:rsidR="00680C34">
        <w:rPr>
          <w:rFonts w:cs="Times New Roman"/>
          <w:szCs w:val="24"/>
        </w:rPr>
        <w:t> </w:t>
      </w:r>
      <w:r w:rsidR="00DB1D7B">
        <w:rPr>
          <w:rFonts w:cs="Times New Roman"/>
          <w:szCs w:val="24"/>
        </w:rPr>
        <w:t xml:space="preserve">eur. Výrazne lepší hotovostný prebytok </w:t>
      </w:r>
      <w:r w:rsidR="00A63CD3" w:rsidRPr="0022050F">
        <w:rPr>
          <w:rFonts w:cs="Times New Roman"/>
          <w:szCs w:val="24"/>
        </w:rPr>
        <w:t>oproti rozpočtu</w:t>
      </w:r>
      <w:r w:rsidRPr="0022050F">
        <w:rPr>
          <w:rFonts w:cs="Times New Roman"/>
          <w:szCs w:val="24"/>
        </w:rPr>
        <w:t xml:space="preserve"> o </w:t>
      </w:r>
      <w:r w:rsidR="00A63CD3" w:rsidRPr="0022050F">
        <w:rPr>
          <w:rFonts w:cs="Times New Roman"/>
          <w:szCs w:val="24"/>
        </w:rPr>
        <w:t>68</w:t>
      </w:r>
      <w:r w:rsidRPr="0022050F">
        <w:rPr>
          <w:rFonts w:cs="Times New Roman"/>
          <w:szCs w:val="24"/>
        </w:rPr>
        <w:t> </w:t>
      </w:r>
      <w:r w:rsidR="00A63CD3" w:rsidRPr="0022050F">
        <w:rPr>
          <w:rFonts w:cs="Times New Roman"/>
          <w:szCs w:val="24"/>
        </w:rPr>
        <w:t>395</w:t>
      </w:r>
      <w:r w:rsidRPr="0022050F">
        <w:rPr>
          <w:rFonts w:cs="Times New Roman"/>
          <w:szCs w:val="24"/>
        </w:rPr>
        <w:t> tis. eur</w:t>
      </w:r>
      <w:r w:rsidR="00DB1D7B">
        <w:rPr>
          <w:rFonts w:cs="Times New Roman"/>
          <w:szCs w:val="24"/>
        </w:rPr>
        <w:t xml:space="preserve"> bol dosiahnutý nižšími výdavkami </w:t>
      </w:r>
      <w:r w:rsidR="00614470">
        <w:rPr>
          <w:rFonts w:cs="Times New Roman"/>
          <w:szCs w:val="24"/>
        </w:rPr>
        <w:t>o</w:t>
      </w:r>
      <w:r w:rsidR="00981EF0">
        <w:rPr>
          <w:rFonts w:cs="Times New Roman"/>
          <w:szCs w:val="24"/>
        </w:rPr>
        <w:t> </w:t>
      </w:r>
      <w:r w:rsidR="00F8714C">
        <w:rPr>
          <w:rFonts w:cs="Times New Roman"/>
          <w:szCs w:val="24"/>
        </w:rPr>
        <w:t>78</w:t>
      </w:r>
      <w:r w:rsidR="00614470">
        <w:rPr>
          <w:rFonts w:cs="Times New Roman"/>
          <w:szCs w:val="24"/>
        </w:rPr>
        <w:t> </w:t>
      </w:r>
      <w:r w:rsidR="00F8714C">
        <w:rPr>
          <w:rFonts w:cs="Times New Roman"/>
          <w:szCs w:val="24"/>
        </w:rPr>
        <w:t>946</w:t>
      </w:r>
      <w:r w:rsidR="00614470">
        <w:rPr>
          <w:rFonts w:cs="Times New Roman"/>
          <w:szCs w:val="24"/>
        </w:rPr>
        <w:t> </w:t>
      </w:r>
      <w:r w:rsidR="00F8714C">
        <w:rPr>
          <w:rFonts w:cs="Times New Roman"/>
          <w:szCs w:val="24"/>
        </w:rPr>
        <w:t>tis. </w:t>
      </w:r>
      <w:r w:rsidR="00F8714C">
        <w:t>eur</w:t>
      </w:r>
      <w:r w:rsidR="00DB1D7B">
        <w:t xml:space="preserve"> pri čiastočne nižších príjmoch </w:t>
      </w:r>
      <w:r w:rsidR="00F8714C">
        <w:rPr>
          <w:rFonts w:cs="Times New Roman"/>
          <w:szCs w:val="24"/>
        </w:rPr>
        <w:t>o 10 551 tis. eur.</w:t>
      </w:r>
      <w:r w:rsidR="00DB1D7B">
        <w:rPr>
          <w:rFonts w:cs="Times New Roman"/>
          <w:szCs w:val="24"/>
        </w:rPr>
        <w:t xml:space="preserve"> </w:t>
      </w:r>
      <w:r w:rsidR="00DB1D7B" w:rsidRPr="00B07375">
        <w:rPr>
          <w:rFonts w:cs="Times New Roman"/>
          <w:szCs w:val="24"/>
        </w:rPr>
        <w:t>ESA prebytok vo výške 19 174 tis. eur bol negatívne ovplyvnený medziročným nárastom záväzkov o 52</w:t>
      </w:r>
      <w:r w:rsidR="00DB1D7B" w:rsidRPr="00B07375">
        <w:rPr>
          <w:szCs w:val="24"/>
        </w:rPr>
        <w:t> 131</w:t>
      </w:r>
      <w:r w:rsidR="00DB1D7B" w:rsidRPr="00B07375">
        <w:rPr>
          <w:rFonts w:cs="Times New Roman"/>
          <w:szCs w:val="24"/>
        </w:rPr>
        <w:t> tis. eur. Významný vplyv na</w:t>
      </w:r>
      <w:r w:rsidR="00680C34">
        <w:rPr>
          <w:rFonts w:cs="Times New Roman"/>
          <w:szCs w:val="24"/>
        </w:rPr>
        <w:t> </w:t>
      </w:r>
      <w:r w:rsidR="00DB1D7B" w:rsidRPr="00B07375">
        <w:rPr>
          <w:rFonts w:cs="Times New Roman"/>
          <w:szCs w:val="24"/>
        </w:rPr>
        <w:t xml:space="preserve">medziročné zvýšenie záväzkov o sumu 52 712 tis. eur mali neuhradené </w:t>
      </w:r>
      <w:r w:rsidR="00DB1D7B" w:rsidRPr="00B07375">
        <w:rPr>
          <w:rFonts w:eastAsia="Times New Roman" w:cs="Times New Roman"/>
          <w:szCs w:val="24"/>
          <w:lang w:eastAsia="sk-SK"/>
        </w:rPr>
        <w:t>investičné faktúry a</w:t>
      </w:r>
      <w:r w:rsidR="00680C34">
        <w:rPr>
          <w:rFonts w:eastAsia="Times New Roman" w:cs="Times New Roman"/>
          <w:szCs w:val="24"/>
          <w:lang w:eastAsia="sk-SK"/>
        </w:rPr>
        <w:t> </w:t>
      </w:r>
      <w:r w:rsidR="00DB1D7B" w:rsidRPr="00B07375">
        <w:rPr>
          <w:rFonts w:eastAsia="Times New Roman" w:cs="Times New Roman"/>
          <w:szCs w:val="24"/>
          <w:lang w:eastAsia="sk-SK"/>
        </w:rPr>
        <w:t>zaúčtovanie nevyfakturovaných dodávok</w:t>
      </w:r>
      <w:r w:rsidR="00DB1D7B">
        <w:rPr>
          <w:rFonts w:eastAsia="Times New Roman" w:cs="Times New Roman"/>
          <w:szCs w:val="24"/>
          <w:lang w:eastAsia="sk-SK"/>
        </w:rPr>
        <w:t>.</w:t>
      </w:r>
    </w:p>
    <w:p w14:paraId="5F4019BE" w14:textId="09FBAFBE" w:rsidR="009A05C7" w:rsidRPr="00F8714C" w:rsidRDefault="009A05C7" w:rsidP="00532D85">
      <w:pPr>
        <w:spacing w:line="240" w:lineRule="auto"/>
        <w:jc w:val="both"/>
        <w:rPr>
          <w:rFonts w:cs="Times New Roman"/>
          <w:szCs w:val="24"/>
        </w:rPr>
      </w:pPr>
      <w:r w:rsidRPr="00F8714C">
        <w:rPr>
          <w:rFonts w:cs="Times New Roman"/>
          <w:szCs w:val="24"/>
        </w:rPr>
        <w:t>Nedaňové príjmy klesli o </w:t>
      </w:r>
      <w:r w:rsidR="0022050F" w:rsidRPr="00F8714C">
        <w:rPr>
          <w:rFonts w:cs="Times New Roman"/>
          <w:szCs w:val="24"/>
        </w:rPr>
        <w:t>61</w:t>
      </w:r>
      <w:r w:rsidRPr="00F8714C">
        <w:rPr>
          <w:rFonts w:cs="Times New Roman"/>
          <w:szCs w:val="24"/>
        </w:rPr>
        <w:t> </w:t>
      </w:r>
      <w:r w:rsidR="0022050F" w:rsidRPr="00F8714C">
        <w:rPr>
          <w:rFonts w:cs="Times New Roman"/>
          <w:szCs w:val="24"/>
        </w:rPr>
        <w:t>558</w:t>
      </w:r>
      <w:r w:rsidRPr="00F8714C">
        <w:rPr>
          <w:rFonts w:cs="Times New Roman"/>
          <w:szCs w:val="24"/>
        </w:rPr>
        <w:t xml:space="preserve"> tis. eur, najmä z dôvodu </w:t>
      </w:r>
      <w:r w:rsidR="00614470">
        <w:rPr>
          <w:rFonts w:cs="Times New Roman"/>
          <w:szCs w:val="24"/>
        </w:rPr>
        <w:t>poklesu</w:t>
      </w:r>
      <w:r w:rsidR="00614470" w:rsidRPr="00F8714C">
        <w:rPr>
          <w:rFonts w:cs="Times New Roman"/>
          <w:szCs w:val="24"/>
        </w:rPr>
        <w:t xml:space="preserve"> príjmov od</w:t>
      </w:r>
      <w:r w:rsidR="00981EF0">
        <w:rPr>
          <w:rFonts w:cs="Times New Roman"/>
          <w:szCs w:val="24"/>
        </w:rPr>
        <w:t> </w:t>
      </w:r>
      <w:r w:rsidR="00614470" w:rsidRPr="00F8714C">
        <w:rPr>
          <w:rFonts w:cs="Times New Roman"/>
          <w:szCs w:val="24"/>
        </w:rPr>
        <w:t xml:space="preserve">nákladných dopravcov </w:t>
      </w:r>
      <w:r w:rsidR="00614470">
        <w:rPr>
          <w:rFonts w:cs="Times New Roman"/>
          <w:szCs w:val="24"/>
        </w:rPr>
        <w:t>a poklesu</w:t>
      </w:r>
      <w:r w:rsidRPr="00F8714C">
        <w:rPr>
          <w:rFonts w:cs="Times New Roman"/>
          <w:szCs w:val="24"/>
        </w:rPr>
        <w:t xml:space="preserve"> príjmov za predaj výrobkov a služieb o </w:t>
      </w:r>
      <w:r w:rsidR="0022050F" w:rsidRPr="00F8714C">
        <w:rPr>
          <w:rFonts w:cs="Times New Roman"/>
          <w:szCs w:val="24"/>
        </w:rPr>
        <w:t>70</w:t>
      </w:r>
      <w:r w:rsidRPr="00F8714C">
        <w:rPr>
          <w:rFonts w:cs="Times New Roman"/>
          <w:szCs w:val="24"/>
        </w:rPr>
        <w:t> </w:t>
      </w:r>
      <w:r w:rsidR="0022050F" w:rsidRPr="00F8714C">
        <w:rPr>
          <w:rFonts w:cs="Times New Roman"/>
          <w:szCs w:val="24"/>
        </w:rPr>
        <w:t>855</w:t>
      </w:r>
      <w:r w:rsidRPr="00F8714C">
        <w:rPr>
          <w:rFonts w:cs="Times New Roman"/>
          <w:szCs w:val="24"/>
        </w:rPr>
        <w:t> tis. eur kvôli nižšej cene trakčnej elektriny</w:t>
      </w:r>
      <w:r w:rsidR="00614470">
        <w:rPr>
          <w:rFonts w:cs="Times New Roman"/>
          <w:szCs w:val="24"/>
        </w:rPr>
        <w:t>.</w:t>
      </w:r>
      <w:r w:rsidR="0022050F" w:rsidRPr="00F8714C">
        <w:rPr>
          <w:rFonts w:cs="Times New Roman"/>
          <w:szCs w:val="24"/>
        </w:rPr>
        <w:t xml:space="preserve"> Oproti tomu sa ka</w:t>
      </w:r>
      <w:r w:rsidRPr="00F8714C">
        <w:rPr>
          <w:rFonts w:cs="Times New Roman"/>
          <w:szCs w:val="24"/>
        </w:rPr>
        <w:t xml:space="preserve">pitálové príjmy </w:t>
      </w:r>
      <w:r w:rsidR="0022050F" w:rsidRPr="00F8714C">
        <w:rPr>
          <w:rFonts w:cs="Times New Roman"/>
          <w:szCs w:val="24"/>
        </w:rPr>
        <w:t>zvýšili o 4</w:t>
      </w:r>
      <w:r w:rsidRPr="00F8714C">
        <w:rPr>
          <w:rFonts w:cs="Times New Roman"/>
          <w:szCs w:val="24"/>
        </w:rPr>
        <w:t> </w:t>
      </w:r>
      <w:r w:rsidR="0022050F" w:rsidRPr="00F8714C">
        <w:rPr>
          <w:rFonts w:cs="Times New Roman"/>
          <w:szCs w:val="24"/>
        </w:rPr>
        <w:t>122</w:t>
      </w:r>
      <w:r w:rsidRPr="00F8714C">
        <w:rPr>
          <w:rFonts w:cs="Times New Roman"/>
          <w:szCs w:val="24"/>
        </w:rPr>
        <w:t xml:space="preserve"> tis. eur </w:t>
      </w:r>
      <w:r w:rsidR="00614470">
        <w:rPr>
          <w:rFonts w:cs="Times New Roman"/>
          <w:szCs w:val="24"/>
        </w:rPr>
        <w:t>v</w:t>
      </w:r>
      <w:r w:rsidR="00981EF0">
        <w:rPr>
          <w:rFonts w:cs="Times New Roman"/>
          <w:szCs w:val="24"/>
        </w:rPr>
        <w:t> </w:t>
      </w:r>
      <w:r w:rsidR="00614470">
        <w:rPr>
          <w:rFonts w:cs="Times New Roman"/>
          <w:szCs w:val="24"/>
        </w:rPr>
        <w:t>dôsledku</w:t>
      </w:r>
      <w:r w:rsidRPr="00F8714C">
        <w:rPr>
          <w:rFonts w:cs="Times New Roman"/>
          <w:szCs w:val="24"/>
        </w:rPr>
        <w:t xml:space="preserve"> </w:t>
      </w:r>
      <w:r w:rsidR="0022050F" w:rsidRPr="00F8714C">
        <w:rPr>
          <w:rFonts w:cs="Times New Roman"/>
          <w:szCs w:val="24"/>
        </w:rPr>
        <w:t>predaja polikliniky ŽNsP Košice, záloh za predaj pozemkov a zrealizovania zámenných zmlúv so</w:t>
      </w:r>
      <w:r w:rsidR="00042F5E">
        <w:rPr>
          <w:rFonts w:cs="Times New Roman"/>
          <w:szCs w:val="24"/>
        </w:rPr>
        <w:t> </w:t>
      </w:r>
      <w:r w:rsidR="0022050F" w:rsidRPr="00F8714C">
        <w:rPr>
          <w:rFonts w:cs="Times New Roman"/>
          <w:szCs w:val="24"/>
        </w:rPr>
        <w:t xml:space="preserve">ZSSK CARGO a </w:t>
      </w:r>
      <w:r w:rsidR="00360F53">
        <w:rPr>
          <w:rFonts w:cs="Times New Roman"/>
          <w:szCs w:val="24"/>
        </w:rPr>
        <w:t>M</w:t>
      </w:r>
      <w:r w:rsidR="0022050F" w:rsidRPr="00F8714C">
        <w:rPr>
          <w:rFonts w:cs="Times New Roman"/>
          <w:szCs w:val="24"/>
        </w:rPr>
        <w:t>estom Poprad</w:t>
      </w:r>
      <w:r w:rsidR="00F8714C">
        <w:rPr>
          <w:rFonts w:cs="Times New Roman"/>
          <w:szCs w:val="24"/>
        </w:rPr>
        <w:t xml:space="preserve">. </w:t>
      </w:r>
      <w:r w:rsidRPr="004F390C">
        <w:rPr>
          <w:rFonts w:eastAsia="Times New Roman" w:cs="Times New Roman"/>
          <w:szCs w:val="24"/>
          <w:lang w:eastAsia="sk-SK"/>
        </w:rPr>
        <w:t xml:space="preserve">Pokles nedaňových príjmov bol kompenzovaný nárastom grantov a transferov, ktoré </w:t>
      </w:r>
      <w:r w:rsidR="00DB1D7B">
        <w:rPr>
          <w:rFonts w:eastAsia="Times New Roman" w:cs="Times New Roman"/>
          <w:szCs w:val="24"/>
          <w:lang w:eastAsia="sk-SK"/>
        </w:rPr>
        <w:t>prekonali rozpočet</w:t>
      </w:r>
      <w:r w:rsidR="00360F53">
        <w:rPr>
          <w:rFonts w:eastAsia="Times New Roman" w:cs="Times New Roman"/>
          <w:szCs w:val="24"/>
          <w:lang w:eastAsia="sk-SK"/>
        </w:rPr>
        <w:t xml:space="preserve"> úhrnom</w:t>
      </w:r>
      <w:r w:rsidRPr="004F390C">
        <w:rPr>
          <w:rFonts w:eastAsia="Times New Roman" w:cs="Times New Roman"/>
          <w:szCs w:val="24"/>
          <w:lang w:eastAsia="sk-SK"/>
        </w:rPr>
        <w:t xml:space="preserve"> o </w:t>
      </w:r>
      <w:r w:rsidR="00F8714C" w:rsidRPr="004F390C">
        <w:rPr>
          <w:rFonts w:eastAsia="Times New Roman" w:cs="Times New Roman"/>
          <w:szCs w:val="24"/>
          <w:lang w:eastAsia="sk-SK"/>
        </w:rPr>
        <w:t>51</w:t>
      </w:r>
      <w:r w:rsidRPr="004F390C">
        <w:rPr>
          <w:rFonts w:eastAsia="Times New Roman" w:cs="Times New Roman"/>
          <w:szCs w:val="24"/>
          <w:lang w:eastAsia="sk-SK"/>
        </w:rPr>
        <w:t> 00</w:t>
      </w:r>
      <w:r w:rsidR="00F8714C" w:rsidRPr="004F390C">
        <w:rPr>
          <w:rFonts w:eastAsia="Times New Roman" w:cs="Times New Roman"/>
          <w:szCs w:val="24"/>
          <w:lang w:eastAsia="sk-SK"/>
        </w:rPr>
        <w:t>7</w:t>
      </w:r>
      <w:r w:rsidRPr="004F390C">
        <w:rPr>
          <w:rFonts w:eastAsia="Times New Roman" w:cs="Times New Roman"/>
          <w:szCs w:val="24"/>
          <w:lang w:eastAsia="sk-SK"/>
        </w:rPr>
        <w:t> tis. eur, z toho kapitálové transfery určené na projekty výstavby železničnej infraštruktúry sa zvýšili o 1</w:t>
      </w:r>
      <w:r w:rsidR="00F8714C" w:rsidRPr="004F390C">
        <w:rPr>
          <w:rFonts w:eastAsia="Times New Roman" w:cs="Times New Roman"/>
          <w:szCs w:val="24"/>
          <w:lang w:eastAsia="sk-SK"/>
        </w:rPr>
        <w:t>31</w:t>
      </w:r>
      <w:r w:rsidRPr="004F390C">
        <w:rPr>
          <w:rFonts w:eastAsia="Times New Roman" w:cs="Times New Roman"/>
          <w:szCs w:val="24"/>
          <w:lang w:eastAsia="sk-SK"/>
        </w:rPr>
        <w:t> </w:t>
      </w:r>
      <w:r w:rsidR="00F8714C" w:rsidRPr="004F390C">
        <w:rPr>
          <w:rFonts w:eastAsia="Times New Roman" w:cs="Times New Roman"/>
          <w:szCs w:val="24"/>
          <w:lang w:eastAsia="sk-SK"/>
        </w:rPr>
        <w:t>803</w:t>
      </w:r>
      <w:r w:rsidRPr="004F390C">
        <w:rPr>
          <w:rFonts w:eastAsia="Times New Roman" w:cs="Times New Roman"/>
          <w:szCs w:val="24"/>
          <w:lang w:eastAsia="sk-SK"/>
        </w:rPr>
        <w:t> tis. eur a</w:t>
      </w:r>
      <w:r w:rsidR="00981EF0">
        <w:rPr>
          <w:rFonts w:eastAsia="Times New Roman" w:cs="Times New Roman"/>
          <w:szCs w:val="24"/>
          <w:lang w:eastAsia="sk-SK"/>
        </w:rPr>
        <w:t> </w:t>
      </w:r>
      <w:r w:rsidRPr="004F390C">
        <w:rPr>
          <w:rFonts w:eastAsia="Times New Roman" w:cs="Times New Roman"/>
          <w:szCs w:val="24"/>
          <w:lang w:eastAsia="sk-SK"/>
        </w:rPr>
        <w:t xml:space="preserve">prijaté zahraničné granty z nástroja EÚ na prepájanie Európy (CEF) </w:t>
      </w:r>
      <w:r w:rsidRPr="004F390C">
        <w:rPr>
          <w:rFonts w:cs="Times New Roman"/>
          <w:szCs w:val="24"/>
        </w:rPr>
        <w:t>poklesli o 1</w:t>
      </w:r>
      <w:r w:rsidR="00010D7B" w:rsidRPr="004F390C">
        <w:rPr>
          <w:rFonts w:cs="Times New Roman"/>
          <w:szCs w:val="24"/>
        </w:rPr>
        <w:t>15</w:t>
      </w:r>
      <w:r w:rsidRPr="004F390C">
        <w:rPr>
          <w:rFonts w:cs="Times New Roman"/>
          <w:szCs w:val="24"/>
        </w:rPr>
        <w:t> </w:t>
      </w:r>
      <w:r w:rsidR="00010D7B" w:rsidRPr="004F390C">
        <w:rPr>
          <w:rFonts w:cs="Times New Roman"/>
          <w:szCs w:val="24"/>
        </w:rPr>
        <w:t>293</w:t>
      </w:r>
      <w:r w:rsidRPr="004F390C">
        <w:rPr>
          <w:rFonts w:cs="Times New Roman"/>
          <w:szCs w:val="24"/>
        </w:rPr>
        <w:t xml:space="preserve"> tis. eur z dôvodu </w:t>
      </w:r>
      <w:r w:rsidR="004F390C" w:rsidRPr="004F390C">
        <w:rPr>
          <w:rFonts w:cs="Times New Roman"/>
          <w:szCs w:val="24"/>
        </w:rPr>
        <w:t>poklesu zálohových platieb</w:t>
      </w:r>
      <w:r w:rsidRPr="004F390C">
        <w:rPr>
          <w:rFonts w:cs="Times New Roman"/>
          <w:szCs w:val="24"/>
        </w:rPr>
        <w:t xml:space="preserve"> od</w:t>
      </w:r>
      <w:r w:rsidR="00D259E2" w:rsidRPr="004F390C">
        <w:rPr>
          <w:rFonts w:cs="Times New Roman"/>
          <w:szCs w:val="24"/>
        </w:rPr>
        <w:t> </w:t>
      </w:r>
      <w:r w:rsidRPr="004F390C">
        <w:rPr>
          <w:rFonts w:cs="Times New Roman"/>
          <w:szCs w:val="24"/>
        </w:rPr>
        <w:t>medzinárodnej organizácie CINEA (The European Climate, Environment and Infrastructure Executive Agency)</w:t>
      </w:r>
      <w:r w:rsidR="00010D7B" w:rsidRPr="004F390C">
        <w:rPr>
          <w:rFonts w:cs="Times New Roman"/>
          <w:szCs w:val="24"/>
        </w:rPr>
        <w:t xml:space="preserve"> </w:t>
      </w:r>
      <w:r w:rsidR="004F390C" w:rsidRPr="004F390C">
        <w:rPr>
          <w:rFonts w:cs="Times New Roman"/>
          <w:szCs w:val="24"/>
        </w:rPr>
        <w:t>na</w:t>
      </w:r>
      <w:r w:rsidR="00395727">
        <w:rPr>
          <w:rFonts w:cs="Times New Roman"/>
          <w:szCs w:val="24"/>
        </w:rPr>
        <w:t> </w:t>
      </w:r>
      <w:r w:rsidR="004F390C" w:rsidRPr="004F390C">
        <w:rPr>
          <w:rFonts w:cs="Times New Roman"/>
          <w:szCs w:val="24"/>
        </w:rPr>
        <w:t>financovanie projektov.</w:t>
      </w:r>
    </w:p>
    <w:p w14:paraId="4312F278" w14:textId="3E0F6D05" w:rsidR="004F390C" w:rsidRPr="008A7D52" w:rsidRDefault="004F390C" w:rsidP="00532D85">
      <w:pPr>
        <w:spacing w:line="240" w:lineRule="auto"/>
        <w:jc w:val="both"/>
        <w:rPr>
          <w:rFonts w:eastAsia="Times New Roman" w:cs="Times New Roman"/>
          <w:szCs w:val="24"/>
          <w:lang w:eastAsia="sk-SK"/>
        </w:rPr>
      </w:pPr>
      <w:r w:rsidRPr="008A7D52">
        <w:rPr>
          <w:rFonts w:eastAsia="Times New Roman" w:cs="Times New Roman"/>
          <w:szCs w:val="24"/>
          <w:lang w:eastAsia="sk-SK"/>
        </w:rPr>
        <w:t>Pokles v čerpaní výdavkov bol spôsobený kombináciou úspor v prevádzkovej oblasti a procesnými zdržaniami pri realizácii rozvojových projektov. Najvýraznejšia úspora sa prejavila v kategórii tovarov a služieb o</w:t>
      </w:r>
      <w:r w:rsidR="008A7D52" w:rsidRPr="008A7D52">
        <w:rPr>
          <w:rFonts w:eastAsia="Times New Roman" w:cs="Times New Roman"/>
          <w:szCs w:val="24"/>
          <w:lang w:eastAsia="sk-SK"/>
        </w:rPr>
        <w:t> 95 036 tis. eur, kde hlavným faktorom bola nižšia cena nakupovanej trakčnej energie (pokles na energiách o 89 396 tis. eur), optimalizácia výdavkov rutinnej údržby tratí a nákup náhradných dielov (o</w:t>
      </w:r>
      <w:r w:rsidR="00981EF0">
        <w:rPr>
          <w:rFonts w:eastAsia="Times New Roman" w:cs="Times New Roman"/>
          <w:szCs w:val="24"/>
          <w:lang w:eastAsia="sk-SK"/>
        </w:rPr>
        <w:t> </w:t>
      </w:r>
      <w:r w:rsidR="008A7D52" w:rsidRPr="008A7D52">
        <w:rPr>
          <w:rFonts w:eastAsia="Times New Roman" w:cs="Times New Roman"/>
          <w:szCs w:val="24"/>
          <w:lang w:eastAsia="sk-SK"/>
        </w:rPr>
        <w:t>24 712 tis. eur).</w:t>
      </w:r>
    </w:p>
    <w:p w14:paraId="392874FA" w14:textId="05FF6F30" w:rsidR="009A05C7" w:rsidRPr="00981EF0" w:rsidRDefault="009A05C7" w:rsidP="00532D85">
      <w:pPr>
        <w:spacing w:line="240" w:lineRule="auto"/>
        <w:jc w:val="both"/>
        <w:rPr>
          <w:rFonts w:eastAsia="Times New Roman" w:cs="Times New Roman"/>
          <w:szCs w:val="24"/>
          <w:lang w:eastAsia="sk-SK"/>
        </w:rPr>
      </w:pPr>
      <w:r w:rsidRPr="008A7D52">
        <w:rPr>
          <w:rFonts w:eastAsia="Times New Roman" w:cs="Times New Roman"/>
          <w:szCs w:val="24"/>
          <w:lang w:eastAsia="sk-SK"/>
        </w:rPr>
        <w:t>Naopak, výdavky na osobné náklady vzrástli o </w:t>
      </w:r>
      <w:r w:rsidR="008A7D52" w:rsidRPr="008A7D52">
        <w:rPr>
          <w:rFonts w:eastAsia="Times New Roman" w:cs="Times New Roman"/>
          <w:szCs w:val="24"/>
          <w:lang w:eastAsia="sk-SK"/>
        </w:rPr>
        <w:t>39</w:t>
      </w:r>
      <w:r w:rsidRPr="008A7D52">
        <w:rPr>
          <w:rFonts w:eastAsia="Times New Roman" w:cs="Times New Roman"/>
          <w:szCs w:val="24"/>
          <w:lang w:eastAsia="sk-SK"/>
        </w:rPr>
        <w:t> </w:t>
      </w:r>
      <w:r w:rsidR="008A7D52" w:rsidRPr="008A7D52">
        <w:rPr>
          <w:rFonts w:eastAsia="Times New Roman" w:cs="Times New Roman"/>
          <w:szCs w:val="24"/>
          <w:lang w:eastAsia="sk-SK"/>
        </w:rPr>
        <w:t>014</w:t>
      </w:r>
      <w:r w:rsidRPr="008A7D52">
        <w:rPr>
          <w:rFonts w:eastAsia="Times New Roman" w:cs="Times New Roman"/>
          <w:szCs w:val="24"/>
          <w:lang w:eastAsia="sk-SK"/>
        </w:rPr>
        <w:t> tis. eur v súvislosti s valorizáciou platov</w:t>
      </w:r>
      <w:r w:rsidR="008A7D52" w:rsidRPr="008A7D52">
        <w:rPr>
          <w:rFonts w:eastAsia="Times New Roman" w:cs="Times New Roman"/>
          <w:szCs w:val="24"/>
          <w:lang w:eastAsia="sk-SK"/>
        </w:rPr>
        <w:t xml:space="preserve"> a mzdovou stabilizáciou</w:t>
      </w:r>
      <w:r w:rsidRPr="008A7D52">
        <w:rPr>
          <w:rFonts w:eastAsia="Times New Roman" w:cs="Times New Roman"/>
          <w:szCs w:val="24"/>
          <w:lang w:eastAsia="sk-SK"/>
        </w:rPr>
        <w:t xml:space="preserve">. </w:t>
      </w:r>
      <w:r w:rsidRPr="008D455B">
        <w:rPr>
          <w:rFonts w:eastAsia="Times New Roman" w:cs="Times New Roman"/>
          <w:szCs w:val="24"/>
          <w:lang w:eastAsia="sk-SK"/>
        </w:rPr>
        <w:t>Investície do kapitálových aktív dosiahli výšku  </w:t>
      </w:r>
      <w:r w:rsidR="008D455B" w:rsidRPr="008D455B">
        <w:rPr>
          <w:rFonts w:eastAsia="Times New Roman" w:cs="Times New Roman"/>
          <w:szCs w:val="24"/>
          <w:lang w:eastAsia="sk-SK"/>
        </w:rPr>
        <w:t>547</w:t>
      </w:r>
      <w:r w:rsidRPr="008D455B">
        <w:rPr>
          <w:rFonts w:eastAsia="Times New Roman" w:cs="Times New Roman"/>
          <w:szCs w:val="24"/>
          <w:lang w:eastAsia="sk-SK"/>
        </w:rPr>
        <w:t> </w:t>
      </w:r>
      <w:r w:rsidR="008D455B" w:rsidRPr="008D455B">
        <w:rPr>
          <w:rFonts w:eastAsia="Times New Roman" w:cs="Times New Roman"/>
          <w:szCs w:val="24"/>
          <w:lang w:eastAsia="sk-SK"/>
        </w:rPr>
        <w:t>249</w:t>
      </w:r>
      <w:r w:rsidRPr="008D455B">
        <w:rPr>
          <w:rFonts w:eastAsia="Times New Roman" w:cs="Times New Roman"/>
          <w:szCs w:val="24"/>
          <w:lang w:eastAsia="sk-SK"/>
        </w:rPr>
        <w:t xml:space="preserve"> tis. eur, čo predstavovalo </w:t>
      </w:r>
      <w:r w:rsidR="008D455B" w:rsidRPr="008D455B">
        <w:rPr>
          <w:rFonts w:eastAsia="Times New Roman" w:cs="Times New Roman"/>
          <w:szCs w:val="24"/>
          <w:lang w:eastAsia="sk-SK"/>
        </w:rPr>
        <w:t>pokles</w:t>
      </w:r>
      <w:r w:rsidRPr="008D455B">
        <w:rPr>
          <w:rFonts w:eastAsia="Times New Roman" w:cs="Times New Roman"/>
          <w:szCs w:val="24"/>
          <w:lang w:eastAsia="sk-SK"/>
        </w:rPr>
        <w:t xml:space="preserve"> o </w:t>
      </w:r>
      <w:r w:rsidR="008D455B" w:rsidRPr="008D455B">
        <w:rPr>
          <w:rFonts w:eastAsia="Times New Roman" w:cs="Times New Roman"/>
          <w:szCs w:val="24"/>
          <w:lang w:eastAsia="sk-SK"/>
        </w:rPr>
        <w:t>27</w:t>
      </w:r>
      <w:r w:rsidRPr="008D455B">
        <w:rPr>
          <w:rFonts w:eastAsia="Times New Roman" w:cs="Times New Roman"/>
          <w:szCs w:val="24"/>
          <w:lang w:eastAsia="sk-SK"/>
        </w:rPr>
        <w:t> </w:t>
      </w:r>
      <w:r w:rsidR="008D455B" w:rsidRPr="008D455B">
        <w:rPr>
          <w:rFonts w:eastAsia="Times New Roman" w:cs="Times New Roman"/>
          <w:szCs w:val="24"/>
          <w:lang w:eastAsia="sk-SK"/>
        </w:rPr>
        <w:t>130</w:t>
      </w:r>
      <w:r w:rsidRPr="008D455B">
        <w:rPr>
          <w:rFonts w:eastAsia="Times New Roman" w:cs="Times New Roman"/>
          <w:szCs w:val="24"/>
          <w:lang w:eastAsia="sk-SK"/>
        </w:rPr>
        <w:t> tis. eur oproti rozpočtu</w:t>
      </w:r>
      <w:r w:rsidR="008D455B" w:rsidRPr="00981EF0">
        <w:rPr>
          <w:rFonts w:eastAsia="Times New Roman" w:cs="Times New Roman"/>
          <w:szCs w:val="24"/>
          <w:lang w:eastAsia="sk-SK"/>
        </w:rPr>
        <w:t xml:space="preserve"> z dôvodu časového posunu fakturácie a ukončovania stavebných prác.</w:t>
      </w:r>
    </w:p>
    <w:p w14:paraId="42D7C740" w14:textId="78675C83" w:rsidR="00E66209" w:rsidRDefault="00D27C13" w:rsidP="00E66209">
      <w:pPr>
        <w:spacing w:line="240" w:lineRule="auto"/>
        <w:jc w:val="both"/>
        <w:rPr>
          <w:rFonts w:eastAsia="Times New Roman" w:cs="Times New Roman"/>
          <w:szCs w:val="24"/>
          <w:lang w:eastAsia="sk-SK"/>
        </w:rPr>
      </w:pPr>
      <w:r w:rsidRPr="00684645">
        <w:rPr>
          <w:rFonts w:eastAsia="Times New Roman" w:cs="Times New Roman"/>
          <w:szCs w:val="24"/>
          <w:lang w:eastAsia="sk-SK"/>
        </w:rPr>
        <w:t xml:space="preserve">V roku 2025 boli realizované významné investičné akcie v celkovej výške </w:t>
      </w:r>
      <w:r>
        <w:rPr>
          <w:rFonts w:eastAsia="Times New Roman" w:cs="Times New Roman"/>
          <w:szCs w:val="24"/>
          <w:lang w:eastAsia="sk-SK"/>
        </w:rPr>
        <w:t>597</w:t>
      </w:r>
      <w:r w:rsidR="00680C34">
        <w:rPr>
          <w:rFonts w:eastAsia="Times New Roman" w:cs="Times New Roman"/>
          <w:szCs w:val="24"/>
          <w:lang w:eastAsia="sk-SK"/>
        </w:rPr>
        <w:t> </w:t>
      </w:r>
      <w:r>
        <w:rPr>
          <w:rFonts w:eastAsia="Times New Roman" w:cs="Times New Roman"/>
          <w:szCs w:val="24"/>
          <w:lang w:eastAsia="sk-SK"/>
        </w:rPr>
        <w:t>030</w:t>
      </w:r>
      <w:r w:rsidR="00680C34">
        <w:rPr>
          <w:rFonts w:eastAsia="Times New Roman" w:cs="Times New Roman"/>
          <w:szCs w:val="24"/>
          <w:lang w:eastAsia="sk-SK"/>
        </w:rPr>
        <w:t> </w:t>
      </w:r>
      <w:r>
        <w:rPr>
          <w:rFonts w:eastAsia="Times New Roman" w:cs="Times New Roman"/>
          <w:szCs w:val="24"/>
          <w:lang w:eastAsia="sk-SK"/>
        </w:rPr>
        <w:t>tis.</w:t>
      </w:r>
      <w:r w:rsidR="00680C34">
        <w:rPr>
          <w:rFonts w:eastAsia="Times New Roman" w:cs="Times New Roman"/>
          <w:szCs w:val="24"/>
          <w:lang w:eastAsia="sk-SK"/>
        </w:rPr>
        <w:t> </w:t>
      </w:r>
      <w:r>
        <w:rPr>
          <w:rFonts w:eastAsia="Times New Roman" w:cs="Times New Roman"/>
          <w:szCs w:val="24"/>
          <w:lang w:eastAsia="sk-SK"/>
        </w:rPr>
        <w:t xml:space="preserve">eur, </w:t>
      </w:r>
      <w:r w:rsidR="00E66209" w:rsidRPr="00684645">
        <w:rPr>
          <w:rFonts w:eastAsia="Times New Roman" w:cs="Times New Roman"/>
          <w:szCs w:val="24"/>
          <w:lang w:eastAsia="sk-SK"/>
        </w:rPr>
        <w:t>medzi ktoré patrili projekty ako Elektrifikácia trate Bánovce nad Ondavou – Humenné (111</w:t>
      </w:r>
      <w:r w:rsidR="00E66209">
        <w:rPr>
          <w:rFonts w:eastAsia="Times New Roman" w:cs="Times New Roman"/>
          <w:szCs w:val="24"/>
          <w:lang w:eastAsia="sk-SK"/>
        </w:rPr>
        <w:t> </w:t>
      </w:r>
      <w:r w:rsidR="00E66209" w:rsidRPr="00684645">
        <w:rPr>
          <w:rFonts w:eastAsia="Times New Roman" w:cs="Times New Roman"/>
          <w:szCs w:val="24"/>
          <w:lang w:eastAsia="sk-SK"/>
        </w:rPr>
        <w:t>866</w:t>
      </w:r>
      <w:r w:rsidR="00E66209">
        <w:rPr>
          <w:rFonts w:eastAsia="Times New Roman" w:cs="Times New Roman"/>
          <w:szCs w:val="24"/>
          <w:lang w:eastAsia="sk-SK"/>
        </w:rPr>
        <w:t> </w:t>
      </w:r>
      <w:r w:rsidR="00E66209" w:rsidRPr="00684645">
        <w:rPr>
          <w:rFonts w:eastAsia="Times New Roman" w:cs="Times New Roman"/>
          <w:szCs w:val="24"/>
          <w:lang w:eastAsia="sk-SK"/>
        </w:rPr>
        <w:t>tis.</w:t>
      </w:r>
      <w:r w:rsidR="00E66209">
        <w:rPr>
          <w:rFonts w:eastAsia="Times New Roman" w:cs="Times New Roman"/>
          <w:szCs w:val="24"/>
          <w:lang w:eastAsia="sk-SK"/>
        </w:rPr>
        <w:t> </w:t>
      </w:r>
      <w:r w:rsidR="00E66209" w:rsidRPr="00684645">
        <w:rPr>
          <w:rFonts w:eastAsia="Times New Roman" w:cs="Times New Roman"/>
          <w:szCs w:val="24"/>
          <w:lang w:eastAsia="sk-SK"/>
        </w:rPr>
        <w:t>eur), Dostavba zriaďovacej stanice Žilina – Teplička a nadväzujúcej železničnej infraštruktúry v uzle Žilina (74</w:t>
      </w:r>
      <w:r w:rsidR="00E66209">
        <w:rPr>
          <w:rFonts w:eastAsia="Times New Roman" w:cs="Times New Roman"/>
          <w:szCs w:val="24"/>
          <w:lang w:eastAsia="sk-SK"/>
        </w:rPr>
        <w:t> </w:t>
      </w:r>
      <w:r w:rsidR="00E66209" w:rsidRPr="00684645">
        <w:rPr>
          <w:rFonts w:eastAsia="Times New Roman" w:cs="Times New Roman"/>
          <w:szCs w:val="24"/>
          <w:lang w:eastAsia="sk-SK"/>
        </w:rPr>
        <w:t>037</w:t>
      </w:r>
      <w:r w:rsidR="00E66209">
        <w:rPr>
          <w:rFonts w:eastAsia="Times New Roman" w:cs="Times New Roman"/>
          <w:szCs w:val="24"/>
          <w:lang w:eastAsia="sk-SK"/>
        </w:rPr>
        <w:t> </w:t>
      </w:r>
      <w:r w:rsidR="00E66209" w:rsidRPr="00684645">
        <w:rPr>
          <w:rFonts w:eastAsia="Times New Roman" w:cs="Times New Roman"/>
          <w:szCs w:val="24"/>
          <w:lang w:eastAsia="sk-SK"/>
        </w:rPr>
        <w:t>tis.</w:t>
      </w:r>
      <w:r w:rsidR="00E66209">
        <w:rPr>
          <w:rFonts w:eastAsia="Times New Roman" w:cs="Times New Roman"/>
          <w:szCs w:val="24"/>
          <w:lang w:eastAsia="sk-SK"/>
        </w:rPr>
        <w:t> </w:t>
      </w:r>
      <w:r w:rsidR="00E66209" w:rsidRPr="00684645">
        <w:rPr>
          <w:rFonts w:eastAsia="Times New Roman" w:cs="Times New Roman"/>
          <w:szCs w:val="24"/>
          <w:lang w:eastAsia="sk-SK"/>
        </w:rPr>
        <w:t>eur), Modernizácia dvoch úsekov železničnej trate štátna hranica ČR/SR – Devínska Nová Ves (71</w:t>
      </w:r>
      <w:r w:rsidR="00E66209">
        <w:rPr>
          <w:rFonts w:eastAsia="Times New Roman" w:cs="Times New Roman"/>
          <w:szCs w:val="24"/>
          <w:lang w:eastAsia="sk-SK"/>
        </w:rPr>
        <w:t> </w:t>
      </w:r>
      <w:r w:rsidR="00E66209" w:rsidRPr="00684645">
        <w:rPr>
          <w:rFonts w:eastAsia="Times New Roman" w:cs="Times New Roman"/>
          <w:szCs w:val="24"/>
          <w:lang w:eastAsia="sk-SK"/>
        </w:rPr>
        <w:t>660</w:t>
      </w:r>
      <w:r w:rsidR="00E66209">
        <w:rPr>
          <w:rFonts w:eastAsia="Times New Roman" w:cs="Times New Roman"/>
          <w:szCs w:val="24"/>
          <w:lang w:eastAsia="sk-SK"/>
        </w:rPr>
        <w:t> </w:t>
      </w:r>
      <w:r w:rsidR="00E66209" w:rsidRPr="00684645">
        <w:rPr>
          <w:rFonts w:eastAsia="Times New Roman" w:cs="Times New Roman"/>
          <w:szCs w:val="24"/>
          <w:lang w:eastAsia="sk-SK"/>
        </w:rPr>
        <w:t>tis.</w:t>
      </w:r>
      <w:r w:rsidR="00E66209">
        <w:rPr>
          <w:rFonts w:eastAsia="Times New Roman" w:cs="Times New Roman"/>
          <w:szCs w:val="24"/>
          <w:lang w:eastAsia="sk-SK"/>
        </w:rPr>
        <w:t> </w:t>
      </w:r>
      <w:r w:rsidR="00E66209" w:rsidRPr="00684645">
        <w:rPr>
          <w:rFonts w:eastAsia="Times New Roman" w:cs="Times New Roman"/>
          <w:szCs w:val="24"/>
          <w:lang w:eastAsia="sk-SK"/>
        </w:rPr>
        <w:t>eur) a Modernizácia železničnej trate Žilina – Košice, úsek trate Poprad – Krompachy (43</w:t>
      </w:r>
      <w:r w:rsidR="00E66209">
        <w:rPr>
          <w:rFonts w:eastAsia="Times New Roman" w:cs="Times New Roman"/>
          <w:szCs w:val="24"/>
          <w:lang w:eastAsia="sk-SK"/>
        </w:rPr>
        <w:t> </w:t>
      </w:r>
      <w:r w:rsidR="00E66209" w:rsidRPr="00684645">
        <w:rPr>
          <w:rFonts w:eastAsia="Times New Roman" w:cs="Times New Roman"/>
          <w:szCs w:val="24"/>
          <w:lang w:eastAsia="sk-SK"/>
        </w:rPr>
        <w:t>093</w:t>
      </w:r>
      <w:r w:rsidR="00E66209">
        <w:rPr>
          <w:rFonts w:eastAsia="Times New Roman" w:cs="Times New Roman"/>
          <w:szCs w:val="24"/>
          <w:lang w:eastAsia="sk-SK"/>
        </w:rPr>
        <w:t> </w:t>
      </w:r>
      <w:r w:rsidR="00E66209" w:rsidRPr="00684645">
        <w:rPr>
          <w:rFonts w:eastAsia="Times New Roman" w:cs="Times New Roman"/>
          <w:szCs w:val="24"/>
          <w:lang w:eastAsia="sk-SK"/>
        </w:rPr>
        <w:t>tis.</w:t>
      </w:r>
      <w:r w:rsidR="00E66209">
        <w:rPr>
          <w:rFonts w:eastAsia="Times New Roman" w:cs="Times New Roman"/>
          <w:szCs w:val="24"/>
          <w:lang w:eastAsia="sk-SK"/>
        </w:rPr>
        <w:t> eur</w:t>
      </w:r>
      <w:r w:rsidR="00E66209" w:rsidRPr="00684645">
        <w:rPr>
          <w:rFonts w:eastAsia="Times New Roman" w:cs="Times New Roman"/>
          <w:szCs w:val="24"/>
          <w:lang w:eastAsia="sk-SK"/>
        </w:rPr>
        <w:t>).</w:t>
      </w:r>
    </w:p>
    <w:p w14:paraId="5DD78032" w14:textId="77777777" w:rsidR="005A081B" w:rsidRPr="00D10397" w:rsidRDefault="005A081B" w:rsidP="00532D85">
      <w:pPr>
        <w:spacing w:line="240" w:lineRule="auto"/>
        <w:jc w:val="both"/>
        <w:rPr>
          <w:rFonts w:cs="Times New Roman"/>
          <w:szCs w:val="24"/>
        </w:rPr>
      </w:pPr>
    </w:p>
    <w:p w14:paraId="1A473935" w14:textId="764E03D8" w:rsidR="00D10397" w:rsidRDefault="009A05C7" w:rsidP="00532D85">
      <w:pPr>
        <w:spacing w:line="240" w:lineRule="auto"/>
        <w:jc w:val="both"/>
        <w:rPr>
          <w:rFonts w:cs="Times New Roman"/>
          <w:szCs w:val="24"/>
        </w:rPr>
      </w:pPr>
      <w:r w:rsidRPr="00D10397">
        <w:rPr>
          <w:rFonts w:cs="Times New Roman"/>
          <w:b/>
          <w:szCs w:val="24"/>
        </w:rPr>
        <w:t>Železničná spoločnosť Slovensko,</w:t>
      </w:r>
      <w:r w:rsidR="005A081B">
        <w:rPr>
          <w:rFonts w:cs="Times New Roman"/>
          <w:b/>
          <w:szCs w:val="24"/>
        </w:rPr>
        <w:t> </w:t>
      </w:r>
      <w:r w:rsidRPr="00D10397">
        <w:rPr>
          <w:rFonts w:cs="Times New Roman"/>
          <w:b/>
          <w:szCs w:val="24"/>
        </w:rPr>
        <w:t>a. s.</w:t>
      </w:r>
      <w:r w:rsidR="00467F0B">
        <w:rPr>
          <w:rFonts w:cs="Times New Roman"/>
          <w:b/>
          <w:szCs w:val="24"/>
        </w:rPr>
        <w:t>,</w:t>
      </w:r>
      <w:r w:rsidRPr="00D10397">
        <w:rPr>
          <w:rFonts w:cs="Times New Roman"/>
          <w:b/>
          <w:szCs w:val="24"/>
        </w:rPr>
        <w:t xml:space="preserve"> (ZSSK)</w:t>
      </w:r>
      <w:r w:rsidRPr="00D10397">
        <w:rPr>
          <w:rFonts w:cs="Times New Roman"/>
          <w:szCs w:val="24"/>
        </w:rPr>
        <w:t xml:space="preserve"> v roku 202</w:t>
      </w:r>
      <w:r w:rsidR="00D10397" w:rsidRPr="00D10397">
        <w:rPr>
          <w:rFonts w:cs="Times New Roman"/>
          <w:szCs w:val="24"/>
        </w:rPr>
        <w:t>5</w:t>
      </w:r>
      <w:r w:rsidRPr="00D10397">
        <w:rPr>
          <w:rFonts w:cs="Times New Roman"/>
          <w:szCs w:val="24"/>
        </w:rPr>
        <w:t xml:space="preserve"> dosiahla hotovostný </w:t>
      </w:r>
      <w:r w:rsidR="00D10397" w:rsidRPr="00D10397">
        <w:rPr>
          <w:rFonts w:cs="Times New Roman"/>
          <w:szCs w:val="24"/>
        </w:rPr>
        <w:t>schodok</w:t>
      </w:r>
      <w:r w:rsidRPr="00D10397">
        <w:rPr>
          <w:rFonts w:cs="Times New Roman"/>
          <w:szCs w:val="24"/>
        </w:rPr>
        <w:t xml:space="preserve"> vo výške </w:t>
      </w:r>
      <w:r w:rsidR="00D10397" w:rsidRPr="00D10397">
        <w:rPr>
          <w:rFonts w:cs="Times New Roman"/>
          <w:szCs w:val="24"/>
        </w:rPr>
        <w:t>16</w:t>
      </w:r>
      <w:r w:rsidRPr="00D10397">
        <w:rPr>
          <w:rFonts w:cs="Times New Roman"/>
          <w:szCs w:val="24"/>
        </w:rPr>
        <w:t> </w:t>
      </w:r>
      <w:r w:rsidR="00D10397" w:rsidRPr="00D10397">
        <w:rPr>
          <w:rFonts w:cs="Times New Roman"/>
          <w:szCs w:val="24"/>
        </w:rPr>
        <w:t>711</w:t>
      </w:r>
      <w:r w:rsidRPr="00D10397">
        <w:rPr>
          <w:rFonts w:cs="Times New Roman"/>
          <w:szCs w:val="24"/>
        </w:rPr>
        <w:t xml:space="preserve"> tis. eur, čo predstavuje </w:t>
      </w:r>
      <w:r w:rsidR="00D10397" w:rsidRPr="00D10397">
        <w:rPr>
          <w:rFonts w:cs="Times New Roman"/>
          <w:szCs w:val="24"/>
        </w:rPr>
        <w:t>výrazné</w:t>
      </w:r>
      <w:r w:rsidR="00DB1D7B">
        <w:rPr>
          <w:rFonts w:cs="Times New Roman"/>
          <w:szCs w:val="24"/>
        </w:rPr>
        <w:t xml:space="preserve"> nenaplnenie plánovaného schodku </w:t>
      </w:r>
      <w:r w:rsidRPr="00D10397">
        <w:rPr>
          <w:rFonts w:cs="Times New Roman"/>
          <w:szCs w:val="24"/>
        </w:rPr>
        <w:t>o </w:t>
      </w:r>
      <w:r w:rsidR="00D10397" w:rsidRPr="00D10397">
        <w:rPr>
          <w:rFonts w:cs="Times New Roman"/>
          <w:szCs w:val="24"/>
        </w:rPr>
        <w:t>56</w:t>
      </w:r>
      <w:r w:rsidRPr="00D10397">
        <w:rPr>
          <w:rFonts w:cs="Times New Roman"/>
          <w:szCs w:val="24"/>
        </w:rPr>
        <w:t> 08</w:t>
      </w:r>
      <w:r w:rsidR="00D10397" w:rsidRPr="00D10397">
        <w:rPr>
          <w:rFonts w:cs="Times New Roman"/>
          <w:szCs w:val="24"/>
        </w:rPr>
        <w:t>0</w:t>
      </w:r>
      <w:r w:rsidRPr="00D10397">
        <w:rPr>
          <w:rFonts w:cs="Times New Roman"/>
          <w:szCs w:val="24"/>
        </w:rPr>
        <w:t xml:space="preserve"> tis. eur </w:t>
      </w:r>
      <w:r w:rsidR="00D10397" w:rsidRPr="00D10397">
        <w:rPr>
          <w:rFonts w:cs="Times New Roman"/>
          <w:szCs w:val="24"/>
        </w:rPr>
        <w:t>(</w:t>
      </w:r>
      <w:r w:rsidR="00DB1D7B">
        <w:rPr>
          <w:rFonts w:cs="Times New Roman"/>
          <w:szCs w:val="24"/>
        </w:rPr>
        <w:t xml:space="preserve">rozpočtovaný schodok bol </w:t>
      </w:r>
      <w:r w:rsidR="00D10397" w:rsidRPr="00D10397">
        <w:rPr>
          <w:rFonts w:cs="Times New Roman"/>
          <w:szCs w:val="24"/>
        </w:rPr>
        <w:t>72</w:t>
      </w:r>
      <w:r w:rsidR="00B216B4">
        <w:rPr>
          <w:rFonts w:cs="Times New Roman"/>
          <w:szCs w:val="24"/>
        </w:rPr>
        <w:t> </w:t>
      </w:r>
      <w:r w:rsidR="00D10397" w:rsidRPr="00D10397">
        <w:rPr>
          <w:rFonts w:cs="Times New Roman"/>
          <w:szCs w:val="24"/>
        </w:rPr>
        <w:t>791</w:t>
      </w:r>
      <w:r w:rsidR="00B216B4">
        <w:rPr>
          <w:rFonts w:cs="Times New Roman"/>
          <w:szCs w:val="24"/>
        </w:rPr>
        <w:t> </w:t>
      </w:r>
      <w:r w:rsidR="00D10397" w:rsidRPr="00D10397">
        <w:rPr>
          <w:rFonts w:cs="Times New Roman"/>
          <w:szCs w:val="24"/>
        </w:rPr>
        <w:t>tis.</w:t>
      </w:r>
      <w:r w:rsidR="00B216B4">
        <w:rPr>
          <w:rFonts w:cs="Times New Roman"/>
          <w:szCs w:val="24"/>
        </w:rPr>
        <w:t> </w:t>
      </w:r>
      <w:r w:rsidR="00D10397" w:rsidRPr="00D10397">
        <w:rPr>
          <w:rFonts w:cs="Times New Roman"/>
          <w:szCs w:val="24"/>
        </w:rPr>
        <w:t>eur)</w:t>
      </w:r>
      <w:r w:rsidRPr="00D10397">
        <w:rPr>
          <w:rFonts w:cs="Times New Roman"/>
          <w:szCs w:val="24"/>
        </w:rPr>
        <w:t>. Významný vplyv na</w:t>
      </w:r>
      <w:r w:rsidR="00680C34">
        <w:rPr>
          <w:rFonts w:cs="Times New Roman"/>
          <w:szCs w:val="24"/>
        </w:rPr>
        <w:t> </w:t>
      </w:r>
      <w:r w:rsidRPr="00D10397">
        <w:rPr>
          <w:rFonts w:cs="Times New Roman"/>
          <w:szCs w:val="24"/>
        </w:rPr>
        <w:t>hospodáreni</w:t>
      </w:r>
      <w:r w:rsidR="00D10397" w:rsidRPr="00D10397">
        <w:rPr>
          <w:rFonts w:cs="Times New Roman"/>
          <w:szCs w:val="24"/>
        </w:rPr>
        <w:t>e mal nárast celkových príjmov o 13 301 </w:t>
      </w:r>
      <w:r w:rsidR="00D10397" w:rsidRPr="00D10397">
        <w:t>tis. eur</w:t>
      </w:r>
      <w:r w:rsidRPr="00D10397">
        <w:rPr>
          <w:rFonts w:cs="Times New Roman"/>
          <w:szCs w:val="24"/>
        </w:rPr>
        <w:t xml:space="preserve"> </w:t>
      </w:r>
      <w:r w:rsidR="00D10397" w:rsidRPr="00D10397">
        <w:rPr>
          <w:rFonts w:cs="Times New Roman"/>
          <w:szCs w:val="24"/>
        </w:rPr>
        <w:t>a súčasne úspora celkových výdavkov vo</w:t>
      </w:r>
      <w:r w:rsidR="005A081B">
        <w:rPr>
          <w:rFonts w:cs="Times New Roman"/>
          <w:szCs w:val="24"/>
        </w:rPr>
        <w:t> </w:t>
      </w:r>
      <w:r w:rsidR="00D10397" w:rsidRPr="00D10397">
        <w:rPr>
          <w:rFonts w:cs="Times New Roman"/>
          <w:szCs w:val="24"/>
        </w:rPr>
        <w:t>výške 42 7</w:t>
      </w:r>
      <w:r w:rsidR="00D329D4">
        <w:rPr>
          <w:rFonts w:cs="Times New Roman"/>
          <w:szCs w:val="24"/>
        </w:rPr>
        <w:t>7</w:t>
      </w:r>
      <w:r w:rsidR="00D10397" w:rsidRPr="00D10397">
        <w:rPr>
          <w:rFonts w:cs="Times New Roman"/>
          <w:szCs w:val="24"/>
        </w:rPr>
        <w:t>9 tis. eur v porovnaní s pôvodným limitom rozpočtu verejnej správy.</w:t>
      </w:r>
    </w:p>
    <w:p w14:paraId="09D80E36" w14:textId="0302EA49" w:rsidR="00B216B4" w:rsidRPr="0013242E" w:rsidRDefault="00CF3D8F" w:rsidP="00B216B4">
      <w:pPr>
        <w:jc w:val="both"/>
        <w:rPr>
          <w:rFonts w:cs="Times New Roman"/>
          <w:szCs w:val="24"/>
        </w:rPr>
      </w:pPr>
      <w:r>
        <w:rPr>
          <w:rFonts w:cs="Times New Roman"/>
          <w:szCs w:val="24"/>
        </w:rPr>
        <w:t>Príjmy oproti rozpočtu sa zvýšili o 13</w:t>
      </w:r>
      <w:r w:rsidR="00680C34">
        <w:rPr>
          <w:rFonts w:cs="Times New Roman"/>
          <w:szCs w:val="24"/>
        </w:rPr>
        <w:t> </w:t>
      </w:r>
      <w:r>
        <w:rPr>
          <w:rFonts w:cs="Times New Roman"/>
          <w:szCs w:val="24"/>
        </w:rPr>
        <w:t>301</w:t>
      </w:r>
      <w:r w:rsidR="00680C34">
        <w:rPr>
          <w:rFonts w:cs="Times New Roman"/>
          <w:szCs w:val="24"/>
        </w:rPr>
        <w:t> </w:t>
      </w:r>
      <w:r>
        <w:rPr>
          <w:rFonts w:cs="Times New Roman"/>
          <w:szCs w:val="24"/>
        </w:rPr>
        <w:t>tis.</w:t>
      </w:r>
      <w:r w:rsidR="00680C34">
        <w:rPr>
          <w:rFonts w:cs="Times New Roman"/>
          <w:szCs w:val="24"/>
        </w:rPr>
        <w:t> </w:t>
      </w:r>
      <w:r>
        <w:rPr>
          <w:rFonts w:cs="Times New Roman"/>
          <w:szCs w:val="24"/>
        </w:rPr>
        <w:t>eur. S</w:t>
      </w:r>
      <w:r w:rsidR="00B216B4" w:rsidRPr="0013242E">
        <w:rPr>
          <w:rFonts w:cs="Times New Roman"/>
          <w:szCs w:val="24"/>
        </w:rPr>
        <w:t>poločnosť evidovala nárast v</w:t>
      </w:r>
      <w:r w:rsidR="005A081B">
        <w:rPr>
          <w:rFonts w:cs="Times New Roman"/>
          <w:szCs w:val="24"/>
        </w:rPr>
        <w:t> </w:t>
      </w:r>
      <w:r w:rsidR="00B216B4" w:rsidRPr="0013242E">
        <w:rPr>
          <w:rFonts w:cs="Times New Roman"/>
          <w:szCs w:val="24"/>
        </w:rPr>
        <w:t>kategórii príjmov z</w:t>
      </w:r>
      <w:r w:rsidR="005A081B">
        <w:rPr>
          <w:rFonts w:cs="Times New Roman"/>
          <w:szCs w:val="24"/>
        </w:rPr>
        <w:t> </w:t>
      </w:r>
      <w:r w:rsidR="00B216B4" w:rsidRPr="0013242E">
        <w:rPr>
          <w:rFonts w:cs="Times New Roman"/>
          <w:szCs w:val="24"/>
        </w:rPr>
        <w:t>podnikania a vlastníctva majetku o</w:t>
      </w:r>
      <w:r w:rsidR="00D329D4">
        <w:rPr>
          <w:rFonts w:cs="Times New Roman"/>
          <w:szCs w:val="24"/>
        </w:rPr>
        <w:t> </w:t>
      </w:r>
      <w:r w:rsidR="00B216B4" w:rsidRPr="0013242E">
        <w:rPr>
          <w:rFonts w:cs="Times New Roman"/>
          <w:szCs w:val="24"/>
        </w:rPr>
        <w:t>88</w:t>
      </w:r>
      <w:r w:rsidR="00D329D4">
        <w:rPr>
          <w:rFonts w:cs="Times New Roman"/>
          <w:szCs w:val="24"/>
        </w:rPr>
        <w:t> </w:t>
      </w:r>
      <w:r w:rsidR="00B216B4" w:rsidRPr="0013242E">
        <w:rPr>
          <w:rFonts w:cs="Times New Roman"/>
          <w:szCs w:val="24"/>
        </w:rPr>
        <w:t>tis.</w:t>
      </w:r>
      <w:r w:rsidR="00B216B4">
        <w:rPr>
          <w:rFonts w:cs="Times New Roman"/>
          <w:szCs w:val="24"/>
        </w:rPr>
        <w:t> </w:t>
      </w:r>
      <w:r w:rsidR="00B216B4" w:rsidRPr="0013242E">
        <w:rPr>
          <w:rFonts w:cs="Times New Roman"/>
          <w:szCs w:val="24"/>
        </w:rPr>
        <w:t xml:space="preserve">eur v dôsledku prijatej dividendy </w:t>
      </w:r>
      <w:r w:rsidR="00B216B4" w:rsidRPr="0013242E">
        <w:rPr>
          <w:rFonts w:cs="Times New Roman"/>
          <w:szCs w:val="24"/>
        </w:rPr>
        <w:lastRenderedPageBreak/>
        <w:t>zo</w:t>
      </w:r>
      <w:r w:rsidR="005A081B">
        <w:rPr>
          <w:rFonts w:cs="Times New Roman"/>
          <w:szCs w:val="24"/>
        </w:rPr>
        <w:t> </w:t>
      </w:r>
      <w:r w:rsidR="00B216B4" w:rsidRPr="0013242E">
        <w:rPr>
          <w:rFonts w:cs="Times New Roman"/>
          <w:szCs w:val="24"/>
        </w:rPr>
        <w:t>spoločnosti EUROFIMA</w:t>
      </w:r>
      <w:r>
        <w:rPr>
          <w:rFonts w:cs="Times New Roman"/>
          <w:szCs w:val="24"/>
        </w:rPr>
        <w:t>, p</w:t>
      </w:r>
      <w:r w:rsidR="00B216B4" w:rsidRPr="0013242E">
        <w:rPr>
          <w:rFonts w:cs="Times New Roman"/>
          <w:szCs w:val="24"/>
        </w:rPr>
        <w:t>ozitívny vývoj o</w:t>
      </w:r>
      <w:r w:rsidR="00B216B4">
        <w:rPr>
          <w:rFonts w:cs="Times New Roman"/>
          <w:szCs w:val="24"/>
        </w:rPr>
        <w:t> </w:t>
      </w:r>
      <w:r w:rsidR="00B216B4" w:rsidRPr="0013242E">
        <w:rPr>
          <w:rFonts w:cs="Times New Roman"/>
          <w:szCs w:val="24"/>
        </w:rPr>
        <w:t>6</w:t>
      </w:r>
      <w:r w:rsidR="00B216B4">
        <w:rPr>
          <w:rFonts w:cs="Times New Roman"/>
          <w:szCs w:val="24"/>
        </w:rPr>
        <w:t> </w:t>
      </w:r>
      <w:r w:rsidR="00B216B4" w:rsidRPr="0013242E">
        <w:rPr>
          <w:rFonts w:cs="Times New Roman"/>
          <w:szCs w:val="24"/>
        </w:rPr>
        <w:t>727</w:t>
      </w:r>
      <w:r w:rsidR="00B216B4">
        <w:rPr>
          <w:rFonts w:cs="Times New Roman"/>
          <w:szCs w:val="24"/>
        </w:rPr>
        <w:t> </w:t>
      </w:r>
      <w:r w:rsidR="00B216B4" w:rsidRPr="0013242E">
        <w:rPr>
          <w:rFonts w:cs="Times New Roman"/>
          <w:szCs w:val="24"/>
        </w:rPr>
        <w:t>tis.</w:t>
      </w:r>
      <w:r w:rsidR="00B216B4">
        <w:rPr>
          <w:rFonts w:cs="Times New Roman"/>
          <w:szCs w:val="24"/>
        </w:rPr>
        <w:t> </w:t>
      </w:r>
      <w:r w:rsidR="00B216B4" w:rsidRPr="0013242E">
        <w:rPr>
          <w:rFonts w:cs="Times New Roman"/>
          <w:szCs w:val="24"/>
        </w:rPr>
        <w:t>eur bol zaznamenaný aj pri</w:t>
      </w:r>
      <w:r w:rsidR="001B6519">
        <w:rPr>
          <w:rFonts w:cs="Times New Roman"/>
          <w:szCs w:val="24"/>
        </w:rPr>
        <w:t> </w:t>
      </w:r>
      <w:r w:rsidR="00B216B4" w:rsidRPr="0013242E">
        <w:rPr>
          <w:rFonts w:cs="Times New Roman"/>
          <w:szCs w:val="24"/>
        </w:rPr>
        <w:t>iných nedaňových príjmoch, čo ovplyvnila najmä vyššia vratka DPH za predchádzajúce obdobie vyplývajúca z</w:t>
      </w:r>
      <w:r w:rsidR="003F1280">
        <w:rPr>
          <w:rFonts w:cs="Times New Roman"/>
          <w:szCs w:val="24"/>
        </w:rPr>
        <w:t> </w:t>
      </w:r>
      <w:r w:rsidR="00B216B4" w:rsidRPr="0013242E">
        <w:rPr>
          <w:rFonts w:cs="Times New Roman"/>
          <w:szCs w:val="24"/>
        </w:rPr>
        <w:t>vysokých úhrad v závere roka 2024. Mierny nárast o</w:t>
      </w:r>
      <w:r w:rsidR="00D329D4">
        <w:rPr>
          <w:rFonts w:cs="Times New Roman"/>
          <w:szCs w:val="24"/>
        </w:rPr>
        <w:t> </w:t>
      </w:r>
      <w:r w:rsidR="00B216B4" w:rsidRPr="0013242E">
        <w:rPr>
          <w:rFonts w:cs="Times New Roman"/>
          <w:szCs w:val="24"/>
        </w:rPr>
        <w:t>22</w:t>
      </w:r>
      <w:r w:rsidR="00D329D4">
        <w:rPr>
          <w:rFonts w:cs="Times New Roman"/>
          <w:szCs w:val="24"/>
        </w:rPr>
        <w:t> </w:t>
      </w:r>
      <w:r w:rsidR="00B216B4" w:rsidRPr="0013242E">
        <w:rPr>
          <w:rFonts w:cs="Times New Roman"/>
          <w:szCs w:val="24"/>
        </w:rPr>
        <w:t>tis.</w:t>
      </w:r>
      <w:r w:rsidR="005A081B">
        <w:rPr>
          <w:rFonts w:cs="Times New Roman"/>
          <w:szCs w:val="24"/>
        </w:rPr>
        <w:t> </w:t>
      </w:r>
      <w:r w:rsidR="00B216B4" w:rsidRPr="0013242E">
        <w:rPr>
          <w:rFonts w:cs="Times New Roman"/>
          <w:szCs w:val="24"/>
        </w:rPr>
        <w:t>eur vykázali aj tuzemské úroky z</w:t>
      </w:r>
      <w:r w:rsidR="003F1280">
        <w:rPr>
          <w:rFonts w:cs="Times New Roman"/>
          <w:szCs w:val="24"/>
        </w:rPr>
        <w:t> </w:t>
      </w:r>
      <w:r w:rsidR="00B216B4" w:rsidRPr="0013242E">
        <w:rPr>
          <w:rFonts w:cs="Times New Roman"/>
          <w:szCs w:val="24"/>
        </w:rPr>
        <w:t>kreditných zostatkov na účtoch, ktoré neboli v RVS rozpočtované. Naopak, negatívne hospodárenie ovplyvnil pokles administratívnych poplatkov a</w:t>
      </w:r>
      <w:r w:rsidR="005A081B">
        <w:rPr>
          <w:rFonts w:cs="Times New Roman"/>
          <w:szCs w:val="24"/>
        </w:rPr>
        <w:t> </w:t>
      </w:r>
      <w:r w:rsidR="00B216B4" w:rsidRPr="0013242E">
        <w:rPr>
          <w:rFonts w:cs="Times New Roman"/>
          <w:szCs w:val="24"/>
        </w:rPr>
        <w:t>tržieb o</w:t>
      </w:r>
      <w:r w:rsidR="004C457E">
        <w:rPr>
          <w:rFonts w:cs="Times New Roman"/>
          <w:szCs w:val="24"/>
        </w:rPr>
        <w:t> </w:t>
      </w:r>
      <w:r w:rsidR="00B216B4" w:rsidRPr="0013242E">
        <w:rPr>
          <w:rFonts w:cs="Times New Roman"/>
          <w:szCs w:val="24"/>
        </w:rPr>
        <w:t>21</w:t>
      </w:r>
      <w:r w:rsidR="004C457E">
        <w:rPr>
          <w:rFonts w:cs="Times New Roman"/>
          <w:szCs w:val="24"/>
        </w:rPr>
        <w:t> </w:t>
      </w:r>
      <w:r w:rsidR="00B216B4" w:rsidRPr="0013242E">
        <w:rPr>
          <w:rFonts w:cs="Times New Roman"/>
          <w:szCs w:val="24"/>
        </w:rPr>
        <w:t>020</w:t>
      </w:r>
      <w:r w:rsidR="004C457E">
        <w:rPr>
          <w:rFonts w:cs="Times New Roman"/>
          <w:szCs w:val="24"/>
        </w:rPr>
        <w:t> </w:t>
      </w:r>
      <w:r w:rsidR="00B216B4" w:rsidRPr="0013242E">
        <w:rPr>
          <w:rFonts w:cs="Times New Roman"/>
          <w:szCs w:val="24"/>
        </w:rPr>
        <w:t>tis.</w:t>
      </w:r>
      <w:r w:rsidR="004C457E">
        <w:rPr>
          <w:rFonts w:cs="Times New Roman"/>
          <w:szCs w:val="24"/>
        </w:rPr>
        <w:t> </w:t>
      </w:r>
      <w:r w:rsidR="00B216B4" w:rsidRPr="0013242E">
        <w:rPr>
          <w:rFonts w:cs="Times New Roman"/>
          <w:szCs w:val="24"/>
        </w:rPr>
        <w:t xml:space="preserve">eur. Tento výpadok bol </w:t>
      </w:r>
      <w:r w:rsidR="00A13BE4">
        <w:rPr>
          <w:rFonts w:cs="Times New Roman"/>
          <w:szCs w:val="24"/>
        </w:rPr>
        <w:t xml:space="preserve">dôsledkom čiastočnej implementácie </w:t>
      </w:r>
      <w:r w:rsidR="00B216B4" w:rsidRPr="0013242E">
        <w:rPr>
          <w:rFonts w:cs="Times New Roman"/>
          <w:szCs w:val="24"/>
        </w:rPr>
        <w:t>v</w:t>
      </w:r>
      <w:r w:rsidR="003F1280">
        <w:rPr>
          <w:rFonts w:cs="Times New Roman"/>
          <w:szCs w:val="24"/>
        </w:rPr>
        <w:t> </w:t>
      </w:r>
      <w:r w:rsidR="00B216B4" w:rsidRPr="0013242E">
        <w:rPr>
          <w:rFonts w:cs="Times New Roman"/>
          <w:szCs w:val="24"/>
        </w:rPr>
        <w:t>oblasti zvyšovania cien cestovnéh</w:t>
      </w:r>
      <w:r w:rsidR="00A13BE4">
        <w:rPr>
          <w:rFonts w:cs="Times New Roman"/>
          <w:szCs w:val="24"/>
        </w:rPr>
        <w:t>o</w:t>
      </w:r>
      <w:r w:rsidR="00B216B4" w:rsidRPr="0013242E">
        <w:rPr>
          <w:rFonts w:cs="Times New Roman"/>
          <w:szCs w:val="24"/>
        </w:rPr>
        <w:t xml:space="preserve">. </w:t>
      </w:r>
      <w:r w:rsidR="00A13BE4">
        <w:rPr>
          <w:rFonts w:cs="Times New Roman"/>
          <w:szCs w:val="24"/>
        </w:rPr>
        <w:t>P</w:t>
      </w:r>
      <w:r w:rsidR="00A13BE4" w:rsidRPr="00A13BE4">
        <w:rPr>
          <w:rFonts w:cs="Times New Roman"/>
          <w:szCs w:val="24"/>
        </w:rPr>
        <w:t>ôvodné očakávania rozpočtu tak zostali nenaplnené kvôli miernejšiemu nárastu cien, než sa predpokladalo v rámci konsolidačného balíka</w:t>
      </w:r>
      <w:r w:rsidR="00A13BE4">
        <w:rPr>
          <w:rFonts w:cs="Times New Roman"/>
          <w:szCs w:val="24"/>
        </w:rPr>
        <w:t xml:space="preserve">. </w:t>
      </w:r>
      <w:r w:rsidR="00B216B4" w:rsidRPr="0013242E">
        <w:rPr>
          <w:rFonts w:cs="Times New Roman"/>
          <w:szCs w:val="24"/>
        </w:rPr>
        <w:t>Výrazný pokles o</w:t>
      </w:r>
      <w:r w:rsidR="004C457E">
        <w:rPr>
          <w:rFonts w:cs="Times New Roman"/>
          <w:szCs w:val="24"/>
        </w:rPr>
        <w:t> </w:t>
      </w:r>
      <w:r w:rsidR="00B216B4" w:rsidRPr="0013242E">
        <w:rPr>
          <w:rFonts w:cs="Times New Roman"/>
          <w:szCs w:val="24"/>
        </w:rPr>
        <w:t>33</w:t>
      </w:r>
      <w:r w:rsidR="004C457E">
        <w:rPr>
          <w:rFonts w:cs="Times New Roman"/>
          <w:szCs w:val="24"/>
        </w:rPr>
        <w:t> </w:t>
      </w:r>
      <w:r w:rsidR="00B216B4" w:rsidRPr="0013242E">
        <w:rPr>
          <w:rFonts w:cs="Times New Roman"/>
          <w:szCs w:val="24"/>
        </w:rPr>
        <w:t>111</w:t>
      </w:r>
      <w:r w:rsidR="004C457E">
        <w:rPr>
          <w:rFonts w:cs="Times New Roman"/>
          <w:szCs w:val="24"/>
        </w:rPr>
        <w:t> </w:t>
      </w:r>
      <w:r w:rsidR="00B216B4" w:rsidRPr="0013242E">
        <w:rPr>
          <w:rFonts w:cs="Times New Roman"/>
          <w:szCs w:val="24"/>
        </w:rPr>
        <w:t>tis.</w:t>
      </w:r>
      <w:r w:rsidR="004C457E">
        <w:rPr>
          <w:rFonts w:cs="Times New Roman"/>
          <w:szCs w:val="24"/>
        </w:rPr>
        <w:t> </w:t>
      </w:r>
      <w:r w:rsidR="00B216B4" w:rsidRPr="0013242E">
        <w:rPr>
          <w:rFonts w:cs="Times New Roman"/>
          <w:szCs w:val="24"/>
        </w:rPr>
        <w:t>eur nastal pri kapitálových príjmoch, a to z dôvodu posunu predaja pracovísk Technicko-hygienickej údržby (THU) v</w:t>
      </w:r>
      <w:r w:rsidR="003F1280">
        <w:rPr>
          <w:rFonts w:cs="Times New Roman"/>
          <w:szCs w:val="24"/>
        </w:rPr>
        <w:t> </w:t>
      </w:r>
      <w:r w:rsidR="00B216B4" w:rsidRPr="0013242E">
        <w:rPr>
          <w:rFonts w:cs="Times New Roman"/>
          <w:szCs w:val="24"/>
        </w:rPr>
        <w:t>Nových Zámkoch a Zvolene do roku 2026.</w:t>
      </w:r>
    </w:p>
    <w:p w14:paraId="40A5D9E6" w14:textId="202926A8" w:rsidR="00B216B4" w:rsidRDefault="00B216B4" w:rsidP="00B216B4">
      <w:pPr>
        <w:jc w:val="both"/>
      </w:pPr>
      <w:r w:rsidRPr="0013242E">
        <w:rPr>
          <w:rFonts w:cs="Times New Roman"/>
          <w:b/>
          <w:bCs/>
          <w:szCs w:val="24"/>
        </w:rPr>
        <w:t>Granty a transfery</w:t>
      </w:r>
      <w:r w:rsidRPr="0013242E">
        <w:t> </w:t>
      </w:r>
      <w:r w:rsidRPr="0013242E">
        <w:rPr>
          <w:rFonts w:cs="Times New Roman"/>
          <w:szCs w:val="24"/>
        </w:rPr>
        <w:t xml:space="preserve">zaznamenali celkový nárast </w:t>
      </w:r>
      <w:r w:rsidR="004C457E">
        <w:rPr>
          <w:rFonts w:cs="Times New Roman"/>
          <w:szCs w:val="24"/>
        </w:rPr>
        <w:t xml:space="preserve">oproti rozpočtu </w:t>
      </w:r>
      <w:r w:rsidRPr="0013242E">
        <w:rPr>
          <w:rFonts w:cs="Times New Roman"/>
          <w:szCs w:val="24"/>
        </w:rPr>
        <w:t>o</w:t>
      </w:r>
      <w:r w:rsidR="004C457E">
        <w:rPr>
          <w:rFonts w:cs="Times New Roman"/>
          <w:szCs w:val="24"/>
        </w:rPr>
        <w:t> </w:t>
      </w:r>
      <w:r w:rsidRPr="0013242E">
        <w:rPr>
          <w:rFonts w:cs="Times New Roman"/>
          <w:szCs w:val="24"/>
        </w:rPr>
        <w:t>60</w:t>
      </w:r>
      <w:r w:rsidR="004C457E">
        <w:rPr>
          <w:rFonts w:cs="Times New Roman"/>
          <w:szCs w:val="24"/>
        </w:rPr>
        <w:t> </w:t>
      </w:r>
      <w:r w:rsidRPr="0013242E">
        <w:rPr>
          <w:rFonts w:cs="Times New Roman"/>
          <w:szCs w:val="24"/>
        </w:rPr>
        <w:t>595</w:t>
      </w:r>
      <w:r w:rsidR="004C457E">
        <w:rPr>
          <w:rFonts w:cs="Times New Roman"/>
          <w:szCs w:val="24"/>
        </w:rPr>
        <w:t> </w:t>
      </w:r>
      <w:r w:rsidRPr="0013242E">
        <w:rPr>
          <w:rFonts w:cs="Times New Roman"/>
          <w:szCs w:val="24"/>
        </w:rPr>
        <w:t>tis.</w:t>
      </w:r>
      <w:r w:rsidR="004C457E">
        <w:rPr>
          <w:rFonts w:cs="Times New Roman"/>
          <w:szCs w:val="24"/>
        </w:rPr>
        <w:t> </w:t>
      </w:r>
      <w:r w:rsidRPr="0013242E">
        <w:rPr>
          <w:rFonts w:cs="Times New Roman"/>
          <w:szCs w:val="24"/>
        </w:rPr>
        <w:t>eur. V</w:t>
      </w:r>
      <w:r w:rsidR="005A081B">
        <w:rPr>
          <w:rFonts w:cs="Times New Roman"/>
          <w:szCs w:val="24"/>
        </w:rPr>
        <w:t> </w:t>
      </w:r>
      <w:r w:rsidRPr="0013242E">
        <w:rPr>
          <w:rFonts w:cs="Times New Roman"/>
          <w:szCs w:val="24"/>
        </w:rPr>
        <w:t>rámci bežných transferov o</w:t>
      </w:r>
      <w:r w:rsidR="005A081B">
        <w:rPr>
          <w:rFonts w:cs="Times New Roman"/>
          <w:szCs w:val="24"/>
        </w:rPr>
        <w:t> </w:t>
      </w:r>
      <w:r w:rsidRPr="0013242E">
        <w:rPr>
          <w:rFonts w:cs="Times New Roman"/>
          <w:szCs w:val="24"/>
        </w:rPr>
        <w:t>24</w:t>
      </w:r>
      <w:r w:rsidR="005A081B">
        <w:rPr>
          <w:rFonts w:cs="Times New Roman"/>
          <w:szCs w:val="24"/>
        </w:rPr>
        <w:t> </w:t>
      </w:r>
      <w:r w:rsidRPr="0013242E">
        <w:rPr>
          <w:rFonts w:cs="Times New Roman"/>
          <w:szCs w:val="24"/>
        </w:rPr>
        <w:t>060</w:t>
      </w:r>
      <w:r w:rsidR="005A081B">
        <w:rPr>
          <w:rFonts w:cs="Times New Roman"/>
          <w:szCs w:val="24"/>
        </w:rPr>
        <w:t> </w:t>
      </w:r>
      <w:r w:rsidRPr="0013242E">
        <w:rPr>
          <w:rFonts w:cs="Times New Roman"/>
          <w:szCs w:val="24"/>
        </w:rPr>
        <w:t>tis.</w:t>
      </w:r>
      <w:r w:rsidR="005A081B">
        <w:rPr>
          <w:rFonts w:cs="Times New Roman"/>
          <w:szCs w:val="24"/>
        </w:rPr>
        <w:t> </w:t>
      </w:r>
      <w:r w:rsidRPr="0013242E">
        <w:rPr>
          <w:rFonts w:cs="Times New Roman"/>
          <w:szCs w:val="24"/>
        </w:rPr>
        <w:t>eur vzrástli úhrady za dopravné služby vo</w:t>
      </w:r>
      <w:r w:rsidR="005A081B">
        <w:rPr>
          <w:rFonts w:cs="Times New Roman"/>
          <w:szCs w:val="24"/>
        </w:rPr>
        <w:t> </w:t>
      </w:r>
      <w:r w:rsidRPr="0013242E">
        <w:rPr>
          <w:rFonts w:cs="Times New Roman"/>
          <w:szCs w:val="24"/>
        </w:rPr>
        <w:t>verejnom záujme zo</w:t>
      </w:r>
      <w:r w:rsidR="003F1280">
        <w:rPr>
          <w:rFonts w:cs="Times New Roman"/>
          <w:szCs w:val="24"/>
        </w:rPr>
        <w:t> </w:t>
      </w:r>
      <w:r w:rsidRPr="0013242E">
        <w:rPr>
          <w:rFonts w:cs="Times New Roman"/>
          <w:szCs w:val="24"/>
        </w:rPr>
        <w:t>ŠR na základe uzatvorených dodatkov k</w:t>
      </w:r>
      <w:r w:rsidR="004C457E">
        <w:rPr>
          <w:rFonts w:cs="Times New Roman"/>
          <w:szCs w:val="24"/>
        </w:rPr>
        <w:t> Zmluve o dopravných službách vo</w:t>
      </w:r>
      <w:r w:rsidR="005A081B">
        <w:rPr>
          <w:rFonts w:cs="Times New Roman"/>
          <w:szCs w:val="24"/>
        </w:rPr>
        <w:t> </w:t>
      </w:r>
      <w:r w:rsidR="004C457E">
        <w:rPr>
          <w:rFonts w:cs="Times New Roman"/>
          <w:szCs w:val="24"/>
        </w:rPr>
        <w:t>verejnom záujme na rok 2025</w:t>
      </w:r>
      <w:r w:rsidRPr="0013242E">
        <w:rPr>
          <w:rFonts w:cs="Times New Roman"/>
          <w:szCs w:val="24"/>
        </w:rPr>
        <w:t xml:space="preserve"> s MD SR. Kapitálové granty </w:t>
      </w:r>
      <w:r w:rsidR="002803D5">
        <w:rPr>
          <w:rFonts w:cs="Times New Roman"/>
          <w:szCs w:val="24"/>
        </w:rPr>
        <w:t>boli vyššie</w:t>
      </w:r>
      <w:r w:rsidRPr="0013242E">
        <w:rPr>
          <w:rFonts w:cs="Times New Roman"/>
          <w:szCs w:val="24"/>
        </w:rPr>
        <w:t xml:space="preserve"> o</w:t>
      </w:r>
      <w:r w:rsidR="004C457E">
        <w:rPr>
          <w:rFonts w:cs="Times New Roman"/>
          <w:szCs w:val="24"/>
        </w:rPr>
        <w:t> </w:t>
      </w:r>
      <w:r w:rsidRPr="0013242E">
        <w:rPr>
          <w:rFonts w:cs="Times New Roman"/>
          <w:szCs w:val="24"/>
        </w:rPr>
        <w:t>33</w:t>
      </w:r>
      <w:r w:rsidR="004C457E">
        <w:rPr>
          <w:rFonts w:cs="Times New Roman"/>
          <w:szCs w:val="24"/>
        </w:rPr>
        <w:t> </w:t>
      </w:r>
      <w:r w:rsidRPr="0013242E">
        <w:rPr>
          <w:rFonts w:cs="Times New Roman"/>
          <w:szCs w:val="24"/>
        </w:rPr>
        <w:t>895</w:t>
      </w:r>
      <w:r w:rsidR="004C457E">
        <w:rPr>
          <w:rFonts w:cs="Times New Roman"/>
          <w:szCs w:val="24"/>
        </w:rPr>
        <w:t> </w:t>
      </w:r>
      <w:r w:rsidRPr="0013242E">
        <w:rPr>
          <w:rFonts w:cs="Times New Roman"/>
          <w:szCs w:val="24"/>
        </w:rPr>
        <w:t>tis.</w:t>
      </w:r>
      <w:r w:rsidR="004C457E">
        <w:rPr>
          <w:rFonts w:cs="Times New Roman"/>
          <w:szCs w:val="24"/>
        </w:rPr>
        <w:t> </w:t>
      </w:r>
      <w:r w:rsidRPr="0013242E">
        <w:rPr>
          <w:rFonts w:cs="Times New Roman"/>
          <w:szCs w:val="24"/>
        </w:rPr>
        <w:t xml:space="preserve">eur, najmä </w:t>
      </w:r>
      <w:r w:rsidR="004C457E" w:rsidRPr="004C457E">
        <w:rPr>
          <w:rFonts w:cs="Times New Roman"/>
          <w:szCs w:val="24"/>
        </w:rPr>
        <w:t xml:space="preserve">v dôsledku príjmu NFP z prostriedkov </w:t>
      </w:r>
      <w:r w:rsidR="00C4036E">
        <w:rPr>
          <w:rFonts w:cs="Times New Roman"/>
          <w:szCs w:val="24"/>
        </w:rPr>
        <w:t>POO</w:t>
      </w:r>
      <w:r w:rsidR="004C457E">
        <w:rPr>
          <w:rFonts w:cs="Times New Roman"/>
          <w:szCs w:val="24"/>
        </w:rPr>
        <w:t xml:space="preserve"> </w:t>
      </w:r>
      <w:r w:rsidR="004C457E" w:rsidRPr="0013242E">
        <w:rPr>
          <w:rFonts w:cs="Times New Roman"/>
          <w:szCs w:val="24"/>
        </w:rPr>
        <w:t>na</w:t>
      </w:r>
      <w:r w:rsidR="005A081B">
        <w:rPr>
          <w:rFonts w:cs="Times New Roman"/>
          <w:szCs w:val="24"/>
        </w:rPr>
        <w:t> </w:t>
      </w:r>
      <w:r w:rsidR="004C457E" w:rsidRPr="0013242E">
        <w:rPr>
          <w:rFonts w:cs="Times New Roman"/>
          <w:szCs w:val="24"/>
        </w:rPr>
        <w:t>nákup ekologických koľajových vozidiel</w:t>
      </w:r>
      <w:r w:rsidR="00EB3C86">
        <w:rPr>
          <w:rFonts w:cs="Times New Roman"/>
          <w:szCs w:val="24"/>
        </w:rPr>
        <w:t xml:space="preserve"> a</w:t>
      </w:r>
      <w:r w:rsidR="00E67125">
        <w:rPr>
          <w:rFonts w:cs="Times New Roman"/>
          <w:szCs w:val="24"/>
        </w:rPr>
        <w:t> </w:t>
      </w:r>
      <w:r w:rsidR="004C457E" w:rsidRPr="004C457E">
        <w:rPr>
          <w:rFonts w:cs="Times New Roman"/>
          <w:szCs w:val="24"/>
        </w:rPr>
        <w:t>ekologických veľkokapacitných ucelených jednotiek.</w:t>
      </w:r>
      <w:r w:rsidR="00EB3C86">
        <w:rPr>
          <w:rFonts w:cs="Times New Roman"/>
          <w:szCs w:val="24"/>
        </w:rPr>
        <w:t xml:space="preserve"> </w:t>
      </w:r>
      <w:r w:rsidRPr="0013242E">
        <w:rPr>
          <w:rFonts w:cs="Times New Roman"/>
          <w:szCs w:val="24"/>
        </w:rPr>
        <w:t>Mimorozpočtovým príjmom bol aj zahraničný grant z</w:t>
      </w:r>
      <w:r w:rsidR="00C4036E">
        <w:rPr>
          <w:rFonts w:cs="Times New Roman"/>
          <w:szCs w:val="24"/>
        </w:rPr>
        <w:t> </w:t>
      </w:r>
      <w:r w:rsidRPr="0013242E">
        <w:rPr>
          <w:rFonts w:cs="Times New Roman"/>
          <w:szCs w:val="24"/>
        </w:rPr>
        <w:t>nástroja CEF vo výške 2</w:t>
      </w:r>
      <w:r w:rsidR="00EB3C86">
        <w:rPr>
          <w:rFonts w:cs="Times New Roman"/>
          <w:szCs w:val="24"/>
        </w:rPr>
        <w:t> </w:t>
      </w:r>
      <w:r w:rsidRPr="0013242E">
        <w:rPr>
          <w:rFonts w:cs="Times New Roman"/>
          <w:szCs w:val="24"/>
        </w:rPr>
        <w:t>640</w:t>
      </w:r>
      <w:r w:rsidR="00EB3C86">
        <w:rPr>
          <w:rFonts w:cs="Times New Roman"/>
          <w:szCs w:val="24"/>
        </w:rPr>
        <w:t> </w:t>
      </w:r>
      <w:r w:rsidRPr="0013242E">
        <w:rPr>
          <w:rFonts w:cs="Times New Roman"/>
          <w:szCs w:val="24"/>
        </w:rPr>
        <w:t>tis.</w:t>
      </w:r>
      <w:r w:rsidR="00EB3C86">
        <w:rPr>
          <w:rFonts w:cs="Times New Roman"/>
          <w:szCs w:val="24"/>
        </w:rPr>
        <w:t> </w:t>
      </w:r>
      <w:r w:rsidRPr="0013242E">
        <w:rPr>
          <w:rFonts w:cs="Times New Roman"/>
          <w:szCs w:val="24"/>
        </w:rPr>
        <w:t>eur určený na inštaláciu systému ETCS</w:t>
      </w:r>
      <w:r w:rsidRPr="0013242E">
        <w:t>.</w:t>
      </w:r>
    </w:p>
    <w:p w14:paraId="35A533CF" w14:textId="4584AF3D" w:rsidR="00B216B4" w:rsidRPr="0013242E" w:rsidRDefault="00B216B4" w:rsidP="00B216B4">
      <w:pPr>
        <w:jc w:val="both"/>
        <w:rPr>
          <w:rFonts w:cs="Times New Roman"/>
          <w:szCs w:val="24"/>
        </w:rPr>
      </w:pPr>
      <w:r w:rsidRPr="0013242E">
        <w:rPr>
          <w:rFonts w:cs="Times New Roman"/>
          <w:szCs w:val="24"/>
        </w:rPr>
        <w:t>V</w:t>
      </w:r>
      <w:r w:rsidR="005A081B">
        <w:rPr>
          <w:rFonts w:cs="Times New Roman"/>
          <w:szCs w:val="24"/>
        </w:rPr>
        <w:t> </w:t>
      </w:r>
      <w:r w:rsidRPr="0013242E">
        <w:rPr>
          <w:rFonts w:cs="Times New Roman"/>
          <w:szCs w:val="24"/>
        </w:rPr>
        <w:t>oblasti</w:t>
      </w:r>
      <w:r w:rsidR="005A081B">
        <w:rPr>
          <w:rFonts w:cs="Times New Roman"/>
          <w:szCs w:val="24"/>
        </w:rPr>
        <w:t xml:space="preserve"> </w:t>
      </w:r>
      <w:r w:rsidR="00EB3C86">
        <w:rPr>
          <w:rFonts w:cs="Times New Roman"/>
          <w:szCs w:val="24"/>
        </w:rPr>
        <w:t xml:space="preserve">celkových </w:t>
      </w:r>
      <w:r w:rsidRPr="0013242E">
        <w:rPr>
          <w:rFonts w:cs="Times New Roman"/>
          <w:b/>
          <w:bCs/>
          <w:szCs w:val="24"/>
        </w:rPr>
        <w:t>výdavkov</w:t>
      </w:r>
      <w:r w:rsidRPr="0013242E">
        <w:rPr>
          <w:rFonts w:cs="Times New Roman"/>
          <w:szCs w:val="24"/>
        </w:rPr>
        <w:t> </w:t>
      </w:r>
      <w:r w:rsidR="00EB3C86">
        <w:rPr>
          <w:rFonts w:cs="Times New Roman"/>
          <w:szCs w:val="24"/>
        </w:rPr>
        <w:t>na úrovni</w:t>
      </w:r>
      <w:r w:rsidRPr="0013242E">
        <w:rPr>
          <w:rFonts w:cs="Times New Roman"/>
          <w:szCs w:val="24"/>
        </w:rPr>
        <w:t xml:space="preserve"> 687</w:t>
      </w:r>
      <w:r w:rsidR="00EB3C86">
        <w:rPr>
          <w:rFonts w:cs="Times New Roman"/>
          <w:szCs w:val="24"/>
        </w:rPr>
        <w:t> </w:t>
      </w:r>
      <w:r w:rsidRPr="0013242E">
        <w:rPr>
          <w:rFonts w:cs="Times New Roman"/>
          <w:szCs w:val="24"/>
        </w:rPr>
        <w:t>277</w:t>
      </w:r>
      <w:r w:rsidR="00EB3C86">
        <w:rPr>
          <w:rFonts w:cs="Times New Roman"/>
          <w:szCs w:val="24"/>
        </w:rPr>
        <w:t> </w:t>
      </w:r>
      <w:r w:rsidRPr="0013242E">
        <w:rPr>
          <w:rFonts w:cs="Times New Roman"/>
          <w:szCs w:val="24"/>
        </w:rPr>
        <w:t>tis.</w:t>
      </w:r>
      <w:r w:rsidR="00EB3C86">
        <w:rPr>
          <w:rFonts w:cs="Times New Roman"/>
          <w:szCs w:val="24"/>
        </w:rPr>
        <w:t> </w:t>
      </w:r>
      <w:r w:rsidRPr="0013242E">
        <w:rPr>
          <w:rFonts w:cs="Times New Roman"/>
          <w:szCs w:val="24"/>
        </w:rPr>
        <w:t xml:space="preserve">eur </w:t>
      </w:r>
      <w:r w:rsidR="00EB3C86">
        <w:rPr>
          <w:rFonts w:cs="Times New Roman"/>
          <w:szCs w:val="24"/>
        </w:rPr>
        <w:t xml:space="preserve">došlo oproti rozpočtu k poklesu o 42 779 tis. eur. </w:t>
      </w:r>
      <w:r w:rsidR="0098727D">
        <w:rPr>
          <w:rFonts w:cs="Times New Roman"/>
          <w:szCs w:val="24"/>
        </w:rPr>
        <w:t>P</w:t>
      </w:r>
      <w:r w:rsidRPr="0013242E">
        <w:rPr>
          <w:rFonts w:cs="Times New Roman"/>
          <w:szCs w:val="24"/>
        </w:rPr>
        <w:t xml:space="preserve">rekročeniu </w:t>
      </w:r>
      <w:r w:rsidR="00EB3C86">
        <w:rPr>
          <w:rFonts w:cs="Times New Roman"/>
          <w:szCs w:val="24"/>
        </w:rPr>
        <w:t>rozpočtovaného</w:t>
      </w:r>
      <w:r w:rsidRPr="0013242E">
        <w:rPr>
          <w:rFonts w:cs="Times New Roman"/>
          <w:szCs w:val="24"/>
        </w:rPr>
        <w:t xml:space="preserve"> limitu bežných výdavkov o</w:t>
      </w:r>
      <w:r w:rsidR="00EB3C86">
        <w:rPr>
          <w:rFonts w:cs="Times New Roman"/>
          <w:szCs w:val="24"/>
        </w:rPr>
        <w:t> </w:t>
      </w:r>
      <w:r w:rsidRPr="0013242E">
        <w:rPr>
          <w:rFonts w:cs="Times New Roman"/>
          <w:szCs w:val="24"/>
        </w:rPr>
        <w:t>14</w:t>
      </w:r>
      <w:r w:rsidR="00EB3C86">
        <w:rPr>
          <w:rFonts w:cs="Times New Roman"/>
          <w:szCs w:val="24"/>
        </w:rPr>
        <w:t> </w:t>
      </w:r>
      <w:r w:rsidRPr="0013242E">
        <w:rPr>
          <w:rFonts w:cs="Times New Roman"/>
          <w:szCs w:val="24"/>
        </w:rPr>
        <w:t>009</w:t>
      </w:r>
      <w:r w:rsidR="00EB3C86">
        <w:rPr>
          <w:rFonts w:cs="Times New Roman"/>
          <w:szCs w:val="24"/>
        </w:rPr>
        <w:t> </w:t>
      </w:r>
      <w:r w:rsidRPr="0013242E">
        <w:rPr>
          <w:rFonts w:cs="Times New Roman"/>
          <w:szCs w:val="24"/>
        </w:rPr>
        <w:t>tis.</w:t>
      </w:r>
      <w:r w:rsidR="00EB3C86">
        <w:rPr>
          <w:rFonts w:cs="Times New Roman"/>
          <w:szCs w:val="24"/>
        </w:rPr>
        <w:t> </w:t>
      </w:r>
      <w:r w:rsidRPr="0013242E">
        <w:rPr>
          <w:rFonts w:cs="Times New Roman"/>
          <w:szCs w:val="24"/>
        </w:rPr>
        <w:t>eur bolo spôsobené najmä zvýšenými nákladmi na opravy železničných koľajových vozidiel</w:t>
      </w:r>
      <w:r w:rsidR="0098727D">
        <w:rPr>
          <w:rFonts w:cs="Times New Roman"/>
          <w:szCs w:val="24"/>
        </w:rPr>
        <w:t>.</w:t>
      </w:r>
      <w:r w:rsidRPr="0013242E">
        <w:rPr>
          <w:rFonts w:cs="Times New Roman"/>
          <w:szCs w:val="24"/>
        </w:rPr>
        <w:t xml:space="preserve"> Výdavky na mzdy a poistné vzrástli úhrnom o</w:t>
      </w:r>
      <w:r w:rsidR="0098727D">
        <w:rPr>
          <w:rFonts w:cs="Times New Roman"/>
          <w:szCs w:val="24"/>
        </w:rPr>
        <w:t> </w:t>
      </w:r>
      <w:r w:rsidRPr="0013242E">
        <w:rPr>
          <w:rFonts w:cs="Times New Roman"/>
          <w:szCs w:val="24"/>
        </w:rPr>
        <w:t>7</w:t>
      </w:r>
      <w:r w:rsidR="0098727D">
        <w:rPr>
          <w:rFonts w:cs="Times New Roman"/>
          <w:szCs w:val="24"/>
        </w:rPr>
        <w:t> </w:t>
      </w:r>
      <w:r w:rsidRPr="0013242E">
        <w:rPr>
          <w:rFonts w:cs="Times New Roman"/>
          <w:szCs w:val="24"/>
        </w:rPr>
        <w:t>011</w:t>
      </w:r>
      <w:r w:rsidR="0098727D">
        <w:rPr>
          <w:rFonts w:cs="Times New Roman"/>
          <w:szCs w:val="24"/>
        </w:rPr>
        <w:t> </w:t>
      </w:r>
      <w:r w:rsidRPr="0013242E">
        <w:rPr>
          <w:rFonts w:cs="Times New Roman"/>
          <w:szCs w:val="24"/>
        </w:rPr>
        <w:t>tis.</w:t>
      </w:r>
      <w:r w:rsidR="0098727D">
        <w:rPr>
          <w:rFonts w:cs="Times New Roman"/>
          <w:szCs w:val="24"/>
        </w:rPr>
        <w:t> </w:t>
      </w:r>
      <w:r w:rsidRPr="0013242E">
        <w:rPr>
          <w:rFonts w:cs="Times New Roman"/>
          <w:szCs w:val="24"/>
        </w:rPr>
        <w:t>eur, čo bolo ovplyvnené finančnými dopadmi optimalizácie zamestnanosti a výplatami počas výpovedných lehôt</w:t>
      </w:r>
      <w:r w:rsidR="00D329D4">
        <w:rPr>
          <w:rFonts w:cs="Times New Roman"/>
          <w:szCs w:val="24"/>
        </w:rPr>
        <w:t>.</w:t>
      </w:r>
      <w:r w:rsidR="00087253">
        <w:rPr>
          <w:rFonts w:cs="Times New Roman"/>
          <w:szCs w:val="24"/>
        </w:rPr>
        <w:t xml:space="preserve"> Zabezpečenie DSVZ (automaty na lístky), náhradnej autobusovej dopravy z dôvodu výluk, sa prejavilo vyšším čerpaním výdavkov na tovary a služby o 11</w:t>
      </w:r>
      <w:r w:rsidR="00680C34">
        <w:rPr>
          <w:rFonts w:cs="Times New Roman"/>
          <w:szCs w:val="24"/>
        </w:rPr>
        <w:t> </w:t>
      </w:r>
      <w:r w:rsidR="00087253">
        <w:rPr>
          <w:rFonts w:cs="Times New Roman"/>
          <w:szCs w:val="24"/>
        </w:rPr>
        <w:t>680</w:t>
      </w:r>
      <w:r w:rsidR="00680C34">
        <w:rPr>
          <w:rFonts w:cs="Times New Roman"/>
          <w:szCs w:val="24"/>
        </w:rPr>
        <w:t> </w:t>
      </w:r>
      <w:r w:rsidR="00087253">
        <w:rPr>
          <w:rFonts w:cs="Times New Roman"/>
          <w:szCs w:val="24"/>
        </w:rPr>
        <w:t xml:space="preserve">tis. eur. </w:t>
      </w:r>
      <w:r w:rsidRPr="0013242E">
        <w:rPr>
          <w:rFonts w:cs="Times New Roman"/>
          <w:szCs w:val="24"/>
        </w:rPr>
        <w:t>Bežné transfery sa zvýšili o</w:t>
      </w:r>
      <w:r w:rsidR="0098727D">
        <w:rPr>
          <w:rFonts w:cs="Times New Roman"/>
          <w:szCs w:val="24"/>
        </w:rPr>
        <w:t> </w:t>
      </w:r>
      <w:r w:rsidRPr="0013242E">
        <w:rPr>
          <w:rFonts w:cs="Times New Roman"/>
          <w:szCs w:val="24"/>
        </w:rPr>
        <w:t>5</w:t>
      </w:r>
      <w:r w:rsidR="0098727D">
        <w:rPr>
          <w:rFonts w:cs="Times New Roman"/>
          <w:szCs w:val="24"/>
        </w:rPr>
        <w:t> </w:t>
      </w:r>
      <w:r w:rsidRPr="0098727D">
        <w:t>967</w:t>
      </w:r>
      <w:r w:rsidR="0098727D">
        <w:t> </w:t>
      </w:r>
      <w:r w:rsidRPr="0098727D">
        <w:t>tis</w:t>
      </w:r>
      <w:r w:rsidRPr="0013242E">
        <w:rPr>
          <w:rFonts w:cs="Times New Roman"/>
          <w:szCs w:val="24"/>
        </w:rPr>
        <w:t>.</w:t>
      </w:r>
      <w:r w:rsidR="0098727D">
        <w:t> </w:t>
      </w:r>
      <w:r w:rsidRPr="0013242E">
        <w:rPr>
          <w:rFonts w:cs="Times New Roman"/>
          <w:szCs w:val="24"/>
        </w:rPr>
        <w:t>eur, predovšetkým z titulu odstupného, odchodného a</w:t>
      </w:r>
      <w:r w:rsidR="00042F5E">
        <w:rPr>
          <w:rFonts w:cs="Times New Roman"/>
          <w:szCs w:val="24"/>
        </w:rPr>
        <w:t> </w:t>
      </w:r>
      <w:r w:rsidRPr="0013242E">
        <w:rPr>
          <w:rFonts w:cs="Times New Roman"/>
          <w:szCs w:val="24"/>
        </w:rPr>
        <w:t>vyplatených odškodnení cestujúcim po</w:t>
      </w:r>
      <w:r w:rsidR="005A081B">
        <w:rPr>
          <w:rFonts w:cs="Times New Roman"/>
          <w:szCs w:val="24"/>
        </w:rPr>
        <w:t> </w:t>
      </w:r>
      <w:r w:rsidRPr="0013242E">
        <w:rPr>
          <w:rFonts w:cs="Times New Roman"/>
          <w:szCs w:val="24"/>
        </w:rPr>
        <w:t>železničných nehodách. Výdavky na</w:t>
      </w:r>
      <w:r w:rsidR="003F1280">
        <w:rPr>
          <w:rFonts w:cs="Times New Roman"/>
          <w:szCs w:val="24"/>
        </w:rPr>
        <w:t> </w:t>
      </w:r>
      <w:r w:rsidRPr="0013242E">
        <w:rPr>
          <w:rFonts w:cs="Times New Roman"/>
          <w:szCs w:val="24"/>
        </w:rPr>
        <w:t>úroky klesli o</w:t>
      </w:r>
      <w:r w:rsidR="0098727D">
        <w:rPr>
          <w:rFonts w:cs="Times New Roman"/>
          <w:szCs w:val="24"/>
        </w:rPr>
        <w:t> </w:t>
      </w:r>
      <w:r w:rsidRPr="0013242E">
        <w:rPr>
          <w:rFonts w:cs="Times New Roman"/>
          <w:szCs w:val="24"/>
        </w:rPr>
        <w:t>10</w:t>
      </w:r>
      <w:r w:rsidR="0098727D">
        <w:rPr>
          <w:rFonts w:cs="Times New Roman"/>
          <w:szCs w:val="24"/>
        </w:rPr>
        <w:t> </w:t>
      </w:r>
      <w:r w:rsidRPr="0013242E">
        <w:rPr>
          <w:rFonts w:cs="Times New Roman"/>
          <w:szCs w:val="24"/>
        </w:rPr>
        <w:t>649</w:t>
      </w:r>
      <w:r w:rsidR="0098727D">
        <w:rPr>
          <w:rFonts w:cs="Times New Roman"/>
          <w:szCs w:val="24"/>
        </w:rPr>
        <w:t> </w:t>
      </w:r>
      <w:r w:rsidRPr="0013242E">
        <w:rPr>
          <w:rFonts w:cs="Times New Roman"/>
          <w:szCs w:val="24"/>
        </w:rPr>
        <w:t>tis.</w:t>
      </w:r>
      <w:r w:rsidR="0098727D">
        <w:rPr>
          <w:rFonts w:cs="Times New Roman"/>
          <w:szCs w:val="24"/>
        </w:rPr>
        <w:t> </w:t>
      </w:r>
      <w:r w:rsidRPr="0013242E">
        <w:rPr>
          <w:rFonts w:cs="Times New Roman"/>
          <w:szCs w:val="24"/>
        </w:rPr>
        <w:t>eur pod</w:t>
      </w:r>
      <w:r w:rsidR="00680C34">
        <w:rPr>
          <w:rFonts w:cs="Times New Roman"/>
          <w:szCs w:val="24"/>
        </w:rPr>
        <w:t> </w:t>
      </w:r>
      <w:r w:rsidRPr="0013242E">
        <w:rPr>
          <w:rFonts w:cs="Times New Roman"/>
          <w:szCs w:val="24"/>
        </w:rPr>
        <w:t>úroveň rozpočtu.</w:t>
      </w:r>
    </w:p>
    <w:p w14:paraId="1DC14B37" w14:textId="7E8FEBAF" w:rsidR="00B216B4" w:rsidRPr="0013242E" w:rsidRDefault="00B216B4" w:rsidP="00B216B4">
      <w:pPr>
        <w:jc w:val="both"/>
        <w:rPr>
          <w:rFonts w:cs="Times New Roman"/>
          <w:szCs w:val="24"/>
        </w:rPr>
      </w:pPr>
      <w:r w:rsidRPr="0013242E">
        <w:rPr>
          <w:rFonts w:cs="Times New Roman"/>
          <w:b/>
          <w:bCs/>
          <w:szCs w:val="24"/>
        </w:rPr>
        <w:t>Výdavky na obstaranie kapitálových aktív</w:t>
      </w:r>
      <w:r w:rsidRPr="0013242E">
        <w:rPr>
          <w:rFonts w:cs="Times New Roman"/>
          <w:szCs w:val="24"/>
        </w:rPr>
        <w:t> sa oproti rozpočtu znížili o</w:t>
      </w:r>
      <w:r w:rsidR="0098727D">
        <w:rPr>
          <w:rFonts w:cs="Times New Roman"/>
          <w:szCs w:val="24"/>
        </w:rPr>
        <w:t> </w:t>
      </w:r>
      <w:r w:rsidRPr="0013242E">
        <w:rPr>
          <w:rFonts w:cs="Times New Roman"/>
          <w:szCs w:val="24"/>
        </w:rPr>
        <w:t>56</w:t>
      </w:r>
      <w:r w:rsidR="0098727D">
        <w:rPr>
          <w:rFonts w:cs="Times New Roman"/>
          <w:szCs w:val="24"/>
        </w:rPr>
        <w:t> </w:t>
      </w:r>
      <w:r w:rsidRPr="0013242E">
        <w:rPr>
          <w:rFonts w:cs="Times New Roman"/>
          <w:szCs w:val="24"/>
        </w:rPr>
        <w:t>788</w:t>
      </w:r>
      <w:r w:rsidR="0098727D">
        <w:rPr>
          <w:rFonts w:cs="Times New Roman"/>
          <w:szCs w:val="24"/>
        </w:rPr>
        <w:t> </w:t>
      </w:r>
      <w:r w:rsidRPr="0013242E">
        <w:rPr>
          <w:rFonts w:cs="Times New Roman"/>
          <w:szCs w:val="24"/>
        </w:rPr>
        <w:t>tis.</w:t>
      </w:r>
      <w:r w:rsidR="0098727D">
        <w:rPr>
          <w:rFonts w:cs="Times New Roman"/>
          <w:szCs w:val="24"/>
        </w:rPr>
        <w:t> </w:t>
      </w:r>
      <w:r w:rsidRPr="0013242E">
        <w:rPr>
          <w:rFonts w:cs="Times New Roman"/>
          <w:szCs w:val="24"/>
        </w:rPr>
        <w:t>eur. Tento pokles súvisí s prehodnotením investičných priorít a realizáciou úhrad ostatných investícií financovaných z vlastných zdrojov ZSSK v zníženom objeme.</w:t>
      </w:r>
    </w:p>
    <w:p w14:paraId="78F90DD5" w14:textId="334F8807" w:rsidR="00F9660C" w:rsidRDefault="00B216B4" w:rsidP="00B216B4">
      <w:pPr>
        <w:jc w:val="both"/>
        <w:rPr>
          <w:rFonts w:cs="Times New Roman"/>
          <w:szCs w:val="24"/>
        </w:rPr>
      </w:pPr>
      <w:r w:rsidRPr="0013242E">
        <w:rPr>
          <w:rFonts w:cs="Times New Roman"/>
          <w:szCs w:val="24"/>
        </w:rPr>
        <w:t>Hospodárenie spoločnosti podľa metodiky</w:t>
      </w:r>
      <w:r w:rsidR="00680C34">
        <w:rPr>
          <w:rFonts w:cs="Times New Roman"/>
          <w:szCs w:val="24"/>
        </w:rPr>
        <w:t xml:space="preserve"> </w:t>
      </w:r>
      <w:r w:rsidRPr="0013242E">
        <w:rPr>
          <w:rFonts w:cs="Times New Roman"/>
          <w:szCs w:val="24"/>
        </w:rPr>
        <w:t>ESA</w:t>
      </w:r>
      <w:r w:rsidR="00680C34">
        <w:rPr>
          <w:rFonts w:cs="Times New Roman"/>
          <w:szCs w:val="24"/>
        </w:rPr>
        <w:t> </w:t>
      </w:r>
      <w:r w:rsidRPr="0013242E">
        <w:rPr>
          <w:rFonts w:cs="Times New Roman"/>
          <w:szCs w:val="24"/>
        </w:rPr>
        <w:t>2010</w:t>
      </w:r>
      <w:r w:rsidR="00680C34">
        <w:rPr>
          <w:rFonts w:cs="Times New Roman"/>
          <w:szCs w:val="24"/>
        </w:rPr>
        <w:t xml:space="preserve"> </w:t>
      </w:r>
      <w:r w:rsidRPr="0013242E">
        <w:rPr>
          <w:rFonts w:cs="Times New Roman"/>
          <w:szCs w:val="24"/>
        </w:rPr>
        <w:t>v roku 2025</w:t>
      </w:r>
      <w:r w:rsidR="0098727D">
        <w:rPr>
          <w:rFonts w:cs="Times New Roman"/>
          <w:szCs w:val="24"/>
        </w:rPr>
        <w:t xml:space="preserve"> pozitívne</w:t>
      </w:r>
      <w:r w:rsidRPr="0013242E">
        <w:rPr>
          <w:rFonts w:cs="Times New Roman"/>
          <w:szCs w:val="24"/>
        </w:rPr>
        <w:t xml:space="preserve"> ovplyvnil </w:t>
      </w:r>
      <w:r w:rsidR="00D329D4">
        <w:rPr>
          <w:rFonts w:cs="Times New Roman"/>
          <w:szCs w:val="24"/>
        </w:rPr>
        <w:t xml:space="preserve">medziročný </w:t>
      </w:r>
      <w:r w:rsidRPr="0013242E">
        <w:rPr>
          <w:rFonts w:cs="Times New Roman"/>
          <w:szCs w:val="24"/>
        </w:rPr>
        <w:t>nárast stavu pohľadávok o</w:t>
      </w:r>
      <w:r w:rsidR="0098727D">
        <w:rPr>
          <w:rFonts w:cs="Times New Roman"/>
          <w:szCs w:val="24"/>
        </w:rPr>
        <w:t> </w:t>
      </w:r>
      <w:r w:rsidRPr="0013242E">
        <w:rPr>
          <w:rFonts w:cs="Times New Roman"/>
          <w:szCs w:val="24"/>
        </w:rPr>
        <w:t>3</w:t>
      </w:r>
      <w:r w:rsidR="0098727D">
        <w:rPr>
          <w:rFonts w:cs="Times New Roman"/>
          <w:szCs w:val="24"/>
        </w:rPr>
        <w:t>4 439 </w:t>
      </w:r>
      <w:r w:rsidRPr="0013242E">
        <w:rPr>
          <w:rFonts w:cs="Times New Roman"/>
          <w:szCs w:val="24"/>
        </w:rPr>
        <w:t>tis.</w:t>
      </w:r>
      <w:r w:rsidR="0098727D">
        <w:rPr>
          <w:rFonts w:cs="Times New Roman"/>
          <w:szCs w:val="24"/>
        </w:rPr>
        <w:t> </w:t>
      </w:r>
      <w:r w:rsidRPr="0013242E">
        <w:rPr>
          <w:rFonts w:cs="Times New Roman"/>
          <w:szCs w:val="24"/>
        </w:rPr>
        <w:t xml:space="preserve">eur </w:t>
      </w:r>
      <w:r w:rsidR="0098727D">
        <w:rPr>
          <w:rFonts w:cs="Times New Roman"/>
          <w:szCs w:val="24"/>
        </w:rPr>
        <w:t xml:space="preserve">a v menšej miere aj </w:t>
      </w:r>
      <w:r w:rsidRPr="0013242E">
        <w:rPr>
          <w:rFonts w:cs="Times New Roman"/>
          <w:szCs w:val="24"/>
        </w:rPr>
        <w:t>pokles záväzkov o</w:t>
      </w:r>
      <w:r w:rsidR="0098727D">
        <w:rPr>
          <w:rFonts w:cs="Times New Roman"/>
          <w:szCs w:val="24"/>
        </w:rPr>
        <w:t> 4 929 </w:t>
      </w:r>
      <w:r w:rsidRPr="0013242E">
        <w:rPr>
          <w:rFonts w:cs="Times New Roman"/>
          <w:szCs w:val="24"/>
        </w:rPr>
        <w:t>tis.</w:t>
      </w:r>
      <w:r w:rsidR="0098727D">
        <w:rPr>
          <w:rFonts w:cs="Times New Roman"/>
          <w:szCs w:val="24"/>
        </w:rPr>
        <w:t> </w:t>
      </w:r>
      <w:r w:rsidRPr="0013242E">
        <w:rPr>
          <w:rFonts w:cs="Times New Roman"/>
          <w:szCs w:val="24"/>
        </w:rPr>
        <w:t>eur. Na</w:t>
      </w:r>
      <w:r w:rsidR="005A081B">
        <w:rPr>
          <w:rFonts w:cs="Times New Roman"/>
          <w:szCs w:val="24"/>
        </w:rPr>
        <w:t> </w:t>
      </w:r>
      <w:r w:rsidRPr="0013242E">
        <w:rPr>
          <w:rFonts w:cs="Times New Roman"/>
          <w:szCs w:val="24"/>
        </w:rPr>
        <w:t>strane pohľadávok došlo k výraznému nárastu najmä v</w:t>
      </w:r>
      <w:r w:rsidR="003F1280">
        <w:rPr>
          <w:rFonts w:cs="Times New Roman"/>
          <w:szCs w:val="24"/>
        </w:rPr>
        <w:t> </w:t>
      </w:r>
      <w:r w:rsidRPr="0013242E">
        <w:rPr>
          <w:rFonts w:cs="Times New Roman"/>
          <w:szCs w:val="24"/>
        </w:rPr>
        <w:t>položke poskytnutých preddavkov na dlhodobý majetok</w:t>
      </w:r>
      <w:r w:rsidR="00F9660C">
        <w:rPr>
          <w:rFonts w:cs="Times New Roman"/>
          <w:szCs w:val="24"/>
        </w:rPr>
        <w:t xml:space="preserve"> </w:t>
      </w:r>
      <w:r w:rsidRPr="0013242E">
        <w:rPr>
          <w:rFonts w:cs="Times New Roman"/>
          <w:szCs w:val="24"/>
        </w:rPr>
        <w:t>o</w:t>
      </w:r>
      <w:r w:rsidR="00F9660C">
        <w:rPr>
          <w:rFonts w:cs="Times New Roman"/>
          <w:szCs w:val="24"/>
        </w:rPr>
        <w:t> </w:t>
      </w:r>
      <w:r w:rsidRPr="0013242E">
        <w:rPr>
          <w:rFonts w:cs="Times New Roman"/>
          <w:szCs w:val="24"/>
        </w:rPr>
        <w:t>30</w:t>
      </w:r>
      <w:r w:rsidR="00F9660C">
        <w:rPr>
          <w:rFonts w:cs="Times New Roman"/>
          <w:szCs w:val="24"/>
        </w:rPr>
        <w:t> </w:t>
      </w:r>
      <w:r w:rsidRPr="0013242E">
        <w:rPr>
          <w:rFonts w:cs="Times New Roman"/>
          <w:szCs w:val="24"/>
        </w:rPr>
        <w:t>305</w:t>
      </w:r>
      <w:r w:rsidR="00F9660C">
        <w:rPr>
          <w:rFonts w:cs="Times New Roman"/>
          <w:szCs w:val="24"/>
        </w:rPr>
        <w:t> </w:t>
      </w:r>
      <w:r w:rsidRPr="0013242E">
        <w:rPr>
          <w:rFonts w:cs="Times New Roman"/>
          <w:szCs w:val="24"/>
        </w:rPr>
        <w:t>tis.</w:t>
      </w:r>
      <w:r w:rsidR="00F9660C">
        <w:rPr>
          <w:rFonts w:cs="Times New Roman"/>
          <w:szCs w:val="24"/>
        </w:rPr>
        <w:t> </w:t>
      </w:r>
      <w:r w:rsidRPr="0013242E">
        <w:rPr>
          <w:rFonts w:cs="Times New Roman"/>
          <w:szCs w:val="24"/>
        </w:rPr>
        <w:t>eur, čo súvisí s</w:t>
      </w:r>
      <w:r w:rsidR="003F1280">
        <w:rPr>
          <w:rFonts w:cs="Times New Roman"/>
          <w:szCs w:val="24"/>
        </w:rPr>
        <w:t> </w:t>
      </w:r>
      <w:r w:rsidRPr="0013242E">
        <w:rPr>
          <w:rFonts w:cs="Times New Roman"/>
          <w:szCs w:val="24"/>
        </w:rPr>
        <w:t>nákupom elektrických jednotiek ŠKODA a inštaláciou systému ETCS. Ostatné pohľadávky vzrástli o</w:t>
      </w:r>
      <w:r w:rsidR="00F9660C">
        <w:rPr>
          <w:rFonts w:cs="Times New Roman"/>
          <w:szCs w:val="24"/>
        </w:rPr>
        <w:t> </w:t>
      </w:r>
      <w:r w:rsidRPr="0013242E">
        <w:rPr>
          <w:rFonts w:cs="Times New Roman"/>
          <w:szCs w:val="24"/>
        </w:rPr>
        <w:t>3</w:t>
      </w:r>
      <w:r w:rsidR="00F9660C">
        <w:rPr>
          <w:rFonts w:cs="Times New Roman"/>
          <w:szCs w:val="24"/>
        </w:rPr>
        <w:t> </w:t>
      </w:r>
      <w:r w:rsidRPr="0013242E">
        <w:rPr>
          <w:rFonts w:cs="Times New Roman"/>
          <w:szCs w:val="24"/>
        </w:rPr>
        <w:t>198</w:t>
      </w:r>
      <w:r w:rsidR="00F9660C">
        <w:rPr>
          <w:rFonts w:cs="Times New Roman"/>
          <w:szCs w:val="24"/>
        </w:rPr>
        <w:t> </w:t>
      </w:r>
      <w:r w:rsidRPr="0013242E">
        <w:rPr>
          <w:rFonts w:cs="Times New Roman"/>
          <w:szCs w:val="24"/>
        </w:rPr>
        <w:t>tis.</w:t>
      </w:r>
      <w:r w:rsidR="00F9660C">
        <w:rPr>
          <w:rFonts w:cs="Times New Roman"/>
          <w:szCs w:val="24"/>
        </w:rPr>
        <w:t> </w:t>
      </w:r>
      <w:r w:rsidRPr="0013242E">
        <w:rPr>
          <w:rFonts w:cs="Times New Roman"/>
          <w:szCs w:val="24"/>
        </w:rPr>
        <w:t>eur z dôvodu nárokov na</w:t>
      </w:r>
      <w:r w:rsidR="005A081B">
        <w:rPr>
          <w:rFonts w:cs="Times New Roman"/>
          <w:szCs w:val="24"/>
        </w:rPr>
        <w:t> </w:t>
      </w:r>
      <w:r w:rsidRPr="0013242E">
        <w:rPr>
          <w:rFonts w:cs="Times New Roman"/>
          <w:szCs w:val="24"/>
        </w:rPr>
        <w:t>náhradu škôd po nehodách.</w:t>
      </w:r>
    </w:p>
    <w:p w14:paraId="348F28EC" w14:textId="29113962" w:rsidR="00B216B4" w:rsidRDefault="00B216B4" w:rsidP="00F9660C">
      <w:pPr>
        <w:jc w:val="both"/>
        <w:rPr>
          <w:rFonts w:cs="Times New Roman"/>
          <w:szCs w:val="24"/>
        </w:rPr>
      </w:pPr>
      <w:r w:rsidRPr="0013242E">
        <w:rPr>
          <w:rFonts w:cs="Times New Roman"/>
          <w:szCs w:val="24"/>
        </w:rPr>
        <w:t>V oblasti záväzkov bol zaznamenaný</w:t>
      </w:r>
      <w:r w:rsidR="00D329D4">
        <w:rPr>
          <w:rFonts w:cs="Times New Roman"/>
          <w:szCs w:val="24"/>
        </w:rPr>
        <w:t xml:space="preserve"> medziročný</w:t>
      </w:r>
      <w:r w:rsidRPr="0013242E">
        <w:rPr>
          <w:rFonts w:cs="Times New Roman"/>
          <w:szCs w:val="24"/>
        </w:rPr>
        <w:t xml:space="preserve"> pokles pri výdavkoch budúcich období o</w:t>
      </w:r>
      <w:r w:rsidR="00F9660C">
        <w:rPr>
          <w:rFonts w:cs="Times New Roman"/>
          <w:szCs w:val="24"/>
        </w:rPr>
        <w:t> </w:t>
      </w:r>
      <w:r w:rsidRPr="0013242E">
        <w:rPr>
          <w:rFonts w:cs="Times New Roman"/>
          <w:szCs w:val="24"/>
        </w:rPr>
        <w:t>4</w:t>
      </w:r>
      <w:r w:rsidR="00F9660C">
        <w:rPr>
          <w:rFonts w:cs="Times New Roman"/>
          <w:szCs w:val="24"/>
        </w:rPr>
        <w:t> </w:t>
      </w:r>
      <w:r w:rsidRPr="0013242E">
        <w:rPr>
          <w:rFonts w:cs="Times New Roman"/>
          <w:szCs w:val="24"/>
        </w:rPr>
        <w:t>073</w:t>
      </w:r>
      <w:r w:rsidR="00F9660C">
        <w:rPr>
          <w:rFonts w:cs="Times New Roman"/>
          <w:szCs w:val="24"/>
        </w:rPr>
        <w:t> </w:t>
      </w:r>
      <w:r w:rsidRPr="0013242E">
        <w:rPr>
          <w:rFonts w:cs="Times New Roman"/>
          <w:szCs w:val="24"/>
        </w:rPr>
        <w:t>tis.</w:t>
      </w:r>
      <w:r w:rsidR="00F9660C">
        <w:rPr>
          <w:rFonts w:cs="Times New Roman"/>
          <w:szCs w:val="24"/>
        </w:rPr>
        <w:t> </w:t>
      </w:r>
      <w:r w:rsidRPr="0013242E">
        <w:rPr>
          <w:rFonts w:cs="Times New Roman"/>
          <w:szCs w:val="24"/>
        </w:rPr>
        <w:t xml:space="preserve">eur (zúčtovanie rezerv na </w:t>
      </w:r>
      <w:r w:rsidR="00F9660C">
        <w:rPr>
          <w:rFonts w:cs="Times New Roman"/>
          <w:szCs w:val="24"/>
        </w:rPr>
        <w:t xml:space="preserve">spotrebu trakčnej </w:t>
      </w:r>
      <w:r w:rsidRPr="0013242E">
        <w:rPr>
          <w:rFonts w:cs="Times New Roman"/>
          <w:szCs w:val="24"/>
        </w:rPr>
        <w:t>energie) a</w:t>
      </w:r>
      <w:r w:rsidR="00680C34">
        <w:rPr>
          <w:rFonts w:cs="Times New Roman"/>
          <w:szCs w:val="24"/>
        </w:rPr>
        <w:t> </w:t>
      </w:r>
      <w:r w:rsidRPr="0013242E">
        <w:rPr>
          <w:rFonts w:cs="Times New Roman"/>
          <w:szCs w:val="24"/>
        </w:rPr>
        <w:t>pri</w:t>
      </w:r>
      <w:r w:rsidR="00680C34">
        <w:rPr>
          <w:rFonts w:cs="Times New Roman"/>
          <w:szCs w:val="24"/>
        </w:rPr>
        <w:t> </w:t>
      </w:r>
      <w:r w:rsidRPr="0013242E">
        <w:rPr>
          <w:rFonts w:cs="Times New Roman"/>
          <w:szCs w:val="24"/>
        </w:rPr>
        <w:t>záväzkoch voči zamestnancom o</w:t>
      </w:r>
      <w:r w:rsidR="00F9660C">
        <w:rPr>
          <w:rFonts w:cs="Times New Roman"/>
          <w:szCs w:val="24"/>
        </w:rPr>
        <w:t> </w:t>
      </w:r>
      <w:r w:rsidRPr="0013242E">
        <w:rPr>
          <w:rFonts w:cs="Times New Roman"/>
          <w:szCs w:val="24"/>
        </w:rPr>
        <w:t>2</w:t>
      </w:r>
      <w:r w:rsidR="00F9660C">
        <w:rPr>
          <w:rFonts w:cs="Times New Roman"/>
          <w:szCs w:val="24"/>
        </w:rPr>
        <w:t> </w:t>
      </w:r>
      <w:r w:rsidRPr="0013242E">
        <w:rPr>
          <w:rFonts w:cs="Times New Roman"/>
          <w:szCs w:val="24"/>
        </w:rPr>
        <w:t>035</w:t>
      </w:r>
      <w:r w:rsidR="00F9660C">
        <w:rPr>
          <w:rFonts w:cs="Times New Roman"/>
          <w:szCs w:val="24"/>
        </w:rPr>
        <w:t> </w:t>
      </w:r>
      <w:r w:rsidRPr="0013242E">
        <w:rPr>
          <w:rFonts w:cs="Times New Roman"/>
          <w:szCs w:val="24"/>
        </w:rPr>
        <w:t>tis.</w:t>
      </w:r>
      <w:r w:rsidR="00F9660C">
        <w:rPr>
          <w:rFonts w:cs="Times New Roman"/>
          <w:szCs w:val="24"/>
        </w:rPr>
        <w:t> </w:t>
      </w:r>
      <w:r w:rsidRPr="00251FC3">
        <w:rPr>
          <w:rFonts w:cs="Times New Roman"/>
          <w:szCs w:val="24"/>
        </w:rPr>
        <w:t xml:space="preserve">eur. </w:t>
      </w:r>
      <w:r w:rsidR="00926243" w:rsidRPr="00251FC3">
        <w:rPr>
          <w:rFonts w:cs="Times New Roman"/>
          <w:szCs w:val="24"/>
        </w:rPr>
        <w:t>Významný vplyv na</w:t>
      </w:r>
      <w:r w:rsidR="003F1280" w:rsidRPr="00251FC3">
        <w:rPr>
          <w:rFonts w:cs="Times New Roman"/>
          <w:szCs w:val="24"/>
        </w:rPr>
        <w:t> </w:t>
      </w:r>
      <w:r w:rsidR="00926243" w:rsidRPr="00251FC3">
        <w:rPr>
          <w:rFonts w:cs="Times New Roman"/>
          <w:szCs w:val="24"/>
        </w:rPr>
        <w:t>ESA prebytok mala imputácia faktoringu (pokles záväzkov) v objeme 14</w:t>
      </w:r>
      <w:r w:rsidR="005A081B" w:rsidRPr="00251FC3">
        <w:rPr>
          <w:rFonts w:cs="Times New Roman"/>
          <w:szCs w:val="24"/>
        </w:rPr>
        <w:t> </w:t>
      </w:r>
      <w:r w:rsidR="00926243" w:rsidRPr="00251FC3">
        <w:rPr>
          <w:rFonts w:cs="Times New Roman"/>
          <w:szCs w:val="24"/>
        </w:rPr>
        <w:t>619</w:t>
      </w:r>
      <w:r w:rsidR="005A081B" w:rsidRPr="00251FC3">
        <w:rPr>
          <w:rFonts w:cs="Times New Roman"/>
          <w:szCs w:val="24"/>
        </w:rPr>
        <w:t> </w:t>
      </w:r>
      <w:r w:rsidR="00926243" w:rsidRPr="00251FC3">
        <w:rPr>
          <w:rFonts w:cs="Times New Roman"/>
          <w:szCs w:val="24"/>
        </w:rPr>
        <w:t>tis. eur.</w:t>
      </w:r>
    </w:p>
    <w:p w14:paraId="1A42DEC2" w14:textId="77777777" w:rsidR="00415273" w:rsidRPr="0050710A" w:rsidRDefault="00415273" w:rsidP="00532D85">
      <w:pPr>
        <w:spacing w:line="240" w:lineRule="auto"/>
        <w:jc w:val="both"/>
        <w:rPr>
          <w:rFonts w:eastAsia="Times New Roman" w:cs="Times New Roman"/>
          <w:szCs w:val="24"/>
          <w:highlight w:val="yellow"/>
          <w:lang w:eastAsia="sk-SK"/>
        </w:rPr>
      </w:pPr>
    </w:p>
    <w:p w14:paraId="5D20D369" w14:textId="7A860C34" w:rsidR="00243D7C" w:rsidRDefault="009A05C7" w:rsidP="00532D85">
      <w:pPr>
        <w:spacing w:line="240" w:lineRule="auto"/>
        <w:jc w:val="both"/>
        <w:rPr>
          <w:rFonts w:cs="Times New Roman"/>
          <w:szCs w:val="24"/>
        </w:rPr>
      </w:pPr>
      <w:r w:rsidRPr="00243D7C">
        <w:rPr>
          <w:rFonts w:cs="Times New Roman"/>
          <w:b/>
          <w:szCs w:val="24"/>
        </w:rPr>
        <w:t>MH Invest, s. r. o.</w:t>
      </w:r>
      <w:r w:rsidR="00467F0B">
        <w:rPr>
          <w:rFonts w:cs="Times New Roman"/>
          <w:b/>
          <w:szCs w:val="24"/>
        </w:rPr>
        <w:t>,</w:t>
      </w:r>
      <w:r w:rsidRPr="00243D7C">
        <w:rPr>
          <w:rFonts w:cs="Times New Roman"/>
          <w:b/>
          <w:szCs w:val="24"/>
        </w:rPr>
        <w:t xml:space="preserve"> </w:t>
      </w:r>
      <w:r w:rsidR="0044244B" w:rsidRPr="00243D7C">
        <w:rPr>
          <w:rFonts w:cs="Times New Roman"/>
          <w:bCs/>
          <w:szCs w:val="24"/>
        </w:rPr>
        <w:t>hospodáril v roku 2025 so schodkom 4</w:t>
      </w:r>
      <w:r w:rsidRPr="00243D7C">
        <w:rPr>
          <w:rFonts w:cs="Times New Roman"/>
          <w:szCs w:val="24"/>
        </w:rPr>
        <w:t> </w:t>
      </w:r>
      <w:r w:rsidR="0003451B" w:rsidRPr="00243D7C">
        <w:rPr>
          <w:rFonts w:cs="Times New Roman"/>
          <w:szCs w:val="24"/>
        </w:rPr>
        <w:t>8</w:t>
      </w:r>
      <w:r w:rsidR="0044244B" w:rsidRPr="00243D7C">
        <w:rPr>
          <w:rFonts w:cs="Times New Roman"/>
          <w:szCs w:val="24"/>
        </w:rPr>
        <w:t>57</w:t>
      </w:r>
      <w:r w:rsidRPr="00243D7C">
        <w:rPr>
          <w:rFonts w:cs="Times New Roman"/>
          <w:szCs w:val="24"/>
        </w:rPr>
        <w:t> tis. eur</w:t>
      </w:r>
      <w:r w:rsidR="00243D7C">
        <w:rPr>
          <w:rFonts w:cs="Times New Roman"/>
          <w:szCs w:val="24"/>
        </w:rPr>
        <w:t>, čo v porovnaní s rozpočtom je l</w:t>
      </w:r>
      <w:r w:rsidR="0003451B" w:rsidRPr="00243D7C">
        <w:rPr>
          <w:rFonts w:cs="Times New Roman"/>
          <w:szCs w:val="24"/>
        </w:rPr>
        <w:t>epšie hospodárenie o</w:t>
      </w:r>
      <w:r w:rsidR="005A081B">
        <w:rPr>
          <w:rFonts w:cs="Times New Roman"/>
          <w:szCs w:val="24"/>
        </w:rPr>
        <w:t> </w:t>
      </w:r>
      <w:r w:rsidR="0003451B" w:rsidRPr="00243D7C">
        <w:rPr>
          <w:rFonts w:cs="Times New Roman"/>
          <w:szCs w:val="24"/>
        </w:rPr>
        <w:t>55</w:t>
      </w:r>
      <w:r w:rsidRPr="00243D7C">
        <w:rPr>
          <w:rFonts w:cs="Times New Roman"/>
          <w:szCs w:val="24"/>
        </w:rPr>
        <w:t> </w:t>
      </w:r>
      <w:r w:rsidR="0003451B" w:rsidRPr="00243D7C">
        <w:rPr>
          <w:rFonts w:cs="Times New Roman"/>
          <w:szCs w:val="24"/>
        </w:rPr>
        <w:t>400</w:t>
      </w:r>
      <w:r w:rsidRPr="00243D7C">
        <w:rPr>
          <w:rFonts w:cs="Times New Roman"/>
          <w:szCs w:val="24"/>
        </w:rPr>
        <w:t> tis. eur.</w:t>
      </w:r>
    </w:p>
    <w:p w14:paraId="3BAD031D" w14:textId="5F217071" w:rsidR="009A05C7" w:rsidRPr="00243D7C" w:rsidRDefault="00243D7C" w:rsidP="00532D85">
      <w:pPr>
        <w:spacing w:line="240" w:lineRule="auto"/>
        <w:jc w:val="both"/>
        <w:rPr>
          <w:rFonts w:cs="Times New Roman"/>
          <w:szCs w:val="24"/>
        </w:rPr>
      </w:pPr>
      <w:r>
        <w:rPr>
          <w:rFonts w:cs="Times New Roman"/>
          <w:szCs w:val="24"/>
        </w:rPr>
        <w:t>N</w:t>
      </w:r>
      <w:r w:rsidR="009A05C7" w:rsidRPr="00243D7C">
        <w:rPr>
          <w:rFonts w:cs="Times New Roman"/>
          <w:szCs w:val="24"/>
        </w:rPr>
        <w:t>a</w:t>
      </w:r>
      <w:r w:rsidR="00D259E2" w:rsidRPr="00243D7C">
        <w:rPr>
          <w:rFonts w:cs="Times New Roman"/>
          <w:szCs w:val="24"/>
        </w:rPr>
        <w:t> </w:t>
      </w:r>
      <w:r w:rsidR="009A05C7" w:rsidRPr="00243D7C">
        <w:rPr>
          <w:rFonts w:cs="Times New Roman"/>
          <w:szCs w:val="24"/>
        </w:rPr>
        <w:t>zlepšení hospodárenia</w:t>
      </w:r>
      <w:r w:rsidR="0003451B" w:rsidRPr="00243D7C">
        <w:rPr>
          <w:rFonts w:cs="Times New Roman"/>
          <w:szCs w:val="24"/>
        </w:rPr>
        <w:t xml:space="preserve"> na hotovostnej báze oproti rozpočtu </w:t>
      </w:r>
      <w:r w:rsidR="009A05C7" w:rsidRPr="00243D7C">
        <w:rPr>
          <w:rFonts w:cs="Times New Roman"/>
          <w:szCs w:val="24"/>
        </w:rPr>
        <w:t>o </w:t>
      </w:r>
      <w:r w:rsidR="0044244B" w:rsidRPr="00243D7C">
        <w:rPr>
          <w:rFonts w:cs="Times New Roman"/>
          <w:szCs w:val="24"/>
        </w:rPr>
        <w:t>33</w:t>
      </w:r>
      <w:r w:rsidR="009A05C7" w:rsidRPr="00243D7C">
        <w:rPr>
          <w:rFonts w:cs="Times New Roman"/>
          <w:szCs w:val="24"/>
        </w:rPr>
        <w:t> </w:t>
      </w:r>
      <w:r w:rsidR="0003451B" w:rsidRPr="00243D7C">
        <w:rPr>
          <w:rFonts w:cs="Times New Roman"/>
          <w:szCs w:val="24"/>
        </w:rPr>
        <w:t>377</w:t>
      </w:r>
      <w:r w:rsidR="009A05C7" w:rsidRPr="00243D7C">
        <w:rPr>
          <w:rFonts w:cs="Times New Roman"/>
          <w:szCs w:val="24"/>
        </w:rPr>
        <w:t> tis. eur mal vplyv najmä pokles hotovostných výdavkov o </w:t>
      </w:r>
      <w:r w:rsidR="0003451B" w:rsidRPr="00243D7C">
        <w:rPr>
          <w:rFonts w:cs="Times New Roman"/>
          <w:szCs w:val="24"/>
        </w:rPr>
        <w:t>32</w:t>
      </w:r>
      <w:r w:rsidR="009A05C7" w:rsidRPr="00243D7C">
        <w:rPr>
          <w:rFonts w:cs="Times New Roman"/>
          <w:szCs w:val="24"/>
        </w:rPr>
        <w:t> </w:t>
      </w:r>
      <w:r w:rsidR="0003451B" w:rsidRPr="00243D7C">
        <w:rPr>
          <w:rFonts w:cs="Times New Roman"/>
          <w:szCs w:val="24"/>
        </w:rPr>
        <w:t>977</w:t>
      </w:r>
      <w:r w:rsidR="009A05C7" w:rsidRPr="00243D7C">
        <w:rPr>
          <w:rFonts w:cs="Times New Roman"/>
          <w:szCs w:val="24"/>
        </w:rPr>
        <w:t> tis. eur.</w:t>
      </w:r>
      <w:r>
        <w:rPr>
          <w:rFonts w:cs="Times New Roman"/>
          <w:szCs w:val="24"/>
        </w:rPr>
        <w:t xml:space="preserve"> </w:t>
      </w:r>
      <w:r w:rsidR="009A05C7" w:rsidRPr="00243D7C">
        <w:rPr>
          <w:rFonts w:cs="Times New Roman"/>
          <w:szCs w:val="24"/>
        </w:rPr>
        <w:t>Hotovostné výdavky boli v porovnaní s rozpočtom nižšie najmä z dôvodu nižšieho</w:t>
      </w:r>
      <w:r w:rsidR="009A05C7" w:rsidRPr="0003451B">
        <w:rPr>
          <w:rFonts w:cs="Times New Roman"/>
          <w:szCs w:val="24"/>
        </w:rPr>
        <w:t xml:space="preserve"> čerpania kapitálových výdavkov na</w:t>
      </w:r>
      <w:r w:rsidR="005A081B">
        <w:rPr>
          <w:rFonts w:cs="Times New Roman"/>
          <w:szCs w:val="24"/>
        </w:rPr>
        <w:t> </w:t>
      </w:r>
      <w:r w:rsidR="009A05C7" w:rsidRPr="0003451B">
        <w:rPr>
          <w:rFonts w:cs="Times New Roman"/>
          <w:szCs w:val="24"/>
        </w:rPr>
        <w:t xml:space="preserve">obstarávanie </w:t>
      </w:r>
      <w:r w:rsidR="009A05C7" w:rsidRPr="0003451B">
        <w:rPr>
          <w:rFonts w:cs="Times New Roman"/>
          <w:szCs w:val="24"/>
        </w:rPr>
        <w:lastRenderedPageBreak/>
        <w:t xml:space="preserve">kapitálových aktív o sumu </w:t>
      </w:r>
      <w:r w:rsidR="0003451B" w:rsidRPr="0003451B">
        <w:rPr>
          <w:rFonts w:cs="Times New Roman"/>
          <w:szCs w:val="24"/>
        </w:rPr>
        <w:t>39</w:t>
      </w:r>
      <w:r w:rsidR="00206474">
        <w:rPr>
          <w:rFonts w:cs="Times New Roman"/>
          <w:szCs w:val="24"/>
        </w:rPr>
        <w:t> </w:t>
      </w:r>
      <w:r w:rsidR="0003451B" w:rsidRPr="0003451B">
        <w:rPr>
          <w:rFonts w:cs="Times New Roman"/>
          <w:szCs w:val="24"/>
        </w:rPr>
        <w:t>091</w:t>
      </w:r>
      <w:r w:rsidR="00206474" w:rsidRPr="00243D7C">
        <w:rPr>
          <w:rFonts w:cs="Times New Roman"/>
          <w:szCs w:val="24"/>
        </w:rPr>
        <w:t> </w:t>
      </w:r>
      <w:r w:rsidR="009A05C7" w:rsidRPr="0003451B">
        <w:rPr>
          <w:rFonts w:cs="Times New Roman"/>
          <w:szCs w:val="24"/>
        </w:rPr>
        <w:t>tis. eur</w:t>
      </w:r>
      <w:r w:rsidR="00F92CE7" w:rsidRPr="00F92CE7">
        <w:rPr>
          <w:rFonts w:cs="Times New Roman"/>
          <w:szCs w:val="24"/>
        </w:rPr>
        <w:t>, vzhľadom na posun realizácie investičných akcií v</w:t>
      </w:r>
      <w:r w:rsidR="003F1280">
        <w:rPr>
          <w:rFonts w:cs="Times New Roman"/>
          <w:szCs w:val="24"/>
        </w:rPr>
        <w:t> </w:t>
      </w:r>
      <w:r w:rsidR="00F92CE7" w:rsidRPr="00F92CE7">
        <w:rPr>
          <w:rFonts w:cs="Times New Roman"/>
          <w:szCs w:val="24"/>
        </w:rPr>
        <w:t>priemyselných parkoch</w:t>
      </w:r>
      <w:r w:rsidR="009A05C7" w:rsidRPr="00F92CE7">
        <w:rPr>
          <w:rFonts w:cs="Times New Roman"/>
          <w:szCs w:val="24"/>
        </w:rPr>
        <w:t>.</w:t>
      </w:r>
    </w:p>
    <w:p w14:paraId="775D53C9" w14:textId="7E677160" w:rsidR="009A05C7" w:rsidRPr="00243D7C" w:rsidRDefault="009A05C7" w:rsidP="00532D85">
      <w:pPr>
        <w:spacing w:line="240" w:lineRule="auto"/>
        <w:jc w:val="both"/>
        <w:rPr>
          <w:rFonts w:cs="Times New Roman"/>
          <w:szCs w:val="24"/>
        </w:rPr>
      </w:pPr>
      <w:r w:rsidRPr="00243D7C">
        <w:rPr>
          <w:rFonts w:cs="Times New Roman"/>
          <w:szCs w:val="24"/>
        </w:rPr>
        <w:t>Oproti rozpočtovanému ESA schodku dosiahla spoločnosť zlepšenie</w:t>
      </w:r>
      <w:r w:rsidR="00243D7C" w:rsidRPr="00243D7C">
        <w:rPr>
          <w:rFonts w:cs="Times New Roman"/>
          <w:szCs w:val="24"/>
        </w:rPr>
        <w:t xml:space="preserve"> v dôsledku nárastu pohľadávok a poklesu </w:t>
      </w:r>
      <w:r w:rsidR="00243D7C" w:rsidRPr="00251FC3">
        <w:rPr>
          <w:rFonts w:cs="Times New Roman"/>
          <w:szCs w:val="24"/>
        </w:rPr>
        <w:t>záväzkov v celkovej sume</w:t>
      </w:r>
      <w:r w:rsidRPr="00251FC3">
        <w:rPr>
          <w:rFonts w:cs="Times New Roman"/>
          <w:szCs w:val="24"/>
        </w:rPr>
        <w:t> </w:t>
      </w:r>
      <w:r w:rsidR="00243D7C" w:rsidRPr="00251FC3">
        <w:rPr>
          <w:rFonts w:cs="Times New Roman"/>
          <w:szCs w:val="24"/>
        </w:rPr>
        <w:t>22</w:t>
      </w:r>
      <w:r w:rsidRPr="00251FC3">
        <w:rPr>
          <w:rFonts w:cs="Times New Roman"/>
          <w:szCs w:val="24"/>
        </w:rPr>
        <w:t> </w:t>
      </w:r>
      <w:r w:rsidR="00243D7C" w:rsidRPr="00251FC3">
        <w:rPr>
          <w:rFonts w:cs="Times New Roman"/>
          <w:szCs w:val="24"/>
        </w:rPr>
        <w:t>023</w:t>
      </w:r>
      <w:r w:rsidRPr="00251FC3">
        <w:rPr>
          <w:rFonts w:cs="Times New Roman"/>
          <w:szCs w:val="24"/>
        </w:rPr>
        <w:t xml:space="preserve"> tis. eur, </w:t>
      </w:r>
      <w:r w:rsidR="00243D7C" w:rsidRPr="00251FC3">
        <w:rPr>
          <w:rFonts w:cs="Times New Roman"/>
          <w:szCs w:val="24"/>
        </w:rPr>
        <w:t>pričom pohľadávky narástli o 18 823 tis. eur oproti rozpočtu</w:t>
      </w:r>
      <w:r w:rsidR="00D3460E" w:rsidRPr="00251FC3">
        <w:rPr>
          <w:rFonts w:cs="Times New Roman"/>
          <w:szCs w:val="24"/>
        </w:rPr>
        <w:t xml:space="preserve"> (z toho daňové pohľadávky sú</w:t>
      </w:r>
      <w:r w:rsidR="00796036" w:rsidRPr="00251FC3">
        <w:rPr>
          <w:rFonts w:cs="Times New Roman"/>
          <w:szCs w:val="24"/>
        </w:rPr>
        <w:t> </w:t>
      </w:r>
      <w:r w:rsidR="00D3460E" w:rsidRPr="00251FC3">
        <w:rPr>
          <w:rFonts w:cs="Times New Roman"/>
          <w:szCs w:val="24"/>
        </w:rPr>
        <w:t>17 499 tis. eur)</w:t>
      </w:r>
      <w:r w:rsidR="00243D7C" w:rsidRPr="00251FC3">
        <w:rPr>
          <w:rFonts w:cs="Times New Roman"/>
          <w:szCs w:val="24"/>
        </w:rPr>
        <w:t>.</w:t>
      </w:r>
    </w:p>
    <w:p w14:paraId="1D29DCBC" w14:textId="77777777" w:rsidR="00415273" w:rsidRPr="0050710A" w:rsidRDefault="00415273" w:rsidP="00532D85">
      <w:pPr>
        <w:spacing w:line="240" w:lineRule="auto"/>
        <w:jc w:val="both"/>
        <w:rPr>
          <w:rFonts w:cs="Times New Roman"/>
          <w:szCs w:val="24"/>
          <w:highlight w:val="yellow"/>
        </w:rPr>
      </w:pPr>
    </w:p>
    <w:p w14:paraId="52644792" w14:textId="038F144A" w:rsidR="009A05C7" w:rsidRPr="00E06785" w:rsidRDefault="009A05C7" w:rsidP="00532D85">
      <w:pPr>
        <w:spacing w:line="240" w:lineRule="auto"/>
        <w:jc w:val="both"/>
        <w:rPr>
          <w:rFonts w:cs="Times New Roman"/>
          <w:szCs w:val="24"/>
        </w:rPr>
      </w:pPr>
      <w:r w:rsidRPr="00E06785">
        <w:rPr>
          <w:rFonts w:cs="Times New Roman"/>
          <w:b/>
          <w:bCs/>
          <w:szCs w:val="24"/>
        </w:rPr>
        <w:t>Valaliky Industrial Park, s. r. o.</w:t>
      </w:r>
      <w:r w:rsidR="00467F0B">
        <w:rPr>
          <w:rFonts w:cs="Times New Roman"/>
          <w:b/>
          <w:bCs/>
          <w:szCs w:val="24"/>
        </w:rPr>
        <w:t>,</w:t>
      </w:r>
      <w:r w:rsidRPr="00E06785">
        <w:rPr>
          <w:rFonts w:cs="Times New Roman"/>
          <w:szCs w:val="24"/>
        </w:rPr>
        <w:t xml:space="preserve"> zaznamenali zlepšenie hospodárenia v porovnaní s rozpočtom o</w:t>
      </w:r>
      <w:r w:rsidR="00E06785" w:rsidRPr="00E06785">
        <w:rPr>
          <w:rFonts w:cs="Times New Roman"/>
          <w:szCs w:val="24"/>
        </w:rPr>
        <w:t> 11</w:t>
      </w:r>
      <w:r w:rsidR="00E12FD4">
        <w:rPr>
          <w:rFonts w:cs="Times New Roman"/>
          <w:szCs w:val="24"/>
        </w:rPr>
        <w:t>4</w:t>
      </w:r>
      <w:r w:rsidR="00E06785" w:rsidRPr="00E06785">
        <w:rPr>
          <w:rFonts w:cs="Times New Roman"/>
          <w:szCs w:val="24"/>
        </w:rPr>
        <w:t> </w:t>
      </w:r>
      <w:r w:rsidR="00E12FD4">
        <w:rPr>
          <w:rFonts w:cs="Times New Roman"/>
          <w:szCs w:val="24"/>
        </w:rPr>
        <w:t>574</w:t>
      </w:r>
      <w:r w:rsidRPr="00E06785">
        <w:rPr>
          <w:rFonts w:cs="Times New Roman"/>
          <w:szCs w:val="24"/>
        </w:rPr>
        <w:t> tis. eur</w:t>
      </w:r>
      <w:r w:rsidR="009A7CF5">
        <w:rPr>
          <w:rFonts w:cs="Times New Roman"/>
          <w:szCs w:val="24"/>
        </w:rPr>
        <w:t xml:space="preserve">. Na zlepšenie hospodárenia malo vplyv </w:t>
      </w:r>
      <w:r w:rsidRPr="00E06785">
        <w:rPr>
          <w:rFonts w:cs="Times New Roman"/>
          <w:szCs w:val="24"/>
        </w:rPr>
        <w:t>predovšetkým nižš</w:t>
      </w:r>
      <w:r w:rsidR="009A7CF5">
        <w:rPr>
          <w:rFonts w:cs="Times New Roman"/>
          <w:szCs w:val="24"/>
        </w:rPr>
        <w:t>ie</w:t>
      </w:r>
      <w:r w:rsidRPr="00E06785">
        <w:rPr>
          <w:rFonts w:cs="Times New Roman"/>
          <w:szCs w:val="24"/>
        </w:rPr>
        <w:t xml:space="preserve"> čerpan</w:t>
      </w:r>
      <w:r w:rsidR="009A7CF5">
        <w:rPr>
          <w:rFonts w:cs="Times New Roman"/>
          <w:szCs w:val="24"/>
        </w:rPr>
        <w:t>ie</w:t>
      </w:r>
      <w:r w:rsidRPr="00E06785">
        <w:rPr>
          <w:rFonts w:cs="Times New Roman"/>
          <w:szCs w:val="24"/>
        </w:rPr>
        <w:t xml:space="preserve"> kapitálových výdavkov o</w:t>
      </w:r>
      <w:r w:rsidR="00E06785" w:rsidRPr="00E06785">
        <w:rPr>
          <w:rFonts w:cs="Times New Roman"/>
          <w:szCs w:val="24"/>
        </w:rPr>
        <w:t> </w:t>
      </w:r>
      <w:r w:rsidR="001E5686" w:rsidRPr="001E5686">
        <w:rPr>
          <w:rFonts w:cs="Times New Roman"/>
          <w:szCs w:val="24"/>
        </w:rPr>
        <w:t>118 762 tis. eur, zapríčinené oneskorením investičných výdavkov a dlhším procesom verejného obstarávania, vyššie nedaňové príjmy o 27 276 tis. eur z predaja pozemkov v strategickom parku Valaliky Industrial Park.</w:t>
      </w:r>
    </w:p>
    <w:p w14:paraId="28C3E291" w14:textId="77777777" w:rsidR="007E4F0E" w:rsidRDefault="007E4F0E" w:rsidP="007E4F0E">
      <w:pPr>
        <w:spacing w:line="240" w:lineRule="auto"/>
        <w:jc w:val="both"/>
        <w:rPr>
          <w:szCs w:val="24"/>
        </w:rPr>
      </w:pPr>
    </w:p>
    <w:p w14:paraId="0BEEC7CA" w14:textId="16176535" w:rsidR="005916A1" w:rsidRDefault="005916A1" w:rsidP="005916A1">
      <w:pPr>
        <w:spacing w:line="240" w:lineRule="auto"/>
        <w:jc w:val="both"/>
        <w:rPr>
          <w:szCs w:val="24"/>
        </w:rPr>
      </w:pPr>
      <w:r w:rsidRPr="00B3420B">
        <w:rPr>
          <w:b/>
          <w:bCs/>
          <w:szCs w:val="24"/>
        </w:rPr>
        <w:t>Zdravotnícke zariadenia v ústrednej</w:t>
      </w:r>
      <w:r w:rsidRPr="00B3420B">
        <w:rPr>
          <w:szCs w:val="24"/>
        </w:rPr>
        <w:t xml:space="preserve"> správe dosiahli hotovostný schodo</w:t>
      </w:r>
      <w:r w:rsidRPr="00AD594B">
        <w:rPr>
          <w:szCs w:val="24"/>
        </w:rPr>
        <w:t>k na</w:t>
      </w:r>
      <w:r>
        <w:rPr>
          <w:szCs w:val="24"/>
        </w:rPr>
        <w:t> </w:t>
      </w:r>
      <w:r w:rsidRPr="00AD594B">
        <w:rPr>
          <w:szCs w:val="24"/>
        </w:rPr>
        <w:t xml:space="preserve">úrovni </w:t>
      </w:r>
      <w:r>
        <w:rPr>
          <w:szCs w:val="24"/>
        </w:rPr>
        <w:t>92</w:t>
      </w:r>
      <w:r w:rsidRPr="00AD594B">
        <w:rPr>
          <w:szCs w:val="24"/>
        </w:rPr>
        <w:t> </w:t>
      </w:r>
      <w:r>
        <w:rPr>
          <w:szCs w:val="24"/>
        </w:rPr>
        <w:t>227</w:t>
      </w:r>
      <w:r w:rsidRPr="00AD594B">
        <w:rPr>
          <w:szCs w:val="24"/>
        </w:rPr>
        <w:t> tis. eur, čo bolo o 7</w:t>
      </w:r>
      <w:r>
        <w:rPr>
          <w:szCs w:val="24"/>
        </w:rPr>
        <w:t>8</w:t>
      </w:r>
      <w:r w:rsidRPr="00AD594B">
        <w:rPr>
          <w:szCs w:val="24"/>
        </w:rPr>
        <w:t> </w:t>
      </w:r>
      <w:r>
        <w:rPr>
          <w:szCs w:val="24"/>
        </w:rPr>
        <w:t>193</w:t>
      </w:r>
      <w:r w:rsidRPr="00AD594B">
        <w:rPr>
          <w:szCs w:val="24"/>
        </w:rPr>
        <w:t xml:space="preserve"> tis. eur viac ako sa predpokladalo v rozpočte. Pozitívny vplyv </w:t>
      </w:r>
      <w:r w:rsidRPr="005A7FFB">
        <w:rPr>
          <w:szCs w:val="24"/>
        </w:rPr>
        <w:t xml:space="preserve">zaznamenali vyššie príjmy </w:t>
      </w:r>
      <w:r w:rsidRPr="00251FC3">
        <w:rPr>
          <w:szCs w:val="24"/>
        </w:rPr>
        <w:t>najmä z administratívnych poplatkov a iných poplatkov a platieb až o 178 976 tis. eur (najmä za lekárske výkony a poskytnutú zdravotnú starostlivosť).</w:t>
      </w:r>
      <w:r w:rsidR="00FA7556" w:rsidRPr="00251FC3">
        <w:rPr>
          <w:szCs w:val="24"/>
        </w:rPr>
        <w:t xml:space="preserve"> Tieto príjmy boli </w:t>
      </w:r>
      <w:r w:rsidR="00BC3A38" w:rsidRPr="00251FC3">
        <w:rPr>
          <w:szCs w:val="24"/>
        </w:rPr>
        <w:t xml:space="preserve">okrem iného </w:t>
      </w:r>
      <w:r w:rsidR="00FA7556" w:rsidRPr="00251FC3">
        <w:rPr>
          <w:szCs w:val="24"/>
        </w:rPr>
        <w:t>ovplyvnené</w:t>
      </w:r>
      <w:r w:rsidR="00BC3A38" w:rsidRPr="00251FC3">
        <w:rPr>
          <w:szCs w:val="24"/>
        </w:rPr>
        <w:t xml:space="preserve"> aj alokáciou sumy 191</w:t>
      </w:r>
      <w:r w:rsidR="007E01C8" w:rsidRPr="00251FC3">
        <w:rPr>
          <w:szCs w:val="24"/>
        </w:rPr>
        <w:t> </w:t>
      </w:r>
      <w:r w:rsidR="00BC3A38" w:rsidRPr="00251FC3">
        <w:rPr>
          <w:szCs w:val="24"/>
        </w:rPr>
        <w:t>mil.</w:t>
      </w:r>
      <w:r w:rsidR="007E01C8" w:rsidRPr="00251FC3">
        <w:rPr>
          <w:szCs w:val="24"/>
        </w:rPr>
        <w:t> </w:t>
      </w:r>
      <w:r w:rsidR="00BC3A38" w:rsidRPr="00251FC3">
        <w:rPr>
          <w:szCs w:val="24"/>
        </w:rPr>
        <w:t>eur poskytovateľom zdravotnej starostlivosti pre zdravotnícke zariadenia zaradené v ústrednej správe. Touto úpravou dochádza  k úprave limitu verejných výdavkov prostredníctvom modifikujúceho faktora výdavkov poistenia preklasifikovaných na transfer pre zdravotnícke zariadenia z dôvodu plnenia programovej vyhlášky.</w:t>
      </w:r>
    </w:p>
    <w:p w14:paraId="62734308" w14:textId="167C007E" w:rsidR="005916A1" w:rsidRPr="009E7419" w:rsidRDefault="005916A1" w:rsidP="005916A1">
      <w:pPr>
        <w:spacing w:line="240" w:lineRule="auto"/>
        <w:jc w:val="both"/>
        <w:rPr>
          <w:szCs w:val="24"/>
        </w:rPr>
      </w:pPr>
      <w:r w:rsidRPr="00251FC3">
        <w:rPr>
          <w:szCs w:val="24"/>
        </w:rPr>
        <w:t>Pozitívny vplyv na hospodárenie mali vyššie príjmy o 342 807 tis. eur v kategórii granty a transfery, ktoré sú zároveň kompenzované vyšším čerpaním kapitálových výdavkov o 376 596 tis. eur oproti rozpočtu. Išlo predovšetkým o výdavky na realizáciu nových stavieb a na rekonštrukciu a modernizáciu priestorov a budov, a to najmä v Univerzitnej nemocnici</w:t>
      </w:r>
      <w:r w:rsidRPr="009E7419">
        <w:rPr>
          <w:szCs w:val="24"/>
        </w:rPr>
        <w:t xml:space="preserve"> Martin o 116 935 tis. eur (išlo najmä o výdavky na výstavbu Novej nemocnice a psychiatrie), Fakultnej nemocnice s </w:t>
      </w:r>
      <w:r w:rsidRPr="00251FC3">
        <w:rPr>
          <w:szCs w:val="24"/>
        </w:rPr>
        <w:t>poliklinikou F.D. Roosevelta Banská Bystrica o 52 390 tis. eur (na</w:t>
      </w:r>
      <w:r w:rsidR="001D1048" w:rsidRPr="00251FC3">
        <w:rPr>
          <w:szCs w:val="24"/>
        </w:rPr>
        <w:t> </w:t>
      </w:r>
      <w:r w:rsidRPr="00251FC3">
        <w:rPr>
          <w:szCs w:val="24"/>
        </w:rPr>
        <w:t>realizáciu výstavby materskej školy a zároveň aj na výstavbu novej nemocnice a</w:t>
      </w:r>
      <w:r w:rsidR="001A73BE" w:rsidRPr="00251FC3">
        <w:rPr>
          <w:szCs w:val="24"/>
        </w:rPr>
        <w:t> </w:t>
      </w:r>
      <w:r w:rsidRPr="00251FC3">
        <w:rPr>
          <w:szCs w:val="24"/>
        </w:rPr>
        <w:t>rekonštrukciu budovy psychiatrie), ktoré čerpali prostriedky najmä z</w:t>
      </w:r>
      <w:r w:rsidR="00C4036E">
        <w:rPr>
          <w:szCs w:val="24"/>
        </w:rPr>
        <w:t> POO</w:t>
      </w:r>
      <w:r w:rsidRPr="00251FC3">
        <w:rPr>
          <w:szCs w:val="24"/>
        </w:rPr>
        <w:t>. Zvýšené výdavky</w:t>
      </w:r>
      <w:r w:rsidRPr="009E7419">
        <w:rPr>
          <w:szCs w:val="24"/>
        </w:rPr>
        <w:t xml:space="preserve"> na obstaranie vykázala aj ÚVN SNP Ružomberok - FN (o</w:t>
      </w:r>
      <w:r w:rsidR="001A73BE">
        <w:rPr>
          <w:szCs w:val="24"/>
        </w:rPr>
        <w:t> </w:t>
      </w:r>
      <w:r w:rsidRPr="009E7419">
        <w:rPr>
          <w:szCs w:val="24"/>
        </w:rPr>
        <w:t>38 270 tis. eur nakoľko došlo v</w:t>
      </w:r>
      <w:r w:rsidR="00C4036E">
        <w:rPr>
          <w:szCs w:val="24"/>
        </w:rPr>
        <w:t> </w:t>
      </w:r>
      <w:r w:rsidRPr="009E7419">
        <w:rPr>
          <w:szCs w:val="24"/>
        </w:rPr>
        <w:t>priebehu roka 2025 zo strany zriaďovateľa k úprave limitu kapitálových transferov a</w:t>
      </w:r>
      <w:r w:rsidR="001D1048">
        <w:rPr>
          <w:szCs w:val="24"/>
        </w:rPr>
        <w:t> </w:t>
      </w:r>
      <w:r w:rsidRPr="009E7419">
        <w:rPr>
          <w:szCs w:val="24"/>
        </w:rPr>
        <w:t>ÚVN SNP Ružomberok - FN boli poskytnuté príspevky z</w:t>
      </w:r>
      <w:r w:rsidR="001A73BE">
        <w:rPr>
          <w:szCs w:val="24"/>
        </w:rPr>
        <w:t> </w:t>
      </w:r>
      <w:r w:rsidRPr="009E7419">
        <w:rPr>
          <w:szCs w:val="24"/>
        </w:rPr>
        <w:t>kapitálových transferov vo</w:t>
      </w:r>
      <w:r w:rsidR="00E67125">
        <w:rPr>
          <w:szCs w:val="24"/>
        </w:rPr>
        <w:t> </w:t>
      </w:r>
      <w:r w:rsidRPr="009E7419">
        <w:rPr>
          <w:szCs w:val="24"/>
        </w:rPr>
        <w:t>výške 41 000 tis. eur. Tieto boli v priebehu roka účelovo použité na realizácie schválených projektov, a to na:</w:t>
      </w:r>
    </w:p>
    <w:p w14:paraId="7ADF8203" w14:textId="77777777" w:rsidR="005916A1" w:rsidRPr="009E7419" w:rsidRDefault="005916A1" w:rsidP="005916A1">
      <w:pPr>
        <w:spacing w:line="240" w:lineRule="auto"/>
        <w:jc w:val="both"/>
        <w:rPr>
          <w:szCs w:val="24"/>
        </w:rPr>
      </w:pPr>
      <w:r w:rsidRPr="009E7419">
        <w:rPr>
          <w:szCs w:val="24"/>
        </w:rPr>
        <w:t>- zabezpečenie realizácie projektov modernizácie ÚVN SNP Ružomberok – FN,</w:t>
      </w:r>
    </w:p>
    <w:p w14:paraId="6B8BB3CF" w14:textId="77777777" w:rsidR="005916A1" w:rsidRPr="009E7419" w:rsidRDefault="005916A1" w:rsidP="005916A1">
      <w:pPr>
        <w:spacing w:line="240" w:lineRule="auto"/>
        <w:jc w:val="both"/>
        <w:rPr>
          <w:szCs w:val="24"/>
        </w:rPr>
      </w:pPr>
      <w:r w:rsidRPr="009E7419">
        <w:rPr>
          <w:szCs w:val="24"/>
        </w:rPr>
        <w:t>- zabezpečenie realizácie projektu Rozvoj a modernizácia FNsP J.A.Reimana Prešov a</w:t>
      </w:r>
    </w:p>
    <w:p w14:paraId="697DFCD0" w14:textId="77777777" w:rsidR="005916A1" w:rsidRPr="009E7419" w:rsidRDefault="005916A1" w:rsidP="005916A1">
      <w:pPr>
        <w:spacing w:line="240" w:lineRule="auto"/>
        <w:jc w:val="both"/>
        <w:rPr>
          <w:szCs w:val="24"/>
        </w:rPr>
      </w:pPr>
      <w:r w:rsidRPr="009E7419">
        <w:rPr>
          <w:szCs w:val="24"/>
        </w:rPr>
        <w:t>- zabezpečenie realizácie projektu Výstavba novej koncovej nemocnice univerzitného typu v Bratislave).</w:t>
      </w:r>
    </w:p>
    <w:p w14:paraId="2158B811" w14:textId="77777777" w:rsidR="005916A1" w:rsidRDefault="005916A1" w:rsidP="005916A1">
      <w:pPr>
        <w:spacing w:line="240" w:lineRule="auto"/>
        <w:jc w:val="both"/>
        <w:rPr>
          <w:szCs w:val="24"/>
        </w:rPr>
      </w:pPr>
      <w:r w:rsidRPr="009E7419">
        <w:rPr>
          <w:szCs w:val="24"/>
        </w:rPr>
        <w:t>V rámci výdavkov na tovary a služby sa však pri rozpočte počítalo s nižšími výdavkami najmä na obstaranie zdravotníckeho a špeciálneho materiálu, ale skutočnosť bola o 254 682 tis. eur vyššia ako sa plánovalo.</w:t>
      </w:r>
    </w:p>
    <w:p w14:paraId="639A2B5B" w14:textId="64DA9E23" w:rsidR="005916A1" w:rsidRPr="007E4F0E" w:rsidRDefault="005916A1" w:rsidP="005916A1">
      <w:pPr>
        <w:spacing w:line="240" w:lineRule="auto"/>
        <w:jc w:val="both"/>
        <w:rPr>
          <w:szCs w:val="24"/>
          <w:highlight w:val="yellow"/>
        </w:rPr>
      </w:pPr>
      <w:r>
        <w:rPr>
          <w:szCs w:val="24"/>
        </w:rPr>
        <w:t>Po úpravách v</w:t>
      </w:r>
      <w:r w:rsidRPr="00AD594B">
        <w:rPr>
          <w:szCs w:val="24"/>
        </w:rPr>
        <w:t xml:space="preserve"> metodike ESA však zdravotnícke zariadenia dosiahli </w:t>
      </w:r>
      <w:r>
        <w:rPr>
          <w:szCs w:val="24"/>
        </w:rPr>
        <w:t xml:space="preserve">akruálny </w:t>
      </w:r>
      <w:r w:rsidRPr="00AD594B">
        <w:rPr>
          <w:szCs w:val="24"/>
        </w:rPr>
        <w:t>schodok vo</w:t>
      </w:r>
      <w:r w:rsidR="001A73BE">
        <w:rPr>
          <w:szCs w:val="24"/>
        </w:rPr>
        <w:t> </w:t>
      </w:r>
      <w:r w:rsidRPr="00AD594B">
        <w:rPr>
          <w:szCs w:val="24"/>
        </w:rPr>
        <w:t>výške až</w:t>
      </w:r>
      <w:r>
        <w:rPr>
          <w:szCs w:val="24"/>
        </w:rPr>
        <w:t xml:space="preserve"> </w:t>
      </w:r>
      <w:r w:rsidRPr="00AD594B">
        <w:rPr>
          <w:szCs w:val="24"/>
        </w:rPr>
        <w:t>427 612 tis. eur, zatiaľ čo rozpočtovaný bol na úrovni 147 682 tis. eur</w:t>
      </w:r>
      <w:r>
        <w:rPr>
          <w:szCs w:val="24"/>
        </w:rPr>
        <w:t>. Vplyv mala (ako každý rok)</w:t>
      </w:r>
      <w:r w:rsidRPr="00622C46">
        <w:rPr>
          <w:szCs w:val="24"/>
        </w:rPr>
        <w:t xml:space="preserve"> </w:t>
      </w:r>
      <w:r>
        <w:rPr>
          <w:szCs w:val="24"/>
        </w:rPr>
        <w:t xml:space="preserve">zmena stavu </w:t>
      </w:r>
      <w:r w:rsidRPr="00622C46">
        <w:rPr>
          <w:szCs w:val="24"/>
        </w:rPr>
        <w:t>pohľadávok a záväzkov, ktorá je v</w:t>
      </w:r>
      <w:r>
        <w:rPr>
          <w:szCs w:val="24"/>
        </w:rPr>
        <w:t> </w:t>
      </w:r>
      <w:r w:rsidRPr="00622C46">
        <w:rPr>
          <w:szCs w:val="24"/>
        </w:rPr>
        <w:t>prípade zdravotníckych zariadení významnejšia ako pri iných subjektoch verejnej správy. Najväčší vplyv na</w:t>
      </w:r>
      <w:r w:rsidR="001A73BE">
        <w:rPr>
          <w:szCs w:val="24"/>
        </w:rPr>
        <w:t> </w:t>
      </w:r>
      <w:r w:rsidRPr="00622C46">
        <w:rPr>
          <w:szCs w:val="24"/>
        </w:rPr>
        <w:t>zhoršenie hospodárenia oproti hotovostnému schodku predstavoval významný nárast celkových záväzkov o</w:t>
      </w:r>
      <w:r>
        <w:rPr>
          <w:szCs w:val="24"/>
        </w:rPr>
        <w:t> </w:t>
      </w:r>
      <w:r w:rsidRPr="00622C46">
        <w:rPr>
          <w:szCs w:val="24"/>
        </w:rPr>
        <w:t>355</w:t>
      </w:r>
      <w:r>
        <w:rPr>
          <w:szCs w:val="24"/>
        </w:rPr>
        <w:t> </w:t>
      </w:r>
      <w:r w:rsidRPr="00622C46">
        <w:rPr>
          <w:szCs w:val="24"/>
        </w:rPr>
        <w:t>289</w:t>
      </w:r>
      <w:r>
        <w:rPr>
          <w:szCs w:val="24"/>
        </w:rPr>
        <w:t> </w:t>
      </w:r>
      <w:r w:rsidRPr="00622C46">
        <w:rPr>
          <w:szCs w:val="24"/>
        </w:rPr>
        <w:t>tis.</w:t>
      </w:r>
      <w:r>
        <w:rPr>
          <w:szCs w:val="24"/>
        </w:rPr>
        <w:t> </w:t>
      </w:r>
      <w:r w:rsidRPr="00622C46">
        <w:rPr>
          <w:szCs w:val="24"/>
        </w:rPr>
        <w:t xml:space="preserve">eur (v rozpočte sa predpokladal medziročný nárast len o 100 000 tis. eur). </w:t>
      </w:r>
      <w:r w:rsidRPr="0037308A">
        <w:rPr>
          <w:szCs w:val="24"/>
        </w:rPr>
        <w:t>V</w:t>
      </w:r>
      <w:r w:rsidR="001D1048">
        <w:rPr>
          <w:szCs w:val="24"/>
        </w:rPr>
        <w:t> </w:t>
      </w:r>
      <w:r w:rsidRPr="0037308A">
        <w:rPr>
          <w:szCs w:val="24"/>
        </w:rPr>
        <w:t>príspevkových organizáciách, ktoré tvoria najväčšiu skupinu zdravotníckych zariadení z</w:t>
      </w:r>
      <w:r w:rsidR="001D1048">
        <w:rPr>
          <w:szCs w:val="24"/>
        </w:rPr>
        <w:t> </w:t>
      </w:r>
      <w:r w:rsidRPr="0037308A">
        <w:rPr>
          <w:szCs w:val="24"/>
        </w:rPr>
        <w:t>pohľadu právnej formy, došlo medziročne k nárastu záväzkov o 342 009 tis. eur. Išlo predovšetkým o nárast záväzkov voči orgánom sociálneho a</w:t>
      </w:r>
      <w:r>
        <w:rPr>
          <w:szCs w:val="24"/>
        </w:rPr>
        <w:t> </w:t>
      </w:r>
      <w:r w:rsidRPr="0037308A">
        <w:rPr>
          <w:szCs w:val="24"/>
        </w:rPr>
        <w:t xml:space="preserve">zdravotného poistenia (najmä voči </w:t>
      </w:r>
      <w:r w:rsidRPr="0037308A">
        <w:rPr>
          <w:szCs w:val="24"/>
        </w:rPr>
        <w:lastRenderedPageBreak/>
        <w:t>Sociálnej poisťovni) o 243 412 tis. eur</w:t>
      </w:r>
      <w:r>
        <w:rPr>
          <w:szCs w:val="24"/>
        </w:rPr>
        <w:t xml:space="preserve"> a taktiež aj </w:t>
      </w:r>
      <w:r w:rsidRPr="0037308A">
        <w:rPr>
          <w:szCs w:val="24"/>
        </w:rPr>
        <w:t>medziročný nárast záväzkov voči dodávateľom o</w:t>
      </w:r>
      <w:r>
        <w:rPr>
          <w:szCs w:val="24"/>
        </w:rPr>
        <w:t> </w:t>
      </w:r>
      <w:r w:rsidRPr="0037308A">
        <w:rPr>
          <w:szCs w:val="24"/>
        </w:rPr>
        <w:t>85 553 tis. eur.</w:t>
      </w:r>
    </w:p>
    <w:p w14:paraId="2C7E3154" w14:textId="77777777" w:rsidR="005916A1" w:rsidRPr="001A10B8" w:rsidRDefault="005916A1" w:rsidP="005916A1">
      <w:pPr>
        <w:spacing w:line="240" w:lineRule="auto"/>
        <w:jc w:val="both"/>
        <w:rPr>
          <w:szCs w:val="24"/>
        </w:rPr>
      </w:pPr>
      <w:r w:rsidRPr="00622C46">
        <w:rPr>
          <w:szCs w:val="24"/>
        </w:rPr>
        <w:t xml:space="preserve">Negatívny vplyv na celkové hospodárenie podľa ESA malo </w:t>
      </w:r>
      <w:r>
        <w:rPr>
          <w:szCs w:val="24"/>
        </w:rPr>
        <w:t xml:space="preserve">aj </w:t>
      </w:r>
      <w:r w:rsidRPr="00622C46">
        <w:rPr>
          <w:szCs w:val="24"/>
        </w:rPr>
        <w:t>akruálne zaznamenanie výdavkov na stabilizačný príspevok</w:t>
      </w:r>
      <w:r>
        <w:rPr>
          <w:rStyle w:val="Odkaznapoznmkupodiarou"/>
          <w:szCs w:val="24"/>
        </w:rPr>
        <w:footnoteReference w:id="14"/>
      </w:r>
      <w:r w:rsidRPr="00622C46">
        <w:rPr>
          <w:szCs w:val="24"/>
        </w:rPr>
        <w:t xml:space="preserve"> vo výške 33 648 tis. eur, ktoré sa v zmysle ESA metodiky zaznamen</w:t>
      </w:r>
      <w:r>
        <w:rPr>
          <w:szCs w:val="24"/>
        </w:rPr>
        <w:t>ávajú</w:t>
      </w:r>
      <w:r w:rsidRPr="00622C46">
        <w:rPr>
          <w:szCs w:val="24"/>
        </w:rPr>
        <w:t xml:space="preserve"> do obdobia, s ktorými vecne a časovo súvisia. </w:t>
      </w:r>
      <w:r w:rsidRPr="001A10B8">
        <w:rPr>
          <w:szCs w:val="24"/>
        </w:rPr>
        <w:t>V zmysle dohody o</w:t>
      </w:r>
      <w:r>
        <w:rPr>
          <w:szCs w:val="24"/>
        </w:rPr>
        <w:t> </w:t>
      </w:r>
      <w:r w:rsidRPr="001A10B8">
        <w:rPr>
          <w:szCs w:val="24"/>
        </w:rPr>
        <w:t>poskytnutí stabilizačného príspevku sa zamestnanec zaviazal, že zotrvá v pracovnom pomere nepretržite počas troch rokov, preto výdavok zdravotníckych zariadení v sektore verejnej správy b</w:t>
      </w:r>
      <w:r>
        <w:rPr>
          <w:szCs w:val="24"/>
        </w:rPr>
        <w:t>ol</w:t>
      </w:r>
      <w:r w:rsidRPr="001A10B8">
        <w:rPr>
          <w:szCs w:val="24"/>
        </w:rPr>
        <w:t xml:space="preserve"> rozložený na obdobie rokov 2023, 2024 a 2025 v pomernej časti (hotovostný výdavok sa realizoval jednorazovo v roku 2022).</w:t>
      </w:r>
    </w:p>
    <w:p w14:paraId="0037333E" w14:textId="77777777" w:rsidR="005916A1" w:rsidRPr="005A7FFB" w:rsidRDefault="005916A1" w:rsidP="005916A1">
      <w:pPr>
        <w:spacing w:line="240" w:lineRule="auto"/>
        <w:jc w:val="both"/>
        <w:rPr>
          <w:szCs w:val="24"/>
          <w:highlight w:val="yellow"/>
        </w:rPr>
      </w:pPr>
      <w:r w:rsidRPr="00517D07">
        <w:rPr>
          <w:szCs w:val="24"/>
        </w:rPr>
        <w:t>Pozitívny vplyv predstavoval nárast pohľadávok o</w:t>
      </w:r>
      <w:r>
        <w:rPr>
          <w:szCs w:val="24"/>
        </w:rPr>
        <w:t> </w:t>
      </w:r>
      <w:r w:rsidRPr="00517D07">
        <w:rPr>
          <w:szCs w:val="24"/>
        </w:rPr>
        <w:t>43 805 tis. eur (</w:t>
      </w:r>
      <w:r w:rsidRPr="00840EBD">
        <w:rPr>
          <w:szCs w:val="24"/>
        </w:rPr>
        <w:t>išlo najmä pohľadávky voči zdravotným poisťovniam za poskytnutú zdravotnú starostlivosť).</w:t>
      </w:r>
    </w:p>
    <w:p w14:paraId="5FA26F36" w14:textId="77777777" w:rsidR="007E4F0E" w:rsidRPr="00E06785" w:rsidRDefault="007E4F0E" w:rsidP="00532D85">
      <w:pPr>
        <w:spacing w:line="240" w:lineRule="auto"/>
        <w:jc w:val="both"/>
        <w:rPr>
          <w:szCs w:val="24"/>
        </w:rPr>
      </w:pPr>
    </w:p>
    <w:p w14:paraId="6C1A8820" w14:textId="2C073D76" w:rsidR="009A05C7" w:rsidRDefault="009A05C7" w:rsidP="00532D85">
      <w:pPr>
        <w:spacing w:line="240" w:lineRule="auto"/>
        <w:jc w:val="both"/>
        <w:rPr>
          <w:b/>
          <w:szCs w:val="24"/>
        </w:rPr>
      </w:pPr>
      <w:bookmarkStart w:id="58" w:name="_Hlk195160458"/>
      <w:r w:rsidRPr="0088230E">
        <w:rPr>
          <w:b/>
          <w:szCs w:val="24"/>
        </w:rPr>
        <w:t xml:space="preserve">Územná samospráva dosiahla ESA schodok </w:t>
      </w:r>
      <w:r w:rsidR="0088230E" w:rsidRPr="0088230E">
        <w:rPr>
          <w:b/>
          <w:szCs w:val="24"/>
        </w:rPr>
        <w:t>86</w:t>
      </w:r>
      <w:r w:rsidRPr="0088230E">
        <w:rPr>
          <w:b/>
          <w:szCs w:val="24"/>
        </w:rPr>
        <w:t> </w:t>
      </w:r>
      <w:r w:rsidR="0088230E" w:rsidRPr="0088230E">
        <w:rPr>
          <w:b/>
          <w:szCs w:val="24"/>
        </w:rPr>
        <w:t>482</w:t>
      </w:r>
      <w:r w:rsidRPr="0088230E">
        <w:rPr>
          <w:b/>
          <w:szCs w:val="24"/>
        </w:rPr>
        <w:t> tis. eur, čo je oproti rozpočt</w:t>
      </w:r>
      <w:r w:rsidR="00550CD0">
        <w:rPr>
          <w:b/>
          <w:szCs w:val="24"/>
        </w:rPr>
        <w:t>ovanej hodnote schodku</w:t>
      </w:r>
      <w:r w:rsidR="00143EC8">
        <w:rPr>
          <w:b/>
          <w:szCs w:val="24"/>
        </w:rPr>
        <w:t> 308</w:t>
      </w:r>
      <w:r w:rsidR="00BA1D10">
        <w:rPr>
          <w:b/>
          <w:szCs w:val="24"/>
        </w:rPr>
        <w:t> </w:t>
      </w:r>
      <w:r w:rsidR="00143EC8">
        <w:rPr>
          <w:b/>
          <w:szCs w:val="24"/>
        </w:rPr>
        <w:t>350</w:t>
      </w:r>
      <w:r w:rsidR="00BA1D10">
        <w:rPr>
          <w:b/>
          <w:szCs w:val="24"/>
        </w:rPr>
        <w:t> </w:t>
      </w:r>
      <w:r w:rsidR="00143EC8">
        <w:rPr>
          <w:b/>
          <w:szCs w:val="24"/>
        </w:rPr>
        <w:t xml:space="preserve">tis. eur </w:t>
      </w:r>
      <w:r w:rsidRPr="0088230E">
        <w:rPr>
          <w:b/>
          <w:szCs w:val="24"/>
        </w:rPr>
        <w:t>menej</w:t>
      </w:r>
      <w:r w:rsidR="00143EC8">
        <w:rPr>
          <w:b/>
          <w:szCs w:val="24"/>
        </w:rPr>
        <w:t xml:space="preserve"> až</w:t>
      </w:r>
      <w:r w:rsidRPr="0088230E">
        <w:rPr>
          <w:b/>
          <w:szCs w:val="24"/>
        </w:rPr>
        <w:t xml:space="preserve"> o 2</w:t>
      </w:r>
      <w:r w:rsidR="0088230E" w:rsidRPr="0088230E">
        <w:rPr>
          <w:b/>
          <w:szCs w:val="24"/>
        </w:rPr>
        <w:t>21</w:t>
      </w:r>
      <w:r w:rsidRPr="0088230E">
        <w:rPr>
          <w:b/>
          <w:szCs w:val="24"/>
        </w:rPr>
        <w:t> </w:t>
      </w:r>
      <w:r w:rsidR="0088230E" w:rsidRPr="0088230E">
        <w:rPr>
          <w:b/>
          <w:szCs w:val="24"/>
        </w:rPr>
        <w:t>868</w:t>
      </w:r>
      <w:r w:rsidRPr="0088230E">
        <w:rPr>
          <w:b/>
          <w:szCs w:val="24"/>
        </w:rPr>
        <w:t> tis. eur.</w:t>
      </w:r>
    </w:p>
    <w:p w14:paraId="69210FBD" w14:textId="77777777" w:rsidR="00CD5A4B" w:rsidRDefault="00CD5A4B" w:rsidP="00532D85">
      <w:pPr>
        <w:spacing w:line="240" w:lineRule="auto"/>
        <w:jc w:val="both"/>
        <w:rPr>
          <w:b/>
          <w:szCs w:val="24"/>
        </w:rPr>
      </w:pPr>
    </w:p>
    <w:p w14:paraId="4BBDC383" w14:textId="4C33E59B" w:rsidR="00E66209" w:rsidRDefault="00E66209" w:rsidP="00E66209">
      <w:pPr>
        <w:spacing w:line="240" w:lineRule="auto"/>
        <w:jc w:val="both"/>
        <w:rPr>
          <w:rFonts w:cs="Times New Roman"/>
          <w:szCs w:val="24"/>
        </w:rPr>
      </w:pPr>
      <w:bookmarkStart w:id="59" w:name="_Hlk195629143"/>
      <w:bookmarkEnd w:id="58"/>
      <w:r w:rsidRPr="001C6347">
        <w:rPr>
          <w:szCs w:val="24"/>
        </w:rPr>
        <w:t xml:space="preserve">Výšku schodku ovplyvnilo </w:t>
      </w:r>
      <w:r w:rsidRPr="001C6347">
        <w:rPr>
          <w:b/>
          <w:szCs w:val="24"/>
        </w:rPr>
        <w:t>hospodárenie obcí</w:t>
      </w:r>
      <w:r w:rsidRPr="001C6347">
        <w:rPr>
          <w:szCs w:val="24"/>
        </w:rPr>
        <w:t xml:space="preserve">, ktoré </w:t>
      </w:r>
      <w:r w:rsidRPr="001C6347">
        <w:rPr>
          <w:rFonts w:cs="Times New Roman"/>
          <w:szCs w:val="24"/>
        </w:rPr>
        <w:t xml:space="preserve">mali rozpočtovaný hotovostný schodok </w:t>
      </w:r>
      <w:r w:rsidR="000F6C8A" w:rsidRPr="001C6347">
        <w:rPr>
          <w:rFonts w:cs="Times New Roman"/>
          <w:szCs w:val="24"/>
        </w:rPr>
        <w:t>16</w:t>
      </w:r>
      <w:r w:rsidR="000F6C8A">
        <w:rPr>
          <w:rFonts w:cs="Times New Roman"/>
          <w:szCs w:val="24"/>
        </w:rPr>
        <w:t>2</w:t>
      </w:r>
      <w:r w:rsidR="000F6C8A" w:rsidRPr="001C6347">
        <w:rPr>
          <w:rFonts w:cs="Times New Roman"/>
          <w:szCs w:val="24"/>
        </w:rPr>
        <w:t> </w:t>
      </w:r>
      <w:r w:rsidRPr="001C6347">
        <w:rPr>
          <w:rFonts w:cs="Times New Roman"/>
          <w:szCs w:val="24"/>
        </w:rPr>
        <w:t xml:space="preserve">523 tis. eur, v skutočnosti dosiahli </w:t>
      </w:r>
      <w:r w:rsidR="008857A0">
        <w:rPr>
          <w:rFonts w:cs="Times New Roman"/>
          <w:szCs w:val="24"/>
        </w:rPr>
        <w:t xml:space="preserve">hotovostný </w:t>
      </w:r>
      <w:r w:rsidRPr="001C6347">
        <w:rPr>
          <w:rFonts w:cs="Times New Roman"/>
          <w:szCs w:val="24"/>
        </w:rPr>
        <w:t xml:space="preserve">schodok vo výške 6 819 tis. eur, čo predstavuje zlepšenie o 155 704 tis. eur. Pozitívny vplyv mali zvýšené daňové príjmy o 21 753 tis. eur, </w:t>
      </w:r>
      <w:r w:rsidR="00143EC8">
        <w:rPr>
          <w:rFonts w:cs="Times New Roman"/>
          <w:szCs w:val="24"/>
        </w:rPr>
        <w:t xml:space="preserve">z toho </w:t>
      </w:r>
      <w:r w:rsidRPr="001C6347">
        <w:rPr>
          <w:rFonts w:cs="Times New Roman"/>
          <w:szCs w:val="24"/>
        </w:rPr>
        <w:t>najmä príjmy z </w:t>
      </w:r>
      <w:r w:rsidR="000F6C8A">
        <w:rPr>
          <w:rFonts w:cs="Times New Roman"/>
          <w:szCs w:val="24"/>
        </w:rPr>
        <w:t>miestnych</w:t>
      </w:r>
      <w:r w:rsidR="000F6C8A" w:rsidRPr="001C6347">
        <w:rPr>
          <w:rFonts w:cs="Times New Roman"/>
          <w:szCs w:val="24"/>
        </w:rPr>
        <w:t xml:space="preserve"> </w:t>
      </w:r>
      <w:r w:rsidRPr="001C6347">
        <w:rPr>
          <w:rFonts w:cs="Times New Roman"/>
          <w:szCs w:val="24"/>
        </w:rPr>
        <w:t>daní.</w:t>
      </w:r>
    </w:p>
    <w:p w14:paraId="79E0DD01" w14:textId="77777777" w:rsidR="00A972FB" w:rsidRDefault="00A972FB" w:rsidP="00E66209">
      <w:pPr>
        <w:spacing w:line="240" w:lineRule="auto"/>
        <w:jc w:val="both"/>
        <w:rPr>
          <w:rFonts w:cs="Times New Roman"/>
          <w:szCs w:val="24"/>
        </w:rPr>
      </w:pPr>
    </w:p>
    <w:p w14:paraId="32F1FD9A" w14:textId="77777777" w:rsidR="00143EC8" w:rsidRDefault="00143EC8" w:rsidP="00143EC8">
      <w:pPr>
        <w:spacing w:line="240" w:lineRule="auto"/>
        <w:jc w:val="both"/>
        <w:rPr>
          <w:szCs w:val="24"/>
        </w:rPr>
      </w:pPr>
      <w:r w:rsidRPr="0007297E">
        <w:rPr>
          <w:rFonts w:cs="Times New Roman"/>
          <w:szCs w:val="24"/>
        </w:rPr>
        <w:t xml:space="preserve">Hospodárenie podľa metodiky ESA 2010 skončilo so schodkom 97 822 tis. eur, z dôvodu negatívneho vplyvu časového rozlíšenia vo výške 89 445 tis. eur a ostatných úprav vo výške 1 558 tis. eur. Z časového rozlíšenia sa na ESA schodku najviac podieľal medziročný nárast záväzkov o 95 993 tis. eur (z toho </w:t>
      </w:r>
      <w:r w:rsidRPr="0007297E">
        <w:rPr>
          <w:szCs w:val="24"/>
        </w:rPr>
        <w:t>záväzky voči dodávateľom o 64 112 tis.</w:t>
      </w:r>
      <w:r>
        <w:rPr>
          <w:szCs w:val="24"/>
        </w:rPr>
        <w:t> </w:t>
      </w:r>
      <w:r w:rsidRPr="0007297E">
        <w:rPr>
          <w:szCs w:val="24"/>
        </w:rPr>
        <w:t>eur a ostatné záväzky voči zamestnancom o 10 784 tis.</w:t>
      </w:r>
      <w:r>
        <w:rPr>
          <w:szCs w:val="24"/>
        </w:rPr>
        <w:t> </w:t>
      </w:r>
      <w:r w:rsidRPr="0007297E">
        <w:rPr>
          <w:szCs w:val="24"/>
        </w:rPr>
        <w:t>eur.</w:t>
      </w:r>
    </w:p>
    <w:p w14:paraId="7A665DDE" w14:textId="77777777" w:rsidR="00A972FB" w:rsidRPr="0007297E" w:rsidRDefault="00A972FB" w:rsidP="00143EC8">
      <w:pPr>
        <w:spacing w:line="240" w:lineRule="auto"/>
        <w:jc w:val="both"/>
        <w:rPr>
          <w:szCs w:val="24"/>
        </w:rPr>
      </w:pPr>
    </w:p>
    <w:p w14:paraId="4A025700" w14:textId="3604F936" w:rsidR="00E66209" w:rsidRDefault="000F6C8A" w:rsidP="00E66209">
      <w:pPr>
        <w:spacing w:line="240" w:lineRule="auto"/>
        <w:jc w:val="both"/>
        <w:rPr>
          <w:rFonts w:cs="Times New Roman"/>
          <w:szCs w:val="24"/>
        </w:rPr>
      </w:pPr>
      <w:r w:rsidRPr="00742CCB">
        <w:t>V roku 2025 sa upravilo percento podielu z celkového výnosu dane z príjmov fyzických osôb z dôvodu školskej reformy zo 70</w:t>
      </w:r>
      <w:r>
        <w:t> </w:t>
      </w:r>
      <w:r w:rsidRPr="00742CCB">
        <w:t>% na 56,1</w:t>
      </w:r>
      <w:r>
        <w:t> </w:t>
      </w:r>
      <w:r w:rsidRPr="00742CCB">
        <w:t>% a z dôvodu konsolidácie verejných financií sa znížilo o</w:t>
      </w:r>
      <w:r>
        <w:t> </w:t>
      </w:r>
      <w:r w:rsidRPr="00742CCB">
        <w:t>1</w:t>
      </w:r>
      <w:r>
        <w:t> </w:t>
      </w:r>
      <w:r w:rsidRPr="00742CCB">
        <w:t>% na výsledných 55,1</w:t>
      </w:r>
      <w:r>
        <w:t> </w:t>
      </w:r>
      <w:r w:rsidRPr="00742CCB">
        <w:t>%. Reforma financovania sa týkala presunu kompetencií pri</w:t>
      </w:r>
      <w:r w:rsidR="001B6519">
        <w:t> </w:t>
      </w:r>
      <w:r w:rsidRPr="00742CCB">
        <w:t>materských školách z</w:t>
      </w:r>
      <w:r>
        <w:t> </w:t>
      </w:r>
      <w:r w:rsidRPr="00742CCB">
        <w:t>originálnych kompetencií na prenesený výkon štátnej správy. Skutočný hotovostný prevod dane z príjmov fyzických osôb do rozpočtov obcí bol prevedený vo výške 2 240 431 tis. eur vrátane zúčtovania za predchádzajúci rok, čo je oproti rozpočtu (2</w:t>
      </w:r>
      <w:r>
        <w:t> </w:t>
      </w:r>
      <w:r w:rsidRPr="00742CCB">
        <w:t>242</w:t>
      </w:r>
      <w:r>
        <w:t> </w:t>
      </w:r>
      <w:r w:rsidRPr="00742CCB">
        <w:t>348</w:t>
      </w:r>
      <w:r>
        <w:t> </w:t>
      </w:r>
      <w:r w:rsidRPr="00742CCB">
        <w:t>tis.</w:t>
      </w:r>
      <w:r>
        <w:t> </w:t>
      </w:r>
      <w:r w:rsidRPr="00742CCB">
        <w:t>eur) menej o 1</w:t>
      </w:r>
      <w:r>
        <w:t> </w:t>
      </w:r>
      <w:r w:rsidRPr="00742CCB">
        <w:t>917</w:t>
      </w:r>
      <w:r>
        <w:t> </w:t>
      </w:r>
      <w:r w:rsidRPr="00742CCB">
        <w:t>tis.</w:t>
      </w:r>
      <w:r>
        <w:t> </w:t>
      </w:r>
      <w:r w:rsidRPr="00742CCB">
        <w:t>eur.</w:t>
      </w:r>
      <w:r>
        <w:t xml:space="preserve"> </w:t>
      </w:r>
      <w:r w:rsidR="00E66209">
        <w:rPr>
          <w:rFonts w:cs="Times New Roman"/>
          <w:szCs w:val="24"/>
        </w:rPr>
        <w:t xml:space="preserve">Reforma financovania sa týkala </w:t>
      </w:r>
      <w:r w:rsidR="00E66209" w:rsidRPr="001F1295">
        <w:rPr>
          <w:rFonts w:cs="Times New Roman"/>
          <w:szCs w:val="24"/>
        </w:rPr>
        <w:t>presunu kompetencií pri materských školách z originálnych kompetencií na</w:t>
      </w:r>
      <w:r w:rsidR="00DD5CA4">
        <w:rPr>
          <w:rFonts w:cs="Times New Roman"/>
          <w:szCs w:val="24"/>
        </w:rPr>
        <w:t> </w:t>
      </w:r>
      <w:r w:rsidR="00E66209" w:rsidRPr="001F1295">
        <w:rPr>
          <w:rFonts w:cs="Times New Roman"/>
          <w:szCs w:val="24"/>
        </w:rPr>
        <w:t xml:space="preserve">prenesený výkon štátnej správy. Podiel na výnose dane z príjmov fyzických osôb poukazovaný obciam sa napriek tejto reforme oproti </w:t>
      </w:r>
      <w:r w:rsidR="00E66209" w:rsidRPr="000F5E6B">
        <w:rPr>
          <w:rFonts w:cs="Times New Roman"/>
          <w:szCs w:val="24"/>
        </w:rPr>
        <w:t>rozpočtu zvýšil o 21 753 tis. </w:t>
      </w:r>
      <w:r w:rsidR="00E66209" w:rsidRPr="000F5E6B">
        <w:rPr>
          <w:szCs w:val="24"/>
        </w:rPr>
        <w:t>eur.</w:t>
      </w:r>
      <w:r w:rsidR="00E66209" w:rsidRPr="000F5E6B">
        <w:rPr>
          <w:rFonts w:cs="Times New Roman"/>
          <w:szCs w:val="24"/>
        </w:rPr>
        <w:t xml:space="preserve"> Skutočný</w:t>
      </w:r>
      <w:r w:rsidR="00E66209" w:rsidRPr="001F1295">
        <w:rPr>
          <w:rFonts w:cs="Times New Roman"/>
          <w:szCs w:val="24"/>
        </w:rPr>
        <w:t xml:space="preserve"> hotovostný prevod dane z príjmov fyzických osôb do rozpočtov obcí bol prevedený vo výške 2 240 431 tis. eur vrátane zúčtovania za predchádzajúci rok (zúčtovanie za rok 2024: 15</w:t>
      </w:r>
      <w:r w:rsidR="001B6519">
        <w:rPr>
          <w:rFonts w:cs="Times New Roman"/>
          <w:szCs w:val="24"/>
        </w:rPr>
        <w:t> </w:t>
      </w:r>
      <w:r w:rsidR="00E66209" w:rsidRPr="001F1295">
        <w:rPr>
          <w:rFonts w:cs="Times New Roman"/>
          <w:szCs w:val="24"/>
        </w:rPr>
        <w:t>248</w:t>
      </w:r>
      <w:r w:rsidR="001B6519">
        <w:rPr>
          <w:rFonts w:cs="Times New Roman"/>
          <w:szCs w:val="24"/>
        </w:rPr>
        <w:t> </w:t>
      </w:r>
      <w:r w:rsidR="00E66209" w:rsidRPr="001F1295">
        <w:rPr>
          <w:rFonts w:cs="Times New Roman"/>
          <w:szCs w:val="24"/>
        </w:rPr>
        <w:t>tis. eur). Prevod za rok 2025 bez zúčtovania bol vo výške 2 225 183 tis. eur.</w:t>
      </w:r>
    </w:p>
    <w:p w14:paraId="686CDDE7" w14:textId="77777777" w:rsidR="00A972FB" w:rsidRDefault="00A972FB" w:rsidP="00E66209">
      <w:pPr>
        <w:spacing w:line="240" w:lineRule="auto"/>
        <w:jc w:val="both"/>
        <w:rPr>
          <w:rFonts w:cs="Times New Roman"/>
          <w:szCs w:val="24"/>
        </w:rPr>
      </w:pPr>
    </w:p>
    <w:p w14:paraId="56D06FBE" w14:textId="0B2D573C" w:rsidR="00E66209" w:rsidRDefault="00E66209" w:rsidP="00E66209">
      <w:pPr>
        <w:spacing w:line="240" w:lineRule="auto"/>
        <w:jc w:val="both"/>
        <w:rPr>
          <w:rFonts w:cs="Times New Roman"/>
          <w:szCs w:val="24"/>
        </w:rPr>
      </w:pPr>
      <w:r w:rsidRPr="00D45EE0">
        <w:rPr>
          <w:rFonts w:cs="Times New Roman"/>
          <w:szCs w:val="24"/>
        </w:rPr>
        <w:t>Lepší výber zaznamenali príjmy dane z nehnuteľnosti, najmä daň zo</w:t>
      </w:r>
      <w:r w:rsidR="00DD5CA4">
        <w:rPr>
          <w:rFonts w:cs="Times New Roman"/>
          <w:szCs w:val="24"/>
        </w:rPr>
        <w:t> </w:t>
      </w:r>
      <w:r w:rsidRPr="00D45EE0">
        <w:rPr>
          <w:rFonts w:cs="Times New Roman"/>
          <w:szCs w:val="24"/>
        </w:rPr>
        <w:t xml:space="preserve">stavieb, bytov a nebytových priestorov, dane za špecifické služby. </w:t>
      </w:r>
      <w:r w:rsidR="00143EC8">
        <w:rPr>
          <w:rFonts w:cs="Times New Roman"/>
          <w:szCs w:val="24"/>
        </w:rPr>
        <w:t>Pozitívny vplyv na hospodárenie mali</w:t>
      </w:r>
      <w:r w:rsidRPr="00D45EE0">
        <w:rPr>
          <w:rFonts w:cs="Times New Roman"/>
          <w:szCs w:val="24"/>
        </w:rPr>
        <w:t xml:space="preserve"> aj nedaňové príjmy, ktoré vzrástli o 83 516 tis. eur</w:t>
      </w:r>
      <w:r>
        <w:rPr>
          <w:rFonts w:cs="Times New Roman"/>
          <w:szCs w:val="24"/>
        </w:rPr>
        <w:t>, z toho najmä platby za predaj výrobkov, tovarov a služieb, za stravné a ostatné poplatky.</w:t>
      </w:r>
    </w:p>
    <w:p w14:paraId="6BE81F8D" w14:textId="77777777" w:rsidR="00FC6896" w:rsidRDefault="00FC6896" w:rsidP="00E66209">
      <w:pPr>
        <w:spacing w:line="240" w:lineRule="auto"/>
        <w:jc w:val="both"/>
        <w:rPr>
          <w:rFonts w:cs="Times New Roman"/>
          <w:szCs w:val="24"/>
        </w:rPr>
      </w:pPr>
    </w:p>
    <w:p w14:paraId="33D6436C" w14:textId="362DD83E" w:rsidR="00EF0141" w:rsidRDefault="00FD7233" w:rsidP="00E66209">
      <w:pPr>
        <w:spacing w:line="240" w:lineRule="auto"/>
        <w:jc w:val="both"/>
        <w:rPr>
          <w:rFonts w:cs="Times New Roman"/>
          <w:szCs w:val="24"/>
        </w:rPr>
      </w:pPr>
      <w:r w:rsidRPr="00742CCB">
        <w:lastRenderedPageBreak/>
        <w:t>Kľúčovým faktorom nárastu prijatých grantov a transferov o</w:t>
      </w:r>
      <w:r>
        <w:t> </w:t>
      </w:r>
      <w:r w:rsidRPr="00742CCB">
        <w:t>1</w:t>
      </w:r>
      <w:r>
        <w:t> </w:t>
      </w:r>
      <w:r w:rsidRPr="00742CCB">
        <w:t>164</w:t>
      </w:r>
      <w:r>
        <w:t> </w:t>
      </w:r>
      <w:r w:rsidRPr="00742CCB">
        <w:t>738</w:t>
      </w:r>
      <w:r>
        <w:t> </w:t>
      </w:r>
      <w:r w:rsidRPr="00742CCB">
        <w:t>tis.</w:t>
      </w:r>
      <w:r>
        <w:t> </w:t>
      </w:r>
      <w:r w:rsidRPr="00742CCB">
        <w:t>eur nad</w:t>
      </w:r>
      <w:r>
        <w:t> </w:t>
      </w:r>
      <w:r w:rsidRPr="00742CCB">
        <w:t>rámec schváleného rozpočtu bolo najmä nezapájanie zdrojov kapitol štátneho rozpočtu počas príprav rozpočtu, ale až v priebehu roka.</w:t>
      </w:r>
      <w:r w:rsidR="00EF0141" w:rsidRPr="00424907">
        <w:rPr>
          <w:rFonts w:cs="Times New Roman"/>
          <w:szCs w:val="24"/>
        </w:rPr>
        <w:t xml:space="preserve"> Tento nárast na strane príjmov sa prirodzene premietol aj do</w:t>
      </w:r>
      <w:r w:rsidR="001B6519">
        <w:rPr>
          <w:rFonts w:cs="Times New Roman"/>
          <w:szCs w:val="24"/>
        </w:rPr>
        <w:t> </w:t>
      </w:r>
      <w:r w:rsidR="00EF0141" w:rsidRPr="00424907">
        <w:rPr>
          <w:rFonts w:cs="Times New Roman"/>
          <w:szCs w:val="24"/>
        </w:rPr>
        <w:t>výdavkovej časti, kde </w:t>
      </w:r>
      <w:r w:rsidR="00EF0141" w:rsidRPr="00424907">
        <w:rPr>
          <w:rFonts w:cs="Times New Roman"/>
          <w:b/>
          <w:bCs/>
          <w:szCs w:val="24"/>
        </w:rPr>
        <w:t xml:space="preserve">objem čerpaných grantov priamo kopíroval ich </w:t>
      </w:r>
      <w:r w:rsidR="000F5E6B" w:rsidRPr="00424907">
        <w:rPr>
          <w:rFonts w:cs="Times New Roman"/>
          <w:b/>
          <w:bCs/>
          <w:szCs w:val="24"/>
        </w:rPr>
        <w:t>príjem</w:t>
      </w:r>
      <w:r w:rsidR="00EF0141" w:rsidRPr="00424907">
        <w:rPr>
          <w:rFonts w:cs="Times New Roman"/>
          <w:szCs w:val="24"/>
        </w:rPr>
        <w:t>, keďže boli účelovo viazané na krytie zvýšených nákladov, kompenzačných príspevkov pre pedagógov či priebežné zapájanie zdrojov z EÚ a štátneho rozpočtu. Keďže tieto prostriedky neboli v</w:t>
      </w:r>
      <w:r w:rsidR="00A3664A" w:rsidRPr="00424907">
        <w:rPr>
          <w:rFonts w:cs="Times New Roman"/>
          <w:szCs w:val="24"/>
        </w:rPr>
        <w:t> </w:t>
      </w:r>
      <w:r w:rsidR="00EF0141" w:rsidRPr="00424907">
        <w:rPr>
          <w:rFonts w:cs="Times New Roman"/>
          <w:szCs w:val="24"/>
        </w:rPr>
        <w:t>čase tvorby rozpočtu vyčíslené, ich čerpanie sa odvíjalo až od ich reálneho pripísania do</w:t>
      </w:r>
      <w:r w:rsidR="00A3664A" w:rsidRPr="00424907">
        <w:rPr>
          <w:rFonts w:cs="Times New Roman"/>
          <w:szCs w:val="24"/>
        </w:rPr>
        <w:t> </w:t>
      </w:r>
      <w:r w:rsidR="00EF0141" w:rsidRPr="00424907">
        <w:rPr>
          <w:rFonts w:cs="Times New Roman"/>
          <w:szCs w:val="24"/>
        </w:rPr>
        <w:t>rozpočtu v</w:t>
      </w:r>
      <w:r w:rsidR="00A3664A" w:rsidRPr="00424907">
        <w:rPr>
          <w:rFonts w:cs="Times New Roman"/>
          <w:szCs w:val="24"/>
        </w:rPr>
        <w:t> </w:t>
      </w:r>
      <w:r w:rsidR="00EF0141" w:rsidRPr="00424907">
        <w:rPr>
          <w:rFonts w:cs="Times New Roman"/>
          <w:szCs w:val="24"/>
        </w:rPr>
        <w:t>priebehu roka, čo reflektovalo dynamiku financovania rozvojových projektov</w:t>
      </w:r>
      <w:r w:rsidR="0068662D" w:rsidRPr="00424907">
        <w:rPr>
          <w:rFonts w:cs="Times New Roman"/>
          <w:szCs w:val="24"/>
        </w:rPr>
        <w:t>.</w:t>
      </w:r>
    </w:p>
    <w:p w14:paraId="3D0BA3B2" w14:textId="77777777" w:rsidR="00FC6896" w:rsidRDefault="00FC6896" w:rsidP="00E66209">
      <w:pPr>
        <w:spacing w:line="240" w:lineRule="auto"/>
        <w:jc w:val="both"/>
        <w:rPr>
          <w:rFonts w:cs="Times New Roman"/>
          <w:szCs w:val="24"/>
        </w:rPr>
      </w:pPr>
    </w:p>
    <w:p w14:paraId="29680CBA" w14:textId="67656917" w:rsidR="00EF0141" w:rsidRDefault="00EF0141" w:rsidP="005319EC">
      <w:pPr>
        <w:spacing w:line="240" w:lineRule="auto"/>
        <w:jc w:val="both"/>
        <w:rPr>
          <w:rFonts w:cs="Times New Roman"/>
          <w:szCs w:val="24"/>
        </w:rPr>
      </w:pPr>
      <w:r w:rsidRPr="00424907">
        <w:rPr>
          <w:rFonts w:cs="Times New Roman"/>
          <w:szCs w:val="24"/>
        </w:rPr>
        <w:t>Celkový objem prijatých zdrojov vo výške 3 997 077 tis. eur bol následne transformovaný do</w:t>
      </w:r>
      <w:r w:rsidR="001B6519">
        <w:rPr>
          <w:rFonts w:cs="Times New Roman"/>
          <w:szCs w:val="24"/>
        </w:rPr>
        <w:t> </w:t>
      </w:r>
      <w:r w:rsidRPr="00424907">
        <w:rPr>
          <w:rFonts w:cs="Times New Roman"/>
          <w:szCs w:val="24"/>
        </w:rPr>
        <w:t>výdavkov na prenesený výkon štátnej správy, pomoc odídencom z</w:t>
      </w:r>
      <w:r w:rsidR="00A3664A" w:rsidRPr="00424907">
        <w:rPr>
          <w:rFonts w:cs="Times New Roman"/>
          <w:szCs w:val="24"/>
        </w:rPr>
        <w:t> </w:t>
      </w:r>
      <w:r w:rsidRPr="00424907">
        <w:rPr>
          <w:rFonts w:cs="Times New Roman"/>
          <w:szCs w:val="24"/>
        </w:rPr>
        <w:t>Ukrajiny, sociálne služby a investičné akcie v oblasti infraštruktúry a životného prostredia.</w:t>
      </w:r>
    </w:p>
    <w:p w14:paraId="5CBC136E" w14:textId="06DA80F9" w:rsidR="00EF0141" w:rsidRDefault="00EF0141" w:rsidP="005319EC">
      <w:pPr>
        <w:spacing w:line="240" w:lineRule="auto"/>
        <w:jc w:val="both"/>
        <w:rPr>
          <w:rFonts w:cs="Times New Roman"/>
          <w:szCs w:val="24"/>
        </w:rPr>
      </w:pPr>
      <w:r w:rsidRPr="00424907">
        <w:rPr>
          <w:rFonts w:cs="Times New Roman"/>
          <w:szCs w:val="24"/>
        </w:rPr>
        <w:t xml:space="preserve">Hoci sa v niektorých položkách, ako sú energie či kapitálové transfery, podarilo dosiahnuť úsporu, celkové bežné výdavky vzrástli o 436 220 tis. eur. </w:t>
      </w:r>
      <w:r w:rsidR="00424907" w:rsidRPr="00424907">
        <w:rPr>
          <w:rFonts w:cs="Times New Roman"/>
          <w:szCs w:val="24"/>
        </w:rPr>
        <w:t>V</w:t>
      </w:r>
      <w:r w:rsidRPr="00424907">
        <w:rPr>
          <w:rFonts w:cs="Times New Roman"/>
          <w:szCs w:val="24"/>
        </w:rPr>
        <w:t xml:space="preserve">alorizáciou platov sa zvýšili výdavky na osobné náklady o 242 886 tis. eur. Nad stanovený rozpočet sa čerpali bežné transfery o sumu 227 040 tis. eur. </w:t>
      </w:r>
      <w:r w:rsidRPr="001E09D2">
        <w:rPr>
          <w:rFonts w:cs="Times New Roman"/>
          <w:szCs w:val="24"/>
        </w:rPr>
        <w:t>O</w:t>
      </w:r>
      <w:r w:rsidR="005319EC" w:rsidRPr="001E09D2">
        <w:rPr>
          <w:rFonts w:cs="Times New Roman"/>
          <w:szCs w:val="24"/>
        </w:rPr>
        <w:t>proti rozpočtu ušetrilo na kapitálových transferoch o 7 238 tis. eur, úsporu zaznamenali výdavky na tovary a služby o 31</w:t>
      </w:r>
      <w:r w:rsidR="00DD5CA4" w:rsidRPr="001E09D2">
        <w:rPr>
          <w:rFonts w:cs="Times New Roman"/>
          <w:szCs w:val="24"/>
        </w:rPr>
        <w:t> </w:t>
      </w:r>
      <w:r w:rsidR="005319EC" w:rsidRPr="001E09D2">
        <w:rPr>
          <w:rFonts w:cs="Times New Roman"/>
          <w:szCs w:val="24"/>
        </w:rPr>
        <w:t>860</w:t>
      </w:r>
      <w:r w:rsidR="00DD5CA4" w:rsidRPr="001E09D2">
        <w:rPr>
          <w:rFonts w:cs="Times New Roman"/>
          <w:szCs w:val="24"/>
        </w:rPr>
        <w:t> </w:t>
      </w:r>
      <w:r w:rsidR="005319EC" w:rsidRPr="001E09D2">
        <w:rPr>
          <w:rFonts w:cs="Times New Roman"/>
          <w:szCs w:val="24"/>
        </w:rPr>
        <w:t>tis.</w:t>
      </w:r>
      <w:r w:rsidR="00DD5CA4" w:rsidRPr="001E09D2">
        <w:rPr>
          <w:rFonts w:cs="Times New Roman"/>
          <w:szCs w:val="24"/>
        </w:rPr>
        <w:t> </w:t>
      </w:r>
      <w:r w:rsidR="005319EC" w:rsidRPr="001E09D2">
        <w:rPr>
          <w:rFonts w:cs="Times New Roman"/>
          <w:szCs w:val="24"/>
        </w:rPr>
        <w:t>eur (najviac na</w:t>
      </w:r>
      <w:r w:rsidR="00DD5CA4" w:rsidRPr="001E09D2">
        <w:rPr>
          <w:rFonts w:cs="Times New Roman"/>
          <w:szCs w:val="24"/>
        </w:rPr>
        <w:t> </w:t>
      </w:r>
      <w:r w:rsidR="005319EC" w:rsidRPr="001E09D2">
        <w:rPr>
          <w:rFonts w:cs="Times New Roman"/>
          <w:szCs w:val="24"/>
        </w:rPr>
        <w:t>energiách, palive a všeobecnom materiálu).</w:t>
      </w:r>
    </w:p>
    <w:p w14:paraId="01F725B0" w14:textId="77777777" w:rsidR="00635C21" w:rsidRDefault="00635C21" w:rsidP="005319EC">
      <w:pPr>
        <w:spacing w:line="240" w:lineRule="auto"/>
        <w:jc w:val="both"/>
        <w:rPr>
          <w:rFonts w:cs="Times New Roman"/>
          <w:szCs w:val="24"/>
        </w:rPr>
      </w:pPr>
    </w:p>
    <w:p w14:paraId="3389A854" w14:textId="4543E048" w:rsidR="008B2A14" w:rsidRPr="006D3B65" w:rsidRDefault="008B2A14" w:rsidP="008B2A14">
      <w:pPr>
        <w:spacing w:line="240" w:lineRule="auto"/>
        <w:jc w:val="both"/>
        <w:rPr>
          <w:rFonts w:cs="Times New Roman"/>
          <w:szCs w:val="24"/>
        </w:rPr>
      </w:pPr>
      <w:r w:rsidRPr="006D3B65">
        <w:rPr>
          <w:rFonts w:cs="Times New Roman"/>
          <w:szCs w:val="24"/>
        </w:rPr>
        <w:t>Výdavky na obstaranie kapitálových aktív vzrástli o 685 321 tis.</w:t>
      </w:r>
      <w:r w:rsidR="008D3223" w:rsidRPr="006D3B65">
        <w:rPr>
          <w:rFonts w:cs="Times New Roman"/>
          <w:szCs w:val="24"/>
        </w:rPr>
        <w:t> </w:t>
      </w:r>
      <w:r w:rsidRPr="006D3B65">
        <w:rPr>
          <w:rFonts w:cs="Times New Roman"/>
          <w:szCs w:val="24"/>
        </w:rPr>
        <w:t>eur, boli zapojené prostriedky štátneho rozpočtu, fondov Európskej únie, najmä v rámci Programu Slovensko 2021-2027 a </w:t>
      </w:r>
      <w:r w:rsidR="00C4036E">
        <w:rPr>
          <w:rFonts w:cs="Times New Roman"/>
          <w:szCs w:val="24"/>
        </w:rPr>
        <w:t>POO</w:t>
      </w:r>
      <w:r w:rsidRPr="006D3B65">
        <w:rPr>
          <w:rFonts w:cs="Times New Roman"/>
          <w:szCs w:val="24"/>
        </w:rPr>
        <w:t>. Najväčšie investície smerovali na výstavbu a rekonštrukciu miestnych komunikácií, mostov a verejných priestranstiev (380</w:t>
      </w:r>
      <w:r w:rsidR="008D3223" w:rsidRPr="006D3B65">
        <w:rPr>
          <w:rFonts w:cs="Times New Roman"/>
          <w:szCs w:val="24"/>
        </w:rPr>
        <w:t> </w:t>
      </w:r>
      <w:r w:rsidRPr="006D3B65">
        <w:rPr>
          <w:rFonts w:cs="Times New Roman"/>
          <w:szCs w:val="24"/>
        </w:rPr>
        <w:t>000</w:t>
      </w:r>
      <w:r w:rsidR="008D3223" w:rsidRPr="006D3B65">
        <w:rPr>
          <w:rFonts w:cs="Times New Roman"/>
          <w:szCs w:val="24"/>
        </w:rPr>
        <w:t> </w:t>
      </w:r>
      <w:r w:rsidRPr="006D3B65">
        <w:rPr>
          <w:rFonts w:cs="Times New Roman"/>
          <w:szCs w:val="24"/>
        </w:rPr>
        <w:t>tis.</w:t>
      </w:r>
      <w:r w:rsidR="008D3223" w:rsidRPr="006D3B65">
        <w:rPr>
          <w:rFonts w:cs="Times New Roman"/>
          <w:szCs w:val="24"/>
        </w:rPr>
        <w:t> </w:t>
      </w:r>
      <w:r w:rsidRPr="006D3B65">
        <w:rPr>
          <w:rFonts w:cs="Times New Roman"/>
          <w:szCs w:val="24"/>
        </w:rPr>
        <w:t>eur), modernizáciu a</w:t>
      </w:r>
      <w:r w:rsidR="00042F5E" w:rsidRPr="006D3B65">
        <w:rPr>
          <w:rFonts w:cs="Times New Roman"/>
          <w:szCs w:val="24"/>
        </w:rPr>
        <w:t> </w:t>
      </w:r>
      <w:r w:rsidRPr="006D3B65">
        <w:rPr>
          <w:rFonts w:cs="Times New Roman"/>
          <w:szCs w:val="24"/>
        </w:rPr>
        <w:t>obnovu verejných budov (školy, škôlky, kultúrne domy, úrady) v objeme 245</w:t>
      </w:r>
      <w:r w:rsidR="008D3223" w:rsidRPr="006D3B65">
        <w:rPr>
          <w:rFonts w:cs="Times New Roman"/>
          <w:szCs w:val="24"/>
        </w:rPr>
        <w:t> </w:t>
      </w:r>
      <w:r w:rsidRPr="006D3B65">
        <w:rPr>
          <w:rFonts w:cs="Times New Roman"/>
          <w:szCs w:val="24"/>
        </w:rPr>
        <w:t>000</w:t>
      </w:r>
      <w:r w:rsidR="008D3223" w:rsidRPr="006D3B65">
        <w:rPr>
          <w:rFonts w:cs="Times New Roman"/>
          <w:szCs w:val="24"/>
        </w:rPr>
        <w:t> </w:t>
      </w:r>
      <w:r w:rsidRPr="006D3B65">
        <w:rPr>
          <w:rFonts w:cs="Times New Roman"/>
          <w:szCs w:val="24"/>
        </w:rPr>
        <w:t>tis.</w:t>
      </w:r>
      <w:r w:rsidR="008D3223" w:rsidRPr="006D3B65">
        <w:rPr>
          <w:rFonts w:cs="Times New Roman"/>
          <w:szCs w:val="24"/>
        </w:rPr>
        <w:t> </w:t>
      </w:r>
      <w:r w:rsidRPr="006D3B65">
        <w:rPr>
          <w:rFonts w:cs="Times New Roman"/>
          <w:szCs w:val="24"/>
        </w:rPr>
        <w:t>eur, investície do</w:t>
      </w:r>
      <w:r w:rsidR="008D3223" w:rsidRPr="006D3B65">
        <w:rPr>
          <w:rFonts w:cs="Times New Roman"/>
          <w:szCs w:val="24"/>
        </w:rPr>
        <w:t> </w:t>
      </w:r>
      <w:r w:rsidRPr="006D3B65">
        <w:rPr>
          <w:rFonts w:cs="Times New Roman"/>
          <w:szCs w:val="24"/>
        </w:rPr>
        <w:t>technickej infraštruktúry (vodovody, kanalizácie, verejné osvetlenie) v objeme 193</w:t>
      </w:r>
      <w:r w:rsidR="008D3223" w:rsidRPr="006D3B65">
        <w:rPr>
          <w:rFonts w:cs="Times New Roman"/>
          <w:szCs w:val="24"/>
        </w:rPr>
        <w:t> </w:t>
      </w:r>
      <w:r w:rsidRPr="006D3B65">
        <w:rPr>
          <w:rFonts w:cs="Times New Roman"/>
          <w:szCs w:val="24"/>
        </w:rPr>
        <w:t>000</w:t>
      </w:r>
      <w:r w:rsidR="008D3223" w:rsidRPr="006D3B65">
        <w:rPr>
          <w:rFonts w:cs="Times New Roman"/>
          <w:szCs w:val="24"/>
        </w:rPr>
        <w:t> </w:t>
      </w:r>
      <w:r w:rsidRPr="006D3B65">
        <w:rPr>
          <w:rFonts w:cs="Times New Roman"/>
          <w:szCs w:val="24"/>
        </w:rPr>
        <w:t>tis. eur,</w:t>
      </w:r>
      <w:r w:rsidRPr="006D3B65">
        <w:rPr>
          <w:szCs w:val="24"/>
        </w:rPr>
        <w:t xml:space="preserve"> r</w:t>
      </w:r>
      <w:r w:rsidRPr="006D3B65">
        <w:rPr>
          <w:rFonts w:cs="Times New Roman"/>
          <w:szCs w:val="24"/>
        </w:rPr>
        <w:t>ozvoj sociálnych služieb a výstavbu zariadení sociálnej starostlivosti (140 000 tis.</w:t>
      </w:r>
      <w:r w:rsidR="008D3223" w:rsidRPr="006D3B65">
        <w:rPr>
          <w:rFonts w:cs="Times New Roman"/>
          <w:szCs w:val="24"/>
        </w:rPr>
        <w:t> </w:t>
      </w:r>
      <w:r w:rsidRPr="006D3B65">
        <w:rPr>
          <w:rFonts w:cs="Times New Roman"/>
          <w:szCs w:val="24"/>
        </w:rPr>
        <w:t>eur), podporu športovej a rekreačnej infraštruktúry, digitalizáciu samosprávy a</w:t>
      </w:r>
      <w:r w:rsidR="00042F5E" w:rsidRPr="006D3B65">
        <w:rPr>
          <w:rFonts w:cs="Times New Roman"/>
          <w:szCs w:val="24"/>
        </w:rPr>
        <w:t> </w:t>
      </w:r>
      <w:r w:rsidRPr="006D3B65">
        <w:rPr>
          <w:rFonts w:cs="Times New Roman"/>
          <w:szCs w:val="24"/>
        </w:rPr>
        <w:t>obstaranie informačných technológií.</w:t>
      </w:r>
    </w:p>
    <w:p w14:paraId="64BE7B97" w14:textId="77777777" w:rsidR="00415273" w:rsidRPr="0050710A" w:rsidRDefault="00415273" w:rsidP="00532D85">
      <w:pPr>
        <w:spacing w:line="240" w:lineRule="auto"/>
        <w:jc w:val="both"/>
        <w:rPr>
          <w:szCs w:val="24"/>
          <w:highlight w:val="yellow"/>
        </w:rPr>
      </w:pPr>
    </w:p>
    <w:bookmarkEnd w:id="59"/>
    <w:p w14:paraId="6A142380" w14:textId="48E601F8" w:rsidR="009A05C7" w:rsidRDefault="009A05C7" w:rsidP="00532D85">
      <w:pPr>
        <w:spacing w:line="240" w:lineRule="auto"/>
        <w:jc w:val="both"/>
        <w:rPr>
          <w:rFonts w:cs="Times New Roman"/>
          <w:szCs w:val="24"/>
        </w:rPr>
      </w:pPr>
      <w:r w:rsidRPr="0020232B">
        <w:rPr>
          <w:rFonts w:cs="Times New Roman"/>
          <w:b/>
          <w:szCs w:val="24"/>
        </w:rPr>
        <w:t>Vyššie územné celky</w:t>
      </w:r>
      <w:r w:rsidRPr="0020232B">
        <w:rPr>
          <w:rFonts w:cs="Times New Roman"/>
          <w:szCs w:val="24"/>
        </w:rPr>
        <w:t xml:space="preserve"> v porovnaní s rozpočtovaným hotovostným schodkom vo výške 1</w:t>
      </w:r>
      <w:r w:rsidR="003F51E8" w:rsidRPr="0020232B">
        <w:rPr>
          <w:rFonts w:cs="Times New Roman"/>
          <w:szCs w:val="24"/>
        </w:rPr>
        <w:t>27</w:t>
      </w:r>
      <w:r w:rsidRPr="0020232B">
        <w:rPr>
          <w:rFonts w:cs="Times New Roman"/>
          <w:szCs w:val="24"/>
        </w:rPr>
        <w:t> </w:t>
      </w:r>
      <w:r w:rsidR="003F51E8" w:rsidRPr="0020232B">
        <w:rPr>
          <w:rFonts w:cs="Times New Roman"/>
          <w:szCs w:val="24"/>
        </w:rPr>
        <w:t>554</w:t>
      </w:r>
      <w:r w:rsidRPr="0020232B">
        <w:rPr>
          <w:rFonts w:cs="Times New Roman"/>
          <w:szCs w:val="24"/>
        </w:rPr>
        <w:t xml:space="preserve"> tis. eur hospodárili lepšie o sumu </w:t>
      </w:r>
      <w:r w:rsidR="003F51E8" w:rsidRPr="0020232B">
        <w:rPr>
          <w:rFonts w:cs="Times New Roman"/>
          <w:szCs w:val="24"/>
        </w:rPr>
        <w:t>89</w:t>
      </w:r>
      <w:r w:rsidRPr="0020232B">
        <w:rPr>
          <w:rFonts w:cs="Times New Roman"/>
          <w:szCs w:val="24"/>
        </w:rPr>
        <w:t> </w:t>
      </w:r>
      <w:r w:rsidR="003F51E8" w:rsidRPr="0020232B">
        <w:rPr>
          <w:rFonts w:cs="Times New Roman"/>
          <w:szCs w:val="24"/>
        </w:rPr>
        <w:t>037</w:t>
      </w:r>
      <w:r w:rsidRPr="0020232B">
        <w:rPr>
          <w:rFonts w:cs="Times New Roman"/>
          <w:szCs w:val="24"/>
        </w:rPr>
        <w:t xml:space="preserve"> tis. eur a  dosiahli hotovostný schodok vo výške </w:t>
      </w:r>
      <w:r w:rsidR="003F51E8" w:rsidRPr="0020232B">
        <w:rPr>
          <w:rFonts w:cs="Times New Roman"/>
          <w:szCs w:val="24"/>
        </w:rPr>
        <w:t>38</w:t>
      </w:r>
      <w:r w:rsidRPr="0020232B">
        <w:rPr>
          <w:rFonts w:cs="Times New Roman"/>
          <w:szCs w:val="24"/>
        </w:rPr>
        <w:t> </w:t>
      </w:r>
      <w:r w:rsidR="003F51E8" w:rsidRPr="0020232B">
        <w:rPr>
          <w:rFonts w:cs="Times New Roman"/>
          <w:szCs w:val="24"/>
        </w:rPr>
        <w:t>517</w:t>
      </w:r>
      <w:r w:rsidRPr="0020232B">
        <w:rPr>
          <w:rFonts w:cs="Times New Roman"/>
          <w:szCs w:val="24"/>
        </w:rPr>
        <w:t> tis. eur. V roku 202</w:t>
      </w:r>
      <w:r w:rsidR="003F51E8" w:rsidRPr="0020232B">
        <w:rPr>
          <w:rFonts w:cs="Times New Roman"/>
          <w:szCs w:val="24"/>
        </w:rPr>
        <w:t xml:space="preserve">5 </w:t>
      </w:r>
      <w:r w:rsidRPr="0020232B">
        <w:rPr>
          <w:rFonts w:cs="Times New Roman"/>
          <w:szCs w:val="24"/>
        </w:rPr>
        <w:t xml:space="preserve">bol podiel na výnose dane z príjmov fyzických osôb poukazovaný VÚC </w:t>
      </w:r>
      <w:r w:rsidR="003F51E8" w:rsidRPr="0020232B">
        <w:rPr>
          <w:rFonts w:cs="Times New Roman"/>
          <w:szCs w:val="24"/>
        </w:rPr>
        <w:t>upravený z</w:t>
      </w:r>
      <w:r w:rsidR="001F2AD6">
        <w:rPr>
          <w:rFonts w:cs="Times New Roman"/>
          <w:szCs w:val="24"/>
        </w:rPr>
        <w:t> </w:t>
      </w:r>
      <w:r w:rsidR="003F51E8" w:rsidRPr="0020232B">
        <w:rPr>
          <w:rFonts w:cs="Times New Roman"/>
          <w:szCs w:val="24"/>
        </w:rPr>
        <w:t>30</w:t>
      </w:r>
      <w:r w:rsidR="001F2AD6">
        <w:rPr>
          <w:rFonts w:cs="Times New Roman"/>
          <w:szCs w:val="24"/>
        </w:rPr>
        <w:t> </w:t>
      </w:r>
      <w:r w:rsidR="003F51E8" w:rsidRPr="0020232B">
        <w:rPr>
          <w:rFonts w:cs="Times New Roman"/>
          <w:szCs w:val="24"/>
        </w:rPr>
        <w:t>% na 29,5</w:t>
      </w:r>
      <w:r w:rsidR="001F2AD6">
        <w:rPr>
          <w:rFonts w:cs="Times New Roman"/>
          <w:szCs w:val="24"/>
        </w:rPr>
        <w:t> </w:t>
      </w:r>
      <w:r w:rsidR="003F51E8" w:rsidRPr="0020232B">
        <w:rPr>
          <w:rFonts w:cs="Times New Roman"/>
          <w:szCs w:val="24"/>
        </w:rPr>
        <w:t>% z dôvodu konsolidácie</w:t>
      </w:r>
      <w:r w:rsidR="0020232B" w:rsidRPr="0020232B">
        <w:rPr>
          <w:rFonts w:cs="Times New Roman"/>
          <w:szCs w:val="24"/>
        </w:rPr>
        <w:t>.</w:t>
      </w:r>
      <w:r w:rsidRPr="0020232B">
        <w:rPr>
          <w:rFonts w:cs="Times New Roman"/>
          <w:szCs w:val="24"/>
        </w:rPr>
        <w:t xml:space="preserve"> </w:t>
      </w:r>
      <w:r w:rsidR="00040939" w:rsidRPr="00742CCB">
        <w:t>Skutočný hotovostný prevod dane z príjmov fyzických osôb do rozpočtov VÚC bol prevedený vo</w:t>
      </w:r>
      <w:r w:rsidR="00FA1C1F">
        <w:t> </w:t>
      </w:r>
      <w:r w:rsidR="00040939" w:rsidRPr="00742CCB">
        <w:t>výške 1</w:t>
      </w:r>
      <w:r w:rsidR="00040939">
        <w:t> </w:t>
      </w:r>
      <w:r w:rsidR="00040939" w:rsidRPr="00742CCB">
        <w:t>197</w:t>
      </w:r>
      <w:r w:rsidR="00040939">
        <w:t> </w:t>
      </w:r>
      <w:r w:rsidR="00040939" w:rsidRPr="00742CCB">
        <w:t>876</w:t>
      </w:r>
      <w:r w:rsidR="00040939">
        <w:t> </w:t>
      </w:r>
      <w:r w:rsidR="00040939" w:rsidRPr="00742CCB">
        <w:t>tis.</w:t>
      </w:r>
      <w:r w:rsidR="00040939">
        <w:t> </w:t>
      </w:r>
      <w:r w:rsidR="00040939" w:rsidRPr="00742CCB">
        <w:t>eur vrátane zúčtovania za predchádzajúci rok, čo je oproti rozpočtu 1</w:t>
      </w:r>
      <w:r w:rsidR="00040939">
        <w:t> </w:t>
      </w:r>
      <w:r w:rsidR="00040939" w:rsidRPr="00742CCB">
        <w:t>201</w:t>
      </w:r>
      <w:r w:rsidR="00040939">
        <w:t> </w:t>
      </w:r>
      <w:r w:rsidR="00040939" w:rsidRPr="00742CCB">
        <w:t>904</w:t>
      </w:r>
      <w:r w:rsidR="00040939">
        <w:t> tis. eur</w:t>
      </w:r>
      <w:r w:rsidR="00040939" w:rsidRPr="00742CCB">
        <w:t xml:space="preserve"> menej o</w:t>
      </w:r>
      <w:r w:rsidR="00040939">
        <w:t> </w:t>
      </w:r>
      <w:r w:rsidR="00040939" w:rsidRPr="00742CCB">
        <w:t>4</w:t>
      </w:r>
      <w:r w:rsidR="00040939">
        <w:t> </w:t>
      </w:r>
      <w:r w:rsidR="00040939" w:rsidRPr="00742CCB">
        <w:t>028</w:t>
      </w:r>
      <w:r w:rsidR="00040939">
        <w:t> </w:t>
      </w:r>
      <w:r w:rsidR="00040939" w:rsidRPr="00742CCB">
        <w:t>tis.</w:t>
      </w:r>
      <w:r w:rsidR="00040939">
        <w:t> </w:t>
      </w:r>
      <w:r w:rsidR="00040939" w:rsidRPr="00742CCB">
        <w:t>eur.</w:t>
      </w:r>
    </w:p>
    <w:p w14:paraId="65609D45" w14:textId="77777777" w:rsidR="00A972FB" w:rsidRDefault="00A972FB" w:rsidP="00532D85">
      <w:pPr>
        <w:spacing w:line="240" w:lineRule="auto"/>
        <w:jc w:val="both"/>
        <w:rPr>
          <w:rFonts w:cs="Times New Roman"/>
          <w:szCs w:val="24"/>
        </w:rPr>
      </w:pPr>
    </w:p>
    <w:p w14:paraId="740F4F2F" w14:textId="77777777" w:rsidR="0079107A" w:rsidRDefault="0079107A" w:rsidP="0079107A">
      <w:pPr>
        <w:spacing w:line="240" w:lineRule="auto"/>
        <w:jc w:val="both"/>
        <w:rPr>
          <w:rFonts w:cs="Times New Roman"/>
          <w:szCs w:val="24"/>
        </w:rPr>
      </w:pPr>
      <w:r w:rsidRPr="003F7A22">
        <w:rPr>
          <w:rFonts w:cs="Times New Roman"/>
          <w:szCs w:val="24"/>
        </w:rPr>
        <w:t>Oproti hotovostnému schodku sa ESA schodok znížil na sumu 25 244 tis. eur vplyvom medziročného nárastu pohľadávok o 5 990 tis. eur</w:t>
      </w:r>
      <w:r>
        <w:rPr>
          <w:rFonts w:cs="Times New Roman"/>
          <w:szCs w:val="24"/>
        </w:rPr>
        <w:t xml:space="preserve"> (v tom </w:t>
      </w:r>
      <w:r w:rsidRPr="003F7A22">
        <w:rPr>
          <w:rFonts w:cs="Times New Roman"/>
          <w:szCs w:val="24"/>
        </w:rPr>
        <w:t>pohľ</w:t>
      </w:r>
      <w:r>
        <w:rPr>
          <w:rFonts w:cs="Times New Roman"/>
          <w:szCs w:val="24"/>
        </w:rPr>
        <w:t>adávky</w:t>
      </w:r>
      <w:r w:rsidRPr="003F7A22">
        <w:rPr>
          <w:rFonts w:cs="Times New Roman"/>
          <w:szCs w:val="24"/>
        </w:rPr>
        <w:t xml:space="preserve"> z nedaň</w:t>
      </w:r>
      <w:r>
        <w:rPr>
          <w:rFonts w:cs="Times New Roman"/>
          <w:szCs w:val="24"/>
        </w:rPr>
        <w:t>ových</w:t>
      </w:r>
      <w:r w:rsidRPr="003F7A22">
        <w:rPr>
          <w:rFonts w:cs="Times New Roman"/>
          <w:szCs w:val="24"/>
        </w:rPr>
        <w:t xml:space="preserve"> príjmov obcí a VUC </w:t>
      </w:r>
      <w:r>
        <w:rPr>
          <w:rFonts w:cs="Times New Roman"/>
          <w:szCs w:val="24"/>
        </w:rPr>
        <w:t>sa zvýšili</w:t>
      </w:r>
      <w:r w:rsidRPr="003F7A22">
        <w:rPr>
          <w:rFonts w:cs="Times New Roman"/>
          <w:szCs w:val="24"/>
        </w:rPr>
        <w:t xml:space="preserve"> o</w:t>
      </w:r>
      <w:r>
        <w:rPr>
          <w:rFonts w:cs="Times New Roman"/>
          <w:szCs w:val="24"/>
        </w:rPr>
        <w:t> </w:t>
      </w:r>
      <w:r w:rsidRPr="003F7A22">
        <w:rPr>
          <w:rFonts w:cs="Times New Roman"/>
          <w:szCs w:val="24"/>
        </w:rPr>
        <w:t>5</w:t>
      </w:r>
      <w:r>
        <w:rPr>
          <w:rFonts w:cs="Times New Roman"/>
          <w:szCs w:val="24"/>
        </w:rPr>
        <w:t> </w:t>
      </w:r>
      <w:r w:rsidRPr="003F7A22">
        <w:rPr>
          <w:rFonts w:cs="Times New Roman"/>
          <w:szCs w:val="24"/>
        </w:rPr>
        <w:t>132</w:t>
      </w:r>
      <w:r>
        <w:rPr>
          <w:rFonts w:cs="Times New Roman"/>
          <w:szCs w:val="24"/>
        </w:rPr>
        <w:t> </w:t>
      </w:r>
      <w:r w:rsidRPr="003F7A22">
        <w:rPr>
          <w:rFonts w:cs="Times New Roman"/>
          <w:szCs w:val="24"/>
        </w:rPr>
        <w:t>tis.</w:t>
      </w:r>
      <w:r>
        <w:rPr>
          <w:rFonts w:cs="Times New Roman"/>
          <w:szCs w:val="24"/>
        </w:rPr>
        <w:t> eur)</w:t>
      </w:r>
      <w:r w:rsidRPr="003F7A22">
        <w:rPr>
          <w:rFonts w:cs="Times New Roman"/>
          <w:szCs w:val="24"/>
        </w:rPr>
        <w:t xml:space="preserve"> čiastočne eliminovaný medziročným nárast</w:t>
      </w:r>
      <w:r>
        <w:rPr>
          <w:rFonts w:cs="Times New Roman"/>
          <w:szCs w:val="24"/>
        </w:rPr>
        <w:t>om</w:t>
      </w:r>
      <w:r w:rsidRPr="003F7A22">
        <w:rPr>
          <w:rFonts w:cs="Times New Roman"/>
          <w:szCs w:val="24"/>
        </w:rPr>
        <w:t xml:space="preserve"> záväzkov o 4 814 tis. eur</w:t>
      </w:r>
      <w:r>
        <w:rPr>
          <w:rFonts w:cs="Times New Roman"/>
          <w:szCs w:val="24"/>
        </w:rPr>
        <w:t xml:space="preserve"> </w:t>
      </w:r>
      <w:r w:rsidRPr="003F7A22">
        <w:rPr>
          <w:rFonts w:cs="Times New Roman"/>
          <w:szCs w:val="24"/>
        </w:rPr>
        <w:t>(z toho najviac boli záväzky voči dodávateľom o 6 592 tis. eur).</w:t>
      </w:r>
    </w:p>
    <w:p w14:paraId="0A5DAB79" w14:textId="77777777" w:rsidR="0079107A" w:rsidRDefault="0079107A" w:rsidP="0079107A">
      <w:pPr>
        <w:spacing w:line="240" w:lineRule="auto"/>
        <w:jc w:val="both"/>
        <w:rPr>
          <w:rFonts w:cs="Times New Roman"/>
          <w:szCs w:val="24"/>
        </w:rPr>
      </w:pPr>
      <w:r w:rsidRPr="003B0D48">
        <w:rPr>
          <w:rFonts w:cs="Times New Roman"/>
          <w:szCs w:val="24"/>
        </w:rPr>
        <w:t>Kľúčovým faktorom</w:t>
      </w:r>
      <w:r>
        <w:rPr>
          <w:rFonts w:cs="Times New Roman"/>
          <w:szCs w:val="24"/>
        </w:rPr>
        <w:t xml:space="preserve"> však v konečnom dôsledku</w:t>
      </w:r>
      <w:r w:rsidRPr="003B0D48">
        <w:rPr>
          <w:rFonts w:cs="Times New Roman"/>
          <w:szCs w:val="24"/>
        </w:rPr>
        <w:t xml:space="preserve"> bolo odpustenie návratných finančných výpomocí v sume </w:t>
      </w:r>
      <w:r>
        <w:rPr>
          <w:rFonts w:cs="Times New Roman"/>
          <w:szCs w:val="24"/>
        </w:rPr>
        <w:t>12 419 </w:t>
      </w:r>
      <w:r>
        <w:t>tis. eur.</w:t>
      </w:r>
      <w:r w:rsidRPr="003B0D48">
        <w:rPr>
          <w:rFonts w:cs="Times New Roman"/>
          <w:szCs w:val="24"/>
        </w:rPr>
        <w:t xml:space="preserve"> Toto systémové oddlženie krajov bolo v národných účtoch vykázané ako kapitálový transfer, ktorý jednorazovo zlepšil výsledok hospodárenia a</w:t>
      </w:r>
      <w:r>
        <w:rPr>
          <w:rFonts w:cs="Times New Roman"/>
          <w:szCs w:val="24"/>
        </w:rPr>
        <w:t> </w:t>
      </w:r>
      <w:r w:rsidRPr="003B0D48">
        <w:rPr>
          <w:rFonts w:cs="Times New Roman"/>
          <w:szCs w:val="24"/>
        </w:rPr>
        <w:t>posilnil investičné kapacity VÚC.</w:t>
      </w:r>
    </w:p>
    <w:p w14:paraId="47439F43" w14:textId="77777777" w:rsidR="00FC6896" w:rsidRDefault="00FC6896" w:rsidP="0079107A">
      <w:pPr>
        <w:spacing w:line="240" w:lineRule="auto"/>
        <w:jc w:val="both"/>
        <w:rPr>
          <w:rFonts w:cs="Times New Roman"/>
          <w:szCs w:val="24"/>
        </w:rPr>
      </w:pPr>
    </w:p>
    <w:p w14:paraId="21A2E5DB" w14:textId="172C2ABF" w:rsidR="009A05C7" w:rsidRDefault="009A05C7" w:rsidP="00532D85">
      <w:pPr>
        <w:spacing w:line="240" w:lineRule="auto"/>
        <w:jc w:val="both"/>
        <w:rPr>
          <w:rFonts w:cs="Times New Roman"/>
          <w:szCs w:val="24"/>
        </w:rPr>
      </w:pPr>
      <w:r w:rsidRPr="006868BB">
        <w:rPr>
          <w:rFonts w:cs="Times New Roman"/>
          <w:szCs w:val="24"/>
        </w:rPr>
        <w:t>Samosprávne kraje mali celkové príjmy v sume 2 </w:t>
      </w:r>
      <w:r w:rsidR="006868BB" w:rsidRPr="006868BB">
        <w:rPr>
          <w:rFonts w:cs="Times New Roman"/>
          <w:szCs w:val="24"/>
        </w:rPr>
        <w:t>252</w:t>
      </w:r>
      <w:r w:rsidRPr="006868BB">
        <w:rPr>
          <w:rFonts w:cs="Times New Roman"/>
          <w:szCs w:val="24"/>
        </w:rPr>
        <w:t> </w:t>
      </w:r>
      <w:r w:rsidR="006868BB" w:rsidRPr="006868BB">
        <w:rPr>
          <w:rFonts w:cs="Times New Roman"/>
          <w:szCs w:val="24"/>
        </w:rPr>
        <w:t>001</w:t>
      </w:r>
      <w:r w:rsidRPr="006868BB">
        <w:rPr>
          <w:rFonts w:cs="Times New Roman"/>
          <w:szCs w:val="24"/>
        </w:rPr>
        <w:t> tis. eur, čo predstavuje nárast o 1</w:t>
      </w:r>
      <w:r w:rsidR="006868BB" w:rsidRPr="006868BB">
        <w:rPr>
          <w:rFonts w:cs="Times New Roman"/>
          <w:szCs w:val="24"/>
        </w:rPr>
        <w:t>82</w:t>
      </w:r>
      <w:r w:rsidRPr="006868BB">
        <w:rPr>
          <w:rFonts w:cs="Times New Roman"/>
          <w:szCs w:val="24"/>
        </w:rPr>
        <w:t> </w:t>
      </w:r>
      <w:r w:rsidR="006868BB" w:rsidRPr="006868BB">
        <w:rPr>
          <w:rFonts w:cs="Times New Roman"/>
          <w:szCs w:val="24"/>
        </w:rPr>
        <w:t>076</w:t>
      </w:r>
      <w:r w:rsidRPr="006868BB">
        <w:rPr>
          <w:rFonts w:cs="Times New Roman"/>
          <w:szCs w:val="24"/>
        </w:rPr>
        <w:t> tis. eur oproti plánovaným. Z nedaňových príjmov najvyšší nárast bol za príjmy z administratívnych poplatkov o </w:t>
      </w:r>
      <w:r w:rsidR="006868BB" w:rsidRPr="006868BB">
        <w:rPr>
          <w:rFonts w:cs="Times New Roman"/>
          <w:szCs w:val="24"/>
        </w:rPr>
        <w:t>17</w:t>
      </w:r>
      <w:r w:rsidRPr="006868BB">
        <w:rPr>
          <w:rFonts w:cs="Times New Roman"/>
          <w:szCs w:val="24"/>
        </w:rPr>
        <w:t> </w:t>
      </w:r>
      <w:r w:rsidR="006868BB" w:rsidRPr="006868BB">
        <w:rPr>
          <w:rFonts w:cs="Times New Roman"/>
          <w:szCs w:val="24"/>
        </w:rPr>
        <w:t>499</w:t>
      </w:r>
      <w:r w:rsidRPr="006868BB">
        <w:rPr>
          <w:rFonts w:cs="Times New Roman"/>
          <w:szCs w:val="24"/>
        </w:rPr>
        <w:t> tis. eur najmä za predaj výrobkov, tovarov a</w:t>
      </w:r>
      <w:r w:rsidR="00C615FA">
        <w:rPr>
          <w:rFonts w:cs="Times New Roman"/>
          <w:szCs w:val="24"/>
        </w:rPr>
        <w:t> </w:t>
      </w:r>
      <w:r w:rsidRPr="006868BB">
        <w:rPr>
          <w:rFonts w:cs="Times New Roman"/>
          <w:szCs w:val="24"/>
        </w:rPr>
        <w:t>služieb</w:t>
      </w:r>
      <w:r w:rsidR="00C615FA">
        <w:rPr>
          <w:rFonts w:cs="Times New Roman"/>
          <w:szCs w:val="24"/>
        </w:rPr>
        <w:t xml:space="preserve">, za </w:t>
      </w:r>
      <w:r w:rsidRPr="006868BB">
        <w:rPr>
          <w:rFonts w:cs="Times New Roman"/>
          <w:szCs w:val="24"/>
        </w:rPr>
        <w:t>stravné a kapitálové príjmy o 5 </w:t>
      </w:r>
      <w:r w:rsidR="006868BB" w:rsidRPr="006868BB">
        <w:rPr>
          <w:rFonts w:cs="Times New Roman"/>
          <w:szCs w:val="24"/>
        </w:rPr>
        <w:t>275</w:t>
      </w:r>
      <w:r w:rsidRPr="006868BB">
        <w:rPr>
          <w:rFonts w:cs="Times New Roman"/>
          <w:szCs w:val="24"/>
        </w:rPr>
        <w:t xml:space="preserve"> tis. eur. Nad rámec rozpočtu sa plnili príjmy z grantov </w:t>
      </w:r>
      <w:r w:rsidRPr="006868BB">
        <w:rPr>
          <w:rFonts w:cs="Times New Roman"/>
          <w:szCs w:val="24"/>
        </w:rPr>
        <w:lastRenderedPageBreak/>
        <w:t>a transferov úhrnom o 1</w:t>
      </w:r>
      <w:r w:rsidR="006868BB" w:rsidRPr="006868BB">
        <w:rPr>
          <w:rFonts w:cs="Times New Roman"/>
          <w:szCs w:val="24"/>
        </w:rPr>
        <w:t>59</w:t>
      </w:r>
      <w:r w:rsidRPr="006868BB">
        <w:rPr>
          <w:rFonts w:cs="Times New Roman"/>
          <w:szCs w:val="24"/>
        </w:rPr>
        <w:t> </w:t>
      </w:r>
      <w:r w:rsidR="006868BB" w:rsidRPr="006868BB">
        <w:rPr>
          <w:rFonts w:cs="Times New Roman"/>
          <w:szCs w:val="24"/>
        </w:rPr>
        <w:t>629</w:t>
      </w:r>
      <w:r w:rsidRPr="006868BB">
        <w:rPr>
          <w:rFonts w:cs="Times New Roman"/>
          <w:szCs w:val="24"/>
        </w:rPr>
        <w:t> tis. eur, a to z dôvodu nezapájania zdrojov kapitol štátneho rozpočtu počas príprav rozpočtu. Boli určené najmä na financovanie preneseného výkonu štátnej správy na úseku školstva a na financovanie investičných projektov.</w:t>
      </w:r>
    </w:p>
    <w:p w14:paraId="5A60F9C0" w14:textId="77777777" w:rsidR="00FC6896" w:rsidRPr="006868BB" w:rsidRDefault="00FC6896" w:rsidP="00532D85">
      <w:pPr>
        <w:spacing w:line="240" w:lineRule="auto"/>
        <w:jc w:val="both"/>
        <w:rPr>
          <w:rFonts w:cs="Times New Roman"/>
          <w:szCs w:val="24"/>
        </w:rPr>
      </w:pPr>
    </w:p>
    <w:p w14:paraId="01BD9A04" w14:textId="2FE09C8B" w:rsidR="002A4CA9" w:rsidRDefault="009A05C7" w:rsidP="00532D85">
      <w:pPr>
        <w:spacing w:line="240" w:lineRule="auto"/>
        <w:jc w:val="both"/>
        <w:rPr>
          <w:rFonts w:cs="Times New Roman"/>
          <w:szCs w:val="24"/>
        </w:rPr>
      </w:pPr>
      <w:r w:rsidRPr="00175B89">
        <w:rPr>
          <w:rFonts w:cs="Times New Roman"/>
          <w:szCs w:val="24"/>
        </w:rPr>
        <w:t>Celkové výdavky narástli o </w:t>
      </w:r>
      <w:r w:rsidR="00D63E37" w:rsidRPr="00175B89">
        <w:rPr>
          <w:rFonts w:cs="Times New Roman"/>
          <w:szCs w:val="24"/>
        </w:rPr>
        <w:t>93</w:t>
      </w:r>
      <w:r w:rsidRPr="00175B89">
        <w:rPr>
          <w:rFonts w:cs="Times New Roman"/>
          <w:szCs w:val="24"/>
        </w:rPr>
        <w:t> </w:t>
      </w:r>
      <w:r w:rsidR="00D63E37" w:rsidRPr="00175B89">
        <w:rPr>
          <w:rFonts w:cs="Times New Roman"/>
          <w:szCs w:val="24"/>
        </w:rPr>
        <w:t>039</w:t>
      </w:r>
      <w:r w:rsidRPr="00175B89">
        <w:rPr>
          <w:rFonts w:cs="Times New Roman"/>
          <w:szCs w:val="24"/>
        </w:rPr>
        <w:t xml:space="preserve"> tis. eur. </w:t>
      </w:r>
      <w:r w:rsidR="005D7B56" w:rsidRPr="00742CCB">
        <w:t>Bežné výdavky sa čerpali celkovo na</w:t>
      </w:r>
      <w:r w:rsidR="001B6519">
        <w:t> </w:t>
      </w:r>
      <w:r w:rsidR="005D7B56" w:rsidRPr="00742CCB">
        <w:t>úrovni schváleného rozpočtu (+989</w:t>
      </w:r>
      <w:r w:rsidR="001B6519">
        <w:t> </w:t>
      </w:r>
      <w:r w:rsidR="005D7B56" w:rsidRPr="00742CCB">
        <w:t>tis.</w:t>
      </w:r>
      <w:r w:rsidR="001B6519">
        <w:t> </w:t>
      </w:r>
      <w:r w:rsidR="005D7B56" w:rsidRPr="00742CCB">
        <w:t>eur).</w:t>
      </w:r>
      <w:r w:rsidR="005D7B56">
        <w:t xml:space="preserve"> </w:t>
      </w:r>
      <w:r w:rsidR="00681E17" w:rsidRPr="00175B89">
        <w:rPr>
          <w:rFonts w:cs="Times New Roman"/>
          <w:szCs w:val="24"/>
        </w:rPr>
        <w:t>V rámci bežných výdavkov sa dosiahla úspora takmer vo</w:t>
      </w:r>
      <w:r w:rsidR="001F2AD6">
        <w:rPr>
          <w:rFonts w:cs="Times New Roman"/>
          <w:szCs w:val="24"/>
        </w:rPr>
        <w:t> </w:t>
      </w:r>
      <w:r w:rsidR="00681E17" w:rsidRPr="00175B89">
        <w:rPr>
          <w:rFonts w:cs="Times New Roman"/>
          <w:szCs w:val="24"/>
        </w:rPr>
        <w:t>všetkých položkách výdavkov, najväčší pokles oproti rozpočtu mali mzdové náklady spolu s poistným o 30 357 tis. eur</w:t>
      </w:r>
      <w:r w:rsidR="007D79C4">
        <w:rPr>
          <w:rFonts w:cs="Times New Roman"/>
          <w:szCs w:val="24"/>
        </w:rPr>
        <w:t xml:space="preserve"> </w:t>
      </w:r>
      <w:r w:rsidR="00681E17" w:rsidRPr="00175B89">
        <w:rPr>
          <w:rFonts w:cs="Times New Roman"/>
          <w:szCs w:val="24"/>
        </w:rPr>
        <w:t>.</w:t>
      </w:r>
      <w:r w:rsidR="00175B89">
        <w:rPr>
          <w:rFonts w:cs="Times New Roman"/>
          <w:szCs w:val="24"/>
        </w:rPr>
        <w:t xml:space="preserve"> O sumu 8 223 tis.</w:t>
      </w:r>
      <w:r w:rsidR="001F2AD6">
        <w:rPr>
          <w:rFonts w:cs="Times New Roman"/>
          <w:szCs w:val="24"/>
        </w:rPr>
        <w:t> </w:t>
      </w:r>
      <w:r w:rsidR="00175B89">
        <w:rPr>
          <w:rFonts w:cs="Times New Roman"/>
          <w:szCs w:val="24"/>
        </w:rPr>
        <w:t>eur poklesli výdavky na tovary a služby bežnej prevádzky i napriek tomu, že v priebehu roku 2025 prišlo k zmene sadzieb daní na</w:t>
      </w:r>
      <w:r w:rsidR="00395727">
        <w:rPr>
          <w:rFonts w:cs="Times New Roman"/>
          <w:szCs w:val="24"/>
        </w:rPr>
        <w:t> </w:t>
      </w:r>
      <w:r w:rsidR="00175B89">
        <w:rPr>
          <w:rFonts w:cs="Times New Roman"/>
          <w:szCs w:val="24"/>
        </w:rPr>
        <w:t>tovary a služby (DPH a medzispotreba).</w:t>
      </w:r>
      <w:r w:rsidR="002A4CA9">
        <w:rPr>
          <w:rFonts w:cs="Times New Roman"/>
          <w:szCs w:val="24"/>
        </w:rPr>
        <w:t xml:space="preserve"> Pozitívny vplyv eliminoval nárast výdavkov na</w:t>
      </w:r>
      <w:r w:rsidR="00042F5E">
        <w:rPr>
          <w:rFonts w:cs="Times New Roman"/>
          <w:szCs w:val="24"/>
        </w:rPr>
        <w:t> </w:t>
      </w:r>
      <w:r w:rsidR="002A4CA9">
        <w:rPr>
          <w:rFonts w:cs="Times New Roman"/>
          <w:szCs w:val="24"/>
        </w:rPr>
        <w:t>bežné transfery o 40 878 tis. eur.</w:t>
      </w:r>
    </w:p>
    <w:p w14:paraId="4BE78845" w14:textId="77777777" w:rsidR="00A972FB" w:rsidRDefault="00A972FB" w:rsidP="00532D85">
      <w:pPr>
        <w:spacing w:line="240" w:lineRule="auto"/>
        <w:jc w:val="both"/>
        <w:rPr>
          <w:rFonts w:cs="Times New Roman"/>
          <w:szCs w:val="24"/>
        </w:rPr>
      </w:pPr>
    </w:p>
    <w:p w14:paraId="0158BBCF" w14:textId="4656CC75" w:rsidR="009A05C7" w:rsidRDefault="005D7B56" w:rsidP="0087783F">
      <w:pPr>
        <w:spacing w:line="240" w:lineRule="auto"/>
        <w:jc w:val="both"/>
        <w:rPr>
          <w:szCs w:val="24"/>
        </w:rPr>
      </w:pPr>
      <w:r w:rsidRPr="00742CCB">
        <w:t>Kapitálové výdavky narástli o 92 050 tis. eur, z toho výdavky na obstaranie kapitálových aktív o sumu 90 681 tis. eur z dôvodu nezapájania zdrojov kapitol štátneho rozpočtu počas príprav rozpočtu, ale až v priebehu roka.</w:t>
      </w:r>
      <w:r w:rsidR="002A4CA9">
        <w:rPr>
          <w:rFonts w:cs="Times New Roman"/>
          <w:szCs w:val="24"/>
        </w:rPr>
        <w:t xml:space="preserve"> V roku 2025</w:t>
      </w:r>
      <w:r w:rsidR="001F2AD6">
        <w:rPr>
          <w:rFonts w:cs="Times New Roman"/>
          <w:szCs w:val="24"/>
        </w:rPr>
        <w:t xml:space="preserve"> </w:t>
      </w:r>
      <w:r w:rsidR="002A4CA9">
        <w:rPr>
          <w:rFonts w:cs="Times New Roman"/>
          <w:szCs w:val="24"/>
        </w:rPr>
        <w:t>boli investičné výdavky samosprávnych krajov zamerané na dočerpávanie projektov z </w:t>
      </w:r>
      <w:r w:rsidR="00C4036E">
        <w:rPr>
          <w:rFonts w:cs="Times New Roman"/>
          <w:szCs w:val="24"/>
        </w:rPr>
        <w:t>POO</w:t>
      </w:r>
      <w:r w:rsidR="002A4CA9">
        <w:rPr>
          <w:rFonts w:cs="Times New Roman"/>
          <w:szCs w:val="24"/>
        </w:rPr>
        <w:t xml:space="preserve"> a rozbeh nových investícií z Programu Slovensko</w:t>
      </w:r>
      <w:r w:rsidR="002A4CA9" w:rsidRPr="002A4CA9">
        <w:rPr>
          <w:rFonts w:cs="Times New Roman"/>
          <w:szCs w:val="24"/>
        </w:rPr>
        <w:t>.</w:t>
      </w:r>
      <w:r w:rsidR="009A05C7" w:rsidRPr="002A4CA9">
        <w:rPr>
          <w:rFonts w:cs="Times New Roman"/>
          <w:szCs w:val="24"/>
        </w:rPr>
        <w:t xml:space="preserve"> Tieto výdavky boli alokované na implementáciu projektov modernizácie stredných škôl, </w:t>
      </w:r>
      <w:r w:rsidR="002A4CA9" w:rsidRPr="002A4CA9">
        <w:rPr>
          <w:rFonts w:cs="Times New Roman"/>
          <w:szCs w:val="24"/>
        </w:rPr>
        <w:t xml:space="preserve">sociálnych služieb, </w:t>
      </w:r>
      <w:r w:rsidR="009A05C7" w:rsidRPr="002A4CA9">
        <w:rPr>
          <w:rFonts w:cs="Times New Roman"/>
          <w:szCs w:val="24"/>
        </w:rPr>
        <w:t xml:space="preserve">v </w:t>
      </w:r>
      <w:r w:rsidR="009A05C7" w:rsidRPr="002A4CA9">
        <w:rPr>
          <w:szCs w:val="24"/>
        </w:rPr>
        <w:t>oblasti zlepšovania bezpečnosti a</w:t>
      </w:r>
      <w:r w:rsidR="00042F5E">
        <w:rPr>
          <w:szCs w:val="24"/>
        </w:rPr>
        <w:t> </w:t>
      </w:r>
      <w:r w:rsidR="009A05C7" w:rsidRPr="002A4CA9">
        <w:rPr>
          <w:szCs w:val="24"/>
        </w:rPr>
        <w:t>ekológie dopravy v regiónoch vrátane rekonštrukcie ciest 1. a 2. triedy, obnovy mostných objektov a</w:t>
      </w:r>
      <w:r w:rsidR="001F2AD6">
        <w:rPr>
          <w:szCs w:val="24"/>
        </w:rPr>
        <w:t> </w:t>
      </w:r>
      <w:r w:rsidR="009A05C7" w:rsidRPr="002A4CA9">
        <w:rPr>
          <w:szCs w:val="24"/>
        </w:rPr>
        <w:t>obnovy dopravných prostriedkov verejnej osobnej dopravy a na implementáciu projektov v oblasti ochrany prírodného a</w:t>
      </w:r>
      <w:r w:rsidR="001B6519">
        <w:rPr>
          <w:szCs w:val="24"/>
        </w:rPr>
        <w:t> </w:t>
      </w:r>
      <w:r w:rsidR="009A05C7" w:rsidRPr="002A4CA9">
        <w:rPr>
          <w:szCs w:val="24"/>
        </w:rPr>
        <w:t>kultúrneho dedičstva z programov INTERREG V-A SK-AT</w:t>
      </w:r>
      <w:r w:rsidR="003F7A22">
        <w:rPr>
          <w:szCs w:val="24"/>
        </w:rPr>
        <w:t xml:space="preserve"> (Bratislavský samosprávny kraj)</w:t>
      </w:r>
      <w:r w:rsidR="009A05C7" w:rsidRPr="002A4CA9">
        <w:rPr>
          <w:szCs w:val="24"/>
        </w:rPr>
        <w:t>, INTERREG V-A SK-CZ</w:t>
      </w:r>
      <w:r w:rsidR="002A4CA9">
        <w:rPr>
          <w:szCs w:val="24"/>
        </w:rPr>
        <w:t xml:space="preserve"> (Žilinský, Trenčiansky a</w:t>
      </w:r>
      <w:r w:rsidR="003F7A22">
        <w:rPr>
          <w:szCs w:val="24"/>
        </w:rPr>
        <w:t> </w:t>
      </w:r>
      <w:r w:rsidR="002A4CA9">
        <w:rPr>
          <w:szCs w:val="24"/>
        </w:rPr>
        <w:t>Trnavský</w:t>
      </w:r>
      <w:r w:rsidR="003F7A22">
        <w:rPr>
          <w:szCs w:val="24"/>
        </w:rPr>
        <w:t xml:space="preserve"> samosprávny</w:t>
      </w:r>
      <w:r w:rsidR="002A4CA9">
        <w:rPr>
          <w:szCs w:val="24"/>
        </w:rPr>
        <w:t xml:space="preserve"> kraj)</w:t>
      </w:r>
      <w:r w:rsidR="009A05C7" w:rsidRPr="002A4CA9">
        <w:rPr>
          <w:szCs w:val="24"/>
        </w:rPr>
        <w:t xml:space="preserve"> INTERREG V-A PL-SK</w:t>
      </w:r>
      <w:r w:rsidR="003F7A22">
        <w:rPr>
          <w:szCs w:val="24"/>
        </w:rPr>
        <w:t xml:space="preserve"> (Prešovský samosprávny kraj)</w:t>
      </w:r>
      <w:r w:rsidR="009A05C7" w:rsidRPr="002A4CA9">
        <w:rPr>
          <w:szCs w:val="24"/>
        </w:rPr>
        <w:t xml:space="preserve"> a INTERREG V-A HU-SK</w:t>
      </w:r>
      <w:r w:rsidR="003F7A22">
        <w:rPr>
          <w:szCs w:val="24"/>
        </w:rPr>
        <w:t xml:space="preserve"> (Košický a Nitriansky samosprávny kraj)</w:t>
      </w:r>
      <w:r w:rsidR="009A05C7" w:rsidRPr="002A4CA9">
        <w:rPr>
          <w:szCs w:val="24"/>
        </w:rPr>
        <w:t>.</w:t>
      </w:r>
    </w:p>
    <w:p w14:paraId="353BE609" w14:textId="77777777" w:rsidR="0087783F" w:rsidRPr="002A4CA9" w:rsidRDefault="0087783F" w:rsidP="0087783F">
      <w:pPr>
        <w:spacing w:line="240" w:lineRule="auto"/>
        <w:jc w:val="both"/>
        <w:rPr>
          <w:rFonts w:cs="Times New Roman"/>
          <w:szCs w:val="24"/>
        </w:rPr>
      </w:pPr>
    </w:p>
    <w:p w14:paraId="24311D6C" w14:textId="4E592A24" w:rsidR="003713D2" w:rsidRDefault="003713D2" w:rsidP="0087783F">
      <w:pPr>
        <w:spacing w:line="240" w:lineRule="auto"/>
        <w:jc w:val="both"/>
        <w:rPr>
          <w:rFonts w:cs="Times New Roman"/>
          <w:szCs w:val="24"/>
        </w:rPr>
      </w:pPr>
      <w:r w:rsidRPr="00B86E25">
        <w:rPr>
          <w:rFonts w:cs="Times New Roman"/>
          <w:b/>
          <w:szCs w:val="24"/>
        </w:rPr>
        <w:t>Dopravné podniky</w:t>
      </w:r>
      <w:r w:rsidRPr="00B86E25">
        <w:rPr>
          <w:rFonts w:cs="Times New Roman"/>
          <w:szCs w:val="24"/>
        </w:rPr>
        <w:t xml:space="preserve"> zlepšili svoje </w:t>
      </w:r>
      <w:r w:rsidR="008F7F11">
        <w:rPr>
          <w:rFonts w:cs="Times New Roman"/>
          <w:szCs w:val="24"/>
        </w:rPr>
        <w:t xml:space="preserve">hotovostné </w:t>
      </w:r>
      <w:r w:rsidRPr="00B86E25">
        <w:rPr>
          <w:rFonts w:cs="Times New Roman"/>
          <w:szCs w:val="24"/>
        </w:rPr>
        <w:t>hospodárenie o 38 465 tis. eur a</w:t>
      </w:r>
      <w:r w:rsidR="00395727">
        <w:rPr>
          <w:rFonts w:cs="Times New Roman"/>
          <w:szCs w:val="24"/>
        </w:rPr>
        <w:t> </w:t>
      </w:r>
      <w:r w:rsidRPr="00B86E25">
        <w:rPr>
          <w:rFonts w:cs="Times New Roman"/>
          <w:szCs w:val="24"/>
        </w:rPr>
        <w:t>oproti rozpočtovanému schodku vo výške 17 662 tis. eur dosiahli prebytok vo výške 20 803 tis. eur. Celkové príjmy dopravných podnikov sa zvýšili o 46 167 tis. eur a celkové výdavky narástli o 7 702 tis. eur.</w:t>
      </w:r>
    </w:p>
    <w:p w14:paraId="49E1117E" w14:textId="03A1FDB5" w:rsidR="009C643D" w:rsidRDefault="0079107A" w:rsidP="0087783F">
      <w:pPr>
        <w:spacing w:line="240" w:lineRule="auto"/>
        <w:jc w:val="both"/>
        <w:rPr>
          <w:rFonts w:cs="Times New Roman"/>
          <w:szCs w:val="24"/>
        </w:rPr>
      </w:pPr>
      <w:r w:rsidRPr="00B75D11">
        <w:rPr>
          <w:rFonts w:cs="Times New Roman"/>
          <w:szCs w:val="24"/>
        </w:rPr>
        <w:t xml:space="preserve">Prebytkové hotovostné hospodárenie dopravných podnikov bolo </w:t>
      </w:r>
      <w:r>
        <w:rPr>
          <w:rFonts w:cs="Times New Roman"/>
          <w:szCs w:val="24"/>
        </w:rPr>
        <w:t xml:space="preserve">ďalej </w:t>
      </w:r>
      <w:r w:rsidRPr="00B75D11">
        <w:rPr>
          <w:rFonts w:cs="Times New Roman"/>
          <w:szCs w:val="24"/>
        </w:rPr>
        <w:t>pozitívne ovplyvnené nárastom pohľadávok o 28 016 tis. eur a poklesom záväzkov o 14 157 tis. eur. Najvyšší medziročný nárast na položke poskytnuté prevádzkové preddavky na dlhodobý hmotný a nehmotný majetok o 26 903 tis. eur</w:t>
      </w:r>
      <w:r w:rsidR="00357FA0">
        <w:rPr>
          <w:rFonts w:cs="Times New Roman"/>
          <w:szCs w:val="24"/>
        </w:rPr>
        <w:t xml:space="preserve"> z titulu zaplatených zálohových platieb </w:t>
      </w:r>
      <w:r w:rsidR="00357FA0" w:rsidRPr="00357FA0">
        <w:rPr>
          <w:rFonts w:cs="Times New Roman"/>
          <w:szCs w:val="24"/>
        </w:rPr>
        <w:t>na nákup nových vozidiel (električiek a autobusov) a modernizáciu infraštruktúry, ktoré sú financované z</w:t>
      </w:r>
      <w:r w:rsidR="005624FD">
        <w:rPr>
          <w:rFonts w:cs="Times New Roman"/>
          <w:szCs w:val="24"/>
        </w:rPr>
        <w:t> </w:t>
      </w:r>
      <w:r w:rsidR="00357FA0" w:rsidRPr="00357FA0">
        <w:rPr>
          <w:rFonts w:cs="Times New Roman"/>
          <w:szCs w:val="24"/>
        </w:rPr>
        <w:t>európskych zdrojov v rámci aktuálnych investičných projektov obnovy vozidlového parku.</w:t>
      </w:r>
      <w:r w:rsidRPr="00B75D11">
        <w:rPr>
          <w:rFonts w:cs="Times New Roman"/>
          <w:szCs w:val="24"/>
        </w:rPr>
        <w:t xml:space="preserve"> Na strane záväzkov najvyšší medziročný pokles bol na záväzkoch voči dodávateľom a</w:t>
      </w:r>
      <w:r>
        <w:rPr>
          <w:rFonts w:cs="Times New Roman"/>
          <w:szCs w:val="24"/>
        </w:rPr>
        <w:t> </w:t>
      </w:r>
      <w:r w:rsidRPr="00B75D11">
        <w:rPr>
          <w:rFonts w:cs="Times New Roman"/>
          <w:szCs w:val="24"/>
        </w:rPr>
        <w:t>z</w:t>
      </w:r>
      <w:r>
        <w:rPr>
          <w:rFonts w:cs="Times New Roman"/>
          <w:szCs w:val="24"/>
        </w:rPr>
        <w:t> </w:t>
      </w:r>
      <w:r w:rsidRPr="00B75D11">
        <w:rPr>
          <w:rFonts w:cs="Times New Roman"/>
          <w:szCs w:val="24"/>
        </w:rPr>
        <w:t>nevyfakturovaných dodávok o 13 158 tis. eur za úhradu faktúr z predchádzajúceho obdobia.</w:t>
      </w:r>
    </w:p>
    <w:p w14:paraId="12DF813E" w14:textId="1D2374EF" w:rsidR="0079107A" w:rsidRDefault="009C643D" w:rsidP="0087783F">
      <w:pPr>
        <w:spacing w:line="240" w:lineRule="auto"/>
        <w:jc w:val="both"/>
        <w:rPr>
          <w:rFonts w:cs="Times New Roman"/>
          <w:szCs w:val="24"/>
        </w:rPr>
      </w:pPr>
      <w:r w:rsidRPr="00424907">
        <w:rPr>
          <w:rFonts w:cs="Times New Roman"/>
          <w:szCs w:val="24"/>
        </w:rPr>
        <w:t xml:space="preserve">Pozitívny výsledok hospodárenia v roku 2025 bol ovplyvnený </w:t>
      </w:r>
      <w:r w:rsidR="00A65DD2">
        <w:rPr>
          <w:rFonts w:cs="Times New Roman"/>
          <w:szCs w:val="24"/>
        </w:rPr>
        <w:t>úpravou</w:t>
      </w:r>
      <w:r w:rsidRPr="00424907">
        <w:rPr>
          <w:rFonts w:cs="Times New Roman"/>
          <w:szCs w:val="24"/>
        </w:rPr>
        <w:t xml:space="preserve"> zaznamenaných výdavkov v celkovej hodnote 19</w:t>
      </w:r>
      <w:r w:rsidR="009C5EF7" w:rsidRPr="00424907">
        <w:rPr>
          <w:rFonts w:cs="Times New Roman"/>
          <w:szCs w:val="24"/>
        </w:rPr>
        <w:t> </w:t>
      </w:r>
      <w:r w:rsidRPr="00424907">
        <w:rPr>
          <w:rFonts w:cs="Times New Roman"/>
          <w:szCs w:val="24"/>
        </w:rPr>
        <w:t>073</w:t>
      </w:r>
      <w:r w:rsidR="009C5EF7" w:rsidRPr="00424907">
        <w:rPr>
          <w:rFonts w:cs="Times New Roman"/>
          <w:szCs w:val="24"/>
        </w:rPr>
        <w:t> </w:t>
      </w:r>
      <w:r w:rsidRPr="00424907">
        <w:rPr>
          <w:rFonts w:cs="Times New Roman"/>
          <w:szCs w:val="24"/>
        </w:rPr>
        <w:t>tis.</w:t>
      </w:r>
      <w:r w:rsidR="009C5EF7" w:rsidRPr="00424907">
        <w:rPr>
          <w:rFonts w:cs="Times New Roman"/>
          <w:szCs w:val="24"/>
        </w:rPr>
        <w:t> </w:t>
      </w:r>
      <w:r w:rsidRPr="00424907">
        <w:rPr>
          <w:rFonts w:cs="Times New Roman"/>
          <w:szCs w:val="24"/>
        </w:rPr>
        <w:t>eur. K tejto úprave sa pristúpilo z</w:t>
      </w:r>
      <w:r w:rsidR="009C5EF7" w:rsidRPr="00424907">
        <w:rPr>
          <w:rFonts w:cs="Times New Roman"/>
          <w:szCs w:val="24"/>
        </w:rPr>
        <w:t> </w:t>
      </w:r>
      <w:r w:rsidRPr="00424907">
        <w:rPr>
          <w:rFonts w:cs="Times New Roman"/>
          <w:szCs w:val="24"/>
        </w:rPr>
        <w:t>dôvodu metodického zosúladenia hotovostných a akruálnych tokov, nakoľko predmetná suma predstavovala neuhradené dodávateľské faktúry</w:t>
      </w:r>
      <w:r w:rsidR="00B43324" w:rsidRPr="00424907">
        <w:rPr>
          <w:rFonts w:cs="Times New Roman"/>
          <w:szCs w:val="24"/>
        </w:rPr>
        <w:t xml:space="preserve">, ktoré boli zaevidované </w:t>
      </w:r>
      <w:r w:rsidR="00A65DD2">
        <w:rPr>
          <w:rFonts w:cs="Times New Roman"/>
          <w:szCs w:val="24"/>
        </w:rPr>
        <w:t xml:space="preserve">v </w:t>
      </w:r>
      <w:r w:rsidR="00B43324" w:rsidRPr="00424907">
        <w:rPr>
          <w:rFonts w:cs="Times New Roman"/>
          <w:szCs w:val="24"/>
        </w:rPr>
        <w:t>hotovostnom čerpaní aj ako náklad. Tieto operácie</w:t>
      </w:r>
      <w:r w:rsidR="00B43324" w:rsidRPr="00B75D11">
        <w:rPr>
          <w:rFonts w:cs="Times New Roman"/>
          <w:szCs w:val="24"/>
        </w:rPr>
        <w:t xml:space="preserve"> zlepšili saldo hospodárenia a</w:t>
      </w:r>
      <w:r w:rsidR="00B43324">
        <w:rPr>
          <w:rFonts w:cs="Times New Roman"/>
          <w:szCs w:val="24"/>
        </w:rPr>
        <w:t> </w:t>
      </w:r>
      <w:r w:rsidR="00B43324" w:rsidRPr="00B75D11">
        <w:rPr>
          <w:rFonts w:cs="Times New Roman"/>
          <w:szCs w:val="24"/>
        </w:rPr>
        <w:t>dopravné podniky dosiahli ESA prebytok na úrovni 79</w:t>
      </w:r>
      <w:r w:rsidR="00B43324">
        <w:rPr>
          <w:rFonts w:cs="Times New Roman"/>
          <w:szCs w:val="24"/>
        </w:rPr>
        <w:t> </w:t>
      </w:r>
      <w:r w:rsidR="00B43324" w:rsidRPr="00B75D11">
        <w:rPr>
          <w:rFonts w:cs="Times New Roman"/>
          <w:szCs w:val="24"/>
        </w:rPr>
        <w:t>868</w:t>
      </w:r>
      <w:r w:rsidR="00B43324">
        <w:rPr>
          <w:rFonts w:cs="Times New Roman"/>
          <w:szCs w:val="24"/>
        </w:rPr>
        <w:t> </w:t>
      </w:r>
      <w:r w:rsidR="00B43324" w:rsidRPr="00B75D11">
        <w:rPr>
          <w:rFonts w:cs="Times New Roman"/>
          <w:szCs w:val="24"/>
        </w:rPr>
        <w:t>tis.</w:t>
      </w:r>
      <w:r w:rsidR="00B43324">
        <w:rPr>
          <w:rFonts w:cs="Times New Roman"/>
          <w:szCs w:val="24"/>
        </w:rPr>
        <w:t> </w:t>
      </w:r>
      <w:r w:rsidR="00B43324" w:rsidRPr="00B75D11">
        <w:rPr>
          <w:rFonts w:cs="Times New Roman"/>
          <w:szCs w:val="24"/>
        </w:rPr>
        <w:t>eur</w:t>
      </w:r>
      <w:r w:rsidR="005624FD">
        <w:rPr>
          <w:rFonts w:cs="Times New Roman"/>
          <w:szCs w:val="24"/>
        </w:rPr>
        <w:t>.</w:t>
      </w:r>
    </w:p>
    <w:p w14:paraId="770B045B" w14:textId="77777777" w:rsidR="00FC6896" w:rsidRDefault="00FC6896" w:rsidP="0087783F">
      <w:pPr>
        <w:spacing w:line="240" w:lineRule="auto"/>
        <w:jc w:val="both"/>
        <w:rPr>
          <w:rFonts w:cs="Times New Roman"/>
          <w:szCs w:val="24"/>
        </w:rPr>
      </w:pPr>
    </w:p>
    <w:p w14:paraId="0B426E43" w14:textId="3A577961" w:rsidR="003713D2" w:rsidRDefault="003713D2" w:rsidP="0087783F">
      <w:pPr>
        <w:spacing w:line="240" w:lineRule="auto"/>
        <w:jc w:val="both"/>
        <w:rPr>
          <w:rFonts w:cs="Times New Roman"/>
          <w:szCs w:val="24"/>
        </w:rPr>
      </w:pPr>
      <w:r w:rsidRPr="005A536D">
        <w:rPr>
          <w:rFonts w:cs="Times New Roman"/>
          <w:szCs w:val="24"/>
        </w:rPr>
        <w:t>V roku 2025 došlo k stabilizácii dopytu po verejnej doprave s miernym nárastom počtu prepravených osôb nad úroveň roku 2019. Napriek oživeniu tržieb z predaja cestovných lístkov a služieb pretrvával negatívny vplyv na hospodárenie dopravných podnikov z</w:t>
      </w:r>
      <w:r w:rsidR="00145EA0">
        <w:rPr>
          <w:rFonts w:cs="Times New Roman"/>
          <w:szCs w:val="24"/>
        </w:rPr>
        <w:t> </w:t>
      </w:r>
      <w:r w:rsidRPr="005A536D">
        <w:rPr>
          <w:rFonts w:cs="Times New Roman"/>
          <w:szCs w:val="24"/>
        </w:rPr>
        <w:t>dôvodu rastu prevádzkových nákladov vyvolaných konsolidačnými opatreniami (zvýšenie DPH, transakčná daň, mzdové náklady). Tento vývoj viedol k úprave taríf vo vybraných aglomeráciách a</w:t>
      </w:r>
      <w:r w:rsidR="00145EA0">
        <w:rPr>
          <w:rFonts w:cs="Times New Roman"/>
          <w:szCs w:val="24"/>
        </w:rPr>
        <w:t> </w:t>
      </w:r>
      <w:r w:rsidRPr="005A536D">
        <w:rPr>
          <w:rFonts w:cs="Times New Roman"/>
          <w:szCs w:val="24"/>
        </w:rPr>
        <w:t>k</w:t>
      </w:r>
      <w:r w:rsidR="00145EA0">
        <w:rPr>
          <w:rFonts w:cs="Times New Roman"/>
          <w:szCs w:val="24"/>
        </w:rPr>
        <w:t> </w:t>
      </w:r>
      <w:r w:rsidRPr="005A536D">
        <w:rPr>
          <w:rFonts w:cs="Times New Roman"/>
          <w:szCs w:val="24"/>
        </w:rPr>
        <w:t>pretrvávajúcej potrebe dofinancovania prevádzkovej straty</w:t>
      </w:r>
      <w:r>
        <w:rPr>
          <w:rFonts w:cs="Times New Roman"/>
          <w:szCs w:val="24"/>
        </w:rPr>
        <w:t>.</w:t>
      </w:r>
    </w:p>
    <w:p w14:paraId="79715D8D" w14:textId="77777777" w:rsidR="00FC6896" w:rsidRDefault="00FC6896" w:rsidP="0087783F">
      <w:pPr>
        <w:spacing w:line="240" w:lineRule="auto"/>
        <w:jc w:val="both"/>
        <w:rPr>
          <w:rFonts w:cs="Times New Roman"/>
          <w:szCs w:val="24"/>
        </w:rPr>
      </w:pPr>
    </w:p>
    <w:p w14:paraId="0E8CB265" w14:textId="4133165D" w:rsidR="003713D2" w:rsidRDefault="003713D2" w:rsidP="0087783F">
      <w:pPr>
        <w:spacing w:line="240" w:lineRule="auto"/>
        <w:jc w:val="both"/>
        <w:rPr>
          <w:rFonts w:cs="Times New Roman"/>
          <w:szCs w:val="24"/>
        </w:rPr>
      </w:pPr>
      <w:r>
        <w:rPr>
          <w:rFonts w:cs="Times New Roman"/>
          <w:szCs w:val="24"/>
        </w:rPr>
        <w:t>Príjmy oproti rozpočtu vzrástli o 46</w:t>
      </w:r>
      <w:r w:rsidR="00145EA0">
        <w:rPr>
          <w:rFonts w:cs="Times New Roman"/>
          <w:szCs w:val="24"/>
        </w:rPr>
        <w:t> </w:t>
      </w:r>
      <w:r>
        <w:rPr>
          <w:rFonts w:cs="Times New Roman"/>
          <w:szCs w:val="24"/>
        </w:rPr>
        <w:t>167</w:t>
      </w:r>
      <w:r w:rsidR="00145EA0">
        <w:rPr>
          <w:rFonts w:cs="Times New Roman"/>
          <w:szCs w:val="24"/>
        </w:rPr>
        <w:t> </w:t>
      </w:r>
      <w:r>
        <w:rPr>
          <w:rFonts w:cs="Times New Roman"/>
          <w:szCs w:val="24"/>
        </w:rPr>
        <w:t>tis.</w:t>
      </w:r>
      <w:r w:rsidR="00145EA0">
        <w:rPr>
          <w:rFonts w:cs="Times New Roman"/>
          <w:szCs w:val="24"/>
        </w:rPr>
        <w:t> </w:t>
      </w:r>
      <w:r>
        <w:rPr>
          <w:rFonts w:cs="Times New Roman"/>
          <w:szCs w:val="24"/>
        </w:rPr>
        <w:t>eur</w:t>
      </w:r>
      <w:r w:rsidRPr="00273782">
        <w:rPr>
          <w:rFonts w:cs="Times New Roman"/>
          <w:szCs w:val="24"/>
        </w:rPr>
        <w:t>, čo sa z časti prejavilo nárastom tržieb za</w:t>
      </w:r>
      <w:r w:rsidR="00145EA0">
        <w:rPr>
          <w:rFonts w:cs="Times New Roman"/>
          <w:szCs w:val="24"/>
        </w:rPr>
        <w:t> </w:t>
      </w:r>
      <w:r w:rsidRPr="00273782">
        <w:rPr>
          <w:rFonts w:cs="Times New Roman"/>
          <w:szCs w:val="24"/>
        </w:rPr>
        <w:t>predaj cestovných lístkov a služieb, vyšších príjmov z pokút a vymožených pohľadávok za</w:t>
      </w:r>
      <w:r w:rsidR="00145EA0">
        <w:rPr>
          <w:rFonts w:cs="Times New Roman"/>
          <w:szCs w:val="24"/>
        </w:rPr>
        <w:t> </w:t>
      </w:r>
      <w:r w:rsidRPr="00273782">
        <w:rPr>
          <w:rFonts w:cs="Times New Roman"/>
          <w:szCs w:val="24"/>
        </w:rPr>
        <w:t>cestovanie bez platného cestovného lístka a zvýšeného dopytu na zájazdovú, zmluvnú a</w:t>
      </w:r>
      <w:r w:rsidR="00145EA0">
        <w:rPr>
          <w:rFonts w:cs="Times New Roman"/>
          <w:szCs w:val="24"/>
        </w:rPr>
        <w:t> </w:t>
      </w:r>
      <w:r w:rsidRPr="00273782">
        <w:rPr>
          <w:rFonts w:cs="Times New Roman"/>
          <w:szCs w:val="24"/>
        </w:rPr>
        <w:t>príležitostnú dopravu. Výrazný pozitívny vplyv na hotovostný schodok mali prijaté granty a transfery v objeme 226</w:t>
      </w:r>
      <w:r w:rsidR="00145EA0">
        <w:rPr>
          <w:rFonts w:cs="Times New Roman"/>
          <w:szCs w:val="24"/>
        </w:rPr>
        <w:t> </w:t>
      </w:r>
      <w:r w:rsidRPr="00273782">
        <w:rPr>
          <w:rFonts w:cs="Times New Roman"/>
          <w:szCs w:val="24"/>
        </w:rPr>
        <w:t>806</w:t>
      </w:r>
      <w:r w:rsidR="00145EA0">
        <w:rPr>
          <w:rFonts w:cs="Times New Roman"/>
          <w:szCs w:val="24"/>
        </w:rPr>
        <w:t> </w:t>
      </w:r>
      <w:r w:rsidRPr="00273782">
        <w:rPr>
          <w:rFonts w:cs="Times New Roman"/>
          <w:szCs w:val="24"/>
        </w:rPr>
        <w:t>tis.</w:t>
      </w:r>
      <w:r w:rsidR="00145EA0">
        <w:rPr>
          <w:rFonts w:cs="Times New Roman"/>
          <w:szCs w:val="24"/>
        </w:rPr>
        <w:t> </w:t>
      </w:r>
      <w:r w:rsidRPr="00273782">
        <w:rPr>
          <w:rFonts w:cs="Times New Roman"/>
          <w:szCs w:val="24"/>
        </w:rPr>
        <w:t>eur</w:t>
      </w:r>
      <w:r w:rsidR="00463BBE">
        <w:rPr>
          <w:rFonts w:cs="Times New Roman"/>
          <w:szCs w:val="24"/>
        </w:rPr>
        <w:t xml:space="preserve">, </w:t>
      </w:r>
      <w:r w:rsidR="00463BBE" w:rsidRPr="00B019AA">
        <w:rPr>
          <w:rFonts w:cs="Times New Roman"/>
          <w:szCs w:val="24"/>
        </w:rPr>
        <w:t>ktoré oproti rozpočtu vzrástli o 42 897 tis. eur</w:t>
      </w:r>
      <w:r w:rsidRPr="00B019AA">
        <w:rPr>
          <w:rFonts w:cs="Times New Roman"/>
          <w:szCs w:val="24"/>
        </w:rPr>
        <w:t>.</w:t>
      </w:r>
    </w:p>
    <w:p w14:paraId="7440E249" w14:textId="77777777" w:rsidR="00A972FB" w:rsidRDefault="00A972FB" w:rsidP="0087783F">
      <w:pPr>
        <w:spacing w:line="240" w:lineRule="auto"/>
        <w:jc w:val="both"/>
        <w:rPr>
          <w:rFonts w:cs="Times New Roman"/>
          <w:szCs w:val="24"/>
        </w:rPr>
      </w:pPr>
    </w:p>
    <w:p w14:paraId="46A48D0E" w14:textId="15332145" w:rsidR="003713D2" w:rsidRDefault="003713D2" w:rsidP="0087783F">
      <w:pPr>
        <w:spacing w:line="240" w:lineRule="auto"/>
        <w:jc w:val="both"/>
        <w:rPr>
          <w:rFonts w:cs="Times New Roman"/>
          <w:szCs w:val="24"/>
        </w:rPr>
      </w:pPr>
      <w:r w:rsidRPr="005D48AB">
        <w:rPr>
          <w:rFonts w:cs="Times New Roman"/>
          <w:szCs w:val="24"/>
        </w:rPr>
        <w:t>Bežné granty a transfery na financovanie MHD v zmysle Zmlúv o službách vo</w:t>
      </w:r>
      <w:r w:rsidR="00145EA0">
        <w:rPr>
          <w:rFonts w:cs="Times New Roman"/>
          <w:szCs w:val="24"/>
        </w:rPr>
        <w:t> </w:t>
      </w:r>
      <w:r w:rsidRPr="005D48AB">
        <w:rPr>
          <w:rFonts w:cs="Times New Roman"/>
          <w:szCs w:val="24"/>
        </w:rPr>
        <w:t>verejnom záujme prekročili plánovaný rozpočet o 7 335 tis. eur a kapitálové transfery o 35 562 tis.</w:t>
      </w:r>
      <w:r w:rsidR="00145EA0">
        <w:rPr>
          <w:rFonts w:cs="Times New Roman"/>
          <w:szCs w:val="24"/>
        </w:rPr>
        <w:t> </w:t>
      </w:r>
      <w:r w:rsidRPr="005D48AB">
        <w:rPr>
          <w:rFonts w:cs="Times New Roman"/>
          <w:szCs w:val="24"/>
        </w:rPr>
        <w:t>eur.</w:t>
      </w:r>
    </w:p>
    <w:p w14:paraId="31C42D0D" w14:textId="15FEF05A" w:rsidR="003713D2" w:rsidRDefault="003713D2" w:rsidP="0087783F">
      <w:pPr>
        <w:spacing w:line="240" w:lineRule="auto"/>
        <w:jc w:val="both"/>
        <w:rPr>
          <w:rFonts w:cs="Times New Roman"/>
          <w:szCs w:val="24"/>
        </w:rPr>
      </w:pPr>
      <w:r w:rsidRPr="005D48AB">
        <w:rPr>
          <w:rFonts w:cs="Times New Roman"/>
          <w:szCs w:val="24"/>
        </w:rPr>
        <w:t>Tento pozitívny rozdiel bol spôsobený najmä</w:t>
      </w:r>
      <w:r>
        <w:rPr>
          <w:rFonts w:cs="Times New Roman"/>
          <w:szCs w:val="24"/>
        </w:rPr>
        <w:t xml:space="preserve"> z</w:t>
      </w:r>
      <w:r w:rsidRPr="00014A66">
        <w:rPr>
          <w:rFonts w:cs="Times New Roman"/>
          <w:szCs w:val="24"/>
        </w:rPr>
        <w:t>výšenou dynamikou čerpania prostriedkov z</w:t>
      </w:r>
      <w:r w:rsidR="00C4036E">
        <w:rPr>
          <w:rFonts w:cs="Times New Roman"/>
          <w:szCs w:val="24"/>
        </w:rPr>
        <w:t> POO </w:t>
      </w:r>
      <w:r w:rsidRPr="00014A66">
        <w:rPr>
          <w:rFonts w:cs="Times New Roman"/>
          <w:szCs w:val="24"/>
        </w:rPr>
        <w:t>SR, ktoré neboli v plnej miere predpokladané pri tvorbe pôvodného rozpočtu</w:t>
      </w:r>
      <w:r>
        <w:rPr>
          <w:rFonts w:cs="Times New Roman"/>
          <w:szCs w:val="24"/>
        </w:rPr>
        <w:t>, d</w:t>
      </w:r>
      <w:r w:rsidRPr="00014A66">
        <w:rPr>
          <w:rFonts w:cs="Times New Roman"/>
          <w:szCs w:val="24"/>
        </w:rPr>
        <w:t>odatočným schválením účelových kapitálových dotácií zo štátneho rozpočtu a</w:t>
      </w:r>
      <w:r w:rsidR="00145EA0">
        <w:rPr>
          <w:rFonts w:cs="Times New Roman"/>
          <w:szCs w:val="24"/>
        </w:rPr>
        <w:t> </w:t>
      </w:r>
      <w:r w:rsidRPr="00014A66">
        <w:rPr>
          <w:rFonts w:cs="Times New Roman"/>
          <w:szCs w:val="24"/>
        </w:rPr>
        <w:t>iných subjektov verejnej správy na modernizáciu infraštruktúry a nákup investičného majetku</w:t>
      </w:r>
      <w:r>
        <w:rPr>
          <w:rFonts w:cs="Times New Roman"/>
          <w:szCs w:val="24"/>
        </w:rPr>
        <w:t xml:space="preserve"> a</w:t>
      </w:r>
      <w:r w:rsidR="00145EA0">
        <w:rPr>
          <w:rFonts w:cs="Times New Roman"/>
          <w:szCs w:val="24"/>
        </w:rPr>
        <w:t> </w:t>
      </w:r>
      <w:r>
        <w:rPr>
          <w:rFonts w:cs="Times New Roman"/>
          <w:szCs w:val="24"/>
        </w:rPr>
        <w:t>ú</w:t>
      </w:r>
      <w:r w:rsidRPr="00014A66">
        <w:rPr>
          <w:rFonts w:cs="Times New Roman"/>
          <w:szCs w:val="24"/>
        </w:rPr>
        <w:t>spešnou refundáciou výdavkov realizovaných v rámci projektov financovaných zo</w:t>
      </w:r>
      <w:r w:rsidR="00145EA0">
        <w:rPr>
          <w:rFonts w:cs="Times New Roman"/>
          <w:szCs w:val="24"/>
        </w:rPr>
        <w:t> </w:t>
      </w:r>
      <w:r w:rsidRPr="00014A66">
        <w:rPr>
          <w:rFonts w:cs="Times New Roman"/>
          <w:szCs w:val="24"/>
        </w:rPr>
        <w:t>štrukturálnych fondov EÚ v predchádzajúcom období.</w:t>
      </w:r>
    </w:p>
    <w:p w14:paraId="4B129AB7" w14:textId="77777777" w:rsidR="00A972FB" w:rsidRDefault="00A972FB" w:rsidP="0087783F">
      <w:pPr>
        <w:spacing w:line="240" w:lineRule="auto"/>
        <w:jc w:val="both"/>
        <w:rPr>
          <w:rFonts w:cs="Times New Roman"/>
          <w:szCs w:val="24"/>
        </w:rPr>
      </w:pPr>
    </w:p>
    <w:p w14:paraId="4E0112D4" w14:textId="660781AB" w:rsidR="003713D2" w:rsidRDefault="003713D2" w:rsidP="0087783F">
      <w:pPr>
        <w:spacing w:line="240" w:lineRule="auto"/>
        <w:jc w:val="both"/>
        <w:rPr>
          <w:rFonts w:cs="Times New Roman"/>
          <w:szCs w:val="24"/>
        </w:rPr>
      </w:pPr>
      <w:r>
        <w:rPr>
          <w:rFonts w:cs="Times New Roman"/>
          <w:szCs w:val="24"/>
        </w:rPr>
        <w:t>Nárast kapitálových príjmov priamo ko</w:t>
      </w:r>
      <w:r w:rsidR="00924EF4">
        <w:rPr>
          <w:rFonts w:cs="Times New Roman"/>
          <w:szCs w:val="24"/>
        </w:rPr>
        <w:t>r</w:t>
      </w:r>
      <w:r>
        <w:rPr>
          <w:rFonts w:cs="Times New Roman"/>
          <w:szCs w:val="24"/>
        </w:rPr>
        <w:t>e</w:t>
      </w:r>
      <w:r w:rsidR="00924EF4">
        <w:rPr>
          <w:rFonts w:cs="Times New Roman"/>
          <w:szCs w:val="24"/>
        </w:rPr>
        <w:t>l</w:t>
      </w:r>
      <w:r>
        <w:rPr>
          <w:rFonts w:cs="Times New Roman"/>
          <w:szCs w:val="24"/>
        </w:rPr>
        <w:t>uje s nárastom kapitálových výdavkov čo potvrdzuje použitie finančných prostriedkov účelovo na konkrétne investície</w:t>
      </w:r>
      <w:r w:rsidR="00145EA0">
        <w:rPr>
          <w:rFonts w:cs="Times New Roman"/>
          <w:szCs w:val="24"/>
        </w:rPr>
        <w:t>.</w:t>
      </w:r>
    </w:p>
    <w:p w14:paraId="726553C3" w14:textId="77777777" w:rsidR="00FC6896" w:rsidRDefault="00FC6896" w:rsidP="0087783F">
      <w:pPr>
        <w:spacing w:line="240" w:lineRule="auto"/>
        <w:jc w:val="both"/>
        <w:rPr>
          <w:rFonts w:cs="Times New Roman"/>
          <w:szCs w:val="24"/>
        </w:rPr>
      </w:pPr>
    </w:p>
    <w:p w14:paraId="1A3C3752" w14:textId="788CE465" w:rsidR="003713D2" w:rsidRDefault="003713D2" w:rsidP="0087783F">
      <w:pPr>
        <w:spacing w:line="240" w:lineRule="auto"/>
        <w:jc w:val="both"/>
        <w:rPr>
          <w:rFonts w:cs="Times New Roman"/>
          <w:szCs w:val="24"/>
        </w:rPr>
      </w:pPr>
      <w:r w:rsidRPr="003D7589">
        <w:rPr>
          <w:rFonts w:cs="Times New Roman"/>
          <w:szCs w:val="24"/>
        </w:rPr>
        <w:t>Celkové výdavky sa čerpali vo výške 294 424 tis. eur, z toho kapitálové výdavky prekročili plánovaný rozpočet o 12 041 tis. eur a v bežných výdavkoch sa dosiahla úspora o 4 339 tis. eur.</w:t>
      </w:r>
    </w:p>
    <w:p w14:paraId="1322F246" w14:textId="2113A3BE" w:rsidR="003713D2" w:rsidRDefault="003713D2" w:rsidP="0087783F">
      <w:pPr>
        <w:spacing w:line="240" w:lineRule="auto"/>
        <w:jc w:val="both"/>
        <w:rPr>
          <w:rFonts w:cs="Times New Roman"/>
          <w:szCs w:val="24"/>
        </w:rPr>
      </w:pPr>
      <w:r w:rsidRPr="00E125AF">
        <w:rPr>
          <w:rFonts w:cs="Times New Roman"/>
          <w:szCs w:val="24"/>
        </w:rPr>
        <w:t>Zvýšenie minimálnej mzdy, mimoriadna jednorazová odmena v zmysle kolektívneho vyjednávania, náborové a stabilizačné príspevky z dôvodu nedostatku vodičov mali za</w:t>
      </w:r>
      <w:r w:rsidR="00145EA0">
        <w:rPr>
          <w:rFonts w:cs="Times New Roman"/>
          <w:szCs w:val="24"/>
        </w:rPr>
        <w:t> </w:t>
      </w:r>
      <w:r w:rsidRPr="00E125AF">
        <w:rPr>
          <w:rFonts w:cs="Times New Roman"/>
          <w:szCs w:val="24"/>
        </w:rPr>
        <w:t>následok prekročenie výdavkov na mzdy a odvody v úhrne o 10</w:t>
      </w:r>
      <w:r w:rsidR="00145EA0">
        <w:rPr>
          <w:rFonts w:cs="Times New Roman"/>
          <w:szCs w:val="24"/>
        </w:rPr>
        <w:t> </w:t>
      </w:r>
      <w:r w:rsidRPr="00E125AF">
        <w:rPr>
          <w:rFonts w:cs="Times New Roman"/>
          <w:szCs w:val="24"/>
        </w:rPr>
        <w:t>385</w:t>
      </w:r>
      <w:r w:rsidR="00145EA0">
        <w:rPr>
          <w:rFonts w:cs="Times New Roman"/>
          <w:szCs w:val="24"/>
        </w:rPr>
        <w:t> </w:t>
      </w:r>
      <w:r w:rsidRPr="00E125AF">
        <w:rPr>
          <w:rFonts w:cs="Times New Roman"/>
          <w:szCs w:val="24"/>
        </w:rPr>
        <w:t>tis.</w:t>
      </w:r>
      <w:r w:rsidR="00145EA0">
        <w:rPr>
          <w:rFonts w:cs="Times New Roman"/>
          <w:szCs w:val="24"/>
        </w:rPr>
        <w:t> </w:t>
      </w:r>
      <w:r w:rsidRPr="00E125AF">
        <w:rPr>
          <w:rFonts w:cs="Times New Roman"/>
          <w:szCs w:val="24"/>
        </w:rPr>
        <w:t xml:space="preserve">eur. </w:t>
      </w:r>
      <w:r>
        <w:rPr>
          <w:rFonts w:cs="Times New Roman"/>
          <w:szCs w:val="24"/>
        </w:rPr>
        <w:t>Pozitívny vplyv na hospodárenie mala výrazná úspora v kategórii tovarov a služieb o 14</w:t>
      </w:r>
      <w:r w:rsidR="00145EA0">
        <w:rPr>
          <w:rFonts w:cs="Times New Roman"/>
          <w:szCs w:val="24"/>
        </w:rPr>
        <w:t> </w:t>
      </w:r>
      <w:r>
        <w:rPr>
          <w:rFonts w:cs="Times New Roman"/>
          <w:szCs w:val="24"/>
        </w:rPr>
        <w:t>316</w:t>
      </w:r>
      <w:r w:rsidR="00145EA0">
        <w:rPr>
          <w:rFonts w:cs="Times New Roman"/>
          <w:szCs w:val="24"/>
        </w:rPr>
        <w:t> </w:t>
      </w:r>
      <w:r>
        <w:rPr>
          <w:rFonts w:cs="Times New Roman"/>
          <w:szCs w:val="24"/>
        </w:rPr>
        <w:t>tis.</w:t>
      </w:r>
      <w:r w:rsidR="00145EA0">
        <w:rPr>
          <w:rFonts w:cs="Times New Roman"/>
          <w:szCs w:val="24"/>
        </w:rPr>
        <w:t> </w:t>
      </w:r>
      <w:r>
        <w:rPr>
          <w:rFonts w:cs="Times New Roman"/>
          <w:szCs w:val="24"/>
        </w:rPr>
        <w:t>eur, ktorá bola dosiahnutá vďaka priaznivejšiemu vývoju cien pohonných hmôt a elektrickej energie na</w:t>
      </w:r>
      <w:r w:rsidR="00145EA0">
        <w:rPr>
          <w:rFonts w:cs="Times New Roman"/>
          <w:szCs w:val="24"/>
        </w:rPr>
        <w:t> </w:t>
      </w:r>
      <w:r>
        <w:rPr>
          <w:rFonts w:cs="Times New Roman"/>
          <w:szCs w:val="24"/>
        </w:rPr>
        <w:t>spotových trhoch. V rámci bežnej prevádzky sa ušetrilo na údržbe, servise a náhradných dieloch.</w:t>
      </w:r>
    </w:p>
    <w:p w14:paraId="09345364" w14:textId="77777777" w:rsidR="00A972FB" w:rsidRDefault="00A972FB" w:rsidP="0087783F">
      <w:pPr>
        <w:spacing w:line="240" w:lineRule="auto"/>
        <w:jc w:val="both"/>
        <w:rPr>
          <w:rFonts w:cs="Times New Roman"/>
          <w:szCs w:val="24"/>
        </w:rPr>
      </w:pPr>
    </w:p>
    <w:p w14:paraId="3EB524B9" w14:textId="5A655A46" w:rsidR="003713D2" w:rsidRDefault="003713D2" w:rsidP="0087783F">
      <w:pPr>
        <w:spacing w:line="240" w:lineRule="auto"/>
        <w:jc w:val="both"/>
        <w:rPr>
          <w:rFonts w:cs="Times New Roman"/>
          <w:szCs w:val="24"/>
        </w:rPr>
      </w:pPr>
      <w:r w:rsidRPr="00BF6680">
        <w:rPr>
          <w:rFonts w:cs="Times New Roman"/>
          <w:szCs w:val="24"/>
        </w:rPr>
        <w:t>Dopravné podniky v priebehu roka 202</w:t>
      </w:r>
      <w:r>
        <w:rPr>
          <w:rFonts w:cs="Times New Roman"/>
          <w:szCs w:val="24"/>
        </w:rPr>
        <w:t>5</w:t>
      </w:r>
      <w:r w:rsidRPr="00BF6680">
        <w:rPr>
          <w:rFonts w:cs="Times New Roman"/>
          <w:szCs w:val="24"/>
        </w:rPr>
        <w:t xml:space="preserve"> obstarali kapitálové aktíva na úrovni </w:t>
      </w:r>
      <w:r>
        <w:rPr>
          <w:rFonts w:cs="Times New Roman"/>
          <w:szCs w:val="24"/>
        </w:rPr>
        <w:t>53</w:t>
      </w:r>
      <w:r w:rsidR="00145EA0">
        <w:rPr>
          <w:rFonts w:cs="Times New Roman"/>
          <w:szCs w:val="24"/>
        </w:rPr>
        <w:t> </w:t>
      </w:r>
      <w:r>
        <w:rPr>
          <w:rFonts w:cs="Times New Roman"/>
          <w:szCs w:val="24"/>
        </w:rPr>
        <w:t>443</w:t>
      </w:r>
      <w:r w:rsidR="00145EA0">
        <w:rPr>
          <w:rFonts w:cs="Times New Roman"/>
          <w:szCs w:val="24"/>
        </w:rPr>
        <w:t> </w:t>
      </w:r>
      <w:r>
        <w:rPr>
          <w:rFonts w:cs="Times New Roman"/>
          <w:szCs w:val="24"/>
        </w:rPr>
        <w:t>tis.</w:t>
      </w:r>
      <w:r w:rsidR="00145EA0">
        <w:rPr>
          <w:rFonts w:cs="Times New Roman"/>
          <w:szCs w:val="24"/>
        </w:rPr>
        <w:t> </w:t>
      </w:r>
      <w:r>
        <w:rPr>
          <w:rFonts w:cs="Times New Roman"/>
          <w:szCs w:val="24"/>
        </w:rPr>
        <w:t>eur.</w:t>
      </w:r>
      <w:r w:rsidRPr="00014A66">
        <w:rPr>
          <w:rFonts w:cs="Times New Roman"/>
          <w:szCs w:val="24"/>
        </w:rPr>
        <w:t xml:space="preserve"> Prekročenie kapitálových </w:t>
      </w:r>
      <w:r>
        <w:rPr>
          <w:rFonts w:cs="Times New Roman"/>
          <w:szCs w:val="24"/>
        </w:rPr>
        <w:t>výdavkov o 12 041 tis.</w:t>
      </w:r>
      <w:r w:rsidR="00145EA0">
        <w:rPr>
          <w:rFonts w:cs="Times New Roman"/>
          <w:szCs w:val="24"/>
        </w:rPr>
        <w:t> </w:t>
      </w:r>
      <w:r>
        <w:rPr>
          <w:rFonts w:cs="Times New Roman"/>
          <w:szCs w:val="24"/>
        </w:rPr>
        <w:t xml:space="preserve">eur oproti schválenému rozpočtu </w:t>
      </w:r>
      <w:r w:rsidRPr="00014A66">
        <w:rPr>
          <w:rFonts w:cs="Times New Roman"/>
          <w:szCs w:val="24"/>
        </w:rPr>
        <w:t>bolo priamym dôsledkom úspešnej implementácie projektov financovaných z</w:t>
      </w:r>
      <w:r w:rsidR="00C4036E">
        <w:rPr>
          <w:rFonts w:cs="Times New Roman"/>
          <w:szCs w:val="24"/>
        </w:rPr>
        <w:t> POO </w:t>
      </w:r>
      <w:r w:rsidRPr="00014A66">
        <w:rPr>
          <w:rFonts w:cs="Times New Roman"/>
          <w:szCs w:val="24"/>
        </w:rPr>
        <w:t>SR a</w:t>
      </w:r>
      <w:r w:rsidR="00E67125">
        <w:rPr>
          <w:rFonts w:cs="Times New Roman"/>
          <w:szCs w:val="24"/>
        </w:rPr>
        <w:t> </w:t>
      </w:r>
      <w:r w:rsidRPr="00014A66">
        <w:rPr>
          <w:rFonts w:cs="Times New Roman"/>
          <w:szCs w:val="24"/>
        </w:rPr>
        <w:t>Programu Slovensko. Tieto zdroje boli v roku 2025 prioritne smerované do</w:t>
      </w:r>
      <w:r w:rsidR="00145EA0">
        <w:rPr>
          <w:rFonts w:cs="Times New Roman"/>
          <w:szCs w:val="24"/>
        </w:rPr>
        <w:t> </w:t>
      </w:r>
      <w:r w:rsidRPr="00014A66">
        <w:rPr>
          <w:rFonts w:cs="Times New Roman"/>
          <w:szCs w:val="24"/>
        </w:rPr>
        <w:t>komplexnej obnovy vozidlového parku a modernizácie technickej infraštruktúry dopravných podnikov.</w:t>
      </w:r>
    </w:p>
    <w:p w14:paraId="3F3F4839" w14:textId="77777777" w:rsidR="0087783F" w:rsidRPr="00014A66" w:rsidRDefault="0087783F" w:rsidP="0087783F">
      <w:pPr>
        <w:spacing w:line="240" w:lineRule="auto"/>
        <w:jc w:val="both"/>
        <w:rPr>
          <w:rFonts w:cs="Times New Roman"/>
          <w:szCs w:val="24"/>
        </w:rPr>
      </w:pPr>
    </w:p>
    <w:p w14:paraId="464E9703" w14:textId="0E0FF09F" w:rsidR="003713D2" w:rsidRDefault="003713D2" w:rsidP="0087783F">
      <w:pPr>
        <w:spacing w:line="240" w:lineRule="auto"/>
        <w:jc w:val="both"/>
        <w:rPr>
          <w:rFonts w:cs="Times New Roman"/>
          <w:szCs w:val="24"/>
        </w:rPr>
      </w:pPr>
      <w:r w:rsidRPr="00014A66">
        <w:rPr>
          <w:rFonts w:cs="Times New Roman"/>
          <w:szCs w:val="24"/>
        </w:rPr>
        <w:t>Medzi kľúčové investičné akcie patrili</w:t>
      </w:r>
      <w:r>
        <w:rPr>
          <w:rFonts w:cs="Times New Roman"/>
          <w:szCs w:val="24"/>
        </w:rPr>
        <w:t xml:space="preserve"> projekty</w:t>
      </w:r>
      <w:r w:rsidR="00145EA0">
        <w:rPr>
          <w:rFonts w:cs="Times New Roman"/>
          <w:szCs w:val="24"/>
        </w:rPr>
        <w:t>:</w:t>
      </w:r>
    </w:p>
    <w:p w14:paraId="500424B5" w14:textId="4997F7FF" w:rsidR="003713D2" w:rsidRPr="00014A66" w:rsidRDefault="003713D2" w:rsidP="0087783F">
      <w:pPr>
        <w:spacing w:line="240" w:lineRule="auto"/>
        <w:jc w:val="both"/>
        <w:rPr>
          <w:rFonts w:cs="Times New Roman"/>
          <w:szCs w:val="24"/>
        </w:rPr>
      </w:pPr>
      <w:r>
        <w:rPr>
          <w:rFonts w:cs="Times New Roman"/>
          <w:szCs w:val="24"/>
        </w:rPr>
        <w:t xml:space="preserve">* </w:t>
      </w:r>
      <w:r w:rsidRPr="00014A66">
        <w:rPr>
          <w:rFonts w:cs="Times New Roman"/>
          <w:szCs w:val="24"/>
        </w:rPr>
        <w:t>Modernizácia vozidlového parku</w:t>
      </w:r>
      <w:r>
        <w:rPr>
          <w:rFonts w:cs="Times New Roman"/>
          <w:szCs w:val="24"/>
        </w:rPr>
        <w:t xml:space="preserve"> v objeme 28 780 tis.</w:t>
      </w:r>
      <w:r w:rsidR="00145EA0">
        <w:rPr>
          <w:rFonts w:cs="Times New Roman"/>
          <w:szCs w:val="24"/>
        </w:rPr>
        <w:t> </w:t>
      </w:r>
      <w:r>
        <w:rPr>
          <w:rFonts w:cs="Times New Roman"/>
          <w:szCs w:val="24"/>
        </w:rPr>
        <w:t>eur</w:t>
      </w:r>
      <w:r w:rsidRPr="00014A66">
        <w:rPr>
          <w:rFonts w:cs="Times New Roman"/>
          <w:szCs w:val="24"/>
        </w:rPr>
        <w:t xml:space="preserve">: </w:t>
      </w:r>
      <w:r>
        <w:rPr>
          <w:rFonts w:cs="Times New Roman"/>
          <w:szCs w:val="24"/>
        </w:rPr>
        <w:t>n</w:t>
      </w:r>
      <w:r w:rsidRPr="00014A66">
        <w:rPr>
          <w:rFonts w:cs="Times New Roman"/>
          <w:szCs w:val="24"/>
        </w:rPr>
        <w:t>ákup a postupné nasadenie 10 nových jednosmerných električiek a flotily 126 autobusov (vrátane kĺbových dieselových a</w:t>
      </w:r>
      <w:r w:rsidR="00145EA0">
        <w:rPr>
          <w:rFonts w:cs="Times New Roman"/>
          <w:szCs w:val="24"/>
        </w:rPr>
        <w:t> </w:t>
      </w:r>
      <w:r w:rsidRPr="00014A66">
        <w:rPr>
          <w:rFonts w:cs="Times New Roman"/>
          <w:szCs w:val="24"/>
        </w:rPr>
        <w:t xml:space="preserve">CNG vozidiel) v </w:t>
      </w:r>
      <w:r w:rsidR="006341F4">
        <w:rPr>
          <w:rFonts w:cs="Times New Roman"/>
          <w:szCs w:val="24"/>
        </w:rPr>
        <w:t>H</w:t>
      </w:r>
      <w:r w:rsidRPr="00014A66">
        <w:rPr>
          <w:rFonts w:cs="Times New Roman"/>
          <w:szCs w:val="24"/>
        </w:rPr>
        <w:t>lavnom meste</w:t>
      </w:r>
      <w:r w:rsidR="006341F4">
        <w:rPr>
          <w:rFonts w:cs="Times New Roman"/>
          <w:szCs w:val="24"/>
        </w:rPr>
        <w:t xml:space="preserve"> SR Bratislava</w:t>
      </w:r>
      <w:r>
        <w:rPr>
          <w:rFonts w:cs="Times New Roman"/>
          <w:szCs w:val="24"/>
        </w:rPr>
        <w:t xml:space="preserve"> (23</w:t>
      </w:r>
      <w:r w:rsidR="00145EA0">
        <w:rPr>
          <w:rFonts w:cs="Times New Roman"/>
          <w:szCs w:val="24"/>
        </w:rPr>
        <w:t> </w:t>
      </w:r>
      <w:r>
        <w:rPr>
          <w:rFonts w:cs="Times New Roman"/>
          <w:szCs w:val="24"/>
        </w:rPr>
        <w:t>900</w:t>
      </w:r>
      <w:r w:rsidR="00145EA0">
        <w:rPr>
          <w:rFonts w:cs="Times New Roman"/>
          <w:szCs w:val="24"/>
        </w:rPr>
        <w:t> </w:t>
      </w:r>
      <w:r>
        <w:rPr>
          <w:rFonts w:cs="Times New Roman"/>
          <w:szCs w:val="24"/>
        </w:rPr>
        <w:t>tis. eur)</w:t>
      </w:r>
      <w:r w:rsidRPr="00014A66">
        <w:rPr>
          <w:rFonts w:cs="Times New Roman"/>
          <w:szCs w:val="24"/>
        </w:rPr>
        <w:t>, ako aj nákup parciálnych trolejbusov s</w:t>
      </w:r>
      <w:r w:rsidR="00145EA0">
        <w:rPr>
          <w:rFonts w:cs="Times New Roman"/>
          <w:szCs w:val="24"/>
        </w:rPr>
        <w:t> </w:t>
      </w:r>
      <w:r w:rsidRPr="00014A66">
        <w:rPr>
          <w:rFonts w:cs="Times New Roman"/>
          <w:szCs w:val="24"/>
        </w:rPr>
        <w:t>batériovým pohonom pre krajské mestá Banská Bystrica</w:t>
      </w:r>
      <w:r>
        <w:rPr>
          <w:rFonts w:cs="Times New Roman"/>
          <w:szCs w:val="24"/>
        </w:rPr>
        <w:t xml:space="preserve"> a </w:t>
      </w:r>
      <w:r w:rsidRPr="00014A66">
        <w:rPr>
          <w:rFonts w:cs="Times New Roman"/>
          <w:szCs w:val="24"/>
        </w:rPr>
        <w:t>Prešov</w:t>
      </w:r>
      <w:r>
        <w:rPr>
          <w:rFonts w:cs="Times New Roman"/>
          <w:szCs w:val="24"/>
        </w:rPr>
        <w:t xml:space="preserve"> (4</w:t>
      </w:r>
      <w:r w:rsidR="00145EA0">
        <w:rPr>
          <w:rFonts w:cs="Times New Roman"/>
          <w:szCs w:val="24"/>
        </w:rPr>
        <w:t> </w:t>
      </w:r>
      <w:r>
        <w:rPr>
          <w:rFonts w:cs="Times New Roman"/>
          <w:szCs w:val="24"/>
        </w:rPr>
        <w:t>880</w:t>
      </w:r>
      <w:r w:rsidR="00145EA0">
        <w:rPr>
          <w:rFonts w:cs="Times New Roman"/>
          <w:szCs w:val="24"/>
        </w:rPr>
        <w:t> </w:t>
      </w:r>
      <w:r>
        <w:rPr>
          <w:rFonts w:cs="Times New Roman"/>
          <w:szCs w:val="24"/>
        </w:rPr>
        <w:t>tis.</w:t>
      </w:r>
      <w:r w:rsidR="00145EA0">
        <w:rPr>
          <w:rFonts w:cs="Times New Roman"/>
          <w:szCs w:val="24"/>
        </w:rPr>
        <w:t> </w:t>
      </w:r>
      <w:r>
        <w:rPr>
          <w:rFonts w:cs="Times New Roman"/>
          <w:szCs w:val="24"/>
        </w:rPr>
        <w:t>eur),</w:t>
      </w:r>
    </w:p>
    <w:p w14:paraId="4A010CB2" w14:textId="55978332" w:rsidR="003713D2" w:rsidRDefault="003713D2" w:rsidP="0087783F">
      <w:pPr>
        <w:spacing w:line="240" w:lineRule="auto"/>
        <w:jc w:val="both"/>
        <w:rPr>
          <w:rFonts w:cs="Times New Roman"/>
          <w:szCs w:val="24"/>
        </w:rPr>
      </w:pPr>
      <w:r>
        <w:rPr>
          <w:rFonts w:cs="Times New Roman"/>
          <w:szCs w:val="24"/>
        </w:rPr>
        <w:t xml:space="preserve">* </w:t>
      </w:r>
      <w:r w:rsidRPr="00BF6680">
        <w:rPr>
          <w:rFonts w:cs="Times New Roman"/>
          <w:szCs w:val="24"/>
        </w:rPr>
        <w:t>Modernizáci</w:t>
      </w:r>
      <w:r>
        <w:rPr>
          <w:rFonts w:cs="Times New Roman"/>
          <w:szCs w:val="24"/>
        </w:rPr>
        <w:t>a</w:t>
      </w:r>
      <w:r w:rsidRPr="00BF6680">
        <w:rPr>
          <w:rFonts w:cs="Times New Roman"/>
          <w:szCs w:val="24"/>
        </w:rPr>
        <w:t xml:space="preserve"> infraštruktúry a</w:t>
      </w:r>
      <w:r>
        <w:rPr>
          <w:rFonts w:cs="Times New Roman"/>
          <w:szCs w:val="24"/>
        </w:rPr>
        <w:t> </w:t>
      </w:r>
      <w:r w:rsidRPr="00BF6680">
        <w:rPr>
          <w:rFonts w:cs="Times New Roman"/>
          <w:szCs w:val="24"/>
        </w:rPr>
        <w:t>technológií</w:t>
      </w:r>
      <w:r>
        <w:rPr>
          <w:rFonts w:cs="Times New Roman"/>
          <w:szCs w:val="24"/>
        </w:rPr>
        <w:t xml:space="preserve"> v objeme 24 663 tis.</w:t>
      </w:r>
      <w:r w:rsidR="00145EA0">
        <w:rPr>
          <w:rFonts w:cs="Times New Roman"/>
          <w:szCs w:val="24"/>
        </w:rPr>
        <w:t> </w:t>
      </w:r>
      <w:r>
        <w:rPr>
          <w:rFonts w:cs="Times New Roman"/>
          <w:szCs w:val="24"/>
        </w:rPr>
        <w:t>eur</w:t>
      </w:r>
      <w:r w:rsidRPr="00BF6680">
        <w:rPr>
          <w:rFonts w:cs="Times New Roman"/>
          <w:szCs w:val="24"/>
        </w:rPr>
        <w:t xml:space="preserve">: </w:t>
      </w:r>
      <w:r>
        <w:rPr>
          <w:rFonts w:cs="Times New Roman"/>
          <w:szCs w:val="24"/>
        </w:rPr>
        <w:t>t</w:t>
      </w:r>
      <w:r w:rsidRPr="00BF6680">
        <w:rPr>
          <w:rFonts w:cs="Times New Roman"/>
          <w:szCs w:val="24"/>
        </w:rPr>
        <w:t>áto suma pokrýva reálne vyplatené platby za stavebné práce v depách Jurajov dvor a</w:t>
      </w:r>
      <w:r w:rsidR="006341F4">
        <w:rPr>
          <w:rFonts w:cs="Times New Roman"/>
          <w:szCs w:val="24"/>
        </w:rPr>
        <w:t> </w:t>
      </w:r>
      <w:r w:rsidRPr="00BF6680">
        <w:rPr>
          <w:rFonts w:cs="Times New Roman"/>
          <w:szCs w:val="24"/>
        </w:rPr>
        <w:t>Krasňany</w:t>
      </w:r>
      <w:r w:rsidR="006341F4">
        <w:rPr>
          <w:rFonts w:cs="Times New Roman"/>
          <w:szCs w:val="24"/>
        </w:rPr>
        <w:t xml:space="preserve"> v Bratislave</w:t>
      </w:r>
      <w:r w:rsidRPr="00BF6680">
        <w:rPr>
          <w:rFonts w:cs="Times New Roman"/>
          <w:szCs w:val="24"/>
        </w:rPr>
        <w:t>, ako aj výdavky na</w:t>
      </w:r>
      <w:r w:rsidR="00145EA0">
        <w:rPr>
          <w:rFonts w:cs="Times New Roman"/>
          <w:szCs w:val="24"/>
        </w:rPr>
        <w:t> </w:t>
      </w:r>
      <w:r w:rsidRPr="00BF6680">
        <w:rPr>
          <w:rFonts w:cs="Times New Roman"/>
          <w:szCs w:val="24"/>
        </w:rPr>
        <w:t>projektovú prípravu modernizácie Ružinovskej radiály</w:t>
      </w:r>
      <w:r w:rsidR="006341F4">
        <w:rPr>
          <w:rFonts w:cs="Times New Roman"/>
          <w:szCs w:val="24"/>
        </w:rPr>
        <w:t xml:space="preserve"> v Bratislave </w:t>
      </w:r>
      <w:r w:rsidRPr="00BF6680">
        <w:rPr>
          <w:rFonts w:cs="Times New Roman"/>
          <w:szCs w:val="24"/>
        </w:rPr>
        <w:t>a</w:t>
      </w:r>
      <w:r w:rsidR="005624FD">
        <w:rPr>
          <w:rFonts w:cs="Times New Roman"/>
          <w:szCs w:val="24"/>
        </w:rPr>
        <w:t> </w:t>
      </w:r>
      <w:r w:rsidRPr="00BF6680">
        <w:rPr>
          <w:rFonts w:cs="Times New Roman"/>
          <w:szCs w:val="24"/>
        </w:rPr>
        <w:t>nákup nových odbavovacích systémov</w:t>
      </w:r>
      <w:r>
        <w:rPr>
          <w:rFonts w:cs="Times New Roman"/>
          <w:szCs w:val="24"/>
        </w:rPr>
        <w:t>.</w:t>
      </w:r>
    </w:p>
    <w:p w14:paraId="2D944945" w14:textId="7C87E8AB" w:rsidR="005E461A" w:rsidRDefault="005E461A">
      <w:pPr>
        <w:rPr>
          <w:rFonts w:cs="Times New Roman"/>
          <w:szCs w:val="24"/>
        </w:rPr>
      </w:pPr>
      <w:r>
        <w:rPr>
          <w:rFonts w:cs="Times New Roman"/>
          <w:szCs w:val="24"/>
        </w:rPr>
        <w:br w:type="page"/>
      </w:r>
    </w:p>
    <w:p w14:paraId="488F0B57" w14:textId="4FC1BB02" w:rsidR="00BA3DAB" w:rsidRPr="006C4004" w:rsidRDefault="00BA3DAB" w:rsidP="00532D85">
      <w:pPr>
        <w:pStyle w:val="Popis"/>
        <w:jc w:val="both"/>
        <w:rPr>
          <w:lang w:eastAsia="sk-SK"/>
        </w:rPr>
      </w:pPr>
      <w:bookmarkStart w:id="60" w:name="_Toc196313638"/>
      <w:bookmarkStart w:id="61" w:name="_Toc227670148"/>
      <w:r w:rsidRPr="006C4004">
        <w:rPr>
          <w:lang w:eastAsia="sk-SK"/>
        </w:rPr>
        <w:lastRenderedPageBreak/>
        <w:t xml:space="preserve">Tabuľka </w:t>
      </w:r>
      <w:r w:rsidR="003B7AF0" w:rsidRPr="006C4004">
        <w:rPr>
          <w:i/>
          <w:lang w:eastAsia="sk-SK"/>
        </w:rPr>
        <w:fldChar w:fldCharType="begin"/>
      </w:r>
      <w:r w:rsidR="003B7AF0" w:rsidRPr="006C4004">
        <w:rPr>
          <w:lang w:eastAsia="sk-SK"/>
        </w:rPr>
        <w:instrText xml:space="preserve"> SEQ Tabuľka \* ARABIC </w:instrText>
      </w:r>
      <w:r w:rsidR="003B7AF0" w:rsidRPr="006C4004">
        <w:rPr>
          <w:i/>
          <w:lang w:eastAsia="sk-SK"/>
        </w:rPr>
        <w:fldChar w:fldCharType="separate"/>
      </w:r>
      <w:r w:rsidR="00396BE8">
        <w:rPr>
          <w:noProof/>
          <w:lang w:eastAsia="sk-SK"/>
        </w:rPr>
        <w:t>12</w:t>
      </w:r>
      <w:r w:rsidR="003B7AF0" w:rsidRPr="006C4004">
        <w:rPr>
          <w:i/>
          <w:lang w:eastAsia="sk-SK"/>
        </w:rPr>
        <w:fldChar w:fldCharType="end"/>
      </w:r>
      <w:r w:rsidRPr="006C4004">
        <w:rPr>
          <w:lang w:eastAsia="sk-SK"/>
        </w:rPr>
        <w:t xml:space="preserve"> - Schodok verejnej správy podľa jednotlivých subjektov (zložiek)</w:t>
      </w:r>
      <w:bookmarkEnd w:id="60"/>
      <w:bookmarkEnd w:id="61"/>
    </w:p>
    <w:tbl>
      <w:tblPr>
        <w:tblW w:w="5000" w:type="pct"/>
        <w:tblCellMar>
          <w:left w:w="70" w:type="dxa"/>
          <w:right w:w="70" w:type="dxa"/>
        </w:tblCellMar>
        <w:tblLook w:val="04A0" w:firstRow="1" w:lastRow="0" w:firstColumn="1" w:lastColumn="0" w:noHBand="0" w:noVBand="1"/>
      </w:tblPr>
      <w:tblGrid>
        <w:gridCol w:w="3314"/>
        <w:gridCol w:w="1090"/>
        <w:gridCol w:w="941"/>
        <w:gridCol w:w="1041"/>
        <w:gridCol w:w="1342"/>
        <w:gridCol w:w="1342"/>
      </w:tblGrid>
      <w:tr w:rsidR="006C4004" w:rsidRPr="006C4004" w14:paraId="481A4015" w14:textId="77777777" w:rsidTr="00C87919">
        <w:trPr>
          <w:trHeight w:val="330"/>
          <w:tblHeader/>
        </w:trPr>
        <w:tc>
          <w:tcPr>
            <w:tcW w:w="1619" w:type="pct"/>
            <w:vMerge w:val="restart"/>
            <w:tcBorders>
              <w:top w:val="single" w:sz="4" w:space="0" w:color="auto"/>
              <w:left w:val="nil"/>
              <w:bottom w:val="single" w:sz="4" w:space="0" w:color="000000"/>
              <w:right w:val="nil"/>
            </w:tcBorders>
            <w:noWrap/>
            <w:vAlign w:val="center"/>
            <w:hideMark/>
          </w:tcPr>
          <w:p w14:paraId="4F412BE1" w14:textId="77777777" w:rsidR="006C4004" w:rsidRPr="006C4004" w:rsidRDefault="006C4004" w:rsidP="006C4004">
            <w:pPr>
              <w:spacing w:line="240" w:lineRule="auto"/>
              <w:rPr>
                <w:rFonts w:eastAsia="Times New Roman" w:cs="Times New Roman"/>
                <w:b/>
                <w:bCs/>
                <w:sz w:val="18"/>
                <w:szCs w:val="18"/>
                <w:lang w:eastAsia="sk-SK"/>
              </w:rPr>
            </w:pPr>
            <w:r w:rsidRPr="006C4004">
              <w:rPr>
                <w:rFonts w:eastAsia="Times New Roman" w:cs="Times New Roman"/>
                <w:b/>
                <w:bCs/>
                <w:sz w:val="18"/>
                <w:szCs w:val="18"/>
                <w:lang w:eastAsia="sk-SK"/>
              </w:rPr>
              <w:t>v tis. eur</w:t>
            </w:r>
          </w:p>
        </w:tc>
        <w:tc>
          <w:tcPr>
            <w:tcW w:w="643" w:type="pct"/>
            <w:tcBorders>
              <w:top w:val="single" w:sz="4" w:space="0" w:color="auto"/>
              <w:left w:val="nil"/>
              <w:bottom w:val="nil"/>
              <w:right w:val="nil"/>
            </w:tcBorders>
            <w:noWrap/>
            <w:vAlign w:val="center"/>
            <w:hideMark/>
          </w:tcPr>
          <w:p w14:paraId="123D488F"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2023 S</w:t>
            </w:r>
          </w:p>
        </w:tc>
        <w:tc>
          <w:tcPr>
            <w:tcW w:w="560" w:type="pct"/>
            <w:tcBorders>
              <w:top w:val="single" w:sz="4" w:space="0" w:color="auto"/>
              <w:left w:val="nil"/>
              <w:bottom w:val="nil"/>
              <w:right w:val="nil"/>
            </w:tcBorders>
            <w:noWrap/>
            <w:vAlign w:val="center"/>
            <w:hideMark/>
          </w:tcPr>
          <w:p w14:paraId="5415460D"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2024 S</w:t>
            </w:r>
          </w:p>
        </w:tc>
        <w:tc>
          <w:tcPr>
            <w:tcW w:w="615" w:type="pct"/>
            <w:tcBorders>
              <w:top w:val="single" w:sz="4" w:space="0" w:color="auto"/>
              <w:left w:val="nil"/>
              <w:bottom w:val="nil"/>
              <w:right w:val="nil"/>
            </w:tcBorders>
            <w:noWrap/>
            <w:vAlign w:val="center"/>
            <w:hideMark/>
          </w:tcPr>
          <w:p w14:paraId="4F2D5217"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2025 R</w:t>
            </w:r>
          </w:p>
        </w:tc>
        <w:tc>
          <w:tcPr>
            <w:tcW w:w="781" w:type="pct"/>
            <w:tcBorders>
              <w:top w:val="single" w:sz="4" w:space="0" w:color="auto"/>
              <w:left w:val="nil"/>
              <w:bottom w:val="nil"/>
              <w:right w:val="nil"/>
            </w:tcBorders>
            <w:noWrap/>
            <w:vAlign w:val="center"/>
            <w:hideMark/>
          </w:tcPr>
          <w:p w14:paraId="18B30F61"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2025 S</w:t>
            </w:r>
          </w:p>
        </w:tc>
        <w:tc>
          <w:tcPr>
            <w:tcW w:w="781" w:type="pct"/>
            <w:tcBorders>
              <w:top w:val="single" w:sz="4" w:space="0" w:color="auto"/>
              <w:left w:val="nil"/>
              <w:bottom w:val="nil"/>
              <w:right w:val="nil"/>
            </w:tcBorders>
            <w:noWrap/>
            <w:vAlign w:val="center"/>
            <w:hideMark/>
          </w:tcPr>
          <w:p w14:paraId="2861B99B"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 xml:space="preserve"> Rozdiel </w:t>
            </w:r>
          </w:p>
        </w:tc>
      </w:tr>
      <w:tr w:rsidR="006C4004" w:rsidRPr="006C4004" w14:paraId="0F422BD5" w14:textId="77777777" w:rsidTr="00C00919">
        <w:trPr>
          <w:trHeight w:val="60"/>
          <w:tblHeader/>
        </w:trPr>
        <w:tc>
          <w:tcPr>
            <w:tcW w:w="1619" w:type="pct"/>
            <w:vMerge/>
            <w:tcBorders>
              <w:top w:val="single" w:sz="4" w:space="0" w:color="auto"/>
              <w:left w:val="nil"/>
              <w:bottom w:val="single" w:sz="4" w:space="0" w:color="000000"/>
              <w:right w:val="nil"/>
            </w:tcBorders>
            <w:vAlign w:val="center"/>
            <w:hideMark/>
          </w:tcPr>
          <w:p w14:paraId="32193820" w14:textId="77777777" w:rsidR="006C4004" w:rsidRPr="006C4004" w:rsidRDefault="006C4004" w:rsidP="006C4004">
            <w:pPr>
              <w:spacing w:line="240" w:lineRule="auto"/>
              <w:rPr>
                <w:rFonts w:eastAsia="Times New Roman" w:cs="Times New Roman"/>
                <w:b/>
                <w:bCs/>
                <w:sz w:val="18"/>
                <w:szCs w:val="18"/>
                <w:lang w:eastAsia="sk-SK"/>
              </w:rPr>
            </w:pPr>
          </w:p>
        </w:tc>
        <w:tc>
          <w:tcPr>
            <w:tcW w:w="643" w:type="pct"/>
            <w:tcBorders>
              <w:top w:val="nil"/>
              <w:left w:val="nil"/>
              <w:bottom w:val="single" w:sz="4" w:space="0" w:color="auto"/>
              <w:right w:val="nil"/>
            </w:tcBorders>
            <w:noWrap/>
            <w:vAlign w:val="center"/>
            <w:hideMark/>
          </w:tcPr>
          <w:p w14:paraId="0C8AFCF1"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1</w:t>
            </w:r>
          </w:p>
        </w:tc>
        <w:tc>
          <w:tcPr>
            <w:tcW w:w="560" w:type="pct"/>
            <w:tcBorders>
              <w:top w:val="nil"/>
              <w:left w:val="nil"/>
              <w:bottom w:val="single" w:sz="4" w:space="0" w:color="auto"/>
              <w:right w:val="nil"/>
            </w:tcBorders>
            <w:noWrap/>
            <w:vAlign w:val="center"/>
            <w:hideMark/>
          </w:tcPr>
          <w:p w14:paraId="4B1670CF"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2</w:t>
            </w:r>
          </w:p>
        </w:tc>
        <w:tc>
          <w:tcPr>
            <w:tcW w:w="615" w:type="pct"/>
            <w:tcBorders>
              <w:top w:val="nil"/>
              <w:left w:val="nil"/>
              <w:bottom w:val="single" w:sz="4" w:space="0" w:color="auto"/>
              <w:right w:val="nil"/>
            </w:tcBorders>
            <w:noWrap/>
            <w:vAlign w:val="center"/>
            <w:hideMark/>
          </w:tcPr>
          <w:p w14:paraId="36F28513"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3</w:t>
            </w:r>
          </w:p>
        </w:tc>
        <w:tc>
          <w:tcPr>
            <w:tcW w:w="781" w:type="pct"/>
            <w:tcBorders>
              <w:top w:val="nil"/>
              <w:left w:val="nil"/>
              <w:bottom w:val="single" w:sz="4" w:space="0" w:color="auto"/>
              <w:right w:val="nil"/>
            </w:tcBorders>
            <w:noWrap/>
            <w:vAlign w:val="center"/>
            <w:hideMark/>
          </w:tcPr>
          <w:p w14:paraId="10E7F582"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4</w:t>
            </w:r>
          </w:p>
        </w:tc>
        <w:tc>
          <w:tcPr>
            <w:tcW w:w="781" w:type="pct"/>
            <w:tcBorders>
              <w:top w:val="nil"/>
              <w:left w:val="nil"/>
              <w:bottom w:val="single" w:sz="4" w:space="0" w:color="auto"/>
              <w:right w:val="nil"/>
            </w:tcBorders>
            <w:noWrap/>
            <w:vAlign w:val="center"/>
            <w:hideMark/>
          </w:tcPr>
          <w:p w14:paraId="2DC23A45" w14:textId="77777777" w:rsidR="006C4004" w:rsidRPr="006C4004" w:rsidRDefault="006C4004" w:rsidP="006C4004">
            <w:pPr>
              <w:spacing w:line="240" w:lineRule="auto"/>
              <w:jc w:val="center"/>
              <w:rPr>
                <w:rFonts w:eastAsia="Times New Roman" w:cs="Times New Roman"/>
                <w:b/>
                <w:bCs/>
                <w:sz w:val="18"/>
                <w:szCs w:val="18"/>
                <w:lang w:eastAsia="sk-SK"/>
              </w:rPr>
            </w:pPr>
            <w:r w:rsidRPr="006C4004">
              <w:rPr>
                <w:rFonts w:eastAsia="Times New Roman" w:cs="Times New Roman"/>
                <w:b/>
                <w:bCs/>
                <w:sz w:val="18"/>
                <w:szCs w:val="18"/>
                <w:lang w:eastAsia="sk-SK"/>
              </w:rPr>
              <w:t>5=4-3</w:t>
            </w:r>
          </w:p>
        </w:tc>
      </w:tr>
      <w:tr w:rsidR="006C4004" w:rsidRPr="006C4004" w14:paraId="0D8173D1" w14:textId="77777777" w:rsidTr="00C87919">
        <w:trPr>
          <w:trHeight w:val="330"/>
        </w:trPr>
        <w:tc>
          <w:tcPr>
            <w:tcW w:w="1619" w:type="pct"/>
            <w:tcBorders>
              <w:top w:val="nil"/>
              <w:left w:val="nil"/>
              <w:bottom w:val="nil"/>
              <w:right w:val="nil"/>
            </w:tcBorders>
            <w:noWrap/>
            <w:vAlign w:val="center"/>
            <w:hideMark/>
          </w:tcPr>
          <w:p w14:paraId="789837C8" w14:textId="77777777" w:rsidR="006C4004" w:rsidRPr="006C4004" w:rsidRDefault="006C4004" w:rsidP="006C4004">
            <w:pPr>
              <w:spacing w:line="240" w:lineRule="auto"/>
              <w:rPr>
                <w:rFonts w:eastAsia="Times New Roman" w:cs="Times New Roman"/>
                <w:b/>
                <w:bCs/>
                <w:color w:val="000000"/>
                <w:sz w:val="18"/>
                <w:szCs w:val="18"/>
                <w:lang w:eastAsia="sk-SK"/>
              </w:rPr>
            </w:pPr>
            <w:r w:rsidRPr="006C4004">
              <w:rPr>
                <w:rFonts w:eastAsia="Times New Roman" w:cs="Times New Roman"/>
                <w:b/>
                <w:bCs/>
                <w:color w:val="000000"/>
                <w:sz w:val="18"/>
                <w:szCs w:val="18"/>
                <w:lang w:eastAsia="sk-SK"/>
              </w:rPr>
              <w:t>Ústredná správa, z toho</w:t>
            </w:r>
          </w:p>
        </w:tc>
        <w:tc>
          <w:tcPr>
            <w:tcW w:w="643" w:type="pct"/>
            <w:tcBorders>
              <w:top w:val="nil"/>
              <w:left w:val="nil"/>
              <w:bottom w:val="nil"/>
              <w:right w:val="nil"/>
            </w:tcBorders>
            <w:noWrap/>
            <w:vAlign w:val="center"/>
            <w:hideMark/>
          </w:tcPr>
          <w:p w14:paraId="02A0F6B6" w14:textId="77777777" w:rsidR="006C4004" w:rsidRPr="006C4004" w:rsidRDefault="006C4004" w:rsidP="006C4004">
            <w:pPr>
              <w:spacing w:line="240" w:lineRule="auto"/>
              <w:rPr>
                <w:rFonts w:eastAsia="Times New Roman" w:cs="Times New Roman"/>
                <w:b/>
                <w:bCs/>
                <w:color w:val="000000"/>
                <w:sz w:val="18"/>
                <w:szCs w:val="18"/>
                <w:lang w:eastAsia="sk-SK"/>
              </w:rPr>
            </w:pPr>
          </w:p>
        </w:tc>
        <w:tc>
          <w:tcPr>
            <w:tcW w:w="560" w:type="pct"/>
            <w:tcBorders>
              <w:top w:val="nil"/>
              <w:left w:val="nil"/>
              <w:bottom w:val="nil"/>
              <w:right w:val="nil"/>
            </w:tcBorders>
            <w:noWrap/>
            <w:vAlign w:val="center"/>
            <w:hideMark/>
          </w:tcPr>
          <w:p w14:paraId="74254BC0" w14:textId="77777777" w:rsidR="006C4004" w:rsidRPr="006C4004" w:rsidRDefault="006C4004" w:rsidP="006C4004">
            <w:pPr>
              <w:spacing w:line="240" w:lineRule="auto"/>
              <w:rPr>
                <w:rFonts w:eastAsia="Times New Roman" w:cs="Times New Roman"/>
                <w:sz w:val="20"/>
                <w:szCs w:val="20"/>
                <w:lang w:eastAsia="sk-SK"/>
              </w:rPr>
            </w:pPr>
          </w:p>
        </w:tc>
        <w:tc>
          <w:tcPr>
            <w:tcW w:w="615" w:type="pct"/>
            <w:tcBorders>
              <w:top w:val="nil"/>
              <w:left w:val="nil"/>
              <w:bottom w:val="nil"/>
              <w:right w:val="nil"/>
            </w:tcBorders>
            <w:noWrap/>
            <w:vAlign w:val="center"/>
            <w:hideMark/>
          </w:tcPr>
          <w:p w14:paraId="55D80853" w14:textId="77777777" w:rsidR="006C4004" w:rsidRPr="006C4004" w:rsidRDefault="006C4004" w:rsidP="006C4004">
            <w:pPr>
              <w:spacing w:line="240" w:lineRule="auto"/>
              <w:rPr>
                <w:rFonts w:eastAsia="Times New Roman" w:cs="Times New Roman"/>
                <w:sz w:val="20"/>
                <w:szCs w:val="20"/>
                <w:lang w:eastAsia="sk-SK"/>
              </w:rPr>
            </w:pPr>
          </w:p>
        </w:tc>
        <w:tc>
          <w:tcPr>
            <w:tcW w:w="781" w:type="pct"/>
            <w:tcBorders>
              <w:top w:val="nil"/>
              <w:left w:val="nil"/>
              <w:bottom w:val="nil"/>
              <w:right w:val="nil"/>
            </w:tcBorders>
            <w:noWrap/>
            <w:vAlign w:val="center"/>
            <w:hideMark/>
          </w:tcPr>
          <w:p w14:paraId="5BC44792" w14:textId="77777777" w:rsidR="006C4004" w:rsidRPr="006C4004" w:rsidRDefault="006C4004" w:rsidP="006C4004">
            <w:pPr>
              <w:spacing w:line="240" w:lineRule="auto"/>
              <w:rPr>
                <w:rFonts w:eastAsia="Times New Roman" w:cs="Times New Roman"/>
                <w:sz w:val="20"/>
                <w:szCs w:val="20"/>
                <w:lang w:eastAsia="sk-SK"/>
              </w:rPr>
            </w:pPr>
          </w:p>
        </w:tc>
        <w:tc>
          <w:tcPr>
            <w:tcW w:w="781" w:type="pct"/>
            <w:tcBorders>
              <w:top w:val="nil"/>
              <w:left w:val="nil"/>
              <w:bottom w:val="nil"/>
              <w:right w:val="nil"/>
            </w:tcBorders>
            <w:noWrap/>
            <w:vAlign w:val="center"/>
            <w:hideMark/>
          </w:tcPr>
          <w:p w14:paraId="13FA89B4" w14:textId="77777777" w:rsidR="006C4004" w:rsidRPr="006C4004" w:rsidRDefault="006C4004" w:rsidP="006C4004">
            <w:pPr>
              <w:spacing w:line="240" w:lineRule="auto"/>
              <w:rPr>
                <w:rFonts w:eastAsia="Times New Roman" w:cs="Times New Roman"/>
                <w:sz w:val="20"/>
                <w:szCs w:val="20"/>
                <w:lang w:eastAsia="sk-SK"/>
              </w:rPr>
            </w:pPr>
          </w:p>
        </w:tc>
      </w:tr>
      <w:tr w:rsidR="006C4004" w:rsidRPr="006C4004" w14:paraId="0AE23707" w14:textId="77777777" w:rsidTr="00C00919">
        <w:trPr>
          <w:trHeight w:val="215"/>
        </w:trPr>
        <w:tc>
          <w:tcPr>
            <w:tcW w:w="1619" w:type="pct"/>
            <w:tcBorders>
              <w:top w:val="nil"/>
              <w:left w:val="nil"/>
              <w:bottom w:val="nil"/>
              <w:right w:val="nil"/>
            </w:tcBorders>
            <w:noWrap/>
            <w:vAlign w:val="center"/>
            <w:hideMark/>
          </w:tcPr>
          <w:p w14:paraId="3A44DFF5"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Štátny rozpočet</w:t>
            </w:r>
            <w:r w:rsidRPr="006C4004">
              <w:rPr>
                <w:rFonts w:eastAsia="Times New Roman" w:cs="Times New Roman"/>
                <w:sz w:val="18"/>
                <w:szCs w:val="18"/>
                <w:vertAlign w:val="superscript"/>
                <w:lang w:eastAsia="sk-SK"/>
              </w:rPr>
              <w:t>1</w:t>
            </w:r>
            <w:r w:rsidRPr="006C4004">
              <w:rPr>
                <w:rFonts w:eastAsia="Times New Roman" w:cs="Times New Roman"/>
                <w:color w:val="000000"/>
                <w:sz w:val="18"/>
                <w:szCs w:val="18"/>
                <w:vertAlign w:val="superscript"/>
                <w:lang w:eastAsia="sk-SK"/>
              </w:rPr>
              <w:t>)</w:t>
            </w:r>
          </w:p>
        </w:tc>
        <w:tc>
          <w:tcPr>
            <w:tcW w:w="643" w:type="pct"/>
            <w:tcBorders>
              <w:top w:val="nil"/>
              <w:left w:val="nil"/>
              <w:bottom w:val="nil"/>
              <w:right w:val="nil"/>
            </w:tcBorders>
            <w:noWrap/>
            <w:vAlign w:val="center"/>
            <w:hideMark/>
          </w:tcPr>
          <w:p w14:paraId="7F509B55"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-7 142 491</w:t>
            </w:r>
          </w:p>
        </w:tc>
        <w:tc>
          <w:tcPr>
            <w:tcW w:w="560" w:type="pct"/>
            <w:tcBorders>
              <w:top w:val="nil"/>
              <w:left w:val="nil"/>
              <w:bottom w:val="nil"/>
              <w:right w:val="nil"/>
            </w:tcBorders>
            <w:noWrap/>
            <w:vAlign w:val="center"/>
            <w:hideMark/>
          </w:tcPr>
          <w:p w14:paraId="52640A35" w14:textId="40B0445C"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 xml:space="preserve">-7 901 </w:t>
            </w:r>
            <w:r w:rsidR="00856967">
              <w:rPr>
                <w:rFonts w:eastAsia="Times New Roman" w:cs="Times New Roman"/>
                <w:sz w:val="18"/>
                <w:szCs w:val="18"/>
                <w:lang w:eastAsia="sk-SK"/>
              </w:rPr>
              <w:t>584</w:t>
            </w:r>
          </w:p>
        </w:tc>
        <w:tc>
          <w:tcPr>
            <w:tcW w:w="615" w:type="pct"/>
            <w:tcBorders>
              <w:top w:val="nil"/>
              <w:left w:val="nil"/>
              <w:bottom w:val="nil"/>
              <w:right w:val="nil"/>
            </w:tcBorders>
            <w:noWrap/>
            <w:vAlign w:val="center"/>
            <w:hideMark/>
          </w:tcPr>
          <w:p w14:paraId="62E876A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-6 632 212</w:t>
            </w:r>
          </w:p>
        </w:tc>
        <w:tc>
          <w:tcPr>
            <w:tcW w:w="781" w:type="pct"/>
            <w:tcBorders>
              <w:top w:val="nil"/>
              <w:left w:val="nil"/>
              <w:bottom w:val="nil"/>
              <w:right w:val="nil"/>
            </w:tcBorders>
            <w:noWrap/>
            <w:vAlign w:val="center"/>
            <w:hideMark/>
          </w:tcPr>
          <w:p w14:paraId="0B1DF2D7" w14:textId="1082A103"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-6 94</w:t>
            </w:r>
            <w:r w:rsidR="00722450">
              <w:rPr>
                <w:rFonts w:eastAsia="Times New Roman" w:cs="Times New Roman"/>
                <w:sz w:val="18"/>
                <w:szCs w:val="18"/>
                <w:lang w:eastAsia="sk-SK"/>
              </w:rPr>
              <w:t>9</w:t>
            </w:r>
            <w:r w:rsidRPr="006C4004">
              <w:rPr>
                <w:rFonts w:eastAsia="Times New Roman" w:cs="Times New Roman"/>
                <w:sz w:val="18"/>
                <w:szCs w:val="18"/>
                <w:lang w:eastAsia="sk-SK"/>
              </w:rPr>
              <w:t xml:space="preserve"> 0</w:t>
            </w:r>
            <w:r w:rsidR="00722450">
              <w:rPr>
                <w:rFonts w:eastAsia="Times New Roman" w:cs="Times New Roman"/>
                <w:sz w:val="18"/>
                <w:szCs w:val="18"/>
                <w:lang w:eastAsia="sk-SK"/>
              </w:rPr>
              <w:t>56</w:t>
            </w:r>
          </w:p>
        </w:tc>
        <w:tc>
          <w:tcPr>
            <w:tcW w:w="781" w:type="pct"/>
            <w:tcBorders>
              <w:top w:val="nil"/>
              <w:left w:val="nil"/>
              <w:bottom w:val="nil"/>
              <w:right w:val="nil"/>
            </w:tcBorders>
            <w:noWrap/>
            <w:vAlign w:val="center"/>
            <w:hideMark/>
          </w:tcPr>
          <w:p w14:paraId="16F9DEBA" w14:textId="031B5469"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-31</w:t>
            </w:r>
            <w:r w:rsidR="00722450">
              <w:rPr>
                <w:rFonts w:eastAsia="Times New Roman" w:cs="Times New Roman"/>
                <w:sz w:val="18"/>
                <w:szCs w:val="18"/>
                <w:lang w:eastAsia="sk-SK"/>
              </w:rPr>
              <w:t>6</w:t>
            </w:r>
            <w:r w:rsidRPr="006C4004">
              <w:rPr>
                <w:rFonts w:eastAsia="Times New Roman" w:cs="Times New Roman"/>
                <w:sz w:val="18"/>
                <w:szCs w:val="18"/>
                <w:lang w:eastAsia="sk-SK"/>
              </w:rPr>
              <w:t xml:space="preserve"> 8</w:t>
            </w:r>
            <w:r w:rsidR="00722450">
              <w:rPr>
                <w:rFonts w:eastAsia="Times New Roman" w:cs="Times New Roman"/>
                <w:sz w:val="18"/>
                <w:szCs w:val="18"/>
                <w:lang w:eastAsia="sk-SK"/>
              </w:rPr>
              <w:t>44</w:t>
            </w:r>
          </w:p>
        </w:tc>
      </w:tr>
      <w:tr w:rsidR="006C4004" w:rsidRPr="006C4004" w14:paraId="15725278" w14:textId="77777777" w:rsidTr="00C00919">
        <w:trPr>
          <w:trHeight w:val="163"/>
        </w:trPr>
        <w:tc>
          <w:tcPr>
            <w:tcW w:w="1619" w:type="pct"/>
            <w:tcBorders>
              <w:top w:val="nil"/>
              <w:left w:val="nil"/>
              <w:bottom w:val="nil"/>
              <w:right w:val="nil"/>
            </w:tcBorders>
            <w:noWrap/>
            <w:vAlign w:val="center"/>
            <w:hideMark/>
          </w:tcPr>
          <w:p w14:paraId="2365B686"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Príspevkové organizácie ústrednej správy</w:t>
            </w:r>
          </w:p>
        </w:tc>
        <w:tc>
          <w:tcPr>
            <w:tcW w:w="643" w:type="pct"/>
            <w:tcBorders>
              <w:top w:val="nil"/>
              <w:left w:val="nil"/>
              <w:bottom w:val="nil"/>
              <w:right w:val="nil"/>
            </w:tcBorders>
            <w:noWrap/>
            <w:vAlign w:val="center"/>
            <w:hideMark/>
          </w:tcPr>
          <w:p w14:paraId="10180840"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-2 013</w:t>
            </w:r>
          </w:p>
        </w:tc>
        <w:tc>
          <w:tcPr>
            <w:tcW w:w="560" w:type="pct"/>
            <w:tcBorders>
              <w:top w:val="nil"/>
              <w:left w:val="nil"/>
              <w:bottom w:val="nil"/>
              <w:right w:val="nil"/>
            </w:tcBorders>
            <w:noWrap/>
            <w:vAlign w:val="center"/>
            <w:hideMark/>
          </w:tcPr>
          <w:p w14:paraId="0501435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18 018</w:t>
            </w:r>
          </w:p>
        </w:tc>
        <w:tc>
          <w:tcPr>
            <w:tcW w:w="615" w:type="pct"/>
            <w:tcBorders>
              <w:top w:val="nil"/>
              <w:left w:val="nil"/>
              <w:bottom w:val="nil"/>
              <w:right w:val="nil"/>
            </w:tcBorders>
            <w:noWrap/>
            <w:vAlign w:val="center"/>
            <w:hideMark/>
          </w:tcPr>
          <w:p w14:paraId="1C81FE8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-3 324</w:t>
            </w:r>
          </w:p>
        </w:tc>
        <w:tc>
          <w:tcPr>
            <w:tcW w:w="781" w:type="pct"/>
            <w:tcBorders>
              <w:top w:val="nil"/>
              <w:left w:val="nil"/>
              <w:bottom w:val="nil"/>
              <w:right w:val="nil"/>
            </w:tcBorders>
            <w:noWrap/>
            <w:vAlign w:val="center"/>
            <w:hideMark/>
          </w:tcPr>
          <w:p w14:paraId="420E86A4"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-15 747</w:t>
            </w:r>
          </w:p>
        </w:tc>
        <w:tc>
          <w:tcPr>
            <w:tcW w:w="781" w:type="pct"/>
            <w:tcBorders>
              <w:top w:val="nil"/>
              <w:left w:val="nil"/>
              <w:bottom w:val="nil"/>
              <w:right w:val="nil"/>
            </w:tcBorders>
            <w:noWrap/>
            <w:vAlign w:val="center"/>
            <w:hideMark/>
          </w:tcPr>
          <w:p w14:paraId="4250163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-12 423</w:t>
            </w:r>
          </w:p>
        </w:tc>
      </w:tr>
      <w:tr w:rsidR="006C4004" w:rsidRPr="006C4004" w14:paraId="2C4FFB13" w14:textId="77777777" w:rsidTr="00C87919">
        <w:trPr>
          <w:trHeight w:val="330"/>
        </w:trPr>
        <w:tc>
          <w:tcPr>
            <w:tcW w:w="1619" w:type="pct"/>
            <w:tcBorders>
              <w:top w:val="nil"/>
              <w:left w:val="nil"/>
              <w:bottom w:val="nil"/>
              <w:right w:val="nil"/>
            </w:tcBorders>
            <w:noWrap/>
            <w:vAlign w:val="center"/>
            <w:hideMark/>
          </w:tcPr>
          <w:p w14:paraId="5DD2886E"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Štátne fondy</w:t>
            </w:r>
          </w:p>
        </w:tc>
        <w:tc>
          <w:tcPr>
            <w:tcW w:w="643" w:type="pct"/>
            <w:tcBorders>
              <w:top w:val="nil"/>
              <w:left w:val="nil"/>
              <w:bottom w:val="nil"/>
              <w:right w:val="nil"/>
            </w:tcBorders>
            <w:noWrap/>
            <w:vAlign w:val="center"/>
            <w:hideMark/>
          </w:tcPr>
          <w:p w14:paraId="70C8BEB2"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263 121</w:t>
            </w:r>
          </w:p>
        </w:tc>
        <w:tc>
          <w:tcPr>
            <w:tcW w:w="560" w:type="pct"/>
            <w:tcBorders>
              <w:top w:val="nil"/>
              <w:left w:val="nil"/>
              <w:bottom w:val="nil"/>
              <w:right w:val="nil"/>
            </w:tcBorders>
            <w:noWrap/>
            <w:vAlign w:val="center"/>
            <w:hideMark/>
          </w:tcPr>
          <w:p w14:paraId="6048B197"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255 244</w:t>
            </w:r>
          </w:p>
        </w:tc>
        <w:tc>
          <w:tcPr>
            <w:tcW w:w="615" w:type="pct"/>
            <w:tcBorders>
              <w:top w:val="nil"/>
              <w:left w:val="nil"/>
              <w:bottom w:val="nil"/>
              <w:right w:val="nil"/>
            </w:tcBorders>
            <w:noWrap/>
            <w:vAlign w:val="center"/>
            <w:hideMark/>
          </w:tcPr>
          <w:p w14:paraId="5FD1E2A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112 373</w:t>
            </w:r>
          </w:p>
        </w:tc>
        <w:tc>
          <w:tcPr>
            <w:tcW w:w="781" w:type="pct"/>
            <w:tcBorders>
              <w:top w:val="nil"/>
              <w:left w:val="nil"/>
              <w:bottom w:val="nil"/>
              <w:right w:val="nil"/>
            </w:tcBorders>
            <w:noWrap/>
            <w:vAlign w:val="center"/>
            <w:hideMark/>
          </w:tcPr>
          <w:p w14:paraId="11F19AC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165 523</w:t>
            </w:r>
          </w:p>
        </w:tc>
        <w:tc>
          <w:tcPr>
            <w:tcW w:w="781" w:type="pct"/>
            <w:tcBorders>
              <w:top w:val="nil"/>
              <w:left w:val="nil"/>
              <w:bottom w:val="nil"/>
              <w:right w:val="nil"/>
            </w:tcBorders>
            <w:noWrap/>
            <w:vAlign w:val="center"/>
            <w:hideMark/>
          </w:tcPr>
          <w:p w14:paraId="7CCBAA44"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53 150</w:t>
            </w:r>
          </w:p>
        </w:tc>
      </w:tr>
      <w:tr w:rsidR="006C4004" w:rsidRPr="006C4004" w14:paraId="3A215335" w14:textId="77777777" w:rsidTr="00C87919">
        <w:trPr>
          <w:trHeight w:val="330"/>
        </w:trPr>
        <w:tc>
          <w:tcPr>
            <w:tcW w:w="1619" w:type="pct"/>
            <w:tcBorders>
              <w:top w:val="nil"/>
              <w:left w:val="nil"/>
              <w:bottom w:val="nil"/>
              <w:right w:val="nil"/>
            </w:tcBorders>
            <w:noWrap/>
            <w:vAlign w:val="center"/>
            <w:hideMark/>
          </w:tcPr>
          <w:p w14:paraId="135FD1DC"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Eximbanka SR</w:t>
            </w:r>
          </w:p>
        </w:tc>
        <w:tc>
          <w:tcPr>
            <w:tcW w:w="643" w:type="pct"/>
            <w:tcBorders>
              <w:top w:val="nil"/>
              <w:left w:val="nil"/>
              <w:bottom w:val="nil"/>
              <w:right w:val="nil"/>
            </w:tcBorders>
            <w:noWrap/>
            <w:vAlign w:val="center"/>
            <w:hideMark/>
          </w:tcPr>
          <w:p w14:paraId="5E02A31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11 882</w:t>
            </w:r>
          </w:p>
        </w:tc>
        <w:tc>
          <w:tcPr>
            <w:tcW w:w="560" w:type="pct"/>
            <w:tcBorders>
              <w:top w:val="nil"/>
              <w:left w:val="nil"/>
              <w:bottom w:val="nil"/>
              <w:right w:val="nil"/>
            </w:tcBorders>
            <w:noWrap/>
            <w:vAlign w:val="center"/>
            <w:hideMark/>
          </w:tcPr>
          <w:p w14:paraId="2638603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193 153</w:t>
            </w:r>
          </w:p>
        </w:tc>
        <w:tc>
          <w:tcPr>
            <w:tcW w:w="615" w:type="pct"/>
            <w:tcBorders>
              <w:top w:val="nil"/>
              <w:left w:val="nil"/>
              <w:bottom w:val="nil"/>
              <w:right w:val="nil"/>
            </w:tcBorders>
            <w:noWrap/>
            <w:vAlign w:val="center"/>
            <w:hideMark/>
          </w:tcPr>
          <w:p w14:paraId="5BD0A95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-18 182</w:t>
            </w:r>
          </w:p>
        </w:tc>
        <w:tc>
          <w:tcPr>
            <w:tcW w:w="781" w:type="pct"/>
            <w:tcBorders>
              <w:top w:val="nil"/>
              <w:left w:val="nil"/>
              <w:bottom w:val="nil"/>
              <w:right w:val="nil"/>
            </w:tcBorders>
            <w:noWrap/>
            <w:vAlign w:val="center"/>
            <w:hideMark/>
          </w:tcPr>
          <w:p w14:paraId="6EFCB29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1 191</w:t>
            </w:r>
          </w:p>
        </w:tc>
        <w:tc>
          <w:tcPr>
            <w:tcW w:w="781" w:type="pct"/>
            <w:tcBorders>
              <w:top w:val="nil"/>
              <w:left w:val="nil"/>
              <w:bottom w:val="nil"/>
              <w:right w:val="nil"/>
            </w:tcBorders>
            <w:noWrap/>
            <w:vAlign w:val="center"/>
            <w:hideMark/>
          </w:tcPr>
          <w:p w14:paraId="6F5C11B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19 373</w:t>
            </w:r>
          </w:p>
        </w:tc>
      </w:tr>
      <w:tr w:rsidR="006C4004" w:rsidRPr="006C4004" w14:paraId="033B0786" w14:textId="77777777" w:rsidTr="00C87919">
        <w:trPr>
          <w:trHeight w:val="330"/>
        </w:trPr>
        <w:tc>
          <w:tcPr>
            <w:tcW w:w="1619" w:type="pct"/>
            <w:tcBorders>
              <w:top w:val="nil"/>
              <w:left w:val="nil"/>
              <w:bottom w:val="nil"/>
              <w:right w:val="nil"/>
            </w:tcBorders>
            <w:noWrap/>
            <w:vAlign w:val="center"/>
            <w:hideMark/>
          </w:tcPr>
          <w:p w14:paraId="2B81E01D"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Slovenská záručná a rozvojová banka</w:t>
            </w:r>
          </w:p>
        </w:tc>
        <w:tc>
          <w:tcPr>
            <w:tcW w:w="643" w:type="pct"/>
            <w:tcBorders>
              <w:top w:val="nil"/>
              <w:left w:val="nil"/>
              <w:bottom w:val="nil"/>
              <w:right w:val="nil"/>
            </w:tcBorders>
            <w:noWrap/>
            <w:vAlign w:val="center"/>
            <w:hideMark/>
          </w:tcPr>
          <w:p w14:paraId="307F736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8 541</w:t>
            </w:r>
          </w:p>
        </w:tc>
        <w:tc>
          <w:tcPr>
            <w:tcW w:w="560" w:type="pct"/>
            <w:tcBorders>
              <w:top w:val="nil"/>
              <w:left w:val="nil"/>
              <w:bottom w:val="nil"/>
              <w:right w:val="nil"/>
            </w:tcBorders>
            <w:noWrap/>
            <w:vAlign w:val="center"/>
            <w:hideMark/>
          </w:tcPr>
          <w:p w14:paraId="247C13F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9 398</w:t>
            </w:r>
          </w:p>
        </w:tc>
        <w:tc>
          <w:tcPr>
            <w:tcW w:w="615" w:type="pct"/>
            <w:tcBorders>
              <w:top w:val="nil"/>
              <w:left w:val="nil"/>
              <w:bottom w:val="nil"/>
              <w:right w:val="nil"/>
            </w:tcBorders>
            <w:noWrap/>
            <w:vAlign w:val="center"/>
            <w:hideMark/>
          </w:tcPr>
          <w:p w14:paraId="4716856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0</w:t>
            </w:r>
          </w:p>
        </w:tc>
        <w:tc>
          <w:tcPr>
            <w:tcW w:w="781" w:type="pct"/>
            <w:tcBorders>
              <w:top w:val="nil"/>
              <w:left w:val="nil"/>
              <w:bottom w:val="nil"/>
              <w:right w:val="nil"/>
            </w:tcBorders>
            <w:noWrap/>
            <w:vAlign w:val="center"/>
            <w:hideMark/>
          </w:tcPr>
          <w:p w14:paraId="4608B3B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4 108</w:t>
            </w:r>
          </w:p>
        </w:tc>
        <w:tc>
          <w:tcPr>
            <w:tcW w:w="781" w:type="pct"/>
            <w:tcBorders>
              <w:top w:val="nil"/>
              <w:left w:val="nil"/>
              <w:bottom w:val="nil"/>
              <w:right w:val="nil"/>
            </w:tcBorders>
            <w:noWrap/>
            <w:vAlign w:val="center"/>
            <w:hideMark/>
          </w:tcPr>
          <w:p w14:paraId="56E3FBA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4 108</w:t>
            </w:r>
          </w:p>
        </w:tc>
      </w:tr>
      <w:tr w:rsidR="006C4004" w:rsidRPr="006C4004" w14:paraId="39C552E0" w14:textId="77777777" w:rsidTr="00C87919">
        <w:trPr>
          <w:trHeight w:val="330"/>
        </w:trPr>
        <w:tc>
          <w:tcPr>
            <w:tcW w:w="1619" w:type="pct"/>
            <w:tcBorders>
              <w:top w:val="nil"/>
              <w:left w:val="nil"/>
              <w:bottom w:val="nil"/>
              <w:right w:val="nil"/>
            </w:tcBorders>
            <w:noWrap/>
            <w:vAlign w:val="center"/>
            <w:hideMark/>
          </w:tcPr>
          <w:p w14:paraId="0A9C53D5" w14:textId="77777777" w:rsidR="006C4004" w:rsidRPr="006C4004" w:rsidRDefault="006C4004" w:rsidP="006C4004">
            <w:pPr>
              <w:spacing w:line="240" w:lineRule="auto"/>
              <w:rPr>
                <w:rFonts w:eastAsia="Times New Roman" w:cs="Times New Roman"/>
                <w:color w:val="000000"/>
                <w:sz w:val="18"/>
                <w:szCs w:val="18"/>
                <w:lang w:eastAsia="sk-SK"/>
              </w:rPr>
            </w:pPr>
            <w:r w:rsidRPr="006C4004">
              <w:rPr>
                <w:rFonts w:eastAsia="Times New Roman" w:cs="Times New Roman"/>
                <w:color w:val="000000"/>
                <w:sz w:val="18"/>
                <w:szCs w:val="18"/>
                <w:lang w:eastAsia="sk-SK"/>
              </w:rPr>
              <w:t xml:space="preserve">    SIH a investičné fondy SIH-u </w:t>
            </w:r>
          </w:p>
        </w:tc>
        <w:tc>
          <w:tcPr>
            <w:tcW w:w="643" w:type="pct"/>
            <w:tcBorders>
              <w:top w:val="nil"/>
              <w:left w:val="nil"/>
              <w:bottom w:val="nil"/>
              <w:right w:val="nil"/>
            </w:tcBorders>
            <w:noWrap/>
            <w:vAlign w:val="center"/>
            <w:hideMark/>
          </w:tcPr>
          <w:p w14:paraId="2A48D60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89 458</w:t>
            </w:r>
          </w:p>
        </w:tc>
        <w:tc>
          <w:tcPr>
            <w:tcW w:w="560" w:type="pct"/>
            <w:tcBorders>
              <w:top w:val="nil"/>
              <w:left w:val="nil"/>
              <w:bottom w:val="nil"/>
              <w:right w:val="nil"/>
            </w:tcBorders>
            <w:noWrap/>
            <w:vAlign w:val="center"/>
            <w:hideMark/>
          </w:tcPr>
          <w:p w14:paraId="47482F4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-5 145</w:t>
            </w:r>
          </w:p>
        </w:tc>
        <w:tc>
          <w:tcPr>
            <w:tcW w:w="615" w:type="pct"/>
            <w:tcBorders>
              <w:top w:val="nil"/>
              <w:left w:val="nil"/>
              <w:bottom w:val="nil"/>
              <w:right w:val="nil"/>
            </w:tcBorders>
            <w:noWrap/>
            <w:vAlign w:val="center"/>
            <w:hideMark/>
          </w:tcPr>
          <w:p w14:paraId="374B098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0</w:t>
            </w:r>
          </w:p>
        </w:tc>
        <w:tc>
          <w:tcPr>
            <w:tcW w:w="781" w:type="pct"/>
            <w:tcBorders>
              <w:top w:val="nil"/>
              <w:left w:val="nil"/>
              <w:bottom w:val="nil"/>
              <w:right w:val="nil"/>
            </w:tcBorders>
            <w:noWrap/>
            <w:vAlign w:val="center"/>
            <w:hideMark/>
          </w:tcPr>
          <w:p w14:paraId="54B967E5"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20 070</w:t>
            </w:r>
          </w:p>
        </w:tc>
        <w:tc>
          <w:tcPr>
            <w:tcW w:w="781" w:type="pct"/>
            <w:tcBorders>
              <w:top w:val="nil"/>
              <w:left w:val="nil"/>
              <w:bottom w:val="nil"/>
              <w:right w:val="nil"/>
            </w:tcBorders>
            <w:noWrap/>
            <w:vAlign w:val="center"/>
            <w:hideMark/>
          </w:tcPr>
          <w:p w14:paraId="67D38C9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20 070</w:t>
            </w:r>
          </w:p>
        </w:tc>
      </w:tr>
      <w:tr w:rsidR="006C4004" w:rsidRPr="006C4004" w14:paraId="63C1C514" w14:textId="77777777" w:rsidTr="00C87919">
        <w:trPr>
          <w:trHeight w:val="330"/>
        </w:trPr>
        <w:tc>
          <w:tcPr>
            <w:tcW w:w="1619" w:type="pct"/>
            <w:tcBorders>
              <w:top w:val="nil"/>
              <w:left w:val="nil"/>
              <w:bottom w:val="nil"/>
              <w:right w:val="nil"/>
            </w:tcBorders>
            <w:noWrap/>
            <w:vAlign w:val="center"/>
            <w:hideMark/>
          </w:tcPr>
          <w:p w14:paraId="620922EE"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Obchodné spoločnosti štátu, z toho:</w:t>
            </w:r>
          </w:p>
        </w:tc>
        <w:tc>
          <w:tcPr>
            <w:tcW w:w="643" w:type="pct"/>
            <w:tcBorders>
              <w:top w:val="nil"/>
              <w:left w:val="nil"/>
              <w:bottom w:val="nil"/>
              <w:right w:val="nil"/>
            </w:tcBorders>
            <w:noWrap/>
            <w:vAlign w:val="center"/>
            <w:hideMark/>
          </w:tcPr>
          <w:p w14:paraId="138DF03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4 626</w:t>
            </w:r>
          </w:p>
        </w:tc>
        <w:tc>
          <w:tcPr>
            <w:tcW w:w="560" w:type="pct"/>
            <w:tcBorders>
              <w:top w:val="nil"/>
              <w:left w:val="nil"/>
              <w:bottom w:val="nil"/>
              <w:right w:val="nil"/>
            </w:tcBorders>
            <w:noWrap/>
            <w:vAlign w:val="center"/>
            <w:hideMark/>
          </w:tcPr>
          <w:p w14:paraId="474502B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-18 873</w:t>
            </w:r>
          </w:p>
        </w:tc>
        <w:tc>
          <w:tcPr>
            <w:tcW w:w="615" w:type="pct"/>
            <w:tcBorders>
              <w:top w:val="nil"/>
              <w:left w:val="nil"/>
              <w:bottom w:val="nil"/>
              <w:right w:val="nil"/>
            </w:tcBorders>
            <w:noWrap/>
            <w:vAlign w:val="center"/>
            <w:hideMark/>
          </w:tcPr>
          <w:p w14:paraId="3D86CC3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-96 687</w:t>
            </w:r>
          </w:p>
        </w:tc>
        <w:tc>
          <w:tcPr>
            <w:tcW w:w="781" w:type="pct"/>
            <w:tcBorders>
              <w:top w:val="nil"/>
              <w:left w:val="nil"/>
              <w:bottom w:val="nil"/>
              <w:right w:val="nil"/>
            </w:tcBorders>
            <w:noWrap/>
            <w:vAlign w:val="center"/>
            <w:hideMark/>
          </w:tcPr>
          <w:p w14:paraId="77549B90"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-15 658</w:t>
            </w:r>
          </w:p>
        </w:tc>
        <w:tc>
          <w:tcPr>
            <w:tcW w:w="781" w:type="pct"/>
            <w:tcBorders>
              <w:top w:val="nil"/>
              <w:left w:val="nil"/>
              <w:bottom w:val="nil"/>
              <w:right w:val="nil"/>
            </w:tcBorders>
            <w:noWrap/>
            <w:vAlign w:val="center"/>
            <w:hideMark/>
          </w:tcPr>
          <w:p w14:paraId="03E0D7C1"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81 029</w:t>
            </w:r>
          </w:p>
        </w:tc>
      </w:tr>
      <w:tr w:rsidR="006C4004" w:rsidRPr="006C4004" w14:paraId="587BA607" w14:textId="77777777" w:rsidTr="00C87919">
        <w:trPr>
          <w:trHeight w:val="330"/>
        </w:trPr>
        <w:tc>
          <w:tcPr>
            <w:tcW w:w="1619" w:type="pct"/>
            <w:tcBorders>
              <w:top w:val="nil"/>
              <w:left w:val="nil"/>
              <w:bottom w:val="nil"/>
              <w:right w:val="nil"/>
            </w:tcBorders>
            <w:noWrap/>
            <w:vAlign w:val="center"/>
            <w:hideMark/>
          </w:tcPr>
          <w:p w14:paraId="1BB2726D"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MH Manažment, a. s.</w:t>
            </w:r>
          </w:p>
        </w:tc>
        <w:tc>
          <w:tcPr>
            <w:tcW w:w="643" w:type="pct"/>
            <w:tcBorders>
              <w:top w:val="nil"/>
              <w:left w:val="nil"/>
              <w:bottom w:val="nil"/>
              <w:right w:val="nil"/>
            </w:tcBorders>
            <w:noWrap/>
            <w:vAlign w:val="center"/>
            <w:hideMark/>
          </w:tcPr>
          <w:p w14:paraId="27DC7121"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-10 171</w:t>
            </w:r>
          </w:p>
        </w:tc>
        <w:tc>
          <w:tcPr>
            <w:tcW w:w="560" w:type="pct"/>
            <w:tcBorders>
              <w:top w:val="nil"/>
              <w:left w:val="nil"/>
              <w:bottom w:val="nil"/>
              <w:right w:val="nil"/>
            </w:tcBorders>
            <w:noWrap/>
            <w:vAlign w:val="center"/>
            <w:hideMark/>
          </w:tcPr>
          <w:p w14:paraId="4EECB4F0"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-2 072</w:t>
            </w:r>
          </w:p>
        </w:tc>
        <w:tc>
          <w:tcPr>
            <w:tcW w:w="615" w:type="pct"/>
            <w:tcBorders>
              <w:top w:val="nil"/>
              <w:left w:val="nil"/>
              <w:bottom w:val="nil"/>
              <w:right w:val="nil"/>
            </w:tcBorders>
            <w:noWrap/>
            <w:vAlign w:val="center"/>
            <w:hideMark/>
          </w:tcPr>
          <w:p w14:paraId="69E62CA2"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-1 870</w:t>
            </w:r>
          </w:p>
        </w:tc>
        <w:tc>
          <w:tcPr>
            <w:tcW w:w="781" w:type="pct"/>
            <w:tcBorders>
              <w:top w:val="nil"/>
              <w:left w:val="nil"/>
              <w:bottom w:val="nil"/>
              <w:right w:val="nil"/>
            </w:tcBorders>
            <w:noWrap/>
            <w:vAlign w:val="center"/>
            <w:hideMark/>
          </w:tcPr>
          <w:p w14:paraId="3E4B2DB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-7 353</w:t>
            </w:r>
          </w:p>
        </w:tc>
        <w:tc>
          <w:tcPr>
            <w:tcW w:w="781" w:type="pct"/>
            <w:tcBorders>
              <w:top w:val="nil"/>
              <w:left w:val="nil"/>
              <w:bottom w:val="nil"/>
              <w:right w:val="nil"/>
            </w:tcBorders>
            <w:noWrap/>
            <w:vAlign w:val="center"/>
            <w:hideMark/>
          </w:tcPr>
          <w:p w14:paraId="6525069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-5 483</w:t>
            </w:r>
          </w:p>
        </w:tc>
      </w:tr>
      <w:tr w:rsidR="006C4004" w:rsidRPr="006C4004" w14:paraId="2715BF06" w14:textId="77777777" w:rsidTr="00C87919">
        <w:trPr>
          <w:trHeight w:val="330"/>
        </w:trPr>
        <w:tc>
          <w:tcPr>
            <w:tcW w:w="1619" w:type="pct"/>
            <w:tcBorders>
              <w:top w:val="nil"/>
              <w:left w:val="nil"/>
              <w:bottom w:val="nil"/>
              <w:right w:val="nil"/>
            </w:tcBorders>
            <w:noWrap/>
            <w:vAlign w:val="center"/>
            <w:hideMark/>
          </w:tcPr>
          <w:p w14:paraId="1A9D3116"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MH Invest, s. r. o.</w:t>
            </w:r>
          </w:p>
        </w:tc>
        <w:tc>
          <w:tcPr>
            <w:tcW w:w="643" w:type="pct"/>
            <w:tcBorders>
              <w:top w:val="nil"/>
              <w:left w:val="nil"/>
              <w:bottom w:val="nil"/>
              <w:right w:val="nil"/>
            </w:tcBorders>
            <w:noWrap/>
            <w:vAlign w:val="center"/>
            <w:hideMark/>
          </w:tcPr>
          <w:p w14:paraId="1B70EAF7"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-3 868</w:t>
            </w:r>
          </w:p>
        </w:tc>
        <w:tc>
          <w:tcPr>
            <w:tcW w:w="560" w:type="pct"/>
            <w:tcBorders>
              <w:top w:val="nil"/>
              <w:left w:val="nil"/>
              <w:bottom w:val="nil"/>
              <w:right w:val="nil"/>
            </w:tcBorders>
            <w:noWrap/>
            <w:vAlign w:val="center"/>
            <w:hideMark/>
          </w:tcPr>
          <w:p w14:paraId="55F2D4A1"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10 819</w:t>
            </w:r>
          </w:p>
        </w:tc>
        <w:tc>
          <w:tcPr>
            <w:tcW w:w="615" w:type="pct"/>
            <w:tcBorders>
              <w:top w:val="nil"/>
              <w:left w:val="nil"/>
              <w:bottom w:val="nil"/>
              <w:right w:val="nil"/>
            </w:tcBorders>
            <w:noWrap/>
            <w:vAlign w:val="center"/>
            <w:hideMark/>
          </w:tcPr>
          <w:p w14:paraId="5FD40897"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-60 257</w:t>
            </w:r>
          </w:p>
        </w:tc>
        <w:tc>
          <w:tcPr>
            <w:tcW w:w="781" w:type="pct"/>
            <w:tcBorders>
              <w:top w:val="nil"/>
              <w:left w:val="nil"/>
              <w:bottom w:val="nil"/>
              <w:right w:val="nil"/>
            </w:tcBorders>
            <w:noWrap/>
            <w:vAlign w:val="center"/>
            <w:hideMark/>
          </w:tcPr>
          <w:p w14:paraId="645A7C7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-4 857</w:t>
            </w:r>
          </w:p>
        </w:tc>
        <w:tc>
          <w:tcPr>
            <w:tcW w:w="781" w:type="pct"/>
            <w:tcBorders>
              <w:top w:val="nil"/>
              <w:left w:val="nil"/>
              <w:bottom w:val="nil"/>
              <w:right w:val="nil"/>
            </w:tcBorders>
            <w:noWrap/>
            <w:vAlign w:val="center"/>
            <w:hideMark/>
          </w:tcPr>
          <w:p w14:paraId="7E65EBD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55 400</w:t>
            </w:r>
          </w:p>
        </w:tc>
      </w:tr>
      <w:tr w:rsidR="006C4004" w:rsidRPr="006C4004" w14:paraId="68729927" w14:textId="77777777" w:rsidTr="00C87919">
        <w:trPr>
          <w:trHeight w:val="330"/>
        </w:trPr>
        <w:tc>
          <w:tcPr>
            <w:tcW w:w="1619" w:type="pct"/>
            <w:tcBorders>
              <w:top w:val="nil"/>
              <w:left w:val="nil"/>
              <w:bottom w:val="nil"/>
              <w:right w:val="nil"/>
            </w:tcBorders>
            <w:noWrap/>
            <w:vAlign w:val="center"/>
            <w:hideMark/>
          </w:tcPr>
          <w:p w14:paraId="084DFEE8"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MH Invest II, s. r. o.</w:t>
            </w:r>
          </w:p>
        </w:tc>
        <w:tc>
          <w:tcPr>
            <w:tcW w:w="643" w:type="pct"/>
            <w:tcBorders>
              <w:top w:val="nil"/>
              <w:left w:val="nil"/>
              <w:bottom w:val="nil"/>
              <w:right w:val="nil"/>
            </w:tcBorders>
            <w:noWrap/>
            <w:vAlign w:val="center"/>
            <w:hideMark/>
          </w:tcPr>
          <w:p w14:paraId="3338C6D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-983</w:t>
            </w:r>
          </w:p>
        </w:tc>
        <w:tc>
          <w:tcPr>
            <w:tcW w:w="560" w:type="pct"/>
            <w:tcBorders>
              <w:top w:val="nil"/>
              <w:left w:val="nil"/>
              <w:bottom w:val="nil"/>
              <w:right w:val="nil"/>
            </w:tcBorders>
            <w:noWrap/>
            <w:vAlign w:val="center"/>
            <w:hideMark/>
          </w:tcPr>
          <w:p w14:paraId="24305D81"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1 766</w:t>
            </w:r>
          </w:p>
        </w:tc>
        <w:tc>
          <w:tcPr>
            <w:tcW w:w="615" w:type="pct"/>
            <w:tcBorders>
              <w:top w:val="nil"/>
              <w:left w:val="nil"/>
              <w:bottom w:val="nil"/>
              <w:right w:val="nil"/>
            </w:tcBorders>
            <w:noWrap/>
            <w:vAlign w:val="center"/>
            <w:hideMark/>
          </w:tcPr>
          <w:p w14:paraId="6E7FD0F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-343</w:t>
            </w:r>
          </w:p>
        </w:tc>
        <w:tc>
          <w:tcPr>
            <w:tcW w:w="781" w:type="pct"/>
            <w:tcBorders>
              <w:top w:val="nil"/>
              <w:left w:val="nil"/>
              <w:bottom w:val="nil"/>
              <w:right w:val="nil"/>
            </w:tcBorders>
            <w:noWrap/>
            <w:vAlign w:val="center"/>
            <w:hideMark/>
          </w:tcPr>
          <w:p w14:paraId="388068E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-1 037</w:t>
            </w:r>
          </w:p>
        </w:tc>
        <w:tc>
          <w:tcPr>
            <w:tcW w:w="781" w:type="pct"/>
            <w:tcBorders>
              <w:top w:val="nil"/>
              <w:left w:val="nil"/>
              <w:bottom w:val="nil"/>
              <w:right w:val="nil"/>
            </w:tcBorders>
            <w:noWrap/>
            <w:vAlign w:val="center"/>
            <w:hideMark/>
          </w:tcPr>
          <w:p w14:paraId="314613C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-694</w:t>
            </w:r>
          </w:p>
        </w:tc>
      </w:tr>
      <w:tr w:rsidR="006C4004" w:rsidRPr="006C4004" w14:paraId="6C1EE2D8" w14:textId="77777777" w:rsidTr="00C87919">
        <w:trPr>
          <w:trHeight w:val="330"/>
        </w:trPr>
        <w:tc>
          <w:tcPr>
            <w:tcW w:w="1619" w:type="pct"/>
            <w:tcBorders>
              <w:top w:val="nil"/>
              <w:left w:val="nil"/>
              <w:bottom w:val="nil"/>
              <w:right w:val="nil"/>
            </w:tcBorders>
            <w:noWrap/>
            <w:vAlign w:val="center"/>
            <w:hideMark/>
          </w:tcPr>
          <w:p w14:paraId="0F6A6CC6"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JAVYS, a. s.</w:t>
            </w:r>
          </w:p>
        </w:tc>
        <w:tc>
          <w:tcPr>
            <w:tcW w:w="643" w:type="pct"/>
            <w:tcBorders>
              <w:top w:val="nil"/>
              <w:left w:val="nil"/>
              <w:bottom w:val="nil"/>
              <w:right w:val="nil"/>
            </w:tcBorders>
            <w:noWrap/>
            <w:vAlign w:val="center"/>
            <w:hideMark/>
          </w:tcPr>
          <w:p w14:paraId="00DBA83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8 694</w:t>
            </w:r>
          </w:p>
        </w:tc>
        <w:tc>
          <w:tcPr>
            <w:tcW w:w="560" w:type="pct"/>
            <w:tcBorders>
              <w:top w:val="nil"/>
              <w:left w:val="nil"/>
              <w:bottom w:val="nil"/>
              <w:right w:val="nil"/>
            </w:tcBorders>
            <w:noWrap/>
            <w:vAlign w:val="center"/>
            <w:hideMark/>
          </w:tcPr>
          <w:p w14:paraId="05D1405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21 913</w:t>
            </w:r>
          </w:p>
        </w:tc>
        <w:tc>
          <w:tcPr>
            <w:tcW w:w="615" w:type="pct"/>
            <w:tcBorders>
              <w:top w:val="nil"/>
              <w:left w:val="nil"/>
              <w:bottom w:val="nil"/>
              <w:right w:val="nil"/>
            </w:tcBorders>
            <w:noWrap/>
            <w:vAlign w:val="center"/>
            <w:hideMark/>
          </w:tcPr>
          <w:p w14:paraId="479E14D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-1 061</w:t>
            </w:r>
          </w:p>
        </w:tc>
        <w:tc>
          <w:tcPr>
            <w:tcW w:w="781" w:type="pct"/>
            <w:tcBorders>
              <w:top w:val="nil"/>
              <w:left w:val="nil"/>
              <w:bottom w:val="nil"/>
              <w:right w:val="nil"/>
            </w:tcBorders>
            <w:noWrap/>
            <w:vAlign w:val="center"/>
            <w:hideMark/>
          </w:tcPr>
          <w:p w14:paraId="169222C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-3 523</w:t>
            </w:r>
          </w:p>
        </w:tc>
        <w:tc>
          <w:tcPr>
            <w:tcW w:w="781" w:type="pct"/>
            <w:tcBorders>
              <w:top w:val="nil"/>
              <w:left w:val="nil"/>
              <w:bottom w:val="nil"/>
              <w:right w:val="nil"/>
            </w:tcBorders>
            <w:noWrap/>
            <w:vAlign w:val="center"/>
            <w:hideMark/>
          </w:tcPr>
          <w:p w14:paraId="7F4DF0E1"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-2 462</w:t>
            </w:r>
          </w:p>
        </w:tc>
      </w:tr>
      <w:tr w:rsidR="006C4004" w:rsidRPr="006C4004" w14:paraId="6BEF7B44" w14:textId="77777777" w:rsidTr="00C87919">
        <w:trPr>
          <w:trHeight w:val="330"/>
        </w:trPr>
        <w:tc>
          <w:tcPr>
            <w:tcW w:w="1619" w:type="pct"/>
            <w:tcBorders>
              <w:top w:val="nil"/>
              <w:left w:val="nil"/>
              <w:bottom w:val="nil"/>
              <w:right w:val="nil"/>
            </w:tcBorders>
            <w:noWrap/>
            <w:vAlign w:val="center"/>
            <w:hideMark/>
          </w:tcPr>
          <w:p w14:paraId="77F16317"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Železnice Slovenskej republiky</w:t>
            </w:r>
          </w:p>
        </w:tc>
        <w:tc>
          <w:tcPr>
            <w:tcW w:w="643" w:type="pct"/>
            <w:tcBorders>
              <w:top w:val="nil"/>
              <w:left w:val="nil"/>
              <w:bottom w:val="nil"/>
              <w:right w:val="nil"/>
            </w:tcBorders>
            <w:noWrap/>
            <w:vAlign w:val="center"/>
            <w:hideMark/>
          </w:tcPr>
          <w:p w14:paraId="0273557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-32 137</w:t>
            </w:r>
          </w:p>
        </w:tc>
        <w:tc>
          <w:tcPr>
            <w:tcW w:w="560" w:type="pct"/>
            <w:tcBorders>
              <w:top w:val="nil"/>
              <w:left w:val="nil"/>
              <w:bottom w:val="nil"/>
              <w:right w:val="nil"/>
            </w:tcBorders>
            <w:noWrap/>
            <w:vAlign w:val="center"/>
            <w:hideMark/>
          </w:tcPr>
          <w:p w14:paraId="1DA3075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-22 918</w:t>
            </w:r>
          </w:p>
        </w:tc>
        <w:tc>
          <w:tcPr>
            <w:tcW w:w="615" w:type="pct"/>
            <w:tcBorders>
              <w:top w:val="nil"/>
              <w:left w:val="nil"/>
              <w:bottom w:val="nil"/>
              <w:right w:val="nil"/>
            </w:tcBorders>
            <w:noWrap/>
            <w:vAlign w:val="center"/>
            <w:hideMark/>
          </w:tcPr>
          <w:p w14:paraId="125E0654"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2 538</w:t>
            </w:r>
          </w:p>
        </w:tc>
        <w:tc>
          <w:tcPr>
            <w:tcW w:w="781" w:type="pct"/>
            <w:tcBorders>
              <w:top w:val="nil"/>
              <w:left w:val="nil"/>
              <w:bottom w:val="nil"/>
              <w:right w:val="nil"/>
            </w:tcBorders>
            <w:noWrap/>
            <w:vAlign w:val="center"/>
            <w:hideMark/>
          </w:tcPr>
          <w:p w14:paraId="3C258DF2"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19 174</w:t>
            </w:r>
          </w:p>
        </w:tc>
        <w:tc>
          <w:tcPr>
            <w:tcW w:w="781" w:type="pct"/>
            <w:tcBorders>
              <w:top w:val="nil"/>
              <w:left w:val="nil"/>
              <w:bottom w:val="nil"/>
              <w:right w:val="nil"/>
            </w:tcBorders>
            <w:noWrap/>
            <w:vAlign w:val="center"/>
            <w:hideMark/>
          </w:tcPr>
          <w:p w14:paraId="07C3570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16 636</w:t>
            </w:r>
          </w:p>
        </w:tc>
      </w:tr>
      <w:tr w:rsidR="006C4004" w:rsidRPr="006C4004" w14:paraId="41506FF1" w14:textId="77777777" w:rsidTr="00C87919">
        <w:trPr>
          <w:trHeight w:val="330"/>
        </w:trPr>
        <w:tc>
          <w:tcPr>
            <w:tcW w:w="1619" w:type="pct"/>
            <w:tcBorders>
              <w:top w:val="nil"/>
              <w:left w:val="nil"/>
              <w:bottom w:val="nil"/>
              <w:right w:val="nil"/>
            </w:tcBorders>
            <w:noWrap/>
            <w:vAlign w:val="center"/>
            <w:hideMark/>
          </w:tcPr>
          <w:p w14:paraId="5D58CEF8"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Železničná spoločnosť Slovensko, a. s.</w:t>
            </w:r>
          </w:p>
        </w:tc>
        <w:tc>
          <w:tcPr>
            <w:tcW w:w="643" w:type="pct"/>
            <w:tcBorders>
              <w:top w:val="nil"/>
              <w:left w:val="nil"/>
              <w:bottom w:val="nil"/>
              <w:right w:val="nil"/>
            </w:tcBorders>
            <w:noWrap/>
            <w:vAlign w:val="center"/>
            <w:hideMark/>
          </w:tcPr>
          <w:p w14:paraId="3308F642"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-10 787</w:t>
            </w:r>
          </w:p>
        </w:tc>
        <w:tc>
          <w:tcPr>
            <w:tcW w:w="560" w:type="pct"/>
            <w:tcBorders>
              <w:top w:val="nil"/>
              <w:left w:val="nil"/>
              <w:bottom w:val="nil"/>
              <w:right w:val="nil"/>
            </w:tcBorders>
            <w:noWrap/>
            <w:vAlign w:val="center"/>
            <w:hideMark/>
          </w:tcPr>
          <w:p w14:paraId="79DC069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29 402</w:t>
            </w:r>
          </w:p>
        </w:tc>
        <w:tc>
          <w:tcPr>
            <w:tcW w:w="615" w:type="pct"/>
            <w:tcBorders>
              <w:top w:val="nil"/>
              <w:left w:val="nil"/>
              <w:bottom w:val="nil"/>
              <w:right w:val="nil"/>
            </w:tcBorders>
            <w:noWrap/>
            <w:vAlign w:val="center"/>
            <w:hideMark/>
          </w:tcPr>
          <w:p w14:paraId="08F6773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-72 791</w:t>
            </w:r>
          </w:p>
        </w:tc>
        <w:tc>
          <w:tcPr>
            <w:tcW w:w="781" w:type="pct"/>
            <w:tcBorders>
              <w:top w:val="nil"/>
              <w:left w:val="nil"/>
              <w:bottom w:val="nil"/>
              <w:right w:val="nil"/>
            </w:tcBorders>
            <w:noWrap/>
            <w:vAlign w:val="center"/>
            <w:hideMark/>
          </w:tcPr>
          <w:p w14:paraId="7247A1F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37 276</w:t>
            </w:r>
          </w:p>
        </w:tc>
        <w:tc>
          <w:tcPr>
            <w:tcW w:w="781" w:type="pct"/>
            <w:tcBorders>
              <w:top w:val="nil"/>
              <w:left w:val="nil"/>
              <w:bottom w:val="nil"/>
              <w:right w:val="nil"/>
            </w:tcBorders>
            <w:noWrap/>
            <w:vAlign w:val="center"/>
            <w:hideMark/>
          </w:tcPr>
          <w:p w14:paraId="411E452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110 067</w:t>
            </w:r>
          </w:p>
        </w:tc>
      </w:tr>
      <w:tr w:rsidR="006C4004" w:rsidRPr="006C4004" w14:paraId="4D4236FC" w14:textId="77777777" w:rsidTr="00C87919">
        <w:trPr>
          <w:trHeight w:val="330"/>
        </w:trPr>
        <w:tc>
          <w:tcPr>
            <w:tcW w:w="1619" w:type="pct"/>
            <w:tcBorders>
              <w:top w:val="nil"/>
              <w:left w:val="nil"/>
              <w:bottom w:val="nil"/>
              <w:right w:val="nil"/>
            </w:tcBorders>
            <w:noWrap/>
            <w:vAlign w:val="center"/>
            <w:hideMark/>
          </w:tcPr>
          <w:p w14:paraId="45E34AEA"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Národná diaľničná spoločnosť, a. s.</w:t>
            </w:r>
          </w:p>
        </w:tc>
        <w:tc>
          <w:tcPr>
            <w:tcW w:w="643" w:type="pct"/>
            <w:tcBorders>
              <w:top w:val="nil"/>
              <w:left w:val="nil"/>
              <w:bottom w:val="nil"/>
              <w:right w:val="nil"/>
            </w:tcBorders>
            <w:noWrap/>
            <w:vAlign w:val="center"/>
            <w:hideMark/>
          </w:tcPr>
          <w:p w14:paraId="3BBDCF1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53 615</w:t>
            </w:r>
          </w:p>
        </w:tc>
        <w:tc>
          <w:tcPr>
            <w:tcW w:w="560" w:type="pct"/>
            <w:tcBorders>
              <w:top w:val="nil"/>
              <w:left w:val="nil"/>
              <w:bottom w:val="nil"/>
              <w:right w:val="nil"/>
            </w:tcBorders>
            <w:noWrap/>
            <w:vAlign w:val="center"/>
            <w:hideMark/>
          </w:tcPr>
          <w:p w14:paraId="7BBEAE9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-57 402</w:t>
            </w:r>
          </w:p>
        </w:tc>
        <w:tc>
          <w:tcPr>
            <w:tcW w:w="615" w:type="pct"/>
            <w:tcBorders>
              <w:top w:val="nil"/>
              <w:left w:val="nil"/>
              <w:bottom w:val="nil"/>
              <w:right w:val="nil"/>
            </w:tcBorders>
            <w:noWrap/>
            <w:vAlign w:val="center"/>
            <w:hideMark/>
          </w:tcPr>
          <w:p w14:paraId="5D3E00F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39 313</w:t>
            </w:r>
          </w:p>
        </w:tc>
        <w:tc>
          <w:tcPr>
            <w:tcW w:w="781" w:type="pct"/>
            <w:tcBorders>
              <w:top w:val="nil"/>
              <w:left w:val="nil"/>
              <w:bottom w:val="nil"/>
              <w:right w:val="nil"/>
            </w:tcBorders>
            <w:noWrap/>
            <w:vAlign w:val="center"/>
            <w:hideMark/>
          </w:tcPr>
          <w:p w14:paraId="2EB829F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-66 215</w:t>
            </w:r>
          </w:p>
        </w:tc>
        <w:tc>
          <w:tcPr>
            <w:tcW w:w="781" w:type="pct"/>
            <w:tcBorders>
              <w:top w:val="nil"/>
              <w:left w:val="nil"/>
              <w:bottom w:val="nil"/>
              <w:right w:val="nil"/>
            </w:tcBorders>
            <w:noWrap/>
            <w:vAlign w:val="center"/>
            <w:hideMark/>
          </w:tcPr>
          <w:p w14:paraId="6A2FF7C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-105 528</w:t>
            </w:r>
          </w:p>
        </w:tc>
      </w:tr>
      <w:tr w:rsidR="006C4004" w:rsidRPr="006C4004" w14:paraId="373910D1" w14:textId="77777777" w:rsidTr="00C87919">
        <w:trPr>
          <w:trHeight w:val="330"/>
        </w:trPr>
        <w:tc>
          <w:tcPr>
            <w:tcW w:w="1619" w:type="pct"/>
            <w:tcBorders>
              <w:top w:val="nil"/>
              <w:left w:val="nil"/>
              <w:bottom w:val="nil"/>
              <w:right w:val="nil"/>
            </w:tcBorders>
            <w:noWrap/>
            <w:vAlign w:val="center"/>
            <w:hideMark/>
          </w:tcPr>
          <w:p w14:paraId="00442E47"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Slovenská konsolidačná, a. s.</w:t>
            </w:r>
          </w:p>
        </w:tc>
        <w:tc>
          <w:tcPr>
            <w:tcW w:w="643" w:type="pct"/>
            <w:tcBorders>
              <w:top w:val="nil"/>
              <w:left w:val="nil"/>
              <w:bottom w:val="nil"/>
              <w:right w:val="nil"/>
            </w:tcBorders>
            <w:noWrap/>
            <w:vAlign w:val="center"/>
            <w:hideMark/>
          </w:tcPr>
          <w:p w14:paraId="52B00D45"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354</w:t>
            </w:r>
          </w:p>
        </w:tc>
        <w:tc>
          <w:tcPr>
            <w:tcW w:w="560" w:type="pct"/>
            <w:tcBorders>
              <w:top w:val="nil"/>
              <w:left w:val="nil"/>
              <w:bottom w:val="nil"/>
              <w:right w:val="nil"/>
            </w:tcBorders>
            <w:noWrap/>
            <w:vAlign w:val="center"/>
            <w:hideMark/>
          </w:tcPr>
          <w:p w14:paraId="46F9E1B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-316</w:t>
            </w:r>
          </w:p>
        </w:tc>
        <w:tc>
          <w:tcPr>
            <w:tcW w:w="615" w:type="pct"/>
            <w:tcBorders>
              <w:top w:val="nil"/>
              <w:left w:val="nil"/>
              <w:bottom w:val="nil"/>
              <w:right w:val="nil"/>
            </w:tcBorders>
            <w:noWrap/>
            <w:vAlign w:val="center"/>
            <w:hideMark/>
          </w:tcPr>
          <w:p w14:paraId="7B55F76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-2 216</w:t>
            </w:r>
          </w:p>
        </w:tc>
        <w:tc>
          <w:tcPr>
            <w:tcW w:w="781" w:type="pct"/>
            <w:tcBorders>
              <w:top w:val="nil"/>
              <w:left w:val="nil"/>
              <w:bottom w:val="nil"/>
              <w:right w:val="nil"/>
            </w:tcBorders>
            <w:noWrap/>
            <w:vAlign w:val="center"/>
            <w:hideMark/>
          </w:tcPr>
          <w:p w14:paraId="2C024D1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10 941</w:t>
            </w:r>
          </w:p>
        </w:tc>
        <w:tc>
          <w:tcPr>
            <w:tcW w:w="781" w:type="pct"/>
            <w:tcBorders>
              <w:top w:val="nil"/>
              <w:left w:val="nil"/>
              <w:bottom w:val="nil"/>
              <w:right w:val="nil"/>
            </w:tcBorders>
            <w:noWrap/>
            <w:vAlign w:val="center"/>
            <w:hideMark/>
          </w:tcPr>
          <w:p w14:paraId="6F55520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13 157</w:t>
            </w:r>
          </w:p>
        </w:tc>
      </w:tr>
      <w:tr w:rsidR="006C4004" w:rsidRPr="006C4004" w14:paraId="18490BFE" w14:textId="77777777" w:rsidTr="00C87919">
        <w:trPr>
          <w:trHeight w:val="330"/>
        </w:trPr>
        <w:tc>
          <w:tcPr>
            <w:tcW w:w="1619" w:type="pct"/>
            <w:tcBorders>
              <w:top w:val="nil"/>
              <w:left w:val="nil"/>
              <w:bottom w:val="nil"/>
              <w:right w:val="nil"/>
            </w:tcBorders>
            <w:noWrap/>
            <w:vAlign w:val="center"/>
            <w:hideMark/>
          </w:tcPr>
          <w:p w14:paraId="2346EAFC"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Verejné vysoké školy</w:t>
            </w:r>
          </w:p>
        </w:tc>
        <w:tc>
          <w:tcPr>
            <w:tcW w:w="643" w:type="pct"/>
            <w:tcBorders>
              <w:top w:val="nil"/>
              <w:left w:val="nil"/>
              <w:bottom w:val="nil"/>
              <w:right w:val="nil"/>
            </w:tcBorders>
            <w:noWrap/>
            <w:vAlign w:val="center"/>
            <w:hideMark/>
          </w:tcPr>
          <w:p w14:paraId="72B17CD7"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25 357</w:t>
            </w:r>
          </w:p>
        </w:tc>
        <w:tc>
          <w:tcPr>
            <w:tcW w:w="560" w:type="pct"/>
            <w:tcBorders>
              <w:top w:val="nil"/>
              <w:left w:val="nil"/>
              <w:bottom w:val="nil"/>
              <w:right w:val="nil"/>
            </w:tcBorders>
            <w:noWrap/>
            <w:vAlign w:val="center"/>
            <w:hideMark/>
          </w:tcPr>
          <w:p w14:paraId="1E0F4642"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89 717</w:t>
            </w:r>
          </w:p>
        </w:tc>
        <w:tc>
          <w:tcPr>
            <w:tcW w:w="615" w:type="pct"/>
            <w:tcBorders>
              <w:top w:val="nil"/>
              <w:left w:val="nil"/>
              <w:bottom w:val="nil"/>
              <w:right w:val="nil"/>
            </w:tcBorders>
            <w:noWrap/>
            <w:vAlign w:val="center"/>
            <w:hideMark/>
          </w:tcPr>
          <w:p w14:paraId="4B071915"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199</w:t>
            </w:r>
          </w:p>
        </w:tc>
        <w:tc>
          <w:tcPr>
            <w:tcW w:w="781" w:type="pct"/>
            <w:tcBorders>
              <w:top w:val="nil"/>
              <w:left w:val="nil"/>
              <w:bottom w:val="nil"/>
              <w:right w:val="nil"/>
            </w:tcBorders>
            <w:noWrap/>
            <w:vAlign w:val="center"/>
            <w:hideMark/>
          </w:tcPr>
          <w:p w14:paraId="6A5A22E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67 447</w:t>
            </w:r>
          </w:p>
        </w:tc>
        <w:tc>
          <w:tcPr>
            <w:tcW w:w="781" w:type="pct"/>
            <w:tcBorders>
              <w:top w:val="nil"/>
              <w:left w:val="nil"/>
              <w:bottom w:val="nil"/>
              <w:right w:val="nil"/>
            </w:tcBorders>
            <w:noWrap/>
            <w:vAlign w:val="center"/>
            <w:hideMark/>
          </w:tcPr>
          <w:p w14:paraId="1EFAD84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67 248</w:t>
            </w:r>
          </w:p>
        </w:tc>
      </w:tr>
      <w:tr w:rsidR="006C4004" w:rsidRPr="006C4004" w14:paraId="70AB8ECD" w14:textId="77777777" w:rsidTr="00C87919">
        <w:trPr>
          <w:trHeight w:val="330"/>
        </w:trPr>
        <w:tc>
          <w:tcPr>
            <w:tcW w:w="1619" w:type="pct"/>
            <w:tcBorders>
              <w:top w:val="nil"/>
              <w:left w:val="nil"/>
              <w:bottom w:val="nil"/>
              <w:right w:val="nil"/>
            </w:tcBorders>
            <w:noWrap/>
            <w:vAlign w:val="center"/>
            <w:hideMark/>
          </w:tcPr>
          <w:p w14:paraId="455DD914"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Verejné výskumné inštitúcie</w:t>
            </w:r>
          </w:p>
        </w:tc>
        <w:tc>
          <w:tcPr>
            <w:tcW w:w="643" w:type="pct"/>
            <w:tcBorders>
              <w:top w:val="nil"/>
              <w:left w:val="nil"/>
              <w:bottom w:val="nil"/>
              <w:right w:val="nil"/>
            </w:tcBorders>
            <w:noWrap/>
            <w:vAlign w:val="center"/>
            <w:hideMark/>
          </w:tcPr>
          <w:p w14:paraId="3C5DAAE2"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3 281</w:t>
            </w:r>
          </w:p>
        </w:tc>
        <w:tc>
          <w:tcPr>
            <w:tcW w:w="560" w:type="pct"/>
            <w:tcBorders>
              <w:top w:val="nil"/>
              <w:left w:val="nil"/>
              <w:bottom w:val="nil"/>
              <w:right w:val="nil"/>
            </w:tcBorders>
            <w:noWrap/>
            <w:vAlign w:val="center"/>
            <w:hideMark/>
          </w:tcPr>
          <w:p w14:paraId="7071790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13 678</w:t>
            </w:r>
          </w:p>
        </w:tc>
        <w:tc>
          <w:tcPr>
            <w:tcW w:w="615" w:type="pct"/>
            <w:tcBorders>
              <w:top w:val="nil"/>
              <w:left w:val="nil"/>
              <w:bottom w:val="nil"/>
              <w:right w:val="nil"/>
            </w:tcBorders>
            <w:noWrap/>
            <w:vAlign w:val="center"/>
            <w:hideMark/>
          </w:tcPr>
          <w:p w14:paraId="4C3D65C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-22</w:t>
            </w:r>
          </w:p>
        </w:tc>
        <w:tc>
          <w:tcPr>
            <w:tcW w:w="781" w:type="pct"/>
            <w:tcBorders>
              <w:top w:val="nil"/>
              <w:left w:val="nil"/>
              <w:bottom w:val="nil"/>
              <w:right w:val="nil"/>
            </w:tcBorders>
            <w:noWrap/>
            <w:vAlign w:val="center"/>
            <w:hideMark/>
          </w:tcPr>
          <w:p w14:paraId="6A76418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-6 471</w:t>
            </w:r>
          </w:p>
        </w:tc>
        <w:tc>
          <w:tcPr>
            <w:tcW w:w="781" w:type="pct"/>
            <w:tcBorders>
              <w:top w:val="nil"/>
              <w:left w:val="nil"/>
              <w:bottom w:val="nil"/>
              <w:right w:val="nil"/>
            </w:tcBorders>
            <w:noWrap/>
            <w:vAlign w:val="center"/>
            <w:hideMark/>
          </w:tcPr>
          <w:p w14:paraId="55BDE29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-6 449</w:t>
            </w:r>
          </w:p>
        </w:tc>
      </w:tr>
      <w:tr w:rsidR="006C4004" w:rsidRPr="006C4004" w14:paraId="429B5B65" w14:textId="77777777" w:rsidTr="00C87919">
        <w:trPr>
          <w:trHeight w:val="330"/>
        </w:trPr>
        <w:tc>
          <w:tcPr>
            <w:tcW w:w="1619" w:type="pct"/>
            <w:tcBorders>
              <w:top w:val="nil"/>
              <w:left w:val="nil"/>
              <w:bottom w:val="nil"/>
              <w:right w:val="nil"/>
            </w:tcBorders>
            <w:noWrap/>
            <w:vAlign w:val="center"/>
            <w:hideMark/>
          </w:tcPr>
          <w:p w14:paraId="009252A6"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Zdravotnícke zariadenia ústrednej správy</w:t>
            </w:r>
          </w:p>
        </w:tc>
        <w:tc>
          <w:tcPr>
            <w:tcW w:w="643" w:type="pct"/>
            <w:tcBorders>
              <w:top w:val="nil"/>
              <w:left w:val="nil"/>
              <w:bottom w:val="nil"/>
              <w:right w:val="nil"/>
            </w:tcBorders>
            <w:noWrap/>
            <w:vAlign w:val="center"/>
            <w:hideMark/>
          </w:tcPr>
          <w:p w14:paraId="08796DA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-277 147</w:t>
            </w:r>
          </w:p>
        </w:tc>
        <w:tc>
          <w:tcPr>
            <w:tcW w:w="560" w:type="pct"/>
            <w:tcBorders>
              <w:top w:val="nil"/>
              <w:left w:val="nil"/>
              <w:bottom w:val="nil"/>
              <w:right w:val="nil"/>
            </w:tcBorders>
            <w:noWrap/>
            <w:vAlign w:val="center"/>
            <w:hideMark/>
          </w:tcPr>
          <w:p w14:paraId="3570F7E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17 832</w:t>
            </w:r>
          </w:p>
        </w:tc>
        <w:tc>
          <w:tcPr>
            <w:tcW w:w="615" w:type="pct"/>
            <w:tcBorders>
              <w:top w:val="nil"/>
              <w:left w:val="nil"/>
              <w:bottom w:val="nil"/>
              <w:right w:val="nil"/>
            </w:tcBorders>
            <w:noWrap/>
            <w:vAlign w:val="center"/>
            <w:hideMark/>
          </w:tcPr>
          <w:p w14:paraId="49E3933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-147 682</w:t>
            </w:r>
          </w:p>
        </w:tc>
        <w:tc>
          <w:tcPr>
            <w:tcW w:w="781" w:type="pct"/>
            <w:tcBorders>
              <w:top w:val="nil"/>
              <w:left w:val="nil"/>
              <w:bottom w:val="nil"/>
              <w:right w:val="nil"/>
            </w:tcBorders>
            <w:noWrap/>
            <w:vAlign w:val="center"/>
            <w:hideMark/>
          </w:tcPr>
          <w:p w14:paraId="3A93F7A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-427 612</w:t>
            </w:r>
          </w:p>
        </w:tc>
        <w:tc>
          <w:tcPr>
            <w:tcW w:w="781" w:type="pct"/>
            <w:tcBorders>
              <w:top w:val="nil"/>
              <w:left w:val="nil"/>
              <w:bottom w:val="nil"/>
              <w:right w:val="nil"/>
            </w:tcBorders>
            <w:noWrap/>
            <w:vAlign w:val="center"/>
            <w:hideMark/>
          </w:tcPr>
          <w:p w14:paraId="59919F5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-279 930</w:t>
            </w:r>
          </w:p>
        </w:tc>
      </w:tr>
      <w:tr w:rsidR="006C4004" w:rsidRPr="006C4004" w14:paraId="3D1A1A13" w14:textId="77777777" w:rsidTr="00C00919">
        <w:trPr>
          <w:trHeight w:val="183"/>
        </w:trPr>
        <w:tc>
          <w:tcPr>
            <w:tcW w:w="1619" w:type="pct"/>
            <w:tcBorders>
              <w:top w:val="nil"/>
              <w:left w:val="nil"/>
              <w:bottom w:val="nil"/>
              <w:right w:val="nil"/>
            </w:tcBorders>
            <w:noWrap/>
            <w:vAlign w:val="center"/>
            <w:hideMark/>
          </w:tcPr>
          <w:p w14:paraId="5D0E1CC3"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Ostatné subjekty ústrednej správy</w:t>
            </w:r>
          </w:p>
        </w:tc>
        <w:tc>
          <w:tcPr>
            <w:tcW w:w="643" w:type="pct"/>
            <w:tcBorders>
              <w:top w:val="nil"/>
              <w:left w:val="nil"/>
              <w:bottom w:val="nil"/>
              <w:right w:val="nil"/>
            </w:tcBorders>
            <w:noWrap/>
            <w:vAlign w:val="center"/>
            <w:hideMark/>
          </w:tcPr>
          <w:p w14:paraId="0172545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101 733</w:t>
            </w:r>
          </w:p>
        </w:tc>
        <w:tc>
          <w:tcPr>
            <w:tcW w:w="560" w:type="pct"/>
            <w:tcBorders>
              <w:top w:val="nil"/>
              <w:left w:val="nil"/>
              <w:bottom w:val="nil"/>
              <w:right w:val="nil"/>
            </w:tcBorders>
            <w:noWrap/>
            <w:vAlign w:val="center"/>
            <w:hideMark/>
          </w:tcPr>
          <w:p w14:paraId="1A1A258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120 009</w:t>
            </w:r>
          </w:p>
        </w:tc>
        <w:tc>
          <w:tcPr>
            <w:tcW w:w="615" w:type="pct"/>
            <w:tcBorders>
              <w:top w:val="nil"/>
              <w:left w:val="nil"/>
              <w:bottom w:val="nil"/>
              <w:right w:val="nil"/>
            </w:tcBorders>
            <w:noWrap/>
            <w:vAlign w:val="center"/>
            <w:hideMark/>
          </w:tcPr>
          <w:p w14:paraId="781DC3E4"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22 284</w:t>
            </w:r>
          </w:p>
        </w:tc>
        <w:tc>
          <w:tcPr>
            <w:tcW w:w="781" w:type="pct"/>
            <w:tcBorders>
              <w:top w:val="nil"/>
              <w:left w:val="nil"/>
              <w:bottom w:val="nil"/>
              <w:right w:val="nil"/>
            </w:tcBorders>
            <w:noWrap/>
            <w:vAlign w:val="center"/>
            <w:hideMark/>
          </w:tcPr>
          <w:p w14:paraId="28F0FB1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225 682</w:t>
            </w:r>
          </w:p>
        </w:tc>
        <w:tc>
          <w:tcPr>
            <w:tcW w:w="781" w:type="pct"/>
            <w:tcBorders>
              <w:top w:val="nil"/>
              <w:left w:val="nil"/>
              <w:bottom w:val="nil"/>
              <w:right w:val="nil"/>
            </w:tcBorders>
            <w:noWrap/>
            <w:vAlign w:val="center"/>
            <w:hideMark/>
          </w:tcPr>
          <w:p w14:paraId="3FDDDAA7"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203 398</w:t>
            </w:r>
          </w:p>
        </w:tc>
      </w:tr>
      <w:tr w:rsidR="006C4004" w:rsidRPr="006C4004" w14:paraId="18F9094E" w14:textId="77777777" w:rsidTr="00C87919">
        <w:trPr>
          <w:trHeight w:val="330"/>
        </w:trPr>
        <w:tc>
          <w:tcPr>
            <w:tcW w:w="1619" w:type="pct"/>
            <w:tcBorders>
              <w:top w:val="nil"/>
              <w:left w:val="nil"/>
              <w:bottom w:val="nil"/>
              <w:right w:val="nil"/>
            </w:tcBorders>
            <w:noWrap/>
            <w:vAlign w:val="center"/>
            <w:hideMark/>
          </w:tcPr>
          <w:p w14:paraId="2D6729D7" w14:textId="77777777" w:rsidR="006C4004" w:rsidRPr="006C4004" w:rsidRDefault="006C4004" w:rsidP="006C4004">
            <w:pPr>
              <w:spacing w:line="240" w:lineRule="auto"/>
              <w:rPr>
                <w:rFonts w:eastAsia="Times New Roman" w:cs="Times New Roman"/>
                <w:b/>
                <w:bCs/>
                <w:color w:val="000000"/>
                <w:sz w:val="18"/>
                <w:szCs w:val="18"/>
                <w:lang w:eastAsia="sk-SK"/>
              </w:rPr>
            </w:pPr>
            <w:r w:rsidRPr="006C4004">
              <w:rPr>
                <w:rFonts w:eastAsia="Times New Roman" w:cs="Times New Roman"/>
                <w:b/>
                <w:bCs/>
                <w:color w:val="000000"/>
                <w:sz w:val="18"/>
                <w:szCs w:val="18"/>
                <w:lang w:eastAsia="sk-SK"/>
              </w:rPr>
              <w:t>Územná samospráva, z toho</w:t>
            </w:r>
          </w:p>
        </w:tc>
        <w:tc>
          <w:tcPr>
            <w:tcW w:w="643" w:type="pct"/>
            <w:tcBorders>
              <w:top w:val="nil"/>
              <w:left w:val="nil"/>
              <w:bottom w:val="nil"/>
              <w:right w:val="nil"/>
            </w:tcBorders>
            <w:noWrap/>
            <w:vAlign w:val="center"/>
            <w:hideMark/>
          </w:tcPr>
          <w:p w14:paraId="69BCD5E6" w14:textId="77777777" w:rsidR="006C4004" w:rsidRPr="006C4004" w:rsidRDefault="006C4004" w:rsidP="006C4004">
            <w:pPr>
              <w:spacing w:line="240" w:lineRule="auto"/>
              <w:rPr>
                <w:rFonts w:eastAsia="Times New Roman" w:cs="Times New Roman"/>
                <w:b/>
                <w:bCs/>
                <w:color w:val="000000"/>
                <w:sz w:val="18"/>
                <w:szCs w:val="18"/>
                <w:lang w:eastAsia="sk-SK"/>
              </w:rPr>
            </w:pPr>
          </w:p>
        </w:tc>
        <w:tc>
          <w:tcPr>
            <w:tcW w:w="560" w:type="pct"/>
            <w:tcBorders>
              <w:top w:val="nil"/>
              <w:left w:val="nil"/>
              <w:bottom w:val="nil"/>
              <w:right w:val="nil"/>
            </w:tcBorders>
            <w:noWrap/>
            <w:vAlign w:val="center"/>
            <w:hideMark/>
          </w:tcPr>
          <w:p w14:paraId="0C66CC9F" w14:textId="77777777" w:rsidR="006C4004" w:rsidRPr="006C4004" w:rsidRDefault="006C4004" w:rsidP="006C4004">
            <w:pPr>
              <w:spacing w:line="240" w:lineRule="auto"/>
              <w:jc w:val="right"/>
              <w:rPr>
                <w:rFonts w:eastAsia="Times New Roman" w:cs="Times New Roman"/>
                <w:sz w:val="20"/>
                <w:szCs w:val="20"/>
                <w:lang w:eastAsia="sk-SK"/>
              </w:rPr>
            </w:pPr>
          </w:p>
        </w:tc>
        <w:tc>
          <w:tcPr>
            <w:tcW w:w="615" w:type="pct"/>
            <w:tcBorders>
              <w:top w:val="nil"/>
              <w:left w:val="nil"/>
              <w:bottom w:val="nil"/>
              <w:right w:val="nil"/>
            </w:tcBorders>
            <w:noWrap/>
            <w:vAlign w:val="center"/>
            <w:hideMark/>
          </w:tcPr>
          <w:p w14:paraId="5EC4B119" w14:textId="77777777" w:rsidR="006C4004" w:rsidRPr="006C4004" w:rsidRDefault="006C4004" w:rsidP="006C4004">
            <w:pPr>
              <w:spacing w:line="240" w:lineRule="auto"/>
              <w:jc w:val="right"/>
              <w:rPr>
                <w:rFonts w:eastAsia="Times New Roman" w:cs="Times New Roman"/>
                <w:sz w:val="20"/>
                <w:szCs w:val="20"/>
                <w:lang w:eastAsia="sk-SK"/>
              </w:rPr>
            </w:pPr>
          </w:p>
        </w:tc>
        <w:tc>
          <w:tcPr>
            <w:tcW w:w="781" w:type="pct"/>
            <w:tcBorders>
              <w:top w:val="nil"/>
              <w:left w:val="nil"/>
              <w:bottom w:val="nil"/>
              <w:right w:val="nil"/>
            </w:tcBorders>
            <w:noWrap/>
            <w:vAlign w:val="center"/>
            <w:hideMark/>
          </w:tcPr>
          <w:p w14:paraId="3ACAF4E8" w14:textId="77777777" w:rsidR="006C4004" w:rsidRPr="006C4004" w:rsidRDefault="006C4004" w:rsidP="006C4004">
            <w:pPr>
              <w:spacing w:line="240" w:lineRule="auto"/>
              <w:jc w:val="right"/>
              <w:rPr>
                <w:rFonts w:eastAsia="Times New Roman" w:cs="Times New Roman"/>
                <w:sz w:val="20"/>
                <w:szCs w:val="20"/>
                <w:lang w:eastAsia="sk-SK"/>
              </w:rPr>
            </w:pPr>
          </w:p>
        </w:tc>
        <w:tc>
          <w:tcPr>
            <w:tcW w:w="781" w:type="pct"/>
            <w:tcBorders>
              <w:top w:val="nil"/>
              <w:left w:val="nil"/>
              <w:bottom w:val="nil"/>
              <w:right w:val="nil"/>
            </w:tcBorders>
            <w:noWrap/>
            <w:vAlign w:val="center"/>
            <w:hideMark/>
          </w:tcPr>
          <w:p w14:paraId="1722468B" w14:textId="77777777" w:rsidR="006C4004" w:rsidRPr="006C4004" w:rsidRDefault="006C4004" w:rsidP="006C4004">
            <w:pPr>
              <w:spacing w:line="240" w:lineRule="auto"/>
              <w:jc w:val="right"/>
              <w:rPr>
                <w:rFonts w:eastAsia="Times New Roman" w:cs="Times New Roman"/>
                <w:sz w:val="20"/>
                <w:szCs w:val="20"/>
                <w:lang w:eastAsia="sk-SK"/>
              </w:rPr>
            </w:pPr>
          </w:p>
        </w:tc>
      </w:tr>
      <w:tr w:rsidR="006C4004" w:rsidRPr="006C4004" w14:paraId="3D9077FE" w14:textId="77777777" w:rsidTr="00C87919">
        <w:trPr>
          <w:trHeight w:val="330"/>
        </w:trPr>
        <w:tc>
          <w:tcPr>
            <w:tcW w:w="1619" w:type="pct"/>
            <w:tcBorders>
              <w:top w:val="nil"/>
              <w:left w:val="nil"/>
              <w:bottom w:val="nil"/>
              <w:right w:val="nil"/>
            </w:tcBorders>
            <w:noWrap/>
            <w:vAlign w:val="center"/>
            <w:hideMark/>
          </w:tcPr>
          <w:p w14:paraId="24E6C1C4"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Obce a ich rozpočtové organizácie</w:t>
            </w:r>
          </w:p>
        </w:tc>
        <w:tc>
          <w:tcPr>
            <w:tcW w:w="643" w:type="pct"/>
            <w:tcBorders>
              <w:top w:val="nil"/>
              <w:left w:val="nil"/>
              <w:bottom w:val="nil"/>
              <w:right w:val="nil"/>
            </w:tcBorders>
            <w:noWrap/>
            <w:vAlign w:val="center"/>
            <w:hideMark/>
          </w:tcPr>
          <w:p w14:paraId="43A43A2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124 779</w:t>
            </w:r>
          </w:p>
        </w:tc>
        <w:tc>
          <w:tcPr>
            <w:tcW w:w="560" w:type="pct"/>
            <w:tcBorders>
              <w:top w:val="nil"/>
              <w:left w:val="nil"/>
              <w:bottom w:val="nil"/>
              <w:right w:val="nil"/>
            </w:tcBorders>
            <w:noWrap/>
            <w:vAlign w:val="center"/>
            <w:hideMark/>
          </w:tcPr>
          <w:p w14:paraId="0E5865C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35 270</w:t>
            </w:r>
          </w:p>
        </w:tc>
        <w:tc>
          <w:tcPr>
            <w:tcW w:w="615" w:type="pct"/>
            <w:tcBorders>
              <w:top w:val="nil"/>
              <w:left w:val="nil"/>
              <w:bottom w:val="nil"/>
              <w:right w:val="nil"/>
            </w:tcBorders>
            <w:noWrap/>
            <w:vAlign w:val="center"/>
            <w:hideMark/>
          </w:tcPr>
          <w:p w14:paraId="70455B2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-162 523</w:t>
            </w:r>
          </w:p>
        </w:tc>
        <w:tc>
          <w:tcPr>
            <w:tcW w:w="781" w:type="pct"/>
            <w:tcBorders>
              <w:top w:val="nil"/>
              <w:left w:val="nil"/>
              <w:bottom w:val="nil"/>
              <w:right w:val="nil"/>
            </w:tcBorders>
            <w:noWrap/>
            <w:vAlign w:val="center"/>
            <w:hideMark/>
          </w:tcPr>
          <w:p w14:paraId="2FC7F66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-97 822</w:t>
            </w:r>
          </w:p>
        </w:tc>
        <w:tc>
          <w:tcPr>
            <w:tcW w:w="781" w:type="pct"/>
            <w:tcBorders>
              <w:top w:val="nil"/>
              <w:left w:val="nil"/>
              <w:bottom w:val="nil"/>
              <w:right w:val="nil"/>
            </w:tcBorders>
            <w:noWrap/>
            <w:vAlign w:val="center"/>
            <w:hideMark/>
          </w:tcPr>
          <w:p w14:paraId="2544056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64 701</w:t>
            </w:r>
          </w:p>
        </w:tc>
      </w:tr>
      <w:tr w:rsidR="006C4004" w:rsidRPr="006C4004" w14:paraId="3C038D67" w14:textId="77777777" w:rsidTr="00C00919">
        <w:trPr>
          <w:trHeight w:val="70"/>
        </w:trPr>
        <w:tc>
          <w:tcPr>
            <w:tcW w:w="1619" w:type="pct"/>
            <w:tcBorders>
              <w:top w:val="nil"/>
              <w:left w:val="nil"/>
              <w:bottom w:val="nil"/>
              <w:right w:val="nil"/>
            </w:tcBorders>
            <w:noWrap/>
            <w:vAlign w:val="center"/>
            <w:hideMark/>
          </w:tcPr>
          <w:p w14:paraId="6A5825DC"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VÚC a ich rozpočtové organizácie</w:t>
            </w:r>
          </w:p>
        </w:tc>
        <w:tc>
          <w:tcPr>
            <w:tcW w:w="643" w:type="pct"/>
            <w:tcBorders>
              <w:top w:val="nil"/>
              <w:left w:val="nil"/>
              <w:bottom w:val="nil"/>
              <w:right w:val="nil"/>
            </w:tcBorders>
            <w:noWrap/>
            <w:vAlign w:val="center"/>
            <w:hideMark/>
          </w:tcPr>
          <w:p w14:paraId="52B159E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-89 995</w:t>
            </w:r>
          </w:p>
        </w:tc>
        <w:tc>
          <w:tcPr>
            <w:tcW w:w="560" w:type="pct"/>
            <w:tcBorders>
              <w:top w:val="nil"/>
              <w:left w:val="nil"/>
              <w:bottom w:val="nil"/>
              <w:right w:val="nil"/>
            </w:tcBorders>
            <w:noWrap/>
            <w:vAlign w:val="center"/>
            <w:hideMark/>
          </w:tcPr>
          <w:p w14:paraId="78D33C8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-33 649</w:t>
            </w:r>
          </w:p>
        </w:tc>
        <w:tc>
          <w:tcPr>
            <w:tcW w:w="615" w:type="pct"/>
            <w:tcBorders>
              <w:top w:val="nil"/>
              <w:left w:val="nil"/>
              <w:bottom w:val="nil"/>
              <w:right w:val="nil"/>
            </w:tcBorders>
            <w:noWrap/>
            <w:vAlign w:val="center"/>
            <w:hideMark/>
          </w:tcPr>
          <w:p w14:paraId="5AC6BF31"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-127 554</w:t>
            </w:r>
          </w:p>
        </w:tc>
        <w:tc>
          <w:tcPr>
            <w:tcW w:w="781" w:type="pct"/>
            <w:tcBorders>
              <w:top w:val="nil"/>
              <w:left w:val="nil"/>
              <w:bottom w:val="nil"/>
              <w:right w:val="nil"/>
            </w:tcBorders>
            <w:noWrap/>
            <w:vAlign w:val="center"/>
            <w:hideMark/>
          </w:tcPr>
          <w:p w14:paraId="15A1B037"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-25 244</w:t>
            </w:r>
          </w:p>
        </w:tc>
        <w:tc>
          <w:tcPr>
            <w:tcW w:w="781" w:type="pct"/>
            <w:tcBorders>
              <w:top w:val="nil"/>
              <w:left w:val="nil"/>
              <w:bottom w:val="nil"/>
              <w:right w:val="nil"/>
            </w:tcBorders>
            <w:noWrap/>
            <w:vAlign w:val="center"/>
            <w:hideMark/>
          </w:tcPr>
          <w:p w14:paraId="76F1F9A8"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102 310</w:t>
            </w:r>
          </w:p>
        </w:tc>
      </w:tr>
      <w:tr w:rsidR="006C4004" w:rsidRPr="006C4004" w14:paraId="175ED7BC" w14:textId="77777777" w:rsidTr="00C87919">
        <w:trPr>
          <w:trHeight w:val="330"/>
        </w:trPr>
        <w:tc>
          <w:tcPr>
            <w:tcW w:w="1619" w:type="pct"/>
            <w:tcBorders>
              <w:top w:val="nil"/>
              <w:left w:val="nil"/>
              <w:bottom w:val="nil"/>
              <w:right w:val="nil"/>
            </w:tcBorders>
            <w:noWrap/>
            <w:vAlign w:val="center"/>
            <w:hideMark/>
          </w:tcPr>
          <w:p w14:paraId="6F548D7E"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Príspevkové organizácie obcí</w:t>
            </w:r>
          </w:p>
        </w:tc>
        <w:tc>
          <w:tcPr>
            <w:tcW w:w="643" w:type="pct"/>
            <w:tcBorders>
              <w:top w:val="nil"/>
              <w:left w:val="nil"/>
              <w:bottom w:val="nil"/>
              <w:right w:val="nil"/>
            </w:tcBorders>
            <w:noWrap/>
            <w:vAlign w:val="center"/>
            <w:hideMark/>
          </w:tcPr>
          <w:p w14:paraId="19C51C41"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1 213</w:t>
            </w:r>
          </w:p>
        </w:tc>
        <w:tc>
          <w:tcPr>
            <w:tcW w:w="560" w:type="pct"/>
            <w:tcBorders>
              <w:top w:val="nil"/>
              <w:left w:val="nil"/>
              <w:bottom w:val="nil"/>
              <w:right w:val="nil"/>
            </w:tcBorders>
            <w:noWrap/>
            <w:vAlign w:val="center"/>
            <w:hideMark/>
          </w:tcPr>
          <w:p w14:paraId="39D9984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1 386</w:t>
            </w:r>
          </w:p>
        </w:tc>
        <w:tc>
          <w:tcPr>
            <w:tcW w:w="615" w:type="pct"/>
            <w:tcBorders>
              <w:top w:val="nil"/>
              <w:left w:val="nil"/>
              <w:bottom w:val="nil"/>
              <w:right w:val="nil"/>
            </w:tcBorders>
            <w:noWrap/>
            <w:vAlign w:val="center"/>
            <w:hideMark/>
          </w:tcPr>
          <w:p w14:paraId="6BB4554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1 248</w:t>
            </w:r>
          </w:p>
        </w:tc>
        <w:tc>
          <w:tcPr>
            <w:tcW w:w="781" w:type="pct"/>
            <w:tcBorders>
              <w:top w:val="nil"/>
              <w:left w:val="nil"/>
              <w:bottom w:val="nil"/>
              <w:right w:val="nil"/>
            </w:tcBorders>
            <w:noWrap/>
            <w:vAlign w:val="center"/>
            <w:hideMark/>
          </w:tcPr>
          <w:p w14:paraId="003965E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1 435</w:t>
            </w:r>
          </w:p>
        </w:tc>
        <w:tc>
          <w:tcPr>
            <w:tcW w:w="781" w:type="pct"/>
            <w:tcBorders>
              <w:top w:val="nil"/>
              <w:left w:val="nil"/>
              <w:bottom w:val="nil"/>
              <w:right w:val="nil"/>
            </w:tcBorders>
            <w:noWrap/>
            <w:vAlign w:val="center"/>
            <w:hideMark/>
          </w:tcPr>
          <w:p w14:paraId="3508382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187</w:t>
            </w:r>
          </w:p>
        </w:tc>
      </w:tr>
      <w:tr w:rsidR="006C4004" w:rsidRPr="006C4004" w14:paraId="7D4F5BB1" w14:textId="77777777" w:rsidTr="00C87919">
        <w:trPr>
          <w:trHeight w:val="330"/>
        </w:trPr>
        <w:tc>
          <w:tcPr>
            <w:tcW w:w="1619" w:type="pct"/>
            <w:tcBorders>
              <w:top w:val="nil"/>
              <w:left w:val="nil"/>
              <w:bottom w:val="nil"/>
              <w:right w:val="nil"/>
            </w:tcBorders>
            <w:noWrap/>
            <w:vAlign w:val="center"/>
            <w:hideMark/>
          </w:tcPr>
          <w:p w14:paraId="2C870590"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Príspevkové organizácie VÚC</w:t>
            </w:r>
          </w:p>
        </w:tc>
        <w:tc>
          <w:tcPr>
            <w:tcW w:w="643" w:type="pct"/>
            <w:tcBorders>
              <w:top w:val="nil"/>
              <w:left w:val="nil"/>
              <w:bottom w:val="nil"/>
              <w:right w:val="nil"/>
            </w:tcBorders>
            <w:noWrap/>
            <w:vAlign w:val="center"/>
            <w:hideMark/>
          </w:tcPr>
          <w:p w14:paraId="52ED3CF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11 419</w:t>
            </w:r>
          </w:p>
        </w:tc>
        <w:tc>
          <w:tcPr>
            <w:tcW w:w="560" w:type="pct"/>
            <w:tcBorders>
              <w:top w:val="nil"/>
              <w:left w:val="nil"/>
              <w:bottom w:val="nil"/>
              <w:right w:val="nil"/>
            </w:tcBorders>
            <w:noWrap/>
            <w:vAlign w:val="center"/>
            <w:hideMark/>
          </w:tcPr>
          <w:p w14:paraId="7249309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-7 623</w:t>
            </w:r>
          </w:p>
        </w:tc>
        <w:tc>
          <w:tcPr>
            <w:tcW w:w="615" w:type="pct"/>
            <w:tcBorders>
              <w:top w:val="nil"/>
              <w:left w:val="nil"/>
              <w:bottom w:val="nil"/>
              <w:right w:val="nil"/>
            </w:tcBorders>
            <w:noWrap/>
            <w:vAlign w:val="center"/>
            <w:hideMark/>
          </w:tcPr>
          <w:p w14:paraId="7CD9EEA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3 220</w:t>
            </w:r>
          </w:p>
        </w:tc>
        <w:tc>
          <w:tcPr>
            <w:tcW w:w="781" w:type="pct"/>
            <w:tcBorders>
              <w:top w:val="nil"/>
              <w:left w:val="nil"/>
              <w:bottom w:val="nil"/>
              <w:right w:val="nil"/>
            </w:tcBorders>
            <w:noWrap/>
            <w:vAlign w:val="center"/>
            <w:hideMark/>
          </w:tcPr>
          <w:p w14:paraId="4FA5D97B"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2 491</w:t>
            </w:r>
          </w:p>
        </w:tc>
        <w:tc>
          <w:tcPr>
            <w:tcW w:w="781" w:type="pct"/>
            <w:tcBorders>
              <w:top w:val="nil"/>
              <w:left w:val="nil"/>
              <w:bottom w:val="nil"/>
              <w:right w:val="nil"/>
            </w:tcBorders>
            <w:noWrap/>
            <w:vAlign w:val="center"/>
            <w:hideMark/>
          </w:tcPr>
          <w:p w14:paraId="289528E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-729</w:t>
            </w:r>
          </w:p>
        </w:tc>
      </w:tr>
      <w:tr w:rsidR="006C4004" w:rsidRPr="006C4004" w14:paraId="01E5D99F" w14:textId="77777777" w:rsidTr="00C87919">
        <w:trPr>
          <w:trHeight w:val="330"/>
        </w:trPr>
        <w:tc>
          <w:tcPr>
            <w:tcW w:w="1619" w:type="pct"/>
            <w:tcBorders>
              <w:top w:val="nil"/>
              <w:left w:val="nil"/>
              <w:bottom w:val="nil"/>
              <w:right w:val="nil"/>
            </w:tcBorders>
            <w:noWrap/>
            <w:vAlign w:val="center"/>
            <w:hideMark/>
          </w:tcPr>
          <w:p w14:paraId="687D8877"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Dopravné podniky</w:t>
            </w:r>
          </w:p>
        </w:tc>
        <w:tc>
          <w:tcPr>
            <w:tcW w:w="643" w:type="pct"/>
            <w:tcBorders>
              <w:top w:val="nil"/>
              <w:left w:val="nil"/>
              <w:bottom w:val="nil"/>
              <w:right w:val="nil"/>
            </w:tcBorders>
            <w:noWrap/>
            <w:vAlign w:val="center"/>
            <w:hideMark/>
          </w:tcPr>
          <w:p w14:paraId="32E91E1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71 771</w:t>
            </w:r>
          </w:p>
        </w:tc>
        <w:tc>
          <w:tcPr>
            <w:tcW w:w="560" w:type="pct"/>
            <w:tcBorders>
              <w:top w:val="nil"/>
              <w:left w:val="nil"/>
              <w:bottom w:val="nil"/>
              <w:right w:val="nil"/>
            </w:tcBorders>
            <w:noWrap/>
            <w:vAlign w:val="center"/>
            <w:hideMark/>
          </w:tcPr>
          <w:p w14:paraId="3435130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-72 640</w:t>
            </w:r>
          </w:p>
        </w:tc>
        <w:tc>
          <w:tcPr>
            <w:tcW w:w="615" w:type="pct"/>
            <w:tcBorders>
              <w:top w:val="nil"/>
              <w:left w:val="nil"/>
              <w:bottom w:val="nil"/>
              <w:right w:val="nil"/>
            </w:tcBorders>
            <w:noWrap/>
            <w:vAlign w:val="center"/>
            <w:hideMark/>
          </w:tcPr>
          <w:p w14:paraId="7328D5BA"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-17 662</w:t>
            </w:r>
          </w:p>
        </w:tc>
        <w:tc>
          <w:tcPr>
            <w:tcW w:w="781" w:type="pct"/>
            <w:tcBorders>
              <w:top w:val="nil"/>
              <w:left w:val="nil"/>
              <w:bottom w:val="nil"/>
              <w:right w:val="nil"/>
            </w:tcBorders>
            <w:noWrap/>
            <w:vAlign w:val="center"/>
            <w:hideMark/>
          </w:tcPr>
          <w:p w14:paraId="009C3204"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79 868</w:t>
            </w:r>
          </w:p>
        </w:tc>
        <w:tc>
          <w:tcPr>
            <w:tcW w:w="781" w:type="pct"/>
            <w:tcBorders>
              <w:top w:val="nil"/>
              <w:left w:val="nil"/>
              <w:bottom w:val="nil"/>
              <w:right w:val="nil"/>
            </w:tcBorders>
            <w:noWrap/>
            <w:vAlign w:val="center"/>
            <w:hideMark/>
          </w:tcPr>
          <w:p w14:paraId="0337773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97 530</w:t>
            </w:r>
          </w:p>
        </w:tc>
      </w:tr>
      <w:tr w:rsidR="006C4004" w:rsidRPr="006C4004" w14:paraId="00917145" w14:textId="77777777" w:rsidTr="00C87919">
        <w:trPr>
          <w:trHeight w:val="330"/>
        </w:trPr>
        <w:tc>
          <w:tcPr>
            <w:tcW w:w="1619" w:type="pct"/>
            <w:tcBorders>
              <w:top w:val="nil"/>
              <w:left w:val="nil"/>
              <w:bottom w:val="nil"/>
              <w:right w:val="nil"/>
            </w:tcBorders>
            <w:vAlign w:val="center"/>
            <w:hideMark/>
          </w:tcPr>
          <w:p w14:paraId="29B8410F" w14:textId="77777777" w:rsidR="006114A7" w:rsidRDefault="006C4004" w:rsidP="00CF4CEF">
            <w:pPr>
              <w:spacing w:line="240" w:lineRule="auto"/>
              <w:ind w:left="213" w:hanging="213"/>
              <w:rPr>
                <w:rFonts w:eastAsia="Times New Roman" w:cs="Times New Roman"/>
                <w:sz w:val="18"/>
                <w:szCs w:val="18"/>
                <w:lang w:eastAsia="sk-SK"/>
              </w:rPr>
            </w:pPr>
            <w:r w:rsidRPr="006C4004">
              <w:rPr>
                <w:rFonts w:eastAsia="Times New Roman" w:cs="Times New Roman"/>
                <w:sz w:val="18"/>
                <w:szCs w:val="18"/>
                <w:lang w:eastAsia="sk-SK"/>
              </w:rPr>
              <w:t xml:space="preserve">    Zdravotnícke zariadenia územnej</w:t>
            </w:r>
            <w:r w:rsidR="00CF4CEF">
              <w:rPr>
                <w:rFonts w:eastAsia="Times New Roman" w:cs="Times New Roman"/>
                <w:sz w:val="18"/>
                <w:szCs w:val="18"/>
                <w:lang w:eastAsia="sk-SK"/>
              </w:rPr>
              <w:t xml:space="preserve"> </w:t>
            </w:r>
            <w:r w:rsidR="006114A7">
              <w:rPr>
                <w:rFonts w:eastAsia="Times New Roman" w:cs="Times New Roman"/>
                <w:sz w:val="18"/>
                <w:szCs w:val="18"/>
                <w:lang w:eastAsia="sk-SK"/>
              </w:rPr>
              <w:t>energopomoc</w:t>
            </w:r>
          </w:p>
          <w:p w14:paraId="69DA56CD" w14:textId="3F332FA9" w:rsidR="006C4004" w:rsidRPr="006C4004" w:rsidRDefault="006C4004" w:rsidP="00CF4CEF">
            <w:pPr>
              <w:spacing w:line="240" w:lineRule="auto"/>
              <w:ind w:left="213" w:hanging="213"/>
              <w:rPr>
                <w:rFonts w:eastAsia="Times New Roman" w:cs="Times New Roman"/>
                <w:sz w:val="18"/>
                <w:szCs w:val="18"/>
                <w:lang w:eastAsia="sk-SK"/>
              </w:rPr>
            </w:pPr>
            <w:r w:rsidRPr="006C4004">
              <w:rPr>
                <w:rFonts w:eastAsia="Times New Roman" w:cs="Times New Roman"/>
                <w:sz w:val="18"/>
                <w:szCs w:val="18"/>
                <w:lang w:eastAsia="sk-SK"/>
              </w:rPr>
              <w:t>samosprávy</w:t>
            </w:r>
          </w:p>
        </w:tc>
        <w:tc>
          <w:tcPr>
            <w:tcW w:w="643" w:type="pct"/>
            <w:tcBorders>
              <w:top w:val="nil"/>
              <w:left w:val="nil"/>
              <w:bottom w:val="nil"/>
              <w:right w:val="nil"/>
            </w:tcBorders>
            <w:noWrap/>
            <w:vAlign w:val="center"/>
            <w:hideMark/>
          </w:tcPr>
          <w:p w14:paraId="7840E43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-13 115</w:t>
            </w:r>
          </w:p>
        </w:tc>
        <w:tc>
          <w:tcPr>
            <w:tcW w:w="560" w:type="pct"/>
            <w:tcBorders>
              <w:top w:val="nil"/>
              <w:left w:val="nil"/>
              <w:bottom w:val="nil"/>
              <w:right w:val="nil"/>
            </w:tcBorders>
            <w:noWrap/>
            <w:vAlign w:val="center"/>
            <w:hideMark/>
          </w:tcPr>
          <w:p w14:paraId="6C7FE85F"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-639</w:t>
            </w:r>
          </w:p>
        </w:tc>
        <w:tc>
          <w:tcPr>
            <w:tcW w:w="615" w:type="pct"/>
            <w:tcBorders>
              <w:top w:val="nil"/>
              <w:left w:val="nil"/>
              <w:bottom w:val="nil"/>
              <w:right w:val="nil"/>
            </w:tcBorders>
            <w:noWrap/>
            <w:vAlign w:val="center"/>
            <w:hideMark/>
          </w:tcPr>
          <w:p w14:paraId="02026EF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-5 079</w:t>
            </w:r>
          </w:p>
        </w:tc>
        <w:tc>
          <w:tcPr>
            <w:tcW w:w="781" w:type="pct"/>
            <w:tcBorders>
              <w:top w:val="nil"/>
              <w:left w:val="nil"/>
              <w:bottom w:val="nil"/>
              <w:right w:val="nil"/>
            </w:tcBorders>
            <w:noWrap/>
            <w:vAlign w:val="center"/>
            <w:hideMark/>
          </w:tcPr>
          <w:p w14:paraId="326897B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-23 232</w:t>
            </w:r>
          </w:p>
        </w:tc>
        <w:tc>
          <w:tcPr>
            <w:tcW w:w="781" w:type="pct"/>
            <w:tcBorders>
              <w:top w:val="nil"/>
              <w:left w:val="nil"/>
              <w:bottom w:val="nil"/>
              <w:right w:val="nil"/>
            </w:tcBorders>
            <w:noWrap/>
            <w:vAlign w:val="center"/>
            <w:hideMark/>
          </w:tcPr>
          <w:p w14:paraId="7191C723"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-18 153</w:t>
            </w:r>
          </w:p>
        </w:tc>
      </w:tr>
      <w:tr w:rsidR="006C4004" w:rsidRPr="006C4004" w14:paraId="63AD9F27" w14:textId="77777777" w:rsidTr="00C87919">
        <w:trPr>
          <w:trHeight w:val="330"/>
        </w:trPr>
        <w:tc>
          <w:tcPr>
            <w:tcW w:w="1619" w:type="pct"/>
            <w:tcBorders>
              <w:top w:val="nil"/>
              <w:left w:val="nil"/>
              <w:bottom w:val="nil"/>
              <w:right w:val="nil"/>
            </w:tcBorders>
            <w:noWrap/>
            <w:vAlign w:val="center"/>
            <w:hideMark/>
          </w:tcPr>
          <w:p w14:paraId="66B318BD"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Ostatné subjekty územnej samosprávy</w:t>
            </w:r>
          </w:p>
        </w:tc>
        <w:tc>
          <w:tcPr>
            <w:tcW w:w="643" w:type="pct"/>
            <w:tcBorders>
              <w:top w:val="nil"/>
              <w:left w:val="nil"/>
              <w:bottom w:val="nil"/>
              <w:right w:val="nil"/>
            </w:tcBorders>
            <w:noWrap/>
            <w:vAlign w:val="center"/>
            <w:hideMark/>
          </w:tcPr>
          <w:p w14:paraId="7FC8FF1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-25 103</w:t>
            </w:r>
          </w:p>
        </w:tc>
        <w:tc>
          <w:tcPr>
            <w:tcW w:w="560" w:type="pct"/>
            <w:tcBorders>
              <w:top w:val="nil"/>
              <w:left w:val="nil"/>
              <w:bottom w:val="nil"/>
              <w:right w:val="nil"/>
            </w:tcBorders>
            <w:noWrap/>
            <w:vAlign w:val="center"/>
            <w:hideMark/>
          </w:tcPr>
          <w:p w14:paraId="5CEF51B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-23 978</w:t>
            </w:r>
          </w:p>
        </w:tc>
        <w:tc>
          <w:tcPr>
            <w:tcW w:w="615" w:type="pct"/>
            <w:tcBorders>
              <w:top w:val="nil"/>
              <w:left w:val="nil"/>
              <w:bottom w:val="nil"/>
              <w:right w:val="nil"/>
            </w:tcBorders>
            <w:noWrap/>
            <w:vAlign w:val="center"/>
            <w:hideMark/>
          </w:tcPr>
          <w:p w14:paraId="641F18E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0</w:t>
            </w:r>
          </w:p>
        </w:tc>
        <w:tc>
          <w:tcPr>
            <w:tcW w:w="781" w:type="pct"/>
            <w:tcBorders>
              <w:top w:val="nil"/>
              <w:left w:val="nil"/>
              <w:bottom w:val="nil"/>
              <w:right w:val="nil"/>
            </w:tcBorders>
            <w:noWrap/>
            <w:vAlign w:val="center"/>
            <w:hideMark/>
          </w:tcPr>
          <w:p w14:paraId="180BF31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-23 978</w:t>
            </w:r>
          </w:p>
        </w:tc>
        <w:tc>
          <w:tcPr>
            <w:tcW w:w="781" w:type="pct"/>
            <w:tcBorders>
              <w:top w:val="nil"/>
              <w:left w:val="nil"/>
              <w:bottom w:val="nil"/>
              <w:right w:val="nil"/>
            </w:tcBorders>
            <w:noWrap/>
            <w:vAlign w:val="center"/>
            <w:hideMark/>
          </w:tcPr>
          <w:p w14:paraId="1D79C600"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-23 978</w:t>
            </w:r>
          </w:p>
        </w:tc>
      </w:tr>
      <w:tr w:rsidR="006C4004" w:rsidRPr="006C4004" w14:paraId="4C2001AB" w14:textId="77777777" w:rsidTr="00C87919">
        <w:trPr>
          <w:trHeight w:val="330"/>
        </w:trPr>
        <w:tc>
          <w:tcPr>
            <w:tcW w:w="1619" w:type="pct"/>
            <w:tcBorders>
              <w:top w:val="nil"/>
              <w:left w:val="nil"/>
              <w:bottom w:val="nil"/>
              <w:right w:val="nil"/>
            </w:tcBorders>
            <w:noWrap/>
            <w:vAlign w:val="center"/>
            <w:hideMark/>
          </w:tcPr>
          <w:p w14:paraId="16BF7B01" w14:textId="77777777" w:rsidR="006C4004" w:rsidRPr="006C4004" w:rsidRDefault="006C4004" w:rsidP="006C4004">
            <w:pPr>
              <w:spacing w:line="240" w:lineRule="auto"/>
              <w:rPr>
                <w:rFonts w:eastAsia="Times New Roman" w:cs="Times New Roman"/>
                <w:b/>
                <w:bCs/>
                <w:color w:val="000000"/>
                <w:sz w:val="18"/>
                <w:szCs w:val="18"/>
                <w:lang w:eastAsia="sk-SK"/>
              </w:rPr>
            </w:pPr>
            <w:r w:rsidRPr="006C4004">
              <w:rPr>
                <w:rFonts w:eastAsia="Times New Roman" w:cs="Times New Roman"/>
                <w:b/>
                <w:bCs/>
                <w:color w:val="000000"/>
                <w:sz w:val="18"/>
                <w:szCs w:val="18"/>
                <w:lang w:eastAsia="sk-SK"/>
              </w:rPr>
              <w:t>Fondy sociálneho zabezpečenia</w:t>
            </w:r>
          </w:p>
        </w:tc>
        <w:tc>
          <w:tcPr>
            <w:tcW w:w="643" w:type="pct"/>
            <w:tcBorders>
              <w:top w:val="nil"/>
              <w:left w:val="nil"/>
              <w:bottom w:val="nil"/>
              <w:right w:val="nil"/>
            </w:tcBorders>
            <w:noWrap/>
            <w:vAlign w:val="center"/>
            <w:hideMark/>
          </w:tcPr>
          <w:p w14:paraId="4ADE950D" w14:textId="77777777" w:rsidR="006C4004" w:rsidRPr="006C4004" w:rsidRDefault="006C4004" w:rsidP="006C4004">
            <w:pPr>
              <w:spacing w:line="240" w:lineRule="auto"/>
              <w:rPr>
                <w:rFonts w:eastAsia="Times New Roman" w:cs="Times New Roman"/>
                <w:b/>
                <w:bCs/>
                <w:color w:val="000000"/>
                <w:sz w:val="18"/>
                <w:szCs w:val="18"/>
                <w:lang w:eastAsia="sk-SK"/>
              </w:rPr>
            </w:pPr>
          </w:p>
        </w:tc>
        <w:tc>
          <w:tcPr>
            <w:tcW w:w="560" w:type="pct"/>
            <w:tcBorders>
              <w:top w:val="nil"/>
              <w:left w:val="nil"/>
              <w:bottom w:val="nil"/>
              <w:right w:val="nil"/>
            </w:tcBorders>
            <w:noWrap/>
            <w:vAlign w:val="center"/>
            <w:hideMark/>
          </w:tcPr>
          <w:p w14:paraId="5808FCB2" w14:textId="77777777" w:rsidR="006C4004" w:rsidRPr="006C4004" w:rsidRDefault="006C4004" w:rsidP="006C4004">
            <w:pPr>
              <w:spacing w:line="240" w:lineRule="auto"/>
              <w:jc w:val="right"/>
              <w:rPr>
                <w:rFonts w:eastAsia="Times New Roman" w:cs="Times New Roman"/>
                <w:sz w:val="20"/>
                <w:szCs w:val="20"/>
                <w:lang w:eastAsia="sk-SK"/>
              </w:rPr>
            </w:pPr>
          </w:p>
        </w:tc>
        <w:tc>
          <w:tcPr>
            <w:tcW w:w="615" w:type="pct"/>
            <w:tcBorders>
              <w:top w:val="nil"/>
              <w:left w:val="nil"/>
              <w:bottom w:val="nil"/>
              <w:right w:val="nil"/>
            </w:tcBorders>
            <w:noWrap/>
            <w:vAlign w:val="center"/>
            <w:hideMark/>
          </w:tcPr>
          <w:p w14:paraId="6BD324DC" w14:textId="77777777" w:rsidR="006C4004" w:rsidRPr="006C4004" w:rsidRDefault="006C4004" w:rsidP="006C4004">
            <w:pPr>
              <w:spacing w:line="240" w:lineRule="auto"/>
              <w:jc w:val="right"/>
              <w:rPr>
                <w:rFonts w:eastAsia="Times New Roman" w:cs="Times New Roman"/>
                <w:sz w:val="20"/>
                <w:szCs w:val="20"/>
                <w:lang w:eastAsia="sk-SK"/>
              </w:rPr>
            </w:pPr>
          </w:p>
        </w:tc>
        <w:tc>
          <w:tcPr>
            <w:tcW w:w="781" w:type="pct"/>
            <w:tcBorders>
              <w:top w:val="nil"/>
              <w:left w:val="nil"/>
              <w:bottom w:val="nil"/>
              <w:right w:val="nil"/>
            </w:tcBorders>
            <w:noWrap/>
            <w:vAlign w:val="center"/>
            <w:hideMark/>
          </w:tcPr>
          <w:p w14:paraId="1E39F0DA" w14:textId="77777777" w:rsidR="006C4004" w:rsidRPr="006C4004" w:rsidRDefault="006C4004" w:rsidP="006C4004">
            <w:pPr>
              <w:spacing w:line="240" w:lineRule="auto"/>
              <w:jc w:val="right"/>
              <w:rPr>
                <w:rFonts w:eastAsia="Times New Roman" w:cs="Times New Roman"/>
                <w:sz w:val="20"/>
                <w:szCs w:val="20"/>
                <w:lang w:eastAsia="sk-SK"/>
              </w:rPr>
            </w:pPr>
          </w:p>
        </w:tc>
        <w:tc>
          <w:tcPr>
            <w:tcW w:w="781" w:type="pct"/>
            <w:tcBorders>
              <w:top w:val="nil"/>
              <w:left w:val="nil"/>
              <w:bottom w:val="nil"/>
              <w:right w:val="nil"/>
            </w:tcBorders>
            <w:noWrap/>
            <w:vAlign w:val="center"/>
            <w:hideMark/>
          </w:tcPr>
          <w:p w14:paraId="2FD9A873" w14:textId="77777777" w:rsidR="006C4004" w:rsidRPr="006C4004" w:rsidRDefault="006C4004" w:rsidP="006C4004">
            <w:pPr>
              <w:spacing w:line="240" w:lineRule="auto"/>
              <w:jc w:val="right"/>
              <w:rPr>
                <w:rFonts w:eastAsia="Times New Roman" w:cs="Times New Roman"/>
                <w:sz w:val="20"/>
                <w:szCs w:val="20"/>
                <w:lang w:eastAsia="sk-SK"/>
              </w:rPr>
            </w:pPr>
          </w:p>
        </w:tc>
      </w:tr>
      <w:tr w:rsidR="006C4004" w:rsidRPr="006C4004" w14:paraId="23AA0131" w14:textId="77777777" w:rsidTr="00C00919">
        <w:trPr>
          <w:trHeight w:val="249"/>
        </w:trPr>
        <w:tc>
          <w:tcPr>
            <w:tcW w:w="1619" w:type="pct"/>
            <w:tcBorders>
              <w:top w:val="nil"/>
              <w:left w:val="nil"/>
              <w:bottom w:val="nil"/>
              <w:right w:val="nil"/>
            </w:tcBorders>
            <w:noWrap/>
            <w:vAlign w:val="center"/>
            <w:hideMark/>
          </w:tcPr>
          <w:p w14:paraId="02ECD850"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Sociálna poisťovňa</w:t>
            </w:r>
          </w:p>
        </w:tc>
        <w:tc>
          <w:tcPr>
            <w:tcW w:w="643" w:type="pct"/>
            <w:tcBorders>
              <w:top w:val="nil"/>
              <w:left w:val="nil"/>
              <w:bottom w:val="nil"/>
              <w:right w:val="nil"/>
            </w:tcBorders>
            <w:noWrap/>
            <w:vAlign w:val="center"/>
            <w:hideMark/>
          </w:tcPr>
          <w:p w14:paraId="53332AB6"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51 561</w:t>
            </w:r>
          </w:p>
        </w:tc>
        <w:tc>
          <w:tcPr>
            <w:tcW w:w="560" w:type="pct"/>
            <w:tcBorders>
              <w:top w:val="nil"/>
              <w:left w:val="nil"/>
              <w:bottom w:val="nil"/>
              <w:right w:val="nil"/>
            </w:tcBorders>
            <w:noWrap/>
            <w:vAlign w:val="center"/>
            <w:hideMark/>
          </w:tcPr>
          <w:p w14:paraId="6CFA640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335 463</w:t>
            </w:r>
          </w:p>
        </w:tc>
        <w:tc>
          <w:tcPr>
            <w:tcW w:w="615" w:type="pct"/>
            <w:tcBorders>
              <w:top w:val="nil"/>
              <w:left w:val="nil"/>
              <w:bottom w:val="nil"/>
              <w:right w:val="nil"/>
            </w:tcBorders>
            <w:noWrap/>
            <w:vAlign w:val="center"/>
            <w:hideMark/>
          </w:tcPr>
          <w:p w14:paraId="5CDD590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380 999</w:t>
            </w:r>
          </w:p>
        </w:tc>
        <w:tc>
          <w:tcPr>
            <w:tcW w:w="781" w:type="pct"/>
            <w:tcBorders>
              <w:top w:val="nil"/>
              <w:left w:val="nil"/>
              <w:bottom w:val="nil"/>
              <w:right w:val="nil"/>
            </w:tcBorders>
            <w:noWrap/>
            <w:vAlign w:val="center"/>
            <w:hideMark/>
          </w:tcPr>
          <w:p w14:paraId="32AE648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732 638</w:t>
            </w:r>
          </w:p>
        </w:tc>
        <w:tc>
          <w:tcPr>
            <w:tcW w:w="781" w:type="pct"/>
            <w:tcBorders>
              <w:top w:val="nil"/>
              <w:left w:val="nil"/>
              <w:bottom w:val="nil"/>
              <w:right w:val="nil"/>
            </w:tcBorders>
            <w:noWrap/>
            <w:vAlign w:val="center"/>
            <w:hideMark/>
          </w:tcPr>
          <w:p w14:paraId="67542F5D"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351 639</w:t>
            </w:r>
          </w:p>
        </w:tc>
      </w:tr>
      <w:tr w:rsidR="006C4004" w:rsidRPr="006C4004" w14:paraId="37D64902" w14:textId="77777777" w:rsidTr="00C87919">
        <w:trPr>
          <w:trHeight w:val="330"/>
        </w:trPr>
        <w:tc>
          <w:tcPr>
            <w:tcW w:w="1619" w:type="pct"/>
            <w:tcBorders>
              <w:top w:val="nil"/>
              <w:left w:val="nil"/>
              <w:bottom w:val="single" w:sz="4" w:space="0" w:color="auto"/>
              <w:right w:val="nil"/>
            </w:tcBorders>
            <w:noWrap/>
            <w:vAlign w:val="center"/>
            <w:hideMark/>
          </w:tcPr>
          <w:p w14:paraId="4BFC78AF" w14:textId="77777777" w:rsidR="006C4004" w:rsidRPr="006C4004" w:rsidRDefault="006C4004" w:rsidP="006C4004">
            <w:pPr>
              <w:spacing w:line="240" w:lineRule="auto"/>
              <w:rPr>
                <w:rFonts w:eastAsia="Times New Roman" w:cs="Times New Roman"/>
                <w:sz w:val="18"/>
                <w:szCs w:val="18"/>
                <w:lang w:eastAsia="sk-SK"/>
              </w:rPr>
            </w:pPr>
            <w:r w:rsidRPr="006C4004">
              <w:rPr>
                <w:rFonts w:eastAsia="Times New Roman" w:cs="Times New Roman"/>
                <w:sz w:val="18"/>
                <w:szCs w:val="18"/>
                <w:lang w:eastAsia="sk-SK"/>
              </w:rPr>
              <w:t xml:space="preserve">    Verejné zdravotné poistenie</w:t>
            </w:r>
          </w:p>
        </w:tc>
        <w:tc>
          <w:tcPr>
            <w:tcW w:w="643" w:type="pct"/>
            <w:tcBorders>
              <w:top w:val="nil"/>
              <w:left w:val="nil"/>
              <w:bottom w:val="single" w:sz="4" w:space="0" w:color="auto"/>
              <w:right w:val="nil"/>
            </w:tcBorders>
            <w:noWrap/>
            <w:vAlign w:val="center"/>
            <w:hideMark/>
          </w:tcPr>
          <w:p w14:paraId="2FAEC125"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224 675</w:t>
            </w:r>
          </w:p>
        </w:tc>
        <w:tc>
          <w:tcPr>
            <w:tcW w:w="560" w:type="pct"/>
            <w:tcBorders>
              <w:top w:val="nil"/>
              <w:left w:val="nil"/>
              <w:bottom w:val="single" w:sz="4" w:space="0" w:color="auto"/>
              <w:right w:val="nil"/>
            </w:tcBorders>
            <w:noWrap/>
            <w:vAlign w:val="center"/>
            <w:hideMark/>
          </w:tcPr>
          <w:p w14:paraId="5E346DAC"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12 194</w:t>
            </w:r>
          </w:p>
        </w:tc>
        <w:tc>
          <w:tcPr>
            <w:tcW w:w="615" w:type="pct"/>
            <w:tcBorders>
              <w:top w:val="nil"/>
              <w:left w:val="nil"/>
              <w:bottom w:val="single" w:sz="4" w:space="0" w:color="auto"/>
              <w:right w:val="nil"/>
            </w:tcBorders>
            <w:noWrap/>
            <w:vAlign w:val="center"/>
            <w:hideMark/>
          </w:tcPr>
          <w:p w14:paraId="1C605965"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87 260</w:t>
            </w:r>
          </w:p>
        </w:tc>
        <w:tc>
          <w:tcPr>
            <w:tcW w:w="781" w:type="pct"/>
            <w:tcBorders>
              <w:top w:val="nil"/>
              <w:left w:val="nil"/>
              <w:bottom w:val="single" w:sz="4" w:space="0" w:color="auto"/>
              <w:right w:val="nil"/>
            </w:tcBorders>
            <w:noWrap/>
            <w:vAlign w:val="center"/>
            <w:hideMark/>
          </w:tcPr>
          <w:p w14:paraId="37523F79"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198 062</w:t>
            </w:r>
          </w:p>
        </w:tc>
        <w:tc>
          <w:tcPr>
            <w:tcW w:w="781" w:type="pct"/>
            <w:tcBorders>
              <w:top w:val="nil"/>
              <w:left w:val="nil"/>
              <w:bottom w:val="single" w:sz="4" w:space="0" w:color="auto"/>
              <w:right w:val="nil"/>
            </w:tcBorders>
            <w:noWrap/>
            <w:vAlign w:val="center"/>
            <w:hideMark/>
          </w:tcPr>
          <w:p w14:paraId="6959DF3E" w14:textId="77777777" w:rsidR="006C4004" w:rsidRPr="006C4004" w:rsidRDefault="006C4004" w:rsidP="006C4004">
            <w:pPr>
              <w:spacing w:line="240" w:lineRule="auto"/>
              <w:jc w:val="right"/>
              <w:rPr>
                <w:rFonts w:eastAsia="Times New Roman" w:cs="Times New Roman"/>
                <w:sz w:val="18"/>
                <w:szCs w:val="18"/>
                <w:lang w:eastAsia="sk-SK"/>
              </w:rPr>
            </w:pPr>
            <w:r w:rsidRPr="006C4004">
              <w:rPr>
                <w:rFonts w:eastAsia="Times New Roman" w:cs="Times New Roman"/>
                <w:sz w:val="18"/>
                <w:szCs w:val="18"/>
                <w:lang w:eastAsia="sk-SK"/>
              </w:rPr>
              <w:t>110 802</w:t>
            </w:r>
          </w:p>
        </w:tc>
      </w:tr>
      <w:tr w:rsidR="006C4004" w:rsidRPr="006C4004" w14:paraId="3EA56582" w14:textId="77777777" w:rsidTr="00C87919">
        <w:trPr>
          <w:trHeight w:val="330"/>
        </w:trPr>
        <w:tc>
          <w:tcPr>
            <w:tcW w:w="1619" w:type="pct"/>
            <w:tcBorders>
              <w:top w:val="nil"/>
              <w:left w:val="nil"/>
              <w:bottom w:val="nil"/>
              <w:right w:val="nil"/>
            </w:tcBorders>
            <w:noWrap/>
            <w:vAlign w:val="center"/>
            <w:hideMark/>
          </w:tcPr>
          <w:p w14:paraId="32BB9264" w14:textId="77777777" w:rsidR="006C4004" w:rsidRPr="006C4004" w:rsidRDefault="006C4004" w:rsidP="006C4004">
            <w:pPr>
              <w:spacing w:line="240" w:lineRule="auto"/>
              <w:rPr>
                <w:rFonts w:eastAsia="Times New Roman" w:cs="Times New Roman"/>
                <w:b/>
                <w:bCs/>
                <w:sz w:val="18"/>
                <w:szCs w:val="18"/>
                <w:lang w:eastAsia="sk-SK"/>
              </w:rPr>
            </w:pPr>
            <w:r w:rsidRPr="006C4004">
              <w:rPr>
                <w:rFonts w:eastAsia="Times New Roman" w:cs="Times New Roman"/>
                <w:b/>
                <w:bCs/>
                <w:sz w:val="18"/>
                <w:szCs w:val="18"/>
                <w:lang w:eastAsia="sk-SK"/>
              </w:rPr>
              <w:t>Schodok verejnej správy spolu</w:t>
            </w:r>
          </w:p>
        </w:tc>
        <w:tc>
          <w:tcPr>
            <w:tcW w:w="643" w:type="pct"/>
            <w:tcBorders>
              <w:top w:val="nil"/>
              <w:left w:val="nil"/>
              <w:bottom w:val="nil"/>
              <w:right w:val="nil"/>
            </w:tcBorders>
            <w:noWrap/>
            <w:vAlign w:val="center"/>
            <w:hideMark/>
          </w:tcPr>
          <w:p w14:paraId="60EBD6CD" w14:textId="77777777"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-6 556 447</w:t>
            </w:r>
          </w:p>
        </w:tc>
        <w:tc>
          <w:tcPr>
            <w:tcW w:w="560" w:type="pct"/>
            <w:tcBorders>
              <w:top w:val="nil"/>
              <w:left w:val="nil"/>
              <w:bottom w:val="nil"/>
              <w:right w:val="nil"/>
            </w:tcBorders>
            <w:noWrap/>
            <w:vAlign w:val="center"/>
            <w:hideMark/>
          </w:tcPr>
          <w:p w14:paraId="529C5375" w14:textId="2BB29FCF"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 xml:space="preserve">-6 962 </w:t>
            </w:r>
            <w:r w:rsidR="00856967">
              <w:rPr>
                <w:rFonts w:eastAsia="Times New Roman" w:cs="Times New Roman"/>
                <w:b/>
                <w:bCs/>
                <w:sz w:val="18"/>
                <w:szCs w:val="18"/>
                <w:lang w:eastAsia="sk-SK"/>
              </w:rPr>
              <w:t>769</w:t>
            </w:r>
          </w:p>
        </w:tc>
        <w:tc>
          <w:tcPr>
            <w:tcW w:w="615" w:type="pct"/>
            <w:tcBorders>
              <w:top w:val="nil"/>
              <w:left w:val="nil"/>
              <w:bottom w:val="nil"/>
              <w:right w:val="nil"/>
            </w:tcBorders>
            <w:noWrap/>
            <w:vAlign w:val="center"/>
            <w:hideMark/>
          </w:tcPr>
          <w:p w14:paraId="523A994D" w14:textId="77777777"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-6 603 344</w:t>
            </w:r>
          </w:p>
        </w:tc>
        <w:tc>
          <w:tcPr>
            <w:tcW w:w="781" w:type="pct"/>
            <w:tcBorders>
              <w:top w:val="nil"/>
              <w:left w:val="nil"/>
              <w:bottom w:val="nil"/>
              <w:right w:val="nil"/>
            </w:tcBorders>
            <w:noWrap/>
            <w:vAlign w:val="center"/>
            <w:hideMark/>
          </w:tcPr>
          <w:p w14:paraId="2D180B18" w14:textId="3D9D92FF"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-6 08</w:t>
            </w:r>
            <w:r w:rsidR="00722450">
              <w:rPr>
                <w:rFonts w:eastAsia="Times New Roman" w:cs="Times New Roman"/>
                <w:b/>
                <w:bCs/>
                <w:sz w:val="18"/>
                <w:szCs w:val="18"/>
                <w:lang w:eastAsia="sk-SK"/>
              </w:rPr>
              <w:t>6</w:t>
            </w:r>
            <w:r w:rsidRPr="006C4004">
              <w:rPr>
                <w:rFonts w:eastAsia="Times New Roman" w:cs="Times New Roman"/>
                <w:b/>
                <w:bCs/>
                <w:sz w:val="18"/>
                <w:szCs w:val="18"/>
                <w:lang w:eastAsia="sk-SK"/>
              </w:rPr>
              <w:t xml:space="preserve"> </w:t>
            </w:r>
            <w:r w:rsidR="00722450">
              <w:rPr>
                <w:rFonts w:eastAsia="Times New Roman" w:cs="Times New Roman"/>
                <w:b/>
                <w:bCs/>
                <w:sz w:val="18"/>
                <w:szCs w:val="18"/>
                <w:lang w:eastAsia="sk-SK"/>
              </w:rPr>
              <w:t>305</w:t>
            </w:r>
          </w:p>
        </w:tc>
        <w:tc>
          <w:tcPr>
            <w:tcW w:w="781" w:type="pct"/>
            <w:tcBorders>
              <w:top w:val="nil"/>
              <w:left w:val="nil"/>
              <w:bottom w:val="nil"/>
              <w:right w:val="nil"/>
            </w:tcBorders>
            <w:noWrap/>
            <w:vAlign w:val="center"/>
            <w:hideMark/>
          </w:tcPr>
          <w:p w14:paraId="0E6E75AF" w14:textId="487F4FE8"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51</w:t>
            </w:r>
            <w:r w:rsidR="00722450">
              <w:rPr>
                <w:rFonts w:eastAsia="Times New Roman" w:cs="Times New Roman"/>
                <w:b/>
                <w:bCs/>
                <w:sz w:val="18"/>
                <w:szCs w:val="18"/>
                <w:lang w:eastAsia="sk-SK"/>
              </w:rPr>
              <w:t>7</w:t>
            </w:r>
            <w:r w:rsidRPr="006C4004">
              <w:rPr>
                <w:rFonts w:eastAsia="Times New Roman" w:cs="Times New Roman"/>
                <w:b/>
                <w:bCs/>
                <w:sz w:val="18"/>
                <w:szCs w:val="18"/>
                <w:lang w:eastAsia="sk-SK"/>
              </w:rPr>
              <w:t xml:space="preserve"> 0</w:t>
            </w:r>
            <w:r w:rsidR="00722450">
              <w:rPr>
                <w:rFonts w:eastAsia="Times New Roman" w:cs="Times New Roman"/>
                <w:b/>
                <w:bCs/>
                <w:sz w:val="18"/>
                <w:szCs w:val="18"/>
                <w:lang w:eastAsia="sk-SK"/>
              </w:rPr>
              <w:t>39</w:t>
            </w:r>
          </w:p>
        </w:tc>
      </w:tr>
      <w:tr w:rsidR="006C4004" w:rsidRPr="006C4004" w14:paraId="38FD363D" w14:textId="77777777" w:rsidTr="00C00919">
        <w:trPr>
          <w:trHeight w:val="93"/>
        </w:trPr>
        <w:tc>
          <w:tcPr>
            <w:tcW w:w="1619" w:type="pct"/>
            <w:tcBorders>
              <w:top w:val="nil"/>
              <w:left w:val="nil"/>
              <w:bottom w:val="single" w:sz="4" w:space="0" w:color="auto"/>
              <w:right w:val="nil"/>
            </w:tcBorders>
            <w:noWrap/>
            <w:vAlign w:val="center"/>
            <w:hideMark/>
          </w:tcPr>
          <w:p w14:paraId="6A340923" w14:textId="77777777" w:rsidR="006C4004" w:rsidRPr="006C4004" w:rsidRDefault="006C4004" w:rsidP="006C4004">
            <w:pPr>
              <w:spacing w:line="240" w:lineRule="auto"/>
              <w:rPr>
                <w:rFonts w:eastAsia="Times New Roman" w:cs="Times New Roman"/>
                <w:b/>
                <w:bCs/>
                <w:sz w:val="18"/>
                <w:szCs w:val="18"/>
                <w:lang w:eastAsia="sk-SK"/>
              </w:rPr>
            </w:pPr>
            <w:r w:rsidRPr="006C4004">
              <w:rPr>
                <w:rFonts w:eastAsia="Times New Roman" w:cs="Times New Roman"/>
                <w:b/>
                <w:bCs/>
                <w:sz w:val="18"/>
                <w:szCs w:val="18"/>
                <w:lang w:eastAsia="sk-SK"/>
              </w:rPr>
              <w:t xml:space="preserve"> % z HDP</w:t>
            </w:r>
          </w:p>
        </w:tc>
        <w:tc>
          <w:tcPr>
            <w:tcW w:w="643" w:type="pct"/>
            <w:tcBorders>
              <w:top w:val="nil"/>
              <w:left w:val="nil"/>
              <w:bottom w:val="single" w:sz="4" w:space="0" w:color="auto"/>
              <w:right w:val="nil"/>
            </w:tcBorders>
            <w:noWrap/>
            <w:vAlign w:val="center"/>
            <w:hideMark/>
          </w:tcPr>
          <w:p w14:paraId="694F668B" w14:textId="77777777"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-5,31</w:t>
            </w:r>
          </w:p>
        </w:tc>
        <w:tc>
          <w:tcPr>
            <w:tcW w:w="560" w:type="pct"/>
            <w:tcBorders>
              <w:top w:val="nil"/>
              <w:left w:val="nil"/>
              <w:bottom w:val="single" w:sz="4" w:space="0" w:color="auto"/>
              <w:right w:val="nil"/>
            </w:tcBorders>
            <w:noWrap/>
            <w:vAlign w:val="center"/>
            <w:hideMark/>
          </w:tcPr>
          <w:p w14:paraId="261DD2BE" w14:textId="77777777"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-5,35</w:t>
            </w:r>
          </w:p>
        </w:tc>
        <w:tc>
          <w:tcPr>
            <w:tcW w:w="615" w:type="pct"/>
            <w:tcBorders>
              <w:top w:val="nil"/>
              <w:left w:val="nil"/>
              <w:bottom w:val="single" w:sz="4" w:space="0" w:color="auto"/>
              <w:right w:val="nil"/>
            </w:tcBorders>
            <w:noWrap/>
            <w:vAlign w:val="center"/>
            <w:hideMark/>
          </w:tcPr>
          <w:p w14:paraId="612A7A3E" w14:textId="77777777"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-4,72</w:t>
            </w:r>
          </w:p>
        </w:tc>
        <w:tc>
          <w:tcPr>
            <w:tcW w:w="781" w:type="pct"/>
            <w:tcBorders>
              <w:top w:val="nil"/>
              <w:left w:val="nil"/>
              <w:bottom w:val="single" w:sz="4" w:space="0" w:color="auto"/>
              <w:right w:val="nil"/>
            </w:tcBorders>
            <w:noWrap/>
            <w:vAlign w:val="center"/>
            <w:hideMark/>
          </w:tcPr>
          <w:p w14:paraId="35A097B5" w14:textId="77777777"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-4,45</w:t>
            </w:r>
          </w:p>
        </w:tc>
        <w:tc>
          <w:tcPr>
            <w:tcW w:w="781" w:type="pct"/>
            <w:tcBorders>
              <w:top w:val="nil"/>
              <w:left w:val="nil"/>
              <w:bottom w:val="single" w:sz="4" w:space="0" w:color="auto"/>
              <w:right w:val="nil"/>
            </w:tcBorders>
            <w:noWrap/>
            <w:vAlign w:val="center"/>
            <w:hideMark/>
          </w:tcPr>
          <w:p w14:paraId="6CE8C5E8" w14:textId="77777777" w:rsidR="006C4004" w:rsidRPr="006C4004" w:rsidRDefault="006C4004" w:rsidP="006C4004">
            <w:pPr>
              <w:spacing w:line="240" w:lineRule="auto"/>
              <w:jc w:val="right"/>
              <w:rPr>
                <w:rFonts w:eastAsia="Times New Roman" w:cs="Times New Roman"/>
                <w:b/>
                <w:bCs/>
                <w:sz w:val="18"/>
                <w:szCs w:val="18"/>
                <w:lang w:eastAsia="sk-SK"/>
              </w:rPr>
            </w:pPr>
            <w:r w:rsidRPr="006C4004">
              <w:rPr>
                <w:rFonts w:eastAsia="Times New Roman" w:cs="Times New Roman"/>
                <w:b/>
                <w:bCs/>
                <w:sz w:val="18"/>
                <w:szCs w:val="18"/>
                <w:lang w:eastAsia="sk-SK"/>
              </w:rPr>
              <w:t>0,27</w:t>
            </w:r>
          </w:p>
        </w:tc>
      </w:tr>
    </w:tbl>
    <w:p w14:paraId="22D83008" w14:textId="0E0A943D" w:rsidR="009A05C7" w:rsidRPr="006C4004" w:rsidRDefault="009A05C7" w:rsidP="004942CF">
      <w:pPr>
        <w:tabs>
          <w:tab w:val="right" w:pos="9070"/>
        </w:tabs>
        <w:spacing w:line="240" w:lineRule="auto"/>
        <w:jc w:val="both"/>
        <w:rPr>
          <w:rFonts w:eastAsia="Times New Roman" w:cs="Times New Roman"/>
          <w:color w:val="000000"/>
          <w:sz w:val="18"/>
          <w:szCs w:val="18"/>
          <w:lang w:eastAsia="sk-SK"/>
        </w:rPr>
      </w:pPr>
      <w:r w:rsidRPr="006C4004">
        <w:rPr>
          <w:rFonts w:eastAsia="Times New Roman" w:cs="Times New Roman"/>
          <w:color w:val="000000"/>
          <w:sz w:val="18"/>
          <w:szCs w:val="18"/>
          <w:vertAlign w:val="superscript"/>
          <w:lang w:eastAsia="sk-SK"/>
        </w:rPr>
        <w:t>1)</w:t>
      </w:r>
      <w:r w:rsidR="009A649C">
        <w:rPr>
          <w:rFonts w:eastAsia="Times New Roman" w:cs="Times New Roman"/>
          <w:color w:val="000000"/>
          <w:sz w:val="18"/>
          <w:szCs w:val="18"/>
          <w:vertAlign w:val="superscript"/>
          <w:lang w:eastAsia="sk-SK"/>
        </w:rPr>
        <w:t xml:space="preserve"> </w:t>
      </w:r>
      <w:r w:rsidRPr="006C4004">
        <w:rPr>
          <w:rFonts w:eastAsia="Times New Roman" w:cs="Times New Roman"/>
          <w:color w:val="000000"/>
          <w:sz w:val="18"/>
          <w:szCs w:val="18"/>
          <w:lang w:eastAsia="sk-SK"/>
        </w:rPr>
        <w:t xml:space="preserve">Vrátane štátnych finančných aktív, samostatných účtov a salda účtu štátneho dlhu </w:t>
      </w:r>
      <w:r w:rsidRPr="006C4004">
        <w:rPr>
          <w:rFonts w:eastAsia="Times New Roman" w:cs="Times New Roman"/>
          <w:color w:val="000000"/>
          <w:sz w:val="18"/>
          <w:szCs w:val="18"/>
          <w:lang w:eastAsia="sk-SK"/>
        </w:rPr>
        <w:tab/>
        <w:t>Zdroj: MF SR</w:t>
      </w:r>
    </w:p>
    <w:p w14:paraId="1A7C1A65" w14:textId="4A1158CB" w:rsidR="00AD5E0C" w:rsidRDefault="00AD5E0C">
      <w:pPr>
        <w:rPr>
          <w:rFonts w:eastAsiaTheme="majorEastAsia" w:cstheme="majorBidi"/>
          <w:b/>
          <w:color w:val="5B9BD5" w:themeColor="accent1"/>
          <w:szCs w:val="26"/>
        </w:rPr>
      </w:pPr>
      <w:bookmarkStart w:id="62" w:name="_Toc6415636"/>
    </w:p>
    <w:p w14:paraId="5AB76A3D" w14:textId="400BA9C1" w:rsidR="009A05C7" w:rsidRPr="00042F5E" w:rsidRDefault="009A05C7" w:rsidP="004A1F94">
      <w:pPr>
        <w:pStyle w:val="Nadpis2"/>
        <w:spacing w:after="0"/>
      </w:pPr>
      <w:bookmarkStart w:id="63" w:name="_Toc227758897"/>
      <w:r w:rsidRPr="00042F5E">
        <w:t>Dlh verejnej správy</w:t>
      </w:r>
      <w:bookmarkEnd w:id="62"/>
      <w:bookmarkEnd w:id="63"/>
    </w:p>
    <w:p w14:paraId="31E22D1A" w14:textId="77777777" w:rsidR="00415273" w:rsidRPr="0050710A" w:rsidRDefault="00415273" w:rsidP="004A1F94">
      <w:pPr>
        <w:spacing w:line="240" w:lineRule="auto"/>
        <w:jc w:val="both"/>
        <w:rPr>
          <w:b/>
          <w:szCs w:val="24"/>
          <w:highlight w:val="yellow"/>
        </w:rPr>
      </w:pPr>
    </w:p>
    <w:p w14:paraId="22FA6630" w14:textId="1B9626BD" w:rsidR="0087783F" w:rsidRDefault="00C164B8" w:rsidP="004A1F94">
      <w:pPr>
        <w:spacing w:line="240" w:lineRule="auto"/>
        <w:jc w:val="both"/>
        <w:rPr>
          <w:szCs w:val="24"/>
        </w:rPr>
      </w:pPr>
      <w:r w:rsidRPr="002414BA">
        <w:rPr>
          <w:b/>
          <w:szCs w:val="24"/>
        </w:rPr>
        <w:t xml:space="preserve">Maastrichtský </w:t>
      </w:r>
      <w:r w:rsidRPr="002414BA">
        <w:rPr>
          <w:bCs/>
          <w:szCs w:val="24"/>
        </w:rPr>
        <w:t>(hrubý)</w:t>
      </w:r>
      <w:r w:rsidRPr="002414BA">
        <w:rPr>
          <w:b/>
          <w:szCs w:val="24"/>
        </w:rPr>
        <w:t xml:space="preserve"> dlh verejnej správy</w:t>
      </w:r>
      <w:r w:rsidRPr="002414BA">
        <w:rPr>
          <w:szCs w:val="24"/>
        </w:rPr>
        <w:t xml:space="preserve"> dosiahol k 31.12.2025 hodnotu </w:t>
      </w:r>
      <w:r w:rsidR="00C85ADD" w:rsidRPr="002414BA">
        <w:rPr>
          <w:b/>
          <w:szCs w:val="24"/>
        </w:rPr>
        <w:t>61,4 % HDP</w:t>
      </w:r>
      <w:r w:rsidR="00C85ADD">
        <w:rPr>
          <w:b/>
          <w:szCs w:val="24"/>
        </w:rPr>
        <w:t>,</w:t>
      </w:r>
      <w:r w:rsidR="00C85ADD" w:rsidRPr="002414BA">
        <w:rPr>
          <w:szCs w:val="24"/>
        </w:rPr>
        <w:t xml:space="preserve"> </w:t>
      </w:r>
      <w:r w:rsidRPr="002414BA">
        <w:rPr>
          <w:szCs w:val="24"/>
        </w:rPr>
        <w:t>čo predstavuje</w:t>
      </w:r>
      <w:r w:rsidR="00C85ADD">
        <w:rPr>
          <w:szCs w:val="24"/>
        </w:rPr>
        <w:t xml:space="preserve"> </w:t>
      </w:r>
      <w:r w:rsidR="00C85ADD" w:rsidRPr="002414BA">
        <w:rPr>
          <w:szCs w:val="24"/>
        </w:rPr>
        <w:t>83 956 806 tis. eur</w:t>
      </w:r>
      <w:r w:rsidRPr="002414BA">
        <w:rPr>
          <w:b/>
          <w:szCs w:val="24"/>
        </w:rPr>
        <w:t>.</w:t>
      </w:r>
      <w:r w:rsidRPr="002414BA">
        <w:rPr>
          <w:szCs w:val="24"/>
        </w:rPr>
        <w:t xml:space="preserve"> Skutočne dosiahnutý dlh je v pomere k HDP oproti rozpočtu vyšší o 1,8 p. b., v absolútnej hodnote je oproti rozpočtu vyšší o 626 358 tis. eur.</w:t>
      </w:r>
      <w:r w:rsidR="00C85ADD">
        <w:rPr>
          <w:szCs w:val="24"/>
        </w:rPr>
        <w:t xml:space="preserve"> </w:t>
      </w:r>
      <w:r w:rsidR="00C85ADD" w:rsidRPr="00C85ADD">
        <w:rPr>
          <w:bCs/>
          <w:szCs w:val="24"/>
        </w:rPr>
        <w:t xml:space="preserve"> </w:t>
      </w:r>
      <w:r w:rsidR="00C85ADD">
        <w:rPr>
          <w:bCs/>
          <w:szCs w:val="24"/>
        </w:rPr>
        <w:t>M</w:t>
      </w:r>
      <w:r w:rsidR="00C85ADD" w:rsidRPr="00C85ADD">
        <w:rPr>
          <w:bCs/>
          <w:szCs w:val="24"/>
        </w:rPr>
        <w:t xml:space="preserve">edziročne </w:t>
      </w:r>
      <w:r w:rsidR="00C85ADD">
        <w:rPr>
          <w:bCs/>
          <w:szCs w:val="24"/>
        </w:rPr>
        <w:t xml:space="preserve">dlh </w:t>
      </w:r>
      <w:r w:rsidR="00C85ADD" w:rsidRPr="00C85ADD">
        <w:rPr>
          <w:bCs/>
          <w:szCs w:val="24"/>
        </w:rPr>
        <w:t xml:space="preserve">vzrástol </w:t>
      </w:r>
      <w:r w:rsidR="00C85ADD">
        <w:rPr>
          <w:bCs/>
          <w:szCs w:val="24"/>
        </w:rPr>
        <w:t xml:space="preserve">v pomere k HDP </w:t>
      </w:r>
      <w:r w:rsidR="00C85ADD" w:rsidRPr="00C85ADD">
        <w:rPr>
          <w:bCs/>
          <w:szCs w:val="24"/>
        </w:rPr>
        <w:t>o 1,7 p. b.</w:t>
      </w:r>
    </w:p>
    <w:p w14:paraId="54FE5799" w14:textId="77777777" w:rsidR="0087783F" w:rsidRDefault="0087783F" w:rsidP="0087783F">
      <w:pPr>
        <w:spacing w:line="240" w:lineRule="auto"/>
        <w:jc w:val="both"/>
        <w:rPr>
          <w:szCs w:val="24"/>
        </w:rPr>
      </w:pPr>
    </w:p>
    <w:p w14:paraId="258657FF" w14:textId="23A63152" w:rsidR="00415273" w:rsidRDefault="005D593D" w:rsidP="0087783F">
      <w:pPr>
        <w:spacing w:line="240" w:lineRule="auto"/>
        <w:jc w:val="both"/>
        <w:rPr>
          <w:szCs w:val="24"/>
        </w:rPr>
      </w:pPr>
      <w:r>
        <w:rPr>
          <w:b/>
          <w:bCs/>
          <w:szCs w:val="24"/>
        </w:rPr>
        <w:lastRenderedPageBreak/>
        <w:t xml:space="preserve">Za rastom hrubého dlhu </w:t>
      </w:r>
      <w:r w:rsidR="001F42DE" w:rsidRPr="001F42DE">
        <w:rPr>
          <w:b/>
          <w:bCs/>
          <w:szCs w:val="24"/>
        </w:rPr>
        <w:t>stojí predovšetkým nižší výkon ekonomiky.</w:t>
      </w:r>
      <w:r w:rsidR="001F42DE" w:rsidRPr="001F42DE">
        <w:rPr>
          <w:szCs w:val="24"/>
        </w:rPr>
        <w:t xml:space="preserve"> </w:t>
      </w:r>
      <w:r w:rsidR="000B391C">
        <w:rPr>
          <w:szCs w:val="24"/>
        </w:rPr>
        <w:t>S</w:t>
      </w:r>
      <w:r w:rsidR="001F42DE" w:rsidRPr="001F42DE">
        <w:rPr>
          <w:szCs w:val="24"/>
        </w:rPr>
        <w:t>labší než očakávaný vývoj reálneho HDP v 2025 sa prejavil prostredníctvom efektu menovateľa. Hlavným dôvodom bol nepriaznivý vývoj externého prostredia. Nižší dopyt po</w:t>
      </w:r>
      <w:r w:rsidR="001F42DE">
        <w:rPr>
          <w:szCs w:val="24"/>
        </w:rPr>
        <w:t> </w:t>
      </w:r>
      <w:r w:rsidR="001F42DE" w:rsidRPr="001F42DE">
        <w:rPr>
          <w:szCs w:val="24"/>
        </w:rPr>
        <w:t>slovenských výrobkoch v krajinách EÚ spolu so zníženým vývozom automobilov do</w:t>
      </w:r>
      <w:r w:rsidR="001F42DE">
        <w:rPr>
          <w:szCs w:val="24"/>
        </w:rPr>
        <w:t> </w:t>
      </w:r>
      <w:r w:rsidR="001F42DE" w:rsidRPr="001F42DE">
        <w:rPr>
          <w:szCs w:val="24"/>
        </w:rPr>
        <w:t>USA v</w:t>
      </w:r>
      <w:r w:rsidR="001F42DE">
        <w:rPr>
          <w:szCs w:val="24"/>
        </w:rPr>
        <w:t> </w:t>
      </w:r>
      <w:r w:rsidR="001F42DE" w:rsidRPr="001F42DE">
        <w:rPr>
          <w:szCs w:val="24"/>
        </w:rPr>
        <w:t>dôsledku novozavedených ciel oslabili čistý export. Inflácia sa od rozpočtových predpokladov odchýlila len mierne, a preto mala na</w:t>
      </w:r>
      <w:r w:rsidR="000F4E53">
        <w:rPr>
          <w:szCs w:val="24"/>
        </w:rPr>
        <w:t> </w:t>
      </w:r>
      <w:r w:rsidR="001F42DE" w:rsidRPr="001F42DE">
        <w:rPr>
          <w:szCs w:val="24"/>
        </w:rPr>
        <w:t>výšku hrubého dlhu slabší vplyv. Emisie dlhopisov prevýšili potreby financovania, čo viedlo k zvýšeniu hotovostnej rezervy a následne k rastu dlhu o</w:t>
      </w:r>
      <w:r w:rsidR="001F42DE">
        <w:rPr>
          <w:szCs w:val="24"/>
        </w:rPr>
        <w:t> </w:t>
      </w:r>
      <w:r w:rsidR="001F42DE" w:rsidRPr="001F42DE">
        <w:rPr>
          <w:szCs w:val="24"/>
        </w:rPr>
        <w:t>0,3</w:t>
      </w:r>
      <w:r w:rsidR="001F42DE">
        <w:rPr>
          <w:szCs w:val="24"/>
        </w:rPr>
        <w:t> </w:t>
      </w:r>
      <w:r w:rsidR="001F42DE" w:rsidRPr="001F42DE">
        <w:rPr>
          <w:szCs w:val="24"/>
        </w:rPr>
        <w:t>p.</w:t>
      </w:r>
      <w:r w:rsidR="001F42DE">
        <w:rPr>
          <w:szCs w:val="24"/>
        </w:rPr>
        <w:t> </w:t>
      </w:r>
      <w:r w:rsidR="001F42DE" w:rsidRPr="001F42DE">
        <w:rPr>
          <w:szCs w:val="24"/>
        </w:rPr>
        <w:t>b. Hotovostný deficit štátneho rozpočtu oproti predpokladom sa na zvýšení dlhu podieľal iba mierne.</w:t>
      </w:r>
    </w:p>
    <w:p w14:paraId="087FAD58" w14:textId="77777777" w:rsidR="00FC6896" w:rsidRPr="0087783F" w:rsidRDefault="00FC6896" w:rsidP="0087783F">
      <w:pPr>
        <w:spacing w:line="240" w:lineRule="auto"/>
        <w:jc w:val="both"/>
        <w:rPr>
          <w:szCs w:val="24"/>
        </w:rPr>
      </w:pPr>
    </w:p>
    <w:p w14:paraId="72DFAA32" w14:textId="0B6B5585" w:rsidR="00F6250D" w:rsidRPr="00841DDE" w:rsidRDefault="00F6250D" w:rsidP="00532D85">
      <w:pPr>
        <w:pStyle w:val="Popis"/>
        <w:jc w:val="both"/>
        <w:rPr>
          <w:i/>
          <w:noProof/>
          <w:u w:color="2C9ADC"/>
          <w:lang w:eastAsia="sk-SK"/>
        </w:rPr>
      </w:pPr>
      <w:bookmarkStart w:id="64" w:name="_Toc227670128"/>
      <w:r w:rsidRPr="00841DDE">
        <w:rPr>
          <w:noProof/>
          <w:u w:color="2C9ADC"/>
          <w:lang w:eastAsia="sk-SK"/>
        </w:rPr>
        <w:t xml:space="preserve">Graf </w:t>
      </w:r>
      <w:r w:rsidRPr="00841DDE">
        <w:rPr>
          <w:i/>
          <w:noProof/>
          <w:u w:color="2C9ADC"/>
          <w:lang w:eastAsia="sk-SK"/>
        </w:rPr>
        <w:fldChar w:fldCharType="begin"/>
      </w:r>
      <w:r w:rsidRPr="00841DDE">
        <w:rPr>
          <w:noProof/>
          <w:u w:color="2C9ADC"/>
          <w:lang w:eastAsia="sk-SK"/>
        </w:rPr>
        <w:instrText xml:space="preserve"> SEQ Graf \* ARABIC </w:instrText>
      </w:r>
      <w:r w:rsidRPr="00841DDE">
        <w:rPr>
          <w:i/>
          <w:noProof/>
          <w:u w:color="2C9ADC"/>
          <w:lang w:eastAsia="sk-SK"/>
        </w:rPr>
        <w:fldChar w:fldCharType="separate"/>
      </w:r>
      <w:r w:rsidR="00396BE8">
        <w:rPr>
          <w:noProof/>
          <w:u w:color="2C9ADC"/>
          <w:lang w:eastAsia="sk-SK"/>
        </w:rPr>
        <w:t>6</w:t>
      </w:r>
      <w:r w:rsidRPr="00841DDE">
        <w:rPr>
          <w:i/>
          <w:noProof/>
          <w:u w:color="2C9ADC"/>
          <w:lang w:eastAsia="sk-SK"/>
        </w:rPr>
        <w:fldChar w:fldCharType="end"/>
      </w:r>
      <w:r w:rsidRPr="00841DDE">
        <w:rPr>
          <w:noProof/>
          <w:u w:color="2C9ADC"/>
          <w:lang w:eastAsia="sk-SK"/>
        </w:rPr>
        <w:t xml:space="preserve"> - Rozdiely vysvetľujúce skutočnú a rozpočtovanú úroveň hrubého dlhu VS (% HDP)</w:t>
      </w:r>
      <w:bookmarkEnd w:id="64"/>
    </w:p>
    <w:p w14:paraId="09913954" w14:textId="099542C3" w:rsidR="00F6250D" w:rsidRPr="0050710A" w:rsidRDefault="00841DDE" w:rsidP="00532D85">
      <w:pPr>
        <w:pBdr>
          <w:top w:val="single" w:sz="4" w:space="1" w:color="auto"/>
          <w:bottom w:val="single" w:sz="4" w:space="1" w:color="auto"/>
        </w:pBdr>
        <w:spacing w:line="240" w:lineRule="auto"/>
        <w:jc w:val="both"/>
        <w:rPr>
          <w:szCs w:val="24"/>
          <w:highlight w:val="yellow"/>
        </w:rPr>
      </w:pPr>
      <w:r>
        <w:rPr>
          <w:noProof/>
          <w14:ligatures w14:val="standardContextual"/>
        </w:rPr>
        <w:drawing>
          <wp:inline distT="0" distB="0" distL="0" distR="0" wp14:anchorId="3E2ED635" wp14:editId="25DC7EE8">
            <wp:extent cx="5438899" cy="2303211"/>
            <wp:effectExtent l="0" t="0" r="0" b="1905"/>
            <wp:docPr id="333535287" name="Graf 1">
              <a:extLst xmlns:a="http://schemas.openxmlformats.org/drawingml/2006/main">
                <a:ext uri="{FF2B5EF4-FFF2-40B4-BE49-F238E27FC236}">
                  <a16:creationId xmlns:a16="http://schemas.microsoft.com/office/drawing/2014/main" id="{35E2A424-5AC8-470C-9B2C-93C547222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D2659B" w14:textId="455043D4" w:rsidR="0046616F" w:rsidRDefault="00F6250D" w:rsidP="0046616F">
      <w:pPr>
        <w:tabs>
          <w:tab w:val="right" w:pos="9070"/>
        </w:tabs>
        <w:spacing w:line="240" w:lineRule="auto"/>
        <w:jc w:val="both"/>
        <w:rPr>
          <w:sz w:val="18"/>
          <w:szCs w:val="18"/>
        </w:rPr>
      </w:pPr>
      <w:r w:rsidRPr="00841DDE">
        <w:rPr>
          <w:sz w:val="18"/>
          <w:szCs w:val="18"/>
        </w:rPr>
        <w:t xml:space="preserve">Pozn.: Zmeny v dlhu zachytávajú </w:t>
      </w:r>
      <w:r w:rsidR="00841DDE" w:rsidRPr="00841DDE">
        <w:rPr>
          <w:sz w:val="18"/>
          <w:szCs w:val="18"/>
        </w:rPr>
        <w:t>kumulatívne vplyvy za roky 2022 až 2025.</w:t>
      </w:r>
      <w:r w:rsidR="0046616F">
        <w:rPr>
          <w:sz w:val="18"/>
          <w:szCs w:val="18"/>
        </w:rPr>
        <w:t xml:space="preserve"> </w:t>
      </w:r>
      <w:r w:rsidR="0046616F" w:rsidRPr="00841DDE">
        <w:rPr>
          <w:sz w:val="18"/>
          <w:szCs w:val="18"/>
        </w:rPr>
        <w:t>Pri zostavovaní rozpočtu</w:t>
      </w:r>
      <w:r w:rsidR="00841DDE" w:rsidRPr="00841DDE">
        <w:rPr>
          <w:sz w:val="18"/>
          <w:szCs w:val="18"/>
        </w:rPr>
        <w:t xml:space="preserve"> </w:t>
      </w:r>
      <w:r w:rsidR="0046616F">
        <w:rPr>
          <w:sz w:val="18"/>
          <w:szCs w:val="18"/>
        </w:rPr>
        <w:tab/>
        <w:t>Zdroj: MF SR</w:t>
      </w:r>
    </w:p>
    <w:p w14:paraId="1A02C554" w14:textId="77777777" w:rsidR="001F42DE" w:rsidRDefault="00841DDE" w:rsidP="0046616F">
      <w:pPr>
        <w:spacing w:line="240" w:lineRule="auto"/>
        <w:jc w:val="both"/>
        <w:rPr>
          <w:sz w:val="18"/>
          <w:szCs w:val="18"/>
        </w:rPr>
      </w:pPr>
      <w:r w:rsidRPr="00841DDE">
        <w:rPr>
          <w:sz w:val="18"/>
          <w:szCs w:val="18"/>
        </w:rPr>
        <w:t>na jeseň 2024 sa predpokladal hotovostný schodok vo výške 5</w:t>
      </w:r>
      <w:r w:rsidR="001F42DE">
        <w:rPr>
          <w:sz w:val="18"/>
          <w:szCs w:val="18"/>
        </w:rPr>
        <w:t> </w:t>
      </w:r>
      <w:r w:rsidRPr="00841DDE">
        <w:rPr>
          <w:sz w:val="18"/>
          <w:szCs w:val="18"/>
        </w:rPr>
        <w:t>801</w:t>
      </w:r>
      <w:r w:rsidR="001F42DE">
        <w:rPr>
          <w:sz w:val="18"/>
          <w:szCs w:val="18"/>
        </w:rPr>
        <w:t> </w:t>
      </w:r>
      <w:r w:rsidRPr="00841DDE">
        <w:rPr>
          <w:sz w:val="18"/>
          <w:szCs w:val="18"/>
        </w:rPr>
        <w:t>mil.</w:t>
      </w:r>
      <w:r w:rsidR="001F42DE">
        <w:rPr>
          <w:sz w:val="18"/>
          <w:szCs w:val="18"/>
        </w:rPr>
        <w:t> </w:t>
      </w:r>
      <w:r w:rsidRPr="00841DDE">
        <w:rPr>
          <w:sz w:val="18"/>
          <w:szCs w:val="18"/>
        </w:rPr>
        <w:t>eur, pričom skutočnosť bola vyššia</w:t>
      </w:r>
    </w:p>
    <w:p w14:paraId="0A5A0DCB" w14:textId="77777777" w:rsidR="001F42DE" w:rsidRDefault="00841DDE" w:rsidP="0046616F">
      <w:pPr>
        <w:spacing w:line="240" w:lineRule="auto"/>
        <w:jc w:val="both"/>
        <w:rPr>
          <w:sz w:val="18"/>
          <w:szCs w:val="18"/>
        </w:rPr>
      </w:pPr>
      <w:r w:rsidRPr="00841DDE">
        <w:rPr>
          <w:sz w:val="18"/>
          <w:szCs w:val="18"/>
        </w:rPr>
        <w:t>o</w:t>
      </w:r>
      <w:r w:rsidR="001F42DE">
        <w:rPr>
          <w:sz w:val="18"/>
          <w:szCs w:val="18"/>
        </w:rPr>
        <w:t> </w:t>
      </w:r>
      <w:r w:rsidRPr="00841DDE">
        <w:rPr>
          <w:sz w:val="18"/>
          <w:szCs w:val="18"/>
        </w:rPr>
        <w:t>566</w:t>
      </w:r>
      <w:r w:rsidR="001F42DE">
        <w:rPr>
          <w:sz w:val="18"/>
          <w:szCs w:val="18"/>
        </w:rPr>
        <w:t> </w:t>
      </w:r>
      <w:r w:rsidRPr="00841DDE">
        <w:rPr>
          <w:sz w:val="18"/>
          <w:szCs w:val="18"/>
        </w:rPr>
        <w:t>mil.</w:t>
      </w:r>
      <w:r w:rsidR="001F42DE">
        <w:rPr>
          <w:sz w:val="18"/>
          <w:szCs w:val="18"/>
        </w:rPr>
        <w:t> </w:t>
      </w:r>
      <w:r w:rsidRPr="00841DDE">
        <w:rPr>
          <w:sz w:val="18"/>
          <w:szCs w:val="18"/>
        </w:rPr>
        <w:t xml:space="preserve">eur. Tento nepriaznivý vývoj bol čiastočne kompenzovaný výsledkom v roku 2025, keď hotovostný </w:t>
      </w:r>
    </w:p>
    <w:p w14:paraId="6CDD9D46" w14:textId="77777777" w:rsidR="001F42DE" w:rsidRDefault="00841DDE" w:rsidP="0046616F">
      <w:pPr>
        <w:spacing w:line="240" w:lineRule="auto"/>
        <w:jc w:val="both"/>
        <w:rPr>
          <w:sz w:val="18"/>
          <w:szCs w:val="18"/>
        </w:rPr>
      </w:pPr>
      <w:r w:rsidRPr="00841DDE">
        <w:rPr>
          <w:sz w:val="18"/>
          <w:szCs w:val="18"/>
        </w:rPr>
        <w:t>schodok dosiahol o</w:t>
      </w:r>
      <w:r w:rsidR="001F42DE">
        <w:rPr>
          <w:sz w:val="18"/>
          <w:szCs w:val="18"/>
        </w:rPr>
        <w:t> </w:t>
      </w:r>
      <w:r w:rsidRPr="00841DDE">
        <w:rPr>
          <w:sz w:val="18"/>
          <w:szCs w:val="18"/>
        </w:rPr>
        <w:t>266</w:t>
      </w:r>
      <w:r w:rsidR="001F42DE">
        <w:rPr>
          <w:sz w:val="18"/>
          <w:szCs w:val="18"/>
        </w:rPr>
        <w:t> </w:t>
      </w:r>
      <w:r w:rsidRPr="00841DDE">
        <w:rPr>
          <w:sz w:val="18"/>
          <w:szCs w:val="18"/>
        </w:rPr>
        <w:t>mil.</w:t>
      </w:r>
      <w:r w:rsidR="001F42DE">
        <w:rPr>
          <w:sz w:val="18"/>
          <w:szCs w:val="18"/>
        </w:rPr>
        <w:t> </w:t>
      </w:r>
      <w:r w:rsidRPr="00841DDE">
        <w:rPr>
          <w:sz w:val="18"/>
          <w:szCs w:val="18"/>
        </w:rPr>
        <w:t xml:space="preserve">eur nižšiu úroveň, než odhadoval rozpočet. Keďže hrubý dlh predstavuje </w:t>
      </w:r>
    </w:p>
    <w:p w14:paraId="2350F40E" w14:textId="31A39D7D" w:rsidR="00F42A66" w:rsidRPr="0050710A" w:rsidRDefault="00841DDE" w:rsidP="0046616F">
      <w:pPr>
        <w:spacing w:line="240" w:lineRule="auto"/>
        <w:jc w:val="both"/>
        <w:rPr>
          <w:sz w:val="18"/>
          <w:szCs w:val="18"/>
          <w:highlight w:val="yellow"/>
        </w:rPr>
      </w:pPr>
      <w:r w:rsidRPr="00841DDE">
        <w:rPr>
          <w:sz w:val="18"/>
          <w:szCs w:val="18"/>
        </w:rPr>
        <w:t>kumulatívnu veličinu, negatívna odchýlka z roku 2024 sa premietla aj do jeho vývoja v roku 2025.</w:t>
      </w:r>
    </w:p>
    <w:p w14:paraId="70839B39" w14:textId="77777777" w:rsidR="005A0F2D" w:rsidRPr="0050710A" w:rsidRDefault="005A0F2D" w:rsidP="00532D85">
      <w:pPr>
        <w:spacing w:line="240" w:lineRule="auto"/>
        <w:jc w:val="both"/>
        <w:rPr>
          <w:szCs w:val="24"/>
          <w:highlight w:val="yellow"/>
        </w:rPr>
      </w:pPr>
    </w:p>
    <w:p w14:paraId="7ADDF0F1" w14:textId="0FDFF512" w:rsidR="00BA3DAB" w:rsidRPr="000F4E53" w:rsidRDefault="00BA3DAB" w:rsidP="00532D85">
      <w:pPr>
        <w:pStyle w:val="Popis"/>
        <w:jc w:val="both"/>
      </w:pPr>
      <w:bookmarkStart w:id="65" w:name="_Toc196313639"/>
      <w:bookmarkStart w:id="66" w:name="_Toc227670149"/>
      <w:r w:rsidRPr="000F4E53">
        <w:t xml:space="preserve">Tabuľka </w:t>
      </w:r>
      <w:r w:rsidR="003B7AF0" w:rsidRPr="000F4E53">
        <w:rPr>
          <w:i/>
        </w:rPr>
        <w:fldChar w:fldCharType="begin"/>
      </w:r>
      <w:r w:rsidR="003B7AF0" w:rsidRPr="000F4E53">
        <w:instrText xml:space="preserve"> SEQ Tabuľka \* ARABIC </w:instrText>
      </w:r>
      <w:r w:rsidR="003B7AF0" w:rsidRPr="000F4E53">
        <w:rPr>
          <w:i/>
        </w:rPr>
        <w:fldChar w:fldCharType="separate"/>
      </w:r>
      <w:r w:rsidR="00396BE8">
        <w:rPr>
          <w:noProof/>
        </w:rPr>
        <w:t>13</w:t>
      </w:r>
      <w:r w:rsidR="003B7AF0" w:rsidRPr="000F4E53">
        <w:rPr>
          <w:i/>
        </w:rPr>
        <w:fldChar w:fldCharType="end"/>
      </w:r>
      <w:r w:rsidRPr="000F4E53">
        <w:t xml:space="preserve"> - Štruktúra hrubého dlhu verejnej správy (% v HDP)</w:t>
      </w:r>
      <w:bookmarkEnd w:id="65"/>
      <w:bookmarkEnd w:id="66"/>
    </w:p>
    <w:tbl>
      <w:tblPr>
        <w:tblW w:w="5000" w:type="pct"/>
        <w:tblCellMar>
          <w:left w:w="70" w:type="dxa"/>
          <w:right w:w="70" w:type="dxa"/>
        </w:tblCellMar>
        <w:tblLook w:val="04A0" w:firstRow="1" w:lastRow="0" w:firstColumn="1" w:lastColumn="0" w:noHBand="0" w:noVBand="1"/>
      </w:tblPr>
      <w:tblGrid>
        <w:gridCol w:w="5463"/>
        <w:gridCol w:w="1203"/>
        <w:gridCol w:w="1203"/>
        <w:gridCol w:w="1201"/>
      </w:tblGrid>
      <w:tr w:rsidR="005119D9" w:rsidRPr="005119D9" w14:paraId="35FE87D1" w14:textId="77777777" w:rsidTr="005119D9">
        <w:trPr>
          <w:trHeight w:val="260"/>
          <w:tblHeader/>
        </w:trPr>
        <w:tc>
          <w:tcPr>
            <w:tcW w:w="3012" w:type="pct"/>
            <w:tcBorders>
              <w:top w:val="single" w:sz="4" w:space="0" w:color="auto"/>
              <w:left w:val="nil"/>
              <w:bottom w:val="single" w:sz="4" w:space="0" w:color="auto"/>
              <w:right w:val="nil"/>
            </w:tcBorders>
            <w:noWrap/>
            <w:vAlign w:val="bottom"/>
            <w:hideMark/>
          </w:tcPr>
          <w:p w14:paraId="256CCC5D" w14:textId="77777777" w:rsidR="005119D9" w:rsidRPr="005119D9" w:rsidRDefault="005119D9" w:rsidP="005119D9">
            <w:pPr>
              <w:spacing w:line="240" w:lineRule="auto"/>
              <w:rPr>
                <w:rFonts w:eastAsia="Times New Roman" w:cs="Times New Roman"/>
                <w:b/>
                <w:bCs/>
                <w:color w:val="000000"/>
                <w:sz w:val="18"/>
                <w:szCs w:val="18"/>
                <w:lang w:eastAsia="sk-SK"/>
              </w:rPr>
            </w:pPr>
            <w:r w:rsidRPr="005119D9">
              <w:rPr>
                <w:rFonts w:eastAsia="Times New Roman" w:cs="Times New Roman"/>
                <w:b/>
                <w:bCs/>
                <w:color w:val="000000"/>
                <w:sz w:val="18"/>
                <w:szCs w:val="18"/>
                <w:lang w:eastAsia="sk-SK"/>
              </w:rPr>
              <w:t>v % HDP</w:t>
            </w:r>
          </w:p>
        </w:tc>
        <w:tc>
          <w:tcPr>
            <w:tcW w:w="663" w:type="pct"/>
            <w:tcBorders>
              <w:top w:val="single" w:sz="4" w:space="0" w:color="auto"/>
              <w:left w:val="nil"/>
              <w:bottom w:val="single" w:sz="4" w:space="0" w:color="auto"/>
              <w:right w:val="nil"/>
            </w:tcBorders>
            <w:noWrap/>
            <w:vAlign w:val="bottom"/>
            <w:hideMark/>
          </w:tcPr>
          <w:p w14:paraId="59E8C22F" w14:textId="77777777" w:rsidR="005119D9" w:rsidRPr="005119D9" w:rsidRDefault="005119D9" w:rsidP="005119D9">
            <w:pPr>
              <w:spacing w:line="240" w:lineRule="auto"/>
              <w:jc w:val="center"/>
              <w:rPr>
                <w:rFonts w:eastAsia="Times New Roman" w:cs="Times New Roman"/>
                <w:b/>
                <w:bCs/>
                <w:color w:val="000000"/>
                <w:sz w:val="18"/>
                <w:szCs w:val="18"/>
                <w:lang w:eastAsia="sk-SK"/>
              </w:rPr>
            </w:pPr>
            <w:r w:rsidRPr="005119D9">
              <w:rPr>
                <w:rFonts w:eastAsia="Times New Roman" w:cs="Times New Roman"/>
                <w:b/>
                <w:bCs/>
                <w:color w:val="000000"/>
                <w:sz w:val="18"/>
                <w:szCs w:val="18"/>
                <w:lang w:eastAsia="sk-SK"/>
              </w:rPr>
              <w:t>2023 S</w:t>
            </w:r>
          </w:p>
        </w:tc>
        <w:tc>
          <w:tcPr>
            <w:tcW w:w="663" w:type="pct"/>
            <w:tcBorders>
              <w:top w:val="single" w:sz="4" w:space="0" w:color="auto"/>
              <w:left w:val="nil"/>
              <w:bottom w:val="single" w:sz="4" w:space="0" w:color="auto"/>
              <w:right w:val="nil"/>
            </w:tcBorders>
            <w:noWrap/>
            <w:vAlign w:val="bottom"/>
            <w:hideMark/>
          </w:tcPr>
          <w:p w14:paraId="516E59F8" w14:textId="77777777" w:rsidR="005119D9" w:rsidRPr="005119D9" w:rsidRDefault="005119D9" w:rsidP="005119D9">
            <w:pPr>
              <w:spacing w:line="240" w:lineRule="auto"/>
              <w:jc w:val="center"/>
              <w:rPr>
                <w:rFonts w:eastAsia="Times New Roman" w:cs="Times New Roman"/>
                <w:b/>
                <w:bCs/>
                <w:color w:val="000000"/>
                <w:sz w:val="18"/>
                <w:szCs w:val="18"/>
                <w:lang w:eastAsia="sk-SK"/>
              </w:rPr>
            </w:pPr>
            <w:r w:rsidRPr="005119D9">
              <w:rPr>
                <w:rFonts w:eastAsia="Times New Roman" w:cs="Times New Roman"/>
                <w:b/>
                <w:bCs/>
                <w:color w:val="000000"/>
                <w:sz w:val="18"/>
                <w:szCs w:val="18"/>
                <w:lang w:eastAsia="sk-SK"/>
              </w:rPr>
              <w:t>2024 S</w:t>
            </w:r>
          </w:p>
        </w:tc>
        <w:tc>
          <w:tcPr>
            <w:tcW w:w="663" w:type="pct"/>
            <w:tcBorders>
              <w:top w:val="single" w:sz="4" w:space="0" w:color="auto"/>
              <w:left w:val="nil"/>
              <w:bottom w:val="single" w:sz="4" w:space="0" w:color="auto"/>
              <w:right w:val="nil"/>
            </w:tcBorders>
            <w:noWrap/>
            <w:vAlign w:val="bottom"/>
            <w:hideMark/>
          </w:tcPr>
          <w:p w14:paraId="117E5138" w14:textId="77777777" w:rsidR="005119D9" w:rsidRPr="005119D9" w:rsidRDefault="005119D9" w:rsidP="005119D9">
            <w:pPr>
              <w:spacing w:line="240" w:lineRule="auto"/>
              <w:jc w:val="center"/>
              <w:rPr>
                <w:rFonts w:eastAsia="Times New Roman" w:cs="Times New Roman"/>
                <w:b/>
                <w:bCs/>
                <w:color w:val="000000"/>
                <w:sz w:val="18"/>
                <w:szCs w:val="18"/>
                <w:lang w:eastAsia="sk-SK"/>
              </w:rPr>
            </w:pPr>
            <w:r w:rsidRPr="005119D9">
              <w:rPr>
                <w:rFonts w:eastAsia="Times New Roman" w:cs="Times New Roman"/>
                <w:b/>
                <w:bCs/>
                <w:color w:val="000000"/>
                <w:sz w:val="18"/>
                <w:szCs w:val="18"/>
                <w:lang w:eastAsia="sk-SK"/>
              </w:rPr>
              <w:t>2025 S</w:t>
            </w:r>
          </w:p>
        </w:tc>
      </w:tr>
      <w:tr w:rsidR="005119D9" w:rsidRPr="005119D9" w14:paraId="2DF6D3D4" w14:textId="77777777" w:rsidTr="005119D9">
        <w:trPr>
          <w:trHeight w:val="260"/>
        </w:trPr>
        <w:tc>
          <w:tcPr>
            <w:tcW w:w="3012" w:type="pct"/>
            <w:tcBorders>
              <w:top w:val="nil"/>
              <w:left w:val="nil"/>
              <w:bottom w:val="nil"/>
              <w:right w:val="nil"/>
            </w:tcBorders>
            <w:noWrap/>
            <w:vAlign w:val="bottom"/>
            <w:hideMark/>
          </w:tcPr>
          <w:p w14:paraId="00AD38CB" w14:textId="77777777" w:rsidR="005119D9" w:rsidRPr="005119D9" w:rsidRDefault="005119D9" w:rsidP="005119D9">
            <w:pPr>
              <w:spacing w:line="240" w:lineRule="auto"/>
              <w:rPr>
                <w:rFonts w:eastAsia="Times New Roman" w:cs="Times New Roman"/>
                <w:b/>
                <w:bCs/>
                <w:color w:val="000000"/>
                <w:sz w:val="18"/>
                <w:szCs w:val="18"/>
                <w:lang w:eastAsia="sk-SK"/>
              </w:rPr>
            </w:pPr>
            <w:r w:rsidRPr="005119D9">
              <w:rPr>
                <w:rFonts w:eastAsia="Times New Roman" w:cs="Times New Roman"/>
                <w:b/>
                <w:bCs/>
                <w:color w:val="000000"/>
                <w:sz w:val="18"/>
                <w:szCs w:val="18"/>
                <w:lang w:eastAsia="sk-SK"/>
              </w:rPr>
              <w:t>Hrubý dlh verejnej správy</w:t>
            </w:r>
          </w:p>
        </w:tc>
        <w:tc>
          <w:tcPr>
            <w:tcW w:w="663" w:type="pct"/>
            <w:tcBorders>
              <w:top w:val="nil"/>
              <w:left w:val="nil"/>
              <w:bottom w:val="nil"/>
              <w:right w:val="nil"/>
            </w:tcBorders>
            <w:noWrap/>
            <w:vAlign w:val="bottom"/>
            <w:hideMark/>
          </w:tcPr>
          <w:p w14:paraId="10686B63"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55,8</w:t>
            </w:r>
          </w:p>
        </w:tc>
        <w:tc>
          <w:tcPr>
            <w:tcW w:w="663" w:type="pct"/>
            <w:tcBorders>
              <w:top w:val="nil"/>
              <w:left w:val="nil"/>
              <w:bottom w:val="nil"/>
              <w:right w:val="nil"/>
            </w:tcBorders>
            <w:noWrap/>
            <w:vAlign w:val="bottom"/>
            <w:hideMark/>
          </w:tcPr>
          <w:p w14:paraId="10EC6BD1"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59,7</w:t>
            </w:r>
          </w:p>
        </w:tc>
        <w:tc>
          <w:tcPr>
            <w:tcW w:w="663" w:type="pct"/>
            <w:tcBorders>
              <w:top w:val="nil"/>
              <w:left w:val="nil"/>
              <w:bottom w:val="nil"/>
              <w:right w:val="nil"/>
            </w:tcBorders>
            <w:noWrap/>
            <w:vAlign w:val="bottom"/>
            <w:hideMark/>
          </w:tcPr>
          <w:p w14:paraId="58F0EE67"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61,4</w:t>
            </w:r>
          </w:p>
        </w:tc>
      </w:tr>
      <w:tr w:rsidR="005119D9" w:rsidRPr="005119D9" w14:paraId="6CB83921" w14:textId="77777777" w:rsidTr="005119D9">
        <w:trPr>
          <w:trHeight w:val="260"/>
        </w:trPr>
        <w:tc>
          <w:tcPr>
            <w:tcW w:w="3012" w:type="pct"/>
            <w:tcBorders>
              <w:top w:val="nil"/>
              <w:left w:val="nil"/>
              <w:bottom w:val="nil"/>
              <w:right w:val="nil"/>
            </w:tcBorders>
            <w:noWrap/>
            <w:vAlign w:val="bottom"/>
            <w:hideMark/>
          </w:tcPr>
          <w:p w14:paraId="7129251C" w14:textId="77777777" w:rsidR="005119D9" w:rsidRPr="005119D9" w:rsidRDefault="005119D9" w:rsidP="005119D9">
            <w:pPr>
              <w:spacing w:line="240" w:lineRule="auto"/>
              <w:rPr>
                <w:rFonts w:eastAsia="Times New Roman" w:cs="Times New Roman"/>
                <w:color w:val="000000"/>
                <w:sz w:val="18"/>
                <w:szCs w:val="18"/>
                <w:lang w:eastAsia="sk-SK"/>
              </w:rPr>
            </w:pPr>
            <w:r w:rsidRPr="005119D9">
              <w:rPr>
                <w:rFonts w:eastAsia="Times New Roman" w:cs="Times New Roman"/>
                <w:color w:val="000000"/>
                <w:sz w:val="18"/>
                <w:szCs w:val="18"/>
                <w:lang w:eastAsia="sk-SK"/>
              </w:rPr>
              <w:t xml:space="preserve"> - štátny dlh (bez vplyvu medzinár. záväzkov)</w:t>
            </w:r>
          </w:p>
        </w:tc>
        <w:tc>
          <w:tcPr>
            <w:tcW w:w="663" w:type="pct"/>
            <w:tcBorders>
              <w:top w:val="nil"/>
              <w:left w:val="nil"/>
              <w:bottom w:val="nil"/>
              <w:right w:val="nil"/>
            </w:tcBorders>
            <w:noWrap/>
            <w:vAlign w:val="bottom"/>
            <w:hideMark/>
          </w:tcPr>
          <w:p w14:paraId="52818CBF"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52,3</w:t>
            </w:r>
          </w:p>
        </w:tc>
        <w:tc>
          <w:tcPr>
            <w:tcW w:w="663" w:type="pct"/>
            <w:tcBorders>
              <w:top w:val="nil"/>
              <w:left w:val="nil"/>
              <w:bottom w:val="nil"/>
              <w:right w:val="nil"/>
            </w:tcBorders>
            <w:noWrap/>
            <w:vAlign w:val="bottom"/>
            <w:hideMark/>
          </w:tcPr>
          <w:p w14:paraId="4F0152AD"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56,4</w:t>
            </w:r>
          </w:p>
        </w:tc>
        <w:tc>
          <w:tcPr>
            <w:tcW w:w="663" w:type="pct"/>
            <w:tcBorders>
              <w:top w:val="nil"/>
              <w:left w:val="nil"/>
              <w:bottom w:val="nil"/>
              <w:right w:val="nil"/>
            </w:tcBorders>
            <w:noWrap/>
            <w:vAlign w:val="bottom"/>
            <w:hideMark/>
          </w:tcPr>
          <w:p w14:paraId="00CDA825"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58,2</w:t>
            </w:r>
          </w:p>
        </w:tc>
      </w:tr>
      <w:tr w:rsidR="005119D9" w:rsidRPr="005119D9" w14:paraId="1775A2C5" w14:textId="77777777" w:rsidTr="005119D9">
        <w:trPr>
          <w:trHeight w:val="260"/>
        </w:trPr>
        <w:tc>
          <w:tcPr>
            <w:tcW w:w="3012" w:type="pct"/>
            <w:tcBorders>
              <w:top w:val="nil"/>
              <w:left w:val="nil"/>
              <w:bottom w:val="nil"/>
              <w:right w:val="nil"/>
            </w:tcBorders>
            <w:noWrap/>
            <w:vAlign w:val="bottom"/>
            <w:hideMark/>
          </w:tcPr>
          <w:p w14:paraId="72748ED6" w14:textId="77777777" w:rsidR="005119D9" w:rsidRPr="005119D9" w:rsidRDefault="005119D9" w:rsidP="005119D9">
            <w:pPr>
              <w:spacing w:line="240" w:lineRule="auto"/>
              <w:rPr>
                <w:rFonts w:eastAsia="Times New Roman" w:cs="Times New Roman"/>
                <w:color w:val="000000"/>
                <w:sz w:val="18"/>
                <w:szCs w:val="18"/>
                <w:lang w:eastAsia="sk-SK"/>
              </w:rPr>
            </w:pPr>
            <w:r w:rsidRPr="005119D9">
              <w:rPr>
                <w:rFonts w:eastAsia="Times New Roman" w:cs="Times New Roman"/>
                <w:color w:val="000000"/>
                <w:sz w:val="18"/>
                <w:szCs w:val="18"/>
                <w:lang w:eastAsia="sk-SK"/>
              </w:rPr>
              <w:t xml:space="preserve"> - podiel SR na dlhu EFSF</w:t>
            </w:r>
          </w:p>
        </w:tc>
        <w:tc>
          <w:tcPr>
            <w:tcW w:w="663" w:type="pct"/>
            <w:tcBorders>
              <w:top w:val="nil"/>
              <w:left w:val="nil"/>
              <w:bottom w:val="nil"/>
              <w:right w:val="nil"/>
            </w:tcBorders>
            <w:noWrap/>
            <w:vAlign w:val="bottom"/>
            <w:hideMark/>
          </w:tcPr>
          <w:p w14:paraId="7C98AA0A"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1,6</w:t>
            </w:r>
          </w:p>
        </w:tc>
        <w:tc>
          <w:tcPr>
            <w:tcW w:w="663" w:type="pct"/>
            <w:tcBorders>
              <w:top w:val="nil"/>
              <w:left w:val="nil"/>
              <w:bottom w:val="nil"/>
              <w:right w:val="nil"/>
            </w:tcBorders>
            <w:noWrap/>
            <w:vAlign w:val="bottom"/>
            <w:hideMark/>
          </w:tcPr>
          <w:p w14:paraId="07C03D0B"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1,5</w:t>
            </w:r>
          </w:p>
        </w:tc>
        <w:tc>
          <w:tcPr>
            <w:tcW w:w="663" w:type="pct"/>
            <w:tcBorders>
              <w:top w:val="nil"/>
              <w:left w:val="nil"/>
              <w:bottom w:val="nil"/>
              <w:right w:val="nil"/>
            </w:tcBorders>
            <w:noWrap/>
            <w:vAlign w:val="bottom"/>
            <w:hideMark/>
          </w:tcPr>
          <w:p w14:paraId="74F288C3"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1,4</w:t>
            </w:r>
          </w:p>
        </w:tc>
      </w:tr>
      <w:tr w:rsidR="005119D9" w:rsidRPr="005119D9" w14:paraId="4671D1C6" w14:textId="77777777" w:rsidTr="005119D9">
        <w:trPr>
          <w:trHeight w:val="260"/>
        </w:trPr>
        <w:tc>
          <w:tcPr>
            <w:tcW w:w="3012" w:type="pct"/>
            <w:tcBorders>
              <w:top w:val="nil"/>
              <w:left w:val="nil"/>
              <w:bottom w:val="nil"/>
              <w:right w:val="nil"/>
            </w:tcBorders>
            <w:noWrap/>
            <w:vAlign w:val="bottom"/>
            <w:hideMark/>
          </w:tcPr>
          <w:p w14:paraId="16F211D9" w14:textId="77777777" w:rsidR="005119D9" w:rsidRPr="005119D9" w:rsidRDefault="005119D9" w:rsidP="005119D9">
            <w:pPr>
              <w:spacing w:line="240" w:lineRule="auto"/>
              <w:rPr>
                <w:rFonts w:eastAsia="Times New Roman" w:cs="Times New Roman"/>
                <w:color w:val="000000"/>
                <w:sz w:val="18"/>
                <w:szCs w:val="18"/>
                <w:lang w:eastAsia="sk-SK"/>
              </w:rPr>
            </w:pPr>
            <w:r w:rsidRPr="005119D9">
              <w:rPr>
                <w:rFonts w:eastAsia="Times New Roman" w:cs="Times New Roman"/>
                <w:color w:val="000000"/>
                <w:sz w:val="18"/>
                <w:szCs w:val="18"/>
                <w:lang w:eastAsia="sk-SK"/>
              </w:rPr>
              <w:t xml:space="preserve"> - dlh ostatných subjektov verejnej správy</w:t>
            </w:r>
          </w:p>
        </w:tc>
        <w:tc>
          <w:tcPr>
            <w:tcW w:w="663" w:type="pct"/>
            <w:tcBorders>
              <w:top w:val="nil"/>
              <w:left w:val="nil"/>
              <w:bottom w:val="nil"/>
              <w:right w:val="nil"/>
            </w:tcBorders>
            <w:noWrap/>
            <w:vAlign w:val="bottom"/>
            <w:hideMark/>
          </w:tcPr>
          <w:p w14:paraId="5FA360BC"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1,9</w:t>
            </w:r>
          </w:p>
        </w:tc>
        <w:tc>
          <w:tcPr>
            <w:tcW w:w="663" w:type="pct"/>
            <w:tcBorders>
              <w:top w:val="nil"/>
              <w:left w:val="nil"/>
              <w:bottom w:val="nil"/>
              <w:right w:val="nil"/>
            </w:tcBorders>
            <w:noWrap/>
            <w:vAlign w:val="bottom"/>
            <w:hideMark/>
          </w:tcPr>
          <w:p w14:paraId="19C30143"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1,8</w:t>
            </w:r>
          </w:p>
        </w:tc>
        <w:tc>
          <w:tcPr>
            <w:tcW w:w="663" w:type="pct"/>
            <w:tcBorders>
              <w:top w:val="nil"/>
              <w:left w:val="nil"/>
              <w:bottom w:val="nil"/>
              <w:right w:val="nil"/>
            </w:tcBorders>
            <w:noWrap/>
            <w:vAlign w:val="bottom"/>
            <w:hideMark/>
          </w:tcPr>
          <w:p w14:paraId="69142F92"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1,8</w:t>
            </w:r>
          </w:p>
        </w:tc>
      </w:tr>
      <w:tr w:rsidR="005119D9" w:rsidRPr="005119D9" w14:paraId="6C9C6170" w14:textId="77777777" w:rsidTr="005119D9">
        <w:trPr>
          <w:trHeight w:val="260"/>
        </w:trPr>
        <w:tc>
          <w:tcPr>
            <w:tcW w:w="3012" w:type="pct"/>
            <w:tcBorders>
              <w:top w:val="nil"/>
              <w:left w:val="nil"/>
              <w:bottom w:val="single" w:sz="4" w:space="0" w:color="auto"/>
              <w:right w:val="nil"/>
            </w:tcBorders>
            <w:noWrap/>
            <w:vAlign w:val="bottom"/>
            <w:hideMark/>
          </w:tcPr>
          <w:p w14:paraId="17897BB0" w14:textId="77777777" w:rsidR="005119D9" w:rsidRPr="005119D9" w:rsidRDefault="005119D9" w:rsidP="005119D9">
            <w:pPr>
              <w:spacing w:line="240" w:lineRule="auto"/>
              <w:rPr>
                <w:rFonts w:eastAsia="Times New Roman" w:cs="Times New Roman"/>
                <w:b/>
                <w:bCs/>
                <w:color w:val="000000"/>
                <w:sz w:val="18"/>
                <w:szCs w:val="18"/>
                <w:lang w:eastAsia="sk-SK"/>
              </w:rPr>
            </w:pPr>
            <w:r w:rsidRPr="005119D9">
              <w:rPr>
                <w:rFonts w:eastAsia="Times New Roman" w:cs="Times New Roman"/>
                <w:b/>
                <w:bCs/>
                <w:color w:val="000000"/>
                <w:sz w:val="18"/>
                <w:szCs w:val="18"/>
                <w:lang w:eastAsia="sk-SK"/>
              </w:rPr>
              <w:t>Medziročná zmena hrubého dlhu</w:t>
            </w:r>
          </w:p>
        </w:tc>
        <w:tc>
          <w:tcPr>
            <w:tcW w:w="663" w:type="pct"/>
            <w:tcBorders>
              <w:top w:val="nil"/>
              <w:left w:val="nil"/>
              <w:bottom w:val="single" w:sz="4" w:space="0" w:color="auto"/>
              <w:right w:val="nil"/>
            </w:tcBorders>
            <w:noWrap/>
            <w:vAlign w:val="bottom"/>
            <w:hideMark/>
          </w:tcPr>
          <w:p w14:paraId="105AD1DA"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-2,0</w:t>
            </w:r>
          </w:p>
        </w:tc>
        <w:tc>
          <w:tcPr>
            <w:tcW w:w="663" w:type="pct"/>
            <w:tcBorders>
              <w:top w:val="nil"/>
              <w:left w:val="nil"/>
              <w:bottom w:val="single" w:sz="4" w:space="0" w:color="auto"/>
              <w:right w:val="nil"/>
            </w:tcBorders>
            <w:noWrap/>
            <w:vAlign w:val="bottom"/>
            <w:hideMark/>
          </w:tcPr>
          <w:p w14:paraId="0731538B"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3,9</w:t>
            </w:r>
          </w:p>
        </w:tc>
        <w:tc>
          <w:tcPr>
            <w:tcW w:w="663" w:type="pct"/>
            <w:tcBorders>
              <w:top w:val="nil"/>
              <w:left w:val="nil"/>
              <w:bottom w:val="single" w:sz="4" w:space="0" w:color="auto"/>
              <w:right w:val="nil"/>
            </w:tcBorders>
            <w:noWrap/>
            <w:vAlign w:val="bottom"/>
            <w:hideMark/>
          </w:tcPr>
          <w:p w14:paraId="0A5EA995" w14:textId="77777777" w:rsidR="005119D9" w:rsidRPr="005119D9" w:rsidRDefault="005119D9" w:rsidP="005119D9">
            <w:pPr>
              <w:spacing w:line="240" w:lineRule="auto"/>
              <w:jc w:val="right"/>
              <w:rPr>
                <w:rFonts w:eastAsia="Times New Roman" w:cs="Times New Roman"/>
                <w:color w:val="000000"/>
                <w:sz w:val="18"/>
                <w:szCs w:val="18"/>
                <w:lang w:eastAsia="sk-SK"/>
              </w:rPr>
            </w:pPr>
            <w:r w:rsidRPr="005119D9">
              <w:rPr>
                <w:rFonts w:eastAsia="Times New Roman" w:cs="Times New Roman"/>
                <w:color w:val="000000"/>
                <w:sz w:val="18"/>
                <w:szCs w:val="18"/>
                <w:lang w:eastAsia="sk-SK"/>
              </w:rPr>
              <w:t>1,7</w:t>
            </w:r>
          </w:p>
        </w:tc>
      </w:tr>
      <w:tr w:rsidR="005119D9" w:rsidRPr="005119D9" w14:paraId="560FB3A5" w14:textId="77777777" w:rsidTr="005119D9">
        <w:trPr>
          <w:trHeight w:val="260"/>
        </w:trPr>
        <w:tc>
          <w:tcPr>
            <w:tcW w:w="3012" w:type="pct"/>
            <w:tcBorders>
              <w:top w:val="single" w:sz="4" w:space="0" w:color="auto"/>
              <w:left w:val="nil"/>
              <w:bottom w:val="nil"/>
              <w:right w:val="nil"/>
            </w:tcBorders>
            <w:noWrap/>
            <w:vAlign w:val="bottom"/>
            <w:hideMark/>
          </w:tcPr>
          <w:p w14:paraId="4652FB40" w14:textId="77777777" w:rsidR="005119D9" w:rsidRPr="005119D9" w:rsidRDefault="005119D9" w:rsidP="005119D9">
            <w:pPr>
              <w:spacing w:line="240" w:lineRule="auto"/>
              <w:rPr>
                <w:rFonts w:eastAsia="Times New Roman" w:cs="Times New Roman"/>
                <w:b/>
                <w:bCs/>
                <w:color w:val="000000"/>
                <w:sz w:val="18"/>
                <w:szCs w:val="18"/>
                <w:lang w:eastAsia="sk-SK"/>
              </w:rPr>
            </w:pPr>
            <w:r w:rsidRPr="005119D9">
              <w:rPr>
                <w:rFonts w:eastAsia="Times New Roman" w:cs="Times New Roman"/>
                <w:b/>
                <w:bCs/>
                <w:color w:val="000000"/>
                <w:sz w:val="18"/>
                <w:szCs w:val="18"/>
                <w:lang w:eastAsia="sk-SK"/>
              </w:rPr>
              <w:t>Čistý dlh verejnej správy</w:t>
            </w:r>
          </w:p>
        </w:tc>
        <w:tc>
          <w:tcPr>
            <w:tcW w:w="663" w:type="pct"/>
            <w:tcBorders>
              <w:top w:val="single" w:sz="4" w:space="0" w:color="auto"/>
              <w:left w:val="nil"/>
              <w:bottom w:val="nil"/>
              <w:right w:val="nil"/>
            </w:tcBorders>
            <w:noWrap/>
            <w:vAlign w:val="bottom"/>
            <w:hideMark/>
          </w:tcPr>
          <w:p w14:paraId="787D9FF0" w14:textId="77777777" w:rsidR="005119D9" w:rsidRPr="005119D9" w:rsidRDefault="005119D9" w:rsidP="005119D9">
            <w:pPr>
              <w:spacing w:line="240" w:lineRule="auto"/>
              <w:jc w:val="right"/>
              <w:rPr>
                <w:rFonts w:eastAsia="Times New Roman" w:cs="Times New Roman"/>
                <w:b/>
                <w:bCs/>
                <w:sz w:val="18"/>
                <w:szCs w:val="18"/>
                <w:lang w:eastAsia="sk-SK"/>
              </w:rPr>
            </w:pPr>
            <w:r w:rsidRPr="005119D9">
              <w:rPr>
                <w:rFonts w:eastAsia="Times New Roman" w:cs="Times New Roman"/>
                <w:b/>
                <w:bCs/>
                <w:sz w:val="18"/>
                <w:szCs w:val="18"/>
                <w:lang w:eastAsia="sk-SK"/>
              </w:rPr>
              <w:t>48,1</w:t>
            </w:r>
          </w:p>
        </w:tc>
        <w:tc>
          <w:tcPr>
            <w:tcW w:w="663" w:type="pct"/>
            <w:tcBorders>
              <w:top w:val="single" w:sz="4" w:space="0" w:color="auto"/>
              <w:left w:val="nil"/>
              <w:bottom w:val="nil"/>
              <w:right w:val="nil"/>
            </w:tcBorders>
            <w:noWrap/>
            <w:vAlign w:val="bottom"/>
            <w:hideMark/>
          </w:tcPr>
          <w:p w14:paraId="066DA44A" w14:textId="77777777" w:rsidR="005119D9" w:rsidRPr="005119D9" w:rsidRDefault="005119D9" w:rsidP="005119D9">
            <w:pPr>
              <w:spacing w:line="240" w:lineRule="auto"/>
              <w:jc w:val="right"/>
              <w:rPr>
                <w:rFonts w:eastAsia="Times New Roman" w:cs="Times New Roman"/>
                <w:b/>
                <w:bCs/>
                <w:sz w:val="18"/>
                <w:szCs w:val="18"/>
                <w:lang w:eastAsia="sk-SK"/>
              </w:rPr>
            </w:pPr>
            <w:r w:rsidRPr="005119D9">
              <w:rPr>
                <w:rFonts w:eastAsia="Times New Roman" w:cs="Times New Roman"/>
                <w:b/>
                <w:bCs/>
                <w:sz w:val="18"/>
                <w:szCs w:val="18"/>
                <w:lang w:eastAsia="sk-SK"/>
              </w:rPr>
              <w:t>51,4</w:t>
            </w:r>
          </w:p>
        </w:tc>
        <w:tc>
          <w:tcPr>
            <w:tcW w:w="663" w:type="pct"/>
            <w:tcBorders>
              <w:top w:val="single" w:sz="4" w:space="0" w:color="auto"/>
              <w:left w:val="nil"/>
              <w:bottom w:val="nil"/>
              <w:right w:val="nil"/>
            </w:tcBorders>
            <w:noWrap/>
            <w:vAlign w:val="bottom"/>
            <w:hideMark/>
          </w:tcPr>
          <w:p w14:paraId="37446627" w14:textId="77777777" w:rsidR="005119D9" w:rsidRPr="005119D9" w:rsidRDefault="005119D9" w:rsidP="005119D9">
            <w:pPr>
              <w:spacing w:line="240" w:lineRule="auto"/>
              <w:jc w:val="right"/>
              <w:rPr>
                <w:rFonts w:eastAsia="Times New Roman" w:cs="Times New Roman"/>
                <w:b/>
                <w:bCs/>
                <w:sz w:val="18"/>
                <w:szCs w:val="18"/>
                <w:lang w:eastAsia="sk-SK"/>
              </w:rPr>
            </w:pPr>
            <w:r w:rsidRPr="005119D9">
              <w:rPr>
                <w:rFonts w:eastAsia="Times New Roman" w:cs="Times New Roman"/>
                <w:b/>
                <w:bCs/>
                <w:sz w:val="18"/>
                <w:szCs w:val="18"/>
                <w:lang w:eastAsia="sk-SK"/>
              </w:rPr>
              <w:t>54,4</w:t>
            </w:r>
          </w:p>
        </w:tc>
      </w:tr>
      <w:tr w:rsidR="005119D9" w:rsidRPr="005119D9" w14:paraId="74650F4A" w14:textId="77777777" w:rsidTr="005119D9">
        <w:trPr>
          <w:trHeight w:val="260"/>
        </w:trPr>
        <w:tc>
          <w:tcPr>
            <w:tcW w:w="3012" w:type="pct"/>
            <w:tcBorders>
              <w:top w:val="nil"/>
              <w:left w:val="nil"/>
              <w:bottom w:val="single" w:sz="4" w:space="0" w:color="auto"/>
              <w:right w:val="nil"/>
            </w:tcBorders>
            <w:noWrap/>
            <w:vAlign w:val="bottom"/>
            <w:hideMark/>
          </w:tcPr>
          <w:p w14:paraId="336B93BD" w14:textId="77777777" w:rsidR="005119D9" w:rsidRPr="005119D9" w:rsidRDefault="005119D9" w:rsidP="005119D9">
            <w:pPr>
              <w:spacing w:line="240" w:lineRule="auto"/>
              <w:rPr>
                <w:rFonts w:eastAsia="Times New Roman" w:cs="Times New Roman"/>
                <w:i/>
                <w:iCs/>
                <w:color w:val="000000"/>
                <w:sz w:val="18"/>
                <w:szCs w:val="18"/>
                <w:lang w:eastAsia="sk-SK"/>
              </w:rPr>
            </w:pPr>
            <w:r w:rsidRPr="005119D9">
              <w:rPr>
                <w:rFonts w:eastAsia="Times New Roman" w:cs="Times New Roman"/>
                <w:i/>
                <w:iCs/>
                <w:color w:val="000000"/>
                <w:sz w:val="18"/>
                <w:szCs w:val="18"/>
                <w:lang w:eastAsia="sk-SK"/>
              </w:rPr>
              <w:t>Vklad SR do ESM (nevstupuje do maastrichtského dlhu)</w:t>
            </w:r>
          </w:p>
        </w:tc>
        <w:tc>
          <w:tcPr>
            <w:tcW w:w="663" w:type="pct"/>
            <w:tcBorders>
              <w:top w:val="nil"/>
              <w:left w:val="nil"/>
              <w:bottom w:val="single" w:sz="4" w:space="0" w:color="auto"/>
              <w:right w:val="nil"/>
            </w:tcBorders>
            <w:noWrap/>
            <w:vAlign w:val="bottom"/>
            <w:hideMark/>
          </w:tcPr>
          <w:p w14:paraId="410F887C" w14:textId="77777777" w:rsidR="005119D9" w:rsidRPr="005119D9" w:rsidRDefault="005119D9" w:rsidP="005119D9">
            <w:pPr>
              <w:spacing w:line="240" w:lineRule="auto"/>
              <w:jc w:val="right"/>
              <w:rPr>
                <w:rFonts w:eastAsia="Times New Roman" w:cs="Times New Roman"/>
                <w:i/>
                <w:iCs/>
                <w:sz w:val="18"/>
                <w:szCs w:val="18"/>
                <w:lang w:eastAsia="sk-SK"/>
              </w:rPr>
            </w:pPr>
            <w:r w:rsidRPr="005119D9">
              <w:rPr>
                <w:rFonts w:eastAsia="Times New Roman" w:cs="Times New Roman"/>
                <w:i/>
                <w:iCs/>
                <w:sz w:val="18"/>
                <w:szCs w:val="18"/>
                <w:lang w:eastAsia="sk-SK"/>
              </w:rPr>
              <w:t>0,6</w:t>
            </w:r>
          </w:p>
        </w:tc>
        <w:tc>
          <w:tcPr>
            <w:tcW w:w="663" w:type="pct"/>
            <w:tcBorders>
              <w:top w:val="nil"/>
              <w:left w:val="nil"/>
              <w:bottom w:val="single" w:sz="4" w:space="0" w:color="auto"/>
              <w:right w:val="nil"/>
            </w:tcBorders>
            <w:noWrap/>
            <w:vAlign w:val="bottom"/>
            <w:hideMark/>
          </w:tcPr>
          <w:p w14:paraId="0BF3DA30" w14:textId="77777777" w:rsidR="005119D9" w:rsidRPr="005119D9" w:rsidRDefault="005119D9" w:rsidP="005119D9">
            <w:pPr>
              <w:spacing w:line="240" w:lineRule="auto"/>
              <w:jc w:val="right"/>
              <w:rPr>
                <w:rFonts w:eastAsia="Times New Roman" w:cs="Times New Roman"/>
                <w:i/>
                <w:iCs/>
                <w:sz w:val="18"/>
                <w:szCs w:val="18"/>
                <w:lang w:eastAsia="sk-SK"/>
              </w:rPr>
            </w:pPr>
            <w:r w:rsidRPr="005119D9">
              <w:rPr>
                <w:rFonts w:eastAsia="Times New Roman" w:cs="Times New Roman"/>
                <w:i/>
                <w:iCs/>
                <w:sz w:val="18"/>
                <w:szCs w:val="18"/>
                <w:lang w:eastAsia="sk-SK"/>
              </w:rPr>
              <w:t>0,6</w:t>
            </w:r>
          </w:p>
        </w:tc>
        <w:tc>
          <w:tcPr>
            <w:tcW w:w="663" w:type="pct"/>
            <w:tcBorders>
              <w:top w:val="nil"/>
              <w:left w:val="nil"/>
              <w:bottom w:val="single" w:sz="4" w:space="0" w:color="auto"/>
              <w:right w:val="nil"/>
            </w:tcBorders>
            <w:noWrap/>
            <w:vAlign w:val="bottom"/>
            <w:hideMark/>
          </w:tcPr>
          <w:p w14:paraId="25060E73" w14:textId="77777777" w:rsidR="005119D9" w:rsidRPr="005119D9" w:rsidRDefault="005119D9" w:rsidP="005119D9">
            <w:pPr>
              <w:spacing w:line="240" w:lineRule="auto"/>
              <w:jc w:val="right"/>
              <w:rPr>
                <w:rFonts w:eastAsia="Times New Roman" w:cs="Times New Roman"/>
                <w:i/>
                <w:iCs/>
                <w:sz w:val="18"/>
                <w:szCs w:val="18"/>
                <w:lang w:eastAsia="sk-SK"/>
              </w:rPr>
            </w:pPr>
            <w:r w:rsidRPr="005119D9">
              <w:rPr>
                <w:rFonts w:eastAsia="Times New Roman" w:cs="Times New Roman"/>
                <w:i/>
                <w:iCs/>
                <w:sz w:val="18"/>
                <w:szCs w:val="18"/>
                <w:lang w:eastAsia="sk-SK"/>
              </w:rPr>
              <w:t>0,6</w:t>
            </w:r>
          </w:p>
        </w:tc>
      </w:tr>
    </w:tbl>
    <w:p w14:paraId="24C5D0EB" w14:textId="6DDB3E30" w:rsidR="009A05C7" w:rsidRPr="000B56AD" w:rsidRDefault="004942CF" w:rsidP="004942CF">
      <w:pPr>
        <w:tabs>
          <w:tab w:val="right" w:pos="9070"/>
        </w:tabs>
        <w:spacing w:line="240" w:lineRule="auto"/>
        <w:jc w:val="both"/>
        <w:rPr>
          <w:sz w:val="18"/>
          <w:szCs w:val="18"/>
        </w:rPr>
      </w:pPr>
      <w:r w:rsidRPr="000B56AD">
        <w:rPr>
          <w:sz w:val="18"/>
          <w:szCs w:val="18"/>
        </w:rPr>
        <w:tab/>
      </w:r>
      <w:r w:rsidR="009A05C7" w:rsidRPr="000B56AD">
        <w:rPr>
          <w:sz w:val="18"/>
          <w:szCs w:val="18"/>
        </w:rPr>
        <w:t>Zdroj: MF SR, ŠÚ SR</w:t>
      </w:r>
    </w:p>
    <w:p w14:paraId="5FACE4E5" w14:textId="77777777" w:rsidR="00415273" w:rsidRPr="0050710A" w:rsidRDefault="00415273" w:rsidP="00532D85">
      <w:pPr>
        <w:spacing w:line="240" w:lineRule="auto"/>
        <w:jc w:val="both"/>
        <w:rPr>
          <w:b/>
          <w:szCs w:val="24"/>
          <w:highlight w:val="yellow"/>
        </w:rPr>
      </w:pPr>
    </w:p>
    <w:p w14:paraId="66ED6B3A" w14:textId="503CA453" w:rsidR="00C164B8" w:rsidRPr="003E05CC" w:rsidRDefault="00C164B8" w:rsidP="00C164B8">
      <w:pPr>
        <w:spacing w:line="240" w:lineRule="auto"/>
        <w:jc w:val="both"/>
        <w:rPr>
          <w:szCs w:val="24"/>
        </w:rPr>
      </w:pPr>
      <w:r w:rsidRPr="003E05CC">
        <w:rPr>
          <w:b/>
          <w:szCs w:val="24"/>
        </w:rPr>
        <w:t>Maastrichtský dlh verejnej správy sa prezentuje ako konsolidovaný</w:t>
      </w:r>
      <w:r w:rsidRPr="003E05CC">
        <w:rPr>
          <w:szCs w:val="24"/>
        </w:rPr>
        <w:t>, to znamená, že vzťahy z pôžičiek a výpožičiek medzi jednotlivými subjektmi verejnej správy sú vylúčené. Zároveň maastrichtský dlh nezahŕňa záväzky z nesplatených úrokov k istine. Skupiny subjektov verejnej správy uvedené v tabuľke nižšie sú vnútorne skonsolidované o vzájomné vzťahy v rámci danej skupiny (napríklad územná samospráva). Hodnota konsolidácie vo výške 1 518 956 tis. eur predstavuje len pôžičky medzi skupinami verejnej správy</w:t>
      </w:r>
      <w:r w:rsidRPr="003E05CC">
        <w:rPr>
          <w:szCs w:val="24"/>
          <w:vertAlign w:val="superscript"/>
        </w:rPr>
        <w:footnoteReference w:id="15"/>
      </w:r>
      <w:r w:rsidRPr="003E05CC">
        <w:rPr>
          <w:szCs w:val="24"/>
        </w:rPr>
        <w:t xml:space="preserve">, ide najmä o pôžičky Štátneho fondu rozvoja bývania poskytnuté subjektom územnej samosprávy (745 126 tis. eur) a návratné </w:t>
      </w:r>
      <w:r w:rsidRPr="003E05CC">
        <w:rPr>
          <w:szCs w:val="24"/>
        </w:rPr>
        <w:lastRenderedPageBreak/>
        <w:t xml:space="preserve">finančné výpomoci </w:t>
      </w:r>
      <w:r w:rsidR="000B391C">
        <w:rPr>
          <w:szCs w:val="24"/>
        </w:rPr>
        <w:t xml:space="preserve">poskytnuté </w:t>
      </w:r>
      <w:r w:rsidRPr="003E05CC">
        <w:rPr>
          <w:szCs w:val="24"/>
        </w:rPr>
        <w:t>vládou subjektom verejnej správy (najmä obciam, mestám a VÚC za 113 410 tis. eur).</w:t>
      </w:r>
    </w:p>
    <w:p w14:paraId="3D377AB2" w14:textId="77777777" w:rsidR="00C164B8" w:rsidRPr="003E05CC" w:rsidRDefault="00C164B8" w:rsidP="00C164B8">
      <w:pPr>
        <w:spacing w:line="240" w:lineRule="auto"/>
        <w:jc w:val="both"/>
        <w:rPr>
          <w:szCs w:val="24"/>
          <w:u w:val="single"/>
        </w:rPr>
      </w:pPr>
      <w:r w:rsidRPr="003E05CC">
        <w:rPr>
          <w:szCs w:val="24"/>
          <w:u w:val="single"/>
        </w:rPr>
        <w:t>V prehľade maastrichtského dlhu podľa zložiek verejnej správy sú uvedené hodnoty na nekonsolidovanej báze, pričom výsledná hodnota dlhu a opis medziročných vplyvov sú uvádzané po konsolidácii.</w:t>
      </w:r>
    </w:p>
    <w:p w14:paraId="137C8847" w14:textId="016D8DC9" w:rsidR="00FC6896" w:rsidRDefault="00FC6896">
      <w:pPr>
        <w:rPr>
          <w:szCs w:val="24"/>
          <w:highlight w:val="yellow"/>
          <w:u w:val="single"/>
        </w:rPr>
      </w:pPr>
    </w:p>
    <w:p w14:paraId="4863504B" w14:textId="32188332" w:rsidR="00BA3DAB" w:rsidRPr="0020258E" w:rsidRDefault="00BA3DAB" w:rsidP="00532D85">
      <w:pPr>
        <w:pStyle w:val="Popis"/>
        <w:jc w:val="both"/>
        <w:rPr>
          <w:lang w:eastAsia="sk-SK"/>
        </w:rPr>
      </w:pPr>
      <w:bookmarkStart w:id="67" w:name="_Toc196313640"/>
      <w:bookmarkStart w:id="68" w:name="_Toc227670150"/>
      <w:r w:rsidRPr="0020258E">
        <w:rPr>
          <w:lang w:eastAsia="sk-SK"/>
        </w:rPr>
        <w:t xml:space="preserve">Tabuľka </w:t>
      </w:r>
      <w:r w:rsidR="003B7AF0" w:rsidRPr="0020258E">
        <w:rPr>
          <w:i/>
          <w:lang w:eastAsia="sk-SK"/>
        </w:rPr>
        <w:fldChar w:fldCharType="begin"/>
      </w:r>
      <w:r w:rsidR="003B7AF0" w:rsidRPr="0020258E">
        <w:rPr>
          <w:lang w:eastAsia="sk-SK"/>
        </w:rPr>
        <w:instrText xml:space="preserve"> SEQ Tabuľka \* ARABIC </w:instrText>
      </w:r>
      <w:r w:rsidR="003B7AF0" w:rsidRPr="0020258E">
        <w:rPr>
          <w:i/>
          <w:lang w:eastAsia="sk-SK"/>
        </w:rPr>
        <w:fldChar w:fldCharType="separate"/>
      </w:r>
      <w:r w:rsidR="00396BE8">
        <w:rPr>
          <w:noProof/>
          <w:lang w:eastAsia="sk-SK"/>
        </w:rPr>
        <w:t>14</w:t>
      </w:r>
      <w:r w:rsidR="003B7AF0" w:rsidRPr="0020258E">
        <w:rPr>
          <w:i/>
          <w:lang w:eastAsia="sk-SK"/>
        </w:rPr>
        <w:fldChar w:fldCharType="end"/>
      </w:r>
      <w:r w:rsidRPr="0020258E">
        <w:rPr>
          <w:lang w:eastAsia="sk-SK"/>
        </w:rPr>
        <w:t xml:space="preserve"> - Maastrichtský dlh </w:t>
      </w:r>
      <w:r w:rsidR="00F60902" w:rsidRPr="0020258E">
        <w:rPr>
          <w:lang w:eastAsia="sk-SK"/>
        </w:rPr>
        <w:t>VS</w:t>
      </w:r>
      <w:r w:rsidRPr="0020258E">
        <w:rPr>
          <w:lang w:eastAsia="sk-SK"/>
        </w:rPr>
        <w:t xml:space="preserve"> podľa jednotlivých subjektov (zložiek)</w:t>
      </w:r>
      <w:bookmarkEnd w:id="67"/>
      <w:bookmarkEnd w:id="68"/>
    </w:p>
    <w:tbl>
      <w:tblPr>
        <w:tblW w:w="5000" w:type="pct"/>
        <w:tblCellMar>
          <w:left w:w="70" w:type="dxa"/>
          <w:right w:w="70" w:type="dxa"/>
        </w:tblCellMar>
        <w:tblLook w:val="04A0" w:firstRow="1" w:lastRow="0" w:firstColumn="1" w:lastColumn="0" w:noHBand="0" w:noVBand="1"/>
      </w:tblPr>
      <w:tblGrid>
        <w:gridCol w:w="5001"/>
        <w:gridCol w:w="1039"/>
        <w:gridCol w:w="1045"/>
        <w:gridCol w:w="1045"/>
        <w:gridCol w:w="940"/>
      </w:tblGrid>
      <w:tr w:rsidR="0020258E" w:rsidRPr="0020258E" w14:paraId="21B46F77" w14:textId="77777777" w:rsidTr="0020258E">
        <w:trPr>
          <w:trHeight w:val="285"/>
          <w:tblHeader/>
        </w:trPr>
        <w:tc>
          <w:tcPr>
            <w:tcW w:w="2756" w:type="pct"/>
            <w:vMerge w:val="restart"/>
            <w:tcBorders>
              <w:top w:val="single" w:sz="4" w:space="0" w:color="auto"/>
              <w:left w:val="nil"/>
              <w:bottom w:val="single" w:sz="4" w:space="0" w:color="000000"/>
              <w:right w:val="nil"/>
            </w:tcBorders>
            <w:vAlign w:val="center"/>
            <w:hideMark/>
          </w:tcPr>
          <w:p w14:paraId="7B836AE3" w14:textId="77777777" w:rsidR="0020258E" w:rsidRPr="0020258E" w:rsidRDefault="0020258E" w:rsidP="00B6745A">
            <w:pPr>
              <w:spacing w:line="240" w:lineRule="auto"/>
              <w:jc w:val="both"/>
              <w:rPr>
                <w:rFonts w:eastAsia="Times New Roman" w:cs="Times New Roman"/>
                <w:b/>
                <w:bCs/>
                <w:sz w:val="18"/>
                <w:szCs w:val="18"/>
                <w:lang w:eastAsia="sk-SK"/>
              </w:rPr>
            </w:pPr>
            <w:r w:rsidRPr="0020258E">
              <w:rPr>
                <w:rFonts w:eastAsia="Times New Roman" w:cs="Times New Roman"/>
                <w:b/>
                <w:bCs/>
                <w:sz w:val="18"/>
                <w:szCs w:val="18"/>
                <w:lang w:eastAsia="sk-SK"/>
              </w:rPr>
              <w:t>v tis. eur</w:t>
            </w:r>
          </w:p>
        </w:tc>
        <w:tc>
          <w:tcPr>
            <w:tcW w:w="573" w:type="pct"/>
            <w:tcBorders>
              <w:top w:val="single" w:sz="4" w:space="0" w:color="auto"/>
              <w:left w:val="nil"/>
              <w:bottom w:val="nil"/>
              <w:right w:val="nil"/>
            </w:tcBorders>
            <w:vAlign w:val="center"/>
            <w:hideMark/>
          </w:tcPr>
          <w:p w14:paraId="7BA88E3B"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2023 S</w:t>
            </w:r>
          </w:p>
        </w:tc>
        <w:tc>
          <w:tcPr>
            <w:tcW w:w="576" w:type="pct"/>
            <w:tcBorders>
              <w:top w:val="single" w:sz="4" w:space="0" w:color="auto"/>
              <w:left w:val="nil"/>
              <w:bottom w:val="nil"/>
              <w:right w:val="nil"/>
            </w:tcBorders>
            <w:vAlign w:val="center"/>
            <w:hideMark/>
          </w:tcPr>
          <w:p w14:paraId="0C6572BC"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2024 S</w:t>
            </w:r>
          </w:p>
        </w:tc>
        <w:tc>
          <w:tcPr>
            <w:tcW w:w="576" w:type="pct"/>
            <w:tcBorders>
              <w:top w:val="single" w:sz="4" w:space="0" w:color="auto"/>
              <w:left w:val="nil"/>
              <w:bottom w:val="nil"/>
              <w:right w:val="nil"/>
            </w:tcBorders>
            <w:vAlign w:val="center"/>
            <w:hideMark/>
          </w:tcPr>
          <w:p w14:paraId="2AEF4F2B"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2025 S</w:t>
            </w:r>
          </w:p>
        </w:tc>
        <w:tc>
          <w:tcPr>
            <w:tcW w:w="518" w:type="pct"/>
            <w:tcBorders>
              <w:top w:val="single" w:sz="4" w:space="0" w:color="auto"/>
              <w:left w:val="nil"/>
              <w:bottom w:val="nil"/>
              <w:right w:val="nil"/>
            </w:tcBorders>
            <w:vAlign w:val="center"/>
            <w:hideMark/>
          </w:tcPr>
          <w:p w14:paraId="39BCF94A"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Zmena</w:t>
            </w:r>
          </w:p>
        </w:tc>
      </w:tr>
      <w:tr w:rsidR="0020258E" w:rsidRPr="0020258E" w14:paraId="2B4AAF2D" w14:textId="77777777" w:rsidTr="00105F74">
        <w:trPr>
          <w:trHeight w:val="99"/>
          <w:tblHeader/>
        </w:trPr>
        <w:tc>
          <w:tcPr>
            <w:tcW w:w="2756" w:type="pct"/>
            <w:vMerge/>
            <w:tcBorders>
              <w:top w:val="single" w:sz="4" w:space="0" w:color="auto"/>
              <w:left w:val="nil"/>
              <w:bottom w:val="single" w:sz="4" w:space="0" w:color="000000"/>
              <w:right w:val="nil"/>
            </w:tcBorders>
            <w:vAlign w:val="center"/>
            <w:hideMark/>
          </w:tcPr>
          <w:p w14:paraId="2224EB12" w14:textId="77777777" w:rsidR="0020258E" w:rsidRPr="0020258E" w:rsidRDefault="0020258E" w:rsidP="00B6745A">
            <w:pPr>
              <w:spacing w:line="240" w:lineRule="auto"/>
              <w:rPr>
                <w:rFonts w:eastAsia="Times New Roman" w:cs="Times New Roman"/>
                <w:b/>
                <w:bCs/>
                <w:sz w:val="18"/>
                <w:szCs w:val="18"/>
                <w:lang w:eastAsia="sk-SK"/>
              </w:rPr>
            </w:pPr>
          </w:p>
        </w:tc>
        <w:tc>
          <w:tcPr>
            <w:tcW w:w="573" w:type="pct"/>
            <w:tcBorders>
              <w:top w:val="nil"/>
              <w:left w:val="nil"/>
              <w:bottom w:val="single" w:sz="4" w:space="0" w:color="auto"/>
              <w:right w:val="nil"/>
            </w:tcBorders>
            <w:noWrap/>
            <w:vAlign w:val="bottom"/>
            <w:hideMark/>
          </w:tcPr>
          <w:p w14:paraId="7D5AC5E9"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1</w:t>
            </w:r>
          </w:p>
        </w:tc>
        <w:tc>
          <w:tcPr>
            <w:tcW w:w="576" w:type="pct"/>
            <w:tcBorders>
              <w:top w:val="nil"/>
              <w:left w:val="nil"/>
              <w:bottom w:val="single" w:sz="4" w:space="0" w:color="auto"/>
              <w:right w:val="nil"/>
            </w:tcBorders>
            <w:noWrap/>
            <w:vAlign w:val="bottom"/>
            <w:hideMark/>
          </w:tcPr>
          <w:p w14:paraId="1E677A93"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w:t>
            </w:r>
          </w:p>
        </w:tc>
        <w:tc>
          <w:tcPr>
            <w:tcW w:w="576" w:type="pct"/>
            <w:tcBorders>
              <w:top w:val="nil"/>
              <w:left w:val="nil"/>
              <w:bottom w:val="single" w:sz="4" w:space="0" w:color="auto"/>
              <w:right w:val="nil"/>
            </w:tcBorders>
            <w:noWrap/>
            <w:vAlign w:val="bottom"/>
            <w:hideMark/>
          </w:tcPr>
          <w:p w14:paraId="02D627DB"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3</w:t>
            </w:r>
          </w:p>
        </w:tc>
        <w:tc>
          <w:tcPr>
            <w:tcW w:w="518" w:type="pct"/>
            <w:tcBorders>
              <w:top w:val="nil"/>
              <w:left w:val="nil"/>
              <w:bottom w:val="single" w:sz="4" w:space="0" w:color="auto"/>
              <w:right w:val="nil"/>
            </w:tcBorders>
            <w:noWrap/>
            <w:vAlign w:val="bottom"/>
            <w:hideMark/>
          </w:tcPr>
          <w:p w14:paraId="6CC3B6DA"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4=(3-2)</w:t>
            </w:r>
          </w:p>
        </w:tc>
      </w:tr>
      <w:tr w:rsidR="0020258E" w:rsidRPr="0020258E" w14:paraId="269DB9D5" w14:textId="77777777" w:rsidTr="0020258E">
        <w:trPr>
          <w:trHeight w:val="290"/>
        </w:trPr>
        <w:tc>
          <w:tcPr>
            <w:tcW w:w="2756" w:type="pct"/>
            <w:tcBorders>
              <w:top w:val="nil"/>
              <w:left w:val="nil"/>
              <w:bottom w:val="nil"/>
              <w:right w:val="nil"/>
            </w:tcBorders>
            <w:noWrap/>
            <w:vAlign w:val="bottom"/>
            <w:hideMark/>
          </w:tcPr>
          <w:p w14:paraId="6B2F23FE" w14:textId="77777777" w:rsidR="0020258E" w:rsidRPr="0020258E" w:rsidRDefault="0020258E" w:rsidP="00B6745A">
            <w:pPr>
              <w:spacing w:line="240" w:lineRule="auto"/>
              <w:rPr>
                <w:rFonts w:eastAsia="Times New Roman" w:cs="Times New Roman"/>
                <w:b/>
                <w:bCs/>
                <w:sz w:val="18"/>
                <w:szCs w:val="18"/>
                <w:lang w:eastAsia="sk-SK"/>
              </w:rPr>
            </w:pPr>
            <w:r w:rsidRPr="0020258E">
              <w:rPr>
                <w:rFonts w:eastAsia="Times New Roman" w:cs="Times New Roman"/>
                <w:b/>
                <w:bCs/>
                <w:sz w:val="18"/>
                <w:szCs w:val="18"/>
                <w:lang w:eastAsia="sk-SK"/>
              </w:rPr>
              <w:t>Ústredná správa</w:t>
            </w:r>
          </w:p>
        </w:tc>
        <w:tc>
          <w:tcPr>
            <w:tcW w:w="573" w:type="pct"/>
            <w:tcBorders>
              <w:top w:val="nil"/>
              <w:left w:val="nil"/>
              <w:bottom w:val="nil"/>
              <w:right w:val="nil"/>
            </w:tcBorders>
            <w:noWrap/>
            <w:vAlign w:val="bottom"/>
            <w:hideMark/>
          </w:tcPr>
          <w:p w14:paraId="0A84AE87" w14:textId="77777777" w:rsidR="0020258E" w:rsidRPr="0020258E" w:rsidRDefault="0020258E" w:rsidP="00B6745A">
            <w:pPr>
              <w:spacing w:line="240" w:lineRule="auto"/>
              <w:rPr>
                <w:rFonts w:eastAsia="Times New Roman" w:cs="Times New Roman"/>
                <w:b/>
                <w:bCs/>
                <w:sz w:val="18"/>
                <w:szCs w:val="18"/>
                <w:lang w:eastAsia="sk-SK"/>
              </w:rPr>
            </w:pPr>
          </w:p>
        </w:tc>
        <w:tc>
          <w:tcPr>
            <w:tcW w:w="576" w:type="pct"/>
            <w:tcBorders>
              <w:top w:val="nil"/>
              <w:left w:val="nil"/>
              <w:bottom w:val="nil"/>
              <w:right w:val="nil"/>
            </w:tcBorders>
            <w:noWrap/>
            <w:vAlign w:val="bottom"/>
            <w:hideMark/>
          </w:tcPr>
          <w:p w14:paraId="1F283036" w14:textId="77777777" w:rsidR="0020258E" w:rsidRPr="0020258E" w:rsidRDefault="0020258E" w:rsidP="00B6745A">
            <w:pPr>
              <w:spacing w:line="240" w:lineRule="auto"/>
              <w:rPr>
                <w:rFonts w:eastAsia="Times New Roman" w:cs="Times New Roman"/>
                <w:sz w:val="18"/>
                <w:szCs w:val="18"/>
                <w:lang w:eastAsia="sk-SK"/>
              </w:rPr>
            </w:pPr>
          </w:p>
        </w:tc>
        <w:tc>
          <w:tcPr>
            <w:tcW w:w="576" w:type="pct"/>
            <w:tcBorders>
              <w:top w:val="nil"/>
              <w:left w:val="nil"/>
              <w:bottom w:val="nil"/>
              <w:right w:val="nil"/>
            </w:tcBorders>
            <w:noWrap/>
            <w:vAlign w:val="bottom"/>
            <w:hideMark/>
          </w:tcPr>
          <w:p w14:paraId="63CE3FD0" w14:textId="77777777" w:rsidR="0020258E" w:rsidRPr="0020258E" w:rsidRDefault="0020258E" w:rsidP="00B6745A">
            <w:pPr>
              <w:spacing w:line="240" w:lineRule="auto"/>
              <w:rPr>
                <w:rFonts w:eastAsia="Times New Roman" w:cs="Times New Roman"/>
                <w:sz w:val="18"/>
                <w:szCs w:val="18"/>
                <w:lang w:eastAsia="sk-SK"/>
              </w:rPr>
            </w:pPr>
          </w:p>
        </w:tc>
        <w:tc>
          <w:tcPr>
            <w:tcW w:w="518" w:type="pct"/>
            <w:tcBorders>
              <w:top w:val="nil"/>
              <w:left w:val="nil"/>
              <w:bottom w:val="nil"/>
              <w:right w:val="nil"/>
            </w:tcBorders>
            <w:noWrap/>
            <w:vAlign w:val="bottom"/>
            <w:hideMark/>
          </w:tcPr>
          <w:p w14:paraId="7A72F13D"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26CEBBC8" w14:textId="77777777" w:rsidTr="00105F74">
        <w:trPr>
          <w:trHeight w:val="231"/>
        </w:trPr>
        <w:tc>
          <w:tcPr>
            <w:tcW w:w="2756" w:type="pct"/>
            <w:tcBorders>
              <w:top w:val="nil"/>
              <w:left w:val="nil"/>
              <w:bottom w:val="nil"/>
              <w:right w:val="nil"/>
            </w:tcBorders>
            <w:noWrap/>
            <w:vAlign w:val="bottom"/>
            <w:hideMark/>
          </w:tcPr>
          <w:p w14:paraId="0BEEDFD9" w14:textId="77777777" w:rsidR="0020258E" w:rsidRPr="0020258E" w:rsidRDefault="0020258E" w:rsidP="00B6745A">
            <w:pPr>
              <w:spacing w:line="240" w:lineRule="auto"/>
              <w:ind w:firstLineChars="100" w:firstLine="180"/>
              <w:rPr>
                <w:rFonts w:eastAsia="Times New Roman" w:cs="Times New Roman"/>
                <w:sz w:val="18"/>
                <w:szCs w:val="18"/>
                <w:lang w:eastAsia="sk-SK"/>
              </w:rPr>
            </w:pPr>
            <w:r w:rsidRPr="0020258E">
              <w:rPr>
                <w:rFonts w:eastAsia="Times New Roman" w:cs="Times New Roman"/>
                <w:sz w:val="18"/>
                <w:szCs w:val="18"/>
                <w:lang w:eastAsia="sk-SK"/>
              </w:rPr>
              <w:t xml:space="preserve">z toho: </w:t>
            </w:r>
          </w:p>
        </w:tc>
        <w:tc>
          <w:tcPr>
            <w:tcW w:w="573" w:type="pct"/>
            <w:tcBorders>
              <w:top w:val="nil"/>
              <w:left w:val="nil"/>
              <w:bottom w:val="nil"/>
              <w:right w:val="nil"/>
            </w:tcBorders>
            <w:noWrap/>
            <w:vAlign w:val="bottom"/>
            <w:hideMark/>
          </w:tcPr>
          <w:p w14:paraId="660E3589" w14:textId="77777777" w:rsidR="0020258E" w:rsidRPr="0020258E" w:rsidRDefault="0020258E" w:rsidP="00B6745A">
            <w:pPr>
              <w:spacing w:line="240" w:lineRule="auto"/>
              <w:ind w:firstLineChars="100" w:firstLine="180"/>
              <w:rPr>
                <w:rFonts w:eastAsia="Times New Roman" w:cs="Times New Roman"/>
                <w:sz w:val="18"/>
                <w:szCs w:val="18"/>
                <w:lang w:eastAsia="sk-SK"/>
              </w:rPr>
            </w:pPr>
          </w:p>
        </w:tc>
        <w:tc>
          <w:tcPr>
            <w:tcW w:w="576" w:type="pct"/>
            <w:tcBorders>
              <w:top w:val="nil"/>
              <w:left w:val="nil"/>
              <w:bottom w:val="nil"/>
              <w:right w:val="nil"/>
            </w:tcBorders>
            <w:noWrap/>
            <w:vAlign w:val="bottom"/>
            <w:hideMark/>
          </w:tcPr>
          <w:p w14:paraId="4A28C154" w14:textId="77777777" w:rsidR="0020258E" w:rsidRPr="0020258E" w:rsidRDefault="0020258E" w:rsidP="00B6745A">
            <w:pPr>
              <w:spacing w:line="240" w:lineRule="auto"/>
              <w:rPr>
                <w:rFonts w:eastAsia="Times New Roman" w:cs="Times New Roman"/>
                <w:sz w:val="18"/>
                <w:szCs w:val="18"/>
                <w:lang w:eastAsia="sk-SK"/>
              </w:rPr>
            </w:pPr>
          </w:p>
        </w:tc>
        <w:tc>
          <w:tcPr>
            <w:tcW w:w="576" w:type="pct"/>
            <w:tcBorders>
              <w:top w:val="nil"/>
              <w:left w:val="nil"/>
              <w:bottom w:val="nil"/>
              <w:right w:val="nil"/>
            </w:tcBorders>
            <w:noWrap/>
            <w:vAlign w:val="bottom"/>
            <w:hideMark/>
          </w:tcPr>
          <w:p w14:paraId="188D9753" w14:textId="77777777" w:rsidR="0020258E" w:rsidRPr="0020258E" w:rsidRDefault="0020258E" w:rsidP="00B6745A">
            <w:pPr>
              <w:spacing w:line="240" w:lineRule="auto"/>
              <w:rPr>
                <w:rFonts w:eastAsia="Times New Roman" w:cs="Times New Roman"/>
                <w:sz w:val="18"/>
                <w:szCs w:val="18"/>
                <w:lang w:eastAsia="sk-SK"/>
              </w:rPr>
            </w:pPr>
          </w:p>
        </w:tc>
        <w:tc>
          <w:tcPr>
            <w:tcW w:w="518" w:type="pct"/>
            <w:tcBorders>
              <w:top w:val="nil"/>
              <w:left w:val="nil"/>
              <w:bottom w:val="nil"/>
              <w:right w:val="nil"/>
            </w:tcBorders>
            <w:noWrap/>
            <w:vAlign w:val="bottom"/>
            <w:hideMark/>
          </w:tcPr>
          <w:p w14:paraId="0AF2FC89"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0E823FCF" w14:textId="77777777" w:rsidTr="00105F74">
        <w:trPr>
          <w:trHeight w:val="277"/>
        </w:trPr>
        <w:tc>
          <w:tcPr>
            <w:tcW w:w="2756" w:type="pct"/>
            <w:tcBorders>
              <w:top w:val="nil"/>
              <w:left w:val="nil"/>
              <w:bottom w:val="nil"/>
              <w:right w:val="nil"/>
            </w:tcBorders>
            <w:noWrap/>
            <w:vAlign w:val="bottom"/>
            <w:hideMark/>
          </w:tcPr>
          <w:p w14:paraId="6406C158" w14:textId="7156C311"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Štátny dlh</w:t>
            </w:r>
            <w:r w:rsidRPr="0020258E">
              <w:rPr>
                <w:rFonts w:eastAsia="Times New Roman" w:cs="Times New Roman"/>
                <w:sz w:val="18"/>
                <w:szCs w:val="18"/>
                <w:vertAlign w:val="superscript"/>
                <w:lang w:eastAsia="sk-SK"/>
              </w:rPr>
              <w:t>1)</w:t>
            </w:r>
          </w:p>
        </w:tc>
        <w:tc>
          <w:tcPr>
            <w:tcW w:w="573" w:type="pct"/>
            <w:tcBorders>
              <w:top w:val="nil"/>
              <w:left w:val="nil"/>
              <w:bottom w:val="nil"/>
              <w:right w:val="nil"/>
            </w:tcBorders>
            <w:noWrap/>
            <w:vAlign w:val="bottom"/>
            <w:hideMark/>
          </w:tcPr>
          <w:p w14:paraId="72343711"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66 540 942</w:t>
            </w:r>
          </w:p>
        </w:tc>
        <w:tc>
          <w:tcPr>
            <w:tcW w:w="576" w:type="pct"/>
            <w:tcBorders>
              <w:top w:val="nil"/>
              <w:left w:val="nil"/>
              <w:bottom w:val="nil"/>
              <w:right w:val="nil"/>
            </w:tcBorders>
            <w:noWrap/>
            <w:vAlign w:val="bottom"/>
            <w:hideMark/>
          </w:tcPr>
          <w:p w14:paraId="583168C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75 410 881</w:t>
            </w:r>
          </w:p>
        </w:tc>
        <w:tc>
          <w:tcPr>
            <w:tcW w:w="576" w:type="pct"/>
            <w:tcBorders>
              <w:top w:val="nil"/>
              <w:left w:val="nil"/>
              <w:bottom w:val="nil"/>
              <w:right w:val="nil"/>
            </w:tcBorders>
            <w:noWrap/>
            <w:vAlign w:val="bottom"/>
            <w:hideMark/>
          </w:tcPr>
          <w:p w14:paraId="7A8E9AB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81 498 872</w:t>
            </w:r>
          </w:p>
        </w:tc>
        <w:tc>
          <w:tcPr>
            <w:tcW w:w="518" w:type="pct"/>
            <w:tcBorders>
              <w:top w:val="nil"/>
              <w:left w:val="nil"/>
              <w:bottom w:val="nil"/>
              <w:right w:val="nil"/>
            </w:tcBorders>
            <w:noWrap/>
            <w:vAlign w:val="bottom"/>
            <w:hideMark/>
          </w:tcPr>
          <w:p w14:paraId="4BD3918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6 087 991</w:t>
            </w:r>
          </w:p>
        </w:tc>
      </w:tr>
      <w:tr w:rsidR="0020258E" w:rsidRPr="0020258E" w14:paraId="01D28B55" w14:textId="77777777" w:rsidTr="0020258E">
        <w:trPr>
          <w:trHeight w:val="290"/>
        </w:trPr>
        <w:tc>
          <w:tcPr>
            <w:tcW w:w="2756" w:type="pct"/>
            <w:tcBorders>
              <w:top w:val="nil"/>
              <w:left w:val="nil"/>
              <w:bottom w:val="nil"/>
              <w:right w:val="nil"/>
            </w:tcBorders>
            <w:noWrap/>
            <w:vAlign w:val="bottom"/>
            <w:hideMark/>
          </w:tcPr>
          <w:p w14:paraId="35D6AD49"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Príspevkové organizácie ústrednej správy</w:t>
            </w:r>
          </w:p>
        </w:tc>
        <w:tc>
          <w:tcPr>
            <w:tcW w:w="573" w:type="pct"/>
            <w:tcBorders>
              <w:top w:val="nil"/>
              <w:left w:val="nil"/>
              <w:bottom w:val="nil"/>
              <w:right w:val="nil"/>
            </w:tcBorders>
            <w:noWrap/>
            <w:vAlign w:val="bottom"/>
            <w:hideMark/>
          </w:tcPr>
          <w:p w14:paraId="07C28F22"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618</w:t>
            </w:r>
          </w:p>
        </w:tc>
        <w:tc>
          <w:tcPr>
            <w:tcW w:w="576" w:type="pct"/>
            <w:tcBorders>
              <w:top w:val="nil"/>
              <w:left w:val="nil"/>
              <w:bottom w:val="nil"/>
              <w:right w:val="nil"/>
            </w:tcBorders>
            <w:noWrap/>
            <w:vAlign w:val="bottom"/>
            <w:hideMark/>
          </w:tcPr>
          <w:p w14:paraId="4DF9B503"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469</w:t>
            </w:r>
          </w:p>
        </w:tc>
        <w:tc>
          <w:tcPr>
            <w:tcW w:w="576" w:type="pct"/>
            <w:tcBorders>
              <w:top w:val="nil"/>
              <w:left w:val="nil"/>
              <w:bottom w:val="nil"/>
              <w:right w:val="nil"/>
            </w:tcBorders>
            <w:noWrap/>
            <w:vAlign w:val="bottom"/>
            <w:hideMark/>
          </w:tcPr>
          <w:p w14:paraId="7FA20DA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416</w:t>
            </w:r>
          </w:p>
        </w:tc>
        <w:tc>
          <w:tcPr>
            <w:tcW w:w="518" w:type="pct"/>
            <w:tcBorders>
              <w:top w:val="nil"/>
              <w:left w:val="nil"/>
              <w:bottom w:val="nil"/>
              <w:right w:val="nil"/>
            </w:tcBorders>
            <w:noWrap/>
            <w:vAlign w:val="bottom"/>
            <w:hideMark/>
          </w:tcPr>
          <w:p w14:paraId="06F1B5A7"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-53</w:t>
            </w:r>
          </w:p>
        </w:tc>
      </w:tr>
      <w:tr w:rsidR="0020258E" w:rsidRPr="0020258E" w14:paraId="27EA7CBD" w14:textId="77777777" w:rsidTr="0020258E">
        <w:trPr>
          <w:trHeight w:val="290"/>
        </w:trPr>
        <w:tc>
          <w:tcPr>
            <w:tcW w:w="2756" w:type="pct"/>
            <w:tcBorders>
              <w:top w:val="nil"/>
              <w:left w:val="nil"/>
              <w:bottom w:val="nil"/>
              <w:right w:val="nil"/>
            </w:tcBorders>
            <w:noWrap/>
            <w:vAlign w:val="bottom"/>
            <w:hideMark/>
          </w:tcPr>
          <w:p w14:paraId="0537F02F"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Slovenská záručná a rozvojová banka, a. s.</w:t>
            </w:r>
          </w:p>
        </w:tc>
        <w:tc>
          <w:tcPr>
            <w:tcW w:w="573" w:type="pct"/>
            <w:tcBorders>
              <w:top w:val="nil"/>
              <w:left w:val="nil"/>
              <w:bottom w:val="nil"/>
              <w:right w:val="nil"/>
            </w:tcBorders>
            <w:noWrap/>
            <w:vAlign w:val="bottom"/>
            <w:hideMark/>
          </w:tcPr>
          <w:p w14:paraId="4E05E64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240 167</w:t>
            </w:r>
          </w:p>
        </w:tc>
        <w:tc>
          <w:tcPr>
            <w:tcW w:w="576" w:type="pct"/>
            <w:tcBorders>
              <w:top w:val="nil"/>
              <w:left w:val="nil"/>
              <w:bottom w:val="nil"/>
              <w:right w:val="nil"/>
            </w:tcBorders>
            <w:noWrap/>
            <w:vAlign w:val="bottom"/>
            <w:hideMark/>
          </w:tcPr>
          <w:p w14:paraId="53614E1D"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249 697</w:t>
            </w:r>
          </w:p>
        </w:tc>
        <w:tc>
          <w:tcPr>
            <w:tcW w:w="576" w:type="pct"/>
            <w:tcBorders>
              <w:top w:val="nil"/>
              <w:left w:val="nil"/>
              <w:bottom w:val="nil"/>
              <w:right w:val="nil"/>
            </w:tcBorders>
            <w:noWrap/>
            <w:vAlign w:val="bottom"/>
            <w:hideMark/>
          </w:tcPr>
          <w:p w14:paraId="56FE8EE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275 427</w:t>
            </w:r>
          </w:p>
        </w:tc>
        <w:tc>
          <w:tcPr>
            <w:tcW w:w="518" w:type="pct"/>
            <w:tcBorders>
              <w:top w:val="nil"/>
              <w:left w:val="nil"/>
              <w:bottom w:val="nil"/>
              <w:right w:val="nil"/>
            </w:tcBorders>
            <w:noWrap/>
            <w:vAlign w:val="bottom"/>
            <w:hideMark/>
          </w:tcPr>
          <w:p w14:paraId="7EBCB14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25 730</w:t>
            </w:r>
          </w:p>
        </w:tc>
      </w:tr>
      <w:tr w:rsidR="0020258E" w:rsidRPr="0020258E" w14:paraId="3821A136" w14:textId="77777777" w:rsidTr="0020258E">
        <w:trPr>
          <w:trHeight w:val="290"/>
        </w:trPr>
        <w:tc>
          <w:tcPr>
            <w:tcW w:w="2756" w:type="pct"/>
            <w:tcBorders>
              <w:top w:val="nil"/>
              <w:left w:val="nil"/>
              <w:bottom w:val="nil"/>
              <w:right w:val="nil"/>
            </w:tcBorders>
            <w:noWrap/>
            <w:vAlign w:val="bottom"/>
            <w:hideMark/>
          </w:tcPr>
          <w:p w14:paraId="69C0271D"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Exportno-importná banka SR</w:t>
            </w:r>
          </w:p>
        </w:tc>
        <w:tc>
          <w:tcPr>
            <w:tcW w:w="573" w:type="pct"/>
            <w:tcBorders>
              <w:top w:val="nil"/>
              <w:left w:val="nil"/>
              <w:bottom w:val="nil"/>
              <w:right w:val="nil"/>
            </w:tcBorders>
            <w:noWrap/>
            <w:vAlign w:val="bottom"/>
            <w:hideMark/>
          </w:tcPr>
          <w:p w14:paraId="0BA9762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188 156</w:t>
            </w:r>
          </w:p>
        </w:tc>
        <w:tc>
          <w:tcPr>
            <w:tcW w:w="576" w:type="pct"/>
            <w:tcBorders>
              <w:top w:val="nil"/>
              <w:left w:val="nil"/>
              <w:bottom w:val="nil"/>
              <w:right w:val="nil"/>
            </w:tcBorders>
            <w:noWrap/>
            <w:vAlign w:val="bottom"/>
            <w:hideMark/>
          </w:tcPr>
          <w:p w14:paraId="7F2772BD"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245 412</w:t>
            </w:r>
          </w:p>
        </w:tc>
        <w:tc>
          <w:tcPr>
            <w:tcW w:w="576" w:type="pct"/>
            <w:tcBorders>
              <w:top w:val="nil"/>
              <w:left w:val="nil"/>
              <w:bottom w:val="nil"/>
              <w:right w:val="nil"/>
            </w:tcBorders>
            <w:noWrap/>
            <w:vAlign w:val="bottom"/>
            <w:hideMark/>
          </w:tcPr>
          <w:p w14:paraId="2769A70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149 437</w:t>
            </w:r>
          </w:p>
        </w:tc>
        <w:tc>
          <w:tcPr>
            <w:tcW w:w="518" w:type="pct"/>
            <w:tcBorders>
              <w:top w:val="nil"/>
              <w:left w:val="nil"/>
              <w:bottom w:val="nil"/>
              <w:right w:val="nil"/>
            </w:tcBorders>
            <w:noWrap/>
            <w:vAlign w:val="bottom"/>
            <w:hideMark/>
          </w:tcPr>
          <w:p w14:paraId="1B3AC198"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-95 975</w:t>
            </w:r>
          </w:p>
        </w:tc>
      </w:tr>
      <w:tr w:rsidR="0020258E" w:rsidRPr="0020258E" w14:paraId="2920CC3F" w14:textId="77777777" w:rsidTr="0020258E">
        <w:trPr>
          <w:trHeight w:val="290"/>
        </w:trPr>
        <w:tc>
          <w:tcPr>
            <w:tcW w:w="2756" w:type="pct"/>
            <w:tcBorders>
              <w:top w:val="nil"/>
              <w:left w:val="nil"/>
              <w:bottom w:val="nil"/>
              <w:right w:val="nil"/>
            </w:tcBorders>
            <w:noWrap/>
            <w:vAlign w:val="bottom"/>
            <w:hideMark/>
          </w:tcPr>
          <w:p w14:paraId="7D3268E8"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Obchodné spoločnosti štátu</w:t>
            </w:r>
          </w:p>
        </w:tc>
        <w:tc>
          <w:tcPr>
            <w:tcW w:w="573" w:type="pct"/>
            <w:tcBorders>
              <w:top w:val="nil"/>
              <w:left w:val="nil"/>
              <w:bottom w:val="nil"/>
              <w:right w:val="nil"/>
            </w:tcBorders>
            <w:noWrap/>
            <w:vAlign w:val="bottom"/>
            <w:hideMark/>
          </w:tcPr>
          <w:p w14:paraId="11EF99C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491 495</w:t>
            </w:r>
          </w:p>
        </w:tc>
        <w:tc>
          <w:tcPr>
            <w:tcW w:w="576" w:type="pct"/>
            <w:tcBorders>
              <w:top w:val="nil"/>
              <w:left w:val="nil"/>
              <w:bottom w:val="nil"/>
              <w:right w:val="nil"/>
            </w:tcBorders>
            <w:noWrap/>
            <w:vAlign w:val="bottom"/>
            <w:hideMark/>
          </w:tcPr>
          <w:p w14:paraId="2FEA0BD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445 097</w:t>
            </w:r>
          </w:p>
        </w:tc>
        <w:tc>
          <w:tcPr>
            <w:tcW w:w="576" w:type="pct"/>
            <w:tcBorders>
              <w:top w:val="nil"/>
              <w:left w:val="nil"/>
              <w:bottom w:val="nil"/>
              <w:right w:val="nil"/>
            </w:tcBorders>
            <w:noWrap/>
            <w:vAlign w:val="bottom"/>
            <w:hideMark/>
          </w:tcPr>
          <w:p w14:paraId="40D49CE1"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518 602</w:t>
            </w:r>
          </w:p>
        </w:tc>
        <w:tc>
          <w:tcPr>
            <w:tcW w:w="518" w:type="pct"/>
            <w:tcBorders>
              <w:top w:val="nil"/>
              <w:left w:val="nil"/>
              <w:bottom w:val="nil"/>
              <w:right w:val="nil"/>
            </w:tcBorders>
            <w:noWrap/>
            <w:vAlign w:val="bottom"/>
            <w:hideMark/>
          </w:tcPr>
          <w:p w14:paraId="37934DEA"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73 505</w:t>
            </w:r>
          </w:p>
        </w:tc>
      </w:tr>
      <w:tr w:rsidR="0020258E" w:rsidRPr="0020258E" w14:paraId="30A491AD" w14:textId="77777777" w:rsidTr="00105F74">
        <w:trPr>
          <w:trHeight w:val="255"/>
        </w:trPr>
        <w:tc>
          <w:tcPr>
            <w:tcW w:w="2756" w:type="pct"/>
            <w:tcBorders>
              <w:top w:val="nil"/>
              <w:left w:val="nil"/>
              <w:bottom w:val="nil"/>
              <w:right w:val="nil"/>
            </w:tcBorders>
            <w:noWrap/>
            <w:vAlign w:val="bottom"/>
            <w:hideMark/>
          </w:tcPr>
          <w:p w14:paraId="6A48563D" w14:textId="77777777" w:rsidR="0020258E" w:rsidRPr="0020258E" w:rsidRDefault="0020258E" w:rsidP="00B6745A">
            <w:pPr>
              <w:spacing w:line="240" w:lineRule="auto"/>
              <w:ind w:firstLineChars="300" w:firstLine="540"/>
              <w:rPr>
                <w:rFonts w:eastAsia="Times New Roman" w:cs="Times New Roman"/>
                <w:sz w:val="18"/>
                <w:szCs w:val="18"/>
                <w:lang w:eastAsia="sk-SK"/>
              </w:rPr>
            </w:pPr>
            <w:r w:rsidRPr="0020258E">
              <w:rPr>
                <w:rFonts w:eastAsia="Times New Roman" w:cs="Times New Roman"/>
                <w:sz w:val="18"/>
                <w:szCs w:val="18"/>
                <w:lang w:eastAsia="sk-SK"/>
              </w:rPr>
              <w:t>z toho:</w:t>
            </w:r>
          </w:p>
        </w:tc>
        <w:tc>
          <w:tcPr>
            <w:tcW w:w="573" w:type="pct"/>
            <w:tcBorders>
              <w:top w:val="nil"/>
              <w:left w:val="nil"/>
              <w:bottom w:val="nil"/>
              <w:right w:val="nil"/>
            </w:tcBorders>
            <w:noWrap/>
            <w:vAlign w:val="bottom"/>
            <w:hideMark/>
          </w:tcPr>
          <w:p w14:paraId="74215BB1" w14:textId="77777777" w:rsidR="0020258E" w:rsidRPr="0020258E" w:rsidRDefault="0020258E" w:rsidP="00B6745A">
            <w:pPr>
              <w:spacing w:line="240" w:lineRule="auto"/>
              <w:ind w:firstLineChars="300" w:firstLine="540"/>
              <w:rPr>
                <w:rFonts w:eastAsia="Times New Roman" w:cs="Times New Roman"/>
                <w:sz w:val="18"/>
                <w:szCs w:val="18"/>
                <w:lang w:eastAsia="sk-SK"/>
              </w:rPr>
            </w:pPr>
          </w:p>
        </w:tc>
        <w:tc>
          <w:tcPr>
            <w:tcW w:w="576" w:type="pct"/>
            <w:tcBorders>
              <w:top w:val="nil"/>
              <w:left w:val="nil"/>
              <w:bottom w:val="nil"/>
              <w:right w:val="nil"/>
            </w:tcBorders>
            <w:noWrap/>
            <w:vAlign w:val="bottom"/>
            <w:hideMark/>
          </w:tcPr>
          <w:p w14:paraId="3EC786F8" w14:textId="77777777" w:rsidR="0020258E" w:rsidRPr="0020258E" w:rsidRDefault="0020258E" w:rsidP="00B6745A">
            <w:pPr>
              <w:spacing w:line="240" w:lineRule="auto"/>
              <w:rPr>
                <w:rFonts w:eastAsia="Times New Roman" w:cs="Times New Roman"/>
                <w:sz w:val="18"/>
                <w:szCs w:val="18"/>
                <w:lang w:eastAsia="sk-SK"/>
              </w:rPr>
            </w:pPr>
          </w:p>
        </w:tc>
        <w:tc>
          <w:tcPr>
            <w:tcW w:w="576" w:type="pct"/>
            <w:tcBorders>
              <w:top w:val="nil"/>
              <w:left w:val="nil"/>
              <w:bottom w:val="nil"/>
              <w:right w:val="nil"/>
            </w:tcBorders>
            <w:noWrap/>
            <w:vAlign w:val="bottom"/>
            <w:hideMark/>
          </w:tcPr>
          <w:p w14:paraId="0791A0B4" w14:textId="77777777" w:rsidR="0020258E" w:rsidRPr="0020258E" w:rsidRDefault="0020258E" w:rsidP="00B6745A">
            <w:pPr>
              <w:spacing w:line="240" w:lineRule="auto"/>
              <w:rPr>
                <w:rFonts w:eastAsia="Times New Roman" w:cs="Times New Roman"/>
                <w:sz w:val="18"/>
                <w:szCs w:val="18"/>
                <w:lang w:eastAsia="sk-SK"/>
              </w:rPr>
            </w:pPr>
          </w:p>
        </w:tc>
        <w:tc>
          <w:tcPr>
            <w:tcW w:w="518" w:type="pct"/>
            <w:tcBorders>
              <w:top w:val="nil"/>
              <w:left w:val="nil"/>
              <w:bottom w:val="nil"/>
              <w:right w:val="nil"/>
            </w:tcBorders>
            <w:noWrap/>
            <w:vAlign w:val="bottom"/>
            <w:hideMark/>
          </w:tcPr>
          <w:p w14:paraId="78CECD3D"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50D42123" w14:textId="77777777" w:rsidTr="0020258E">
        <w:trPr>
          <w:trHeight w:val="290"/>
        </w:trPr>
        <w:tc>
          <w:tcPr>
            <w:tcW w:w="2756" w:type="pct"/>
            <w:tcBorders>
              <w:top w:val="nil"/>
              <w:left w:val="nil"/>
              <w:bottom w:val="nil"/>
              <w:right w:val="nil"/>
            </w:tcBorders>
            <w:noWrap/>
            <w:vAlign w:val="bottom"/>
            <w:hideMark/>
          </w:tcPr>
          <w:p w14:paraId="34755EB5"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Železničná spoločnosť Slovensko, a. s.</w:t>
            </w:r>
          </w:p>
        </w:tc>
        <w:tc>
          <w:tcPr>
            <w:tcW w:w="573" w:type="pct"/>
            <w:tcBorders>
              <w:top w:val="nil"/>
              <w:left w:val="nil"/>
              <w:bottom w:val="nil"/>
              <w:right w:val="nil"/>
            </w:tcBorders>
            <w:noWrap/>
            <w:vAlign w:val="bottom"/>
            <w:hideMark/>
          </w:tcPr>
          <w:p w14:paraId="15BF1CD3"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339 672</w:t>
            </w:r>
          </w:p>
        </w:tc>
        <w:tc>
          <w:tcPr>
            <w:tcW w:w="576" w:type="pct"/>
            <w:tcBorders>
              <w:top w:val="nil"/>
              <w:left w:val="nil"/>
              <w:bottom w:val="nil"/>
              <w:right w:val="nil"/>
            </w:tcBorders>
            <w:noWrap/>
            <w:vAlign w:val="bottom"/>
            <w:hideMark/>
          </w:tcPr>
          <w:p w14:paraId="5FC180AD"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306 702</w:t>
            </w:r>
          </w:p>
        </w:tc>
        <w:tc>
          <w:tcPr>
            <w:tcW w:w="576" w:type="pct"/>
            <w:tcBorders>
              <w:top w:val="nil"/>
              <w:left w:val="nil"/>
              <w:bottom w:val="nil"/>
              <w:right w:val="nil"/>
            </w:tcBorders>
            <w:noWrap/>
            <w:vAlign w:val="bottom"/>
            <w:hideMark/>
          </w:tcPr>
          <w:p w14:paraId="1D72454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307 271</w:t>
            </w:r>
          </w:p>
        </w:tc>
        <w:tc>
          <w:tcPr>
            <w:tcW w:w="518" w:type="pct"/>
            <w:tcBorders>
              <w:top w:val="nil"/>
              <w:left w:val="nil"/>
              <w:bottom w:val="nil"/>
              <w:right w:val="nil"/>
            </w:tcBorders>
            <w:noWrap/>
            <w:vAlign w:val="bottom"/>
            <w:hideMark/>
          </w:tcPr>
          <w:p w14:paraId="43D80211"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569</w:t>
            </w:r>
          </w:p>
        </w:tc>
      </w:tr>
      <w:tr w:rsidR="0020258E" w:rsidRPr="0020258E" w14:paraId="72D8AAF3" w14:textId="77777777" w:rsidTr="0020258E">
        <w:trPr>
          <w:trHeight w:val="290"/>
        </w:trPr>
        <w:tc>
          <w:tcPr>
            <w:tcW w:w="2756" w:type="pct"/>
            <w:tcBorders>
              <w:top w:val="nil"/>
              <w:left w:val="nil"/>
              <w:bottom w:val="nil"/>
              <w:right w:val="nil"/>
            </w:tcBorders>
            <w:noWrap/>
            <w:vAlign w:val="bottom"/>
            <w:hideMark/>
          </w:tcPr>
          <w:p w14:paraId="7508292F"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Železnice Slovenskej republiky</w:t>
            </w:r>
          </w:p>
        </w:tc>
        <w:tc>
          <w:tcPr>
            <w:tcW w:w="573" w:type="pct"/>
            <w:tcBorders>
              <w:top w:val="nil"/>
              <w:left w:val="nil"/>
              <w:bottom w:val="nil"/>
              <w:right w:val="nil"/>
            </w:tcBorders>
            <w:noWrap/>
            <w:vAlign w:val="bottom"/>
            <w:hideMark/>
          </w:tcPr>
          <w:p w14:paraId="5520D86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118 831</w:t>
            </w:r>
          </w:p>
        </w:tc>
        <w:tc>
          <w:tcPr>
            <w:tcW w:w="576" w:type="pct"/>
            <w:tcBorders>
              <w:top w:val="nil"/>
              <w:left w:val="nil"/>
              <w:bottom w:val="nil"/>
              <w:right w:val="nil"/>
            </w:tcBorders>
            <w:noWrap/>
            <w:vAlign w:val="bottom"/>
            <w:hideMark/>
          </w:tcPr>
          <w:p w14:paraId="6819AEB8"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108 557</w:t>
            </w:r>
          </w:p>
        </w:tc>
        <w:tc>
          <w:tcPr>
            <w:tcW w:w="576" w:type="pct"/>
            <w:tcBorders>
              <w:top w:val="nil"/>
              <w:left w:val="nil"/>
              <w:bottom w:val="nil"/>
              <w:right w:val="nil"/>
            </w:tcBorders>
            <w:noWrap/>
            <w:vAlign w:val="bottom"/>
            <w:hideMark/>
          </w:tcPr>
          <w:p w14:paraId="3C50AC8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92 033</w:t>
            </w:r>
          </w:p>
        </w:tc>
        <w:tc>
          <w:tcPr>
            <w:tcW w:w="518" w:type="pct"/>
            <w:tcBorders>
              <w:top w:val="nil"/>
              <w:left w:val="nil"/>
              <w:bottom w:val="nil"/>
              <w:right w:val="nil"/>
            </w:tcBorders>
            <w:noWrap/>
            <w:vAlign w:val="bottom"/>
            <w:hideMark/>
          </w:tcPr>
          <w:p w14:paraId="7DF6744D"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-16 524</w:t>
            </w:r>
          </w:p>
        </w:tc>
      </w:tr>
      <w:tr w:rsidR="0020258E" w:rsidRPr="0020258E" w14:paraId="27583B63" w14:textId="77777777" w:rsidTr="0020258E">
        <w:trPr>
          <w:trHeight w:val="290"/>
        </w:trPr>
        <w:tc>
          <w:tcPr>
            <w:tcW w:w="2756" w:type="pct"/>
            <w:tcBorders>
              <w:top w:val="nil"/>
              <w:left w:val="nil"/>
              <w:bottom w:val="nil"/>
              <w:right w:val="nil"/>
            </w:tcBorders>
            <w:noWrap/>
            <w:vAlign w:val="bottom"/>
            <w:hideMark/>
          </w:tcPr>
          <w:p w14:paraId="7D232B94"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Národná diaľničná spoločnosť, a. s.</w:t>
            </w:r>
          </w:p>
        </w:tc>
        <w:tc>
          <w:tcPr>
            <w:tcW w:w="573" w:type="pct"/>
            <w:tcBorders>
              <w:top w:val="nil"/>
              <w:left w:val="nil"/>
              <w:bottom w:val="nil"/>
              <w:right w:val="nil"/>
            </w:tcBorders>
            <w:noWrap/>
            <w:vAlign w:val="bottom"/>
            <w:hideMark/>
          </w:tcPr>
          <w:p w14:paraId="494BBDF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24 614</w:t>
            </w:r>
          </w:p>
        </w:tc>
        <w:tc>
          <w:tcPr>
            <w:tcW w:w="576" w:type="pct"/>
            <w:tcBorders>
              <w:top w:val="nil"/>
              <w:left w:val="nil"/>
              <w:bottom w:val="nil"/>
              <w:right w:val="nil"/>
            </w:tcBorders>
            <w:noWrap/>
            <w:vAlign w:val="bottom"/>
            <w:hideMark/>
          </w:tcPr>
          <w:p w14:paraId="79C431B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24 575</w:t>
            </w:r>
          </w:p>
        </w:tc>
        <w:tc>
          <w:tcPr>
            <w:tcW w:w="576" w:type="pct"/>
            <w:tcBorders>
              <w:top w:val="nil"/>
              <w:left w:val="nil"/>
              <w:bottom w:val="nil"/>
              <w:right w:val="nil"/>
            </w:tcBorders>
            <w:noWrap/>
            <w:vAlign w:val="bottom"/>
            <w:hideMark/>
          </w:tcPr>
          <w:p w14:paraId="76B3B95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114 693</w:t>
            </w:r>
          </w:p>
        </w:tc>
        <w:tc>
          <w:tcPr>
            <w:tcW w:w="518" w:type="pct"/>
            <w:tcBorders>
              <w:top w:val="nil"/>
              <w:left w:val="nil"/>
              <w:bottom w:val="nil"/>
              <w:right w:val="nil"/>
            </w:tcBorders>
            <w:noWrap/>
            <w:vAlign w:val="bottom"/>
            <w:hideMark/>
          </w:tcPr>
          <w:p w14:paraId="67D9BDE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90 118</w:t>
            </w:r>
          </w:p>
        </w:tc>
      </w:tr>
      <w:tr w:rsidR="0020258E" w:rsidRPr="0020258E" w14:paraId="73C87201" w14:textId="77777777" w:rsidTr="0020258E">
        <w:trPr>
          <w:trHeight w:val="290"/>
        </w:trPr>
        <w:tc>
          <w:tcPr>
            <w:tcW w:w="2756" w:type="pct"/>
            <w:tcBorders>
              <w:top w:val="nil"/>
              <w:left w:val="nil"/>
              <w:bottom w:val="nil"/>
              <w:right w:val="nil"/>
            </w:tcBorders>
            <w:noWrap/>
            <w:vAlign w:val="bottom"/>
            <w:hideMark/>
          </w:tcPr>
          <w:p w14:paraId="7EEB1C54"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JAVYS</w:t>
            </w:r>
          </w:p>
        </w:tc>
        <w:tc>
          <w:tcPr>
            <w:tcW w:w="573" w:type="pct"/>
            <w:tcBorders>
              <w:top w:val="nil"/>
              <w:left w:val="nil"/>
              <w:bottom w:val="nil"/>
              <w:right w:val="nil"/>
            </w:tcBorders>
            <w:noWrap/>
            <w:vAlign w:val="bottom"/>
            <w:hideMark/>
          </w:tcPr>
          <w:p w14:paraId="1CAABAC7"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4 464</w:t>
            </w:r>
          </w:p>
        </w:tc>
        <w:tc>
          <w:tcPr>
            <w:tcW w:w="576" w:type="pct"/>
            <w:tcBorders>
              <w:top w:val="nil"/>
              <w:left w:val="nil"/>
              <w:bottom w:val="nil"/>
              <w:right w:val="nil"/>
            </w:tcBorders>
            <w:noWrap/>
            <w:vAlign w:val="bottom"/>
            <w:hideMark/>
          </w:tcPr>
          <w:p w14:paraId="5CCC2C4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4 099</w:t>
            </w:r>
          </w:p>
        </w:tc>
        <w:tc>
          <w:tcPr>
            <w:tcW w:w="576" w:type="pct"/>
            <w:tcBorders>
              <w:top w:val="nil"/>
              <w:left w:val="nil"/>
              <w:bottom w:val="nil"/>
              <w:right w:val="nil"/>
            </w:tcBorders>
            <w:noWrap/>
            <w:vAlign w:val="bottom"/>
            <w:hideMark/>
          </w:tcPr>
          <w:p w14:paraId="1FCC4EC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4 245</w:t>
            </w:r>
          </w:p>
        </w:tc>
        <w:tc>
          <w:tcPr>
            <w:tcW w:w="518" w:type="pct"/>
            <w:tcBorders>
              <w:top w:val="nil"/>
              <w:left w:val="nil"/>
              <w:bottom w:val="nil"/>
              <w:right w:val="nil"/>
            </w:tcBorders>
            <w:noWrap/>
            <w:vAlign w:val="bottom"/>
            <w:hideMark/>
          </w:tcPr>
          <w:p w14:paraId="7BF7FD97"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146</w:t>
            </w:r>
          </w:p>
        </w:tc>
      </w:tr>
      <w:tr w:rsidR="0020258E" w:rsidRPr="0020258E" w14:paraId="5E1A2F41" w14:textId="77777777" w:rsidTr="0020258E">
        <w:trPr>
          <w:trHeight w:val="290"/>
        </w:trPr>
        <w:tc>
          <w:tcPr>
            <w:tcW w:w="2756" w:type="pct"/>
            <w:tcBorders>
              <w:top w:val="nil"/>
              <w:left w:val="nil"/>
              <w:bottom w:val="nil"/>
              <w:right w:val="nil"/>
            </w:tcBorders>
            <w:noWrap/>
            <w:vAlign w:val="bottom"/>
            <w:hideMark/>
          </w:tcPr>
          <w:p w14:paraId="6BCA7CC8"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SIH a spol.</w:t>
            </w:r>
          </w:p>
        </w:tc>
        <w:tc>
          <w:tcPr>
            <w:tcW w:w="573" w:type="pct"/>
            <w:tcBorders>
              <w:top w:val="nil"/>
              <w:left w:val="nil"/>
              <w:bottom w:val="nil"/>
              <w:right w:val="nil"/>
            </w:tcBorders>
            <w:noWrap/>
            <w:vAlign w:val="bottom"/>
            <w:hideMark/>
          </w:tcPr>
          <w:p w14:paraId="5221FE9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3 314</w:t>
            </w:r>
          </w:p>
        </w:tc>
        <w:tc>
          <w:tcPr>
            <w:tcW w:w="576" w:type="pct"/>
            <w:tcBorders>
              <w:top w:val="nil"/>
              <w:left w:val="nil"/>
              <w:bottom w:val="nil"/>
              <w:right w:val="nil"/>
            </w:tcBorders>
            <w:noWrap/>
            <w:vAlign w:val="bottom"/>
            <w:hideMark/>
          </w:tcPr>
          <w:p w14:paraId="7D2FC887"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1 164</w:t>
            </w:r>
          </w:p>
        </w:tc>
        <w:tc>
          <w:tcPr>
            <w:tcW w:w="576" w:type="pct"/>
            <w:tcBorders>
              <w:top w:val="nil"/>
              <w:left w:val="nil"/>
              <w:bottom w:val="nil"/>
              <w:right w:val="nil"/>
            </w:tcBorders>
            <w:noWrap/>
            <w:vAlign w:val="bottom"/>
            <w:hideMark/>
          </w:tcPr>
          <w:p w14:paraId="2D2CEAAA"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360</w:t>
            </w:r>
          </w:p>
        </w:tc>
        <w:tc>
          <w:tcPr>
            <w:tcW w:w="518" w:type="pct"/>
            <w:tcBorders>
              <w:top w:val="nil"/>
              <w:left w:val="nil"/>
              <w:bottom w:val="nil"/>
              <w:right w:val="nil"/>
            </w:tcBorders>
            <w:noWrap/>
            <w:vAlign w:val="bottom"/>
            <w:hideMark/>
          </w:tcPr>
          <w:p w14:paraId="2F334CE8"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-804</w:t>
            </w:r>
          </w:p>
        </w:tc>
      </w:tr>
      <w:tr w:rsidR="0020258E" w:rsidRPr="0020258E" w14:paraId="5AF60EF3" w14:textId="77777777" w:rsidTr="0020258E">
        <w:trPr>
          <w:trHeight w:val="290"/>
        </w:trPr>
        <w:tc>
          <w:tcPr>
            <w:tcW w:w="2756" w:type="pct"/>
            <w:tcBorders>
              <w:top w:val="nil"/>
              <w:left w:val="nil"/>
              <w:bottom w:val="nil"/>
              <w:right w:val="nil"/>
            </w:tcBorders>
            <w:noWrap/>
            <w:vAlign w:val="bottom"/>
            <w:hideMark/>
          </w:tcPr>
          <w:p w14:paraId="2D93BBB0"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MH Invest II., s. r. o.</w:t>
            </w:r>
          </w:p>
        </w:tc>
        <w:tc>
          <w:tcPr>
            <w:tcW w:w="573" w:type="pct"/>
            <w:tcBorders>
              <w:top w:val="nil"/>
              <w:left w:val="nil"/>
              <w:bottom w:val="nil"/>
              <w:right w:val="nil"/>
            </w:tcBorders>
            <w:noWrap/>
            <w:vAlign w:val="bottom"/>
            <w:hideMark/>
          </w:tcPr>
          <w:p w14:paraId="17941812"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600</w:t>
            </w:r>
          </w:p>
        </w:tc>
        <w:tc>
          <w:tcPr>
            <w:tcW w:w="576" w:type="pct"/>
            <w:tcBorders>
              <w:top w:val="nil"/>
              <w:left w:val="nil"/>
              <w:bottom w:val="nil"/>
              <w:right w:val="nil"/>
            </w:tcBorders>
            <w:noWrap/>
            <w:vAlign w:val="bottom"/>
            <w:hideMark/>
          </w:tcPr>
          <w:p w14:paraId="276C28C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6" w:type="pct"/>
            <w:tcBorders>
              <w:top w:val="nil"/>
              <w:left w:val="nil"/>
              <w:bottom w:val="nil"/>
              <w:right w:val="nil"/>
            </w:tcBorders>
            <w:noWrap/>
            <w:vAlign w:val="bottom"/>
            <w:hideMark/>
          </w:tcPr>
          <w:p w14:paraId="7B663E8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18" w:type="pct"/>
            <w:tcBorders>
              <w:top w:val="nil"/>
              <w:left w:val="nil"/>
              <w:bottom w:val="nil"/>
              <w:right w:val="nil"/>
            </w:tcBorders>
            <w:noWrap/>
            <w:vAlign w:val="bottom"/>
            <w:hideMark/>
          </w:tcPr>
          <w:p w14:paraId="1C78A24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r>
      <w:tr w:rsidR="0020258E" w:rsidRPr="0020258E" w14:paraId="779F213D" w14:textId="77777777" w:rsidTr="0020258E">
        <w:trPr>
          <w:trHeight w:val="290"/>
        </w:trPr>
        <w:tc>
          <w:tcPr>
            <w:tcW w:w="2756" w:type="pct"/>
            <w:tcBorders>
              <w:top w:val="nil"/>
              <w:left w:val="nil"/>
              <w:bottom w:val="nil"/>
              <w:right w:val="nil"/>
            </w:tcBorders>
            <w:noWrap/>
            <w:vAlign w:val="bottom"/>
            <w:hideMark/>
          </w:tcPr>
          <w:p w14:paraId="2CA870F9"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MH Invest I., s. r. o.</w:t>
            </w:r>
          </w:p>
        </w:tc>
        <w:tc>
          <w:tcPr>
            <w:tcW w:w="573" w:type="pct"/>
            <w:tcBorders>
              <w:top w:val="nil"/>
              <w:left w:val="nil"/>
              <w:bottom w:val="nil"/>
              <w:right w:val="nil"/>
            </w:tcBorders>
            <w:noWrap/>
            <w:vAlign w:val="bottom"/>
            <w:hideMark/>
          </w:tcPr>
          <w:p w14:paraId="5502BB2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6" w:type="pct"/>
            <w:tcBorders>
              <w:top w:val="nil"/>
              <w:left w:val="nil"/>
              <w:bottom w:val="nil"/>
              <w:right w:val="nil"/>
            </w:tcBorders>
            <w:noWrap/>
            <w:vAlign w:val="bottom"/>
            <w:hideMark/>
          </w:tcPr>
          <w:p w14:paraId="64D19D1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6" w:type="pct"/>
            <w:tcBorders>
              <w:top w:val="nil"/>
              <w:left w:val="nil"/>
              <w:bottom w:val="nil"/>
              <w:right w:val="nil"/>
            </w:tcBorders>
            <w:noWrap/>
            <w:vAlign w:val="bottom"/>
            <w:hideMark/>
          </w:tcPr>
          <w:p w14:paraId="5883FC07"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18" w:type="pct"/>
            <w:tcBorders>
              <w:top w:val="nil"/>
              <w:left w:val="nil"/>
              <w:bottom w:val="nil"/>
              <w:right w:val="nil"/>
            </w:tcBorders>
            <w:noWrap/>
            <w:vAlign w:val="bottom"/>
            <w:hideMark/>
          </w:tcPr>
          <w:p w14:paraId="5A688AB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r>
      <w:tr w:rsidR="0020258E" w:rsidRPr="0020258E" w14:paraId="3AF60431" w14:textId="77777777" w:rsidTr="0020258E">
        <w:trPr>
          <w:trHeight w:val="290"/>
        </w:trPr>
        <w:tc>
          <w:tcPr>
            <w:tcW w:w="2756" w:type="pct"/>
            <w:tcBorders>
              <w:top w:val="nil"/>
              <w:left w:val="nil"/>
              <w:bottom w:val="nil"/>
              <w:right w:val="nil"/>
            </w:tcBorders>
            <w:noWrap/>
            <w:vAlign w:val="bottom"/>
            <w:hideMark/>
          </w:tcPr>
          <w:p w14:paraId="2ECB2449" w14:textId="77777777" w:rsidR="0020258E" w:rsidRPr="0020258E" w:rsidRDefault="0020258E" w:rsidP="00B6745A">
            <w:pPr>
              <w:spacing w:line="240" w:lineRule="auto"/>
              <w:ind w:firstLineChars="400" w:firstLine="720"/>
              <w:rPr>
                <w:rFonts w:eastAsia="Times New Roman" w:cs="Times New Roman"/>
                <w:sz w:val="18"/>
                <w:szCs w:val="18"/>
                <w:lang w:eastAsia="sk-SK"/>
              </w:rPr>
            </w:pPr>
            <w:r w:rsidRPr="0020258E">
              <w:rPr>
                <w:rFonts w:eastAsia="Times New Roman" w:cs="Times New Roman"/>
                <w:sz w:val="18"/>
                <w:szCs w:val="18"/>
                <w:lang w:eastAsia="sk-SK"/>
              </w:rPr>
              <w:t>MH Manažment, a. s.</w:t>
            </w:r>
          </w:p>
        </w:tc>
        <w:tc>
          <w:tcPr>
            <w:tcW w:w="573" w:type="pct"/>
            <w:tcBorders>
              <w:top w:val="nil"/>
              <w:left w:val="nil"/>
              <w:bottom w:val="nil"/>
              <w:right w:val="nil"/>
            </w:tcBorders>
            <w:noWrap/>
            <w:vAlign w:val="bottom"/>
            <w:hideMark/>
          </w:tcPr>
          <w:p w14:paraId="423BD99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6" w:type="pct"/>
            <w:tcBorders>
              <w:top w:val="nil"/>
              <w:left w:val="nil"/>
              <w:bottom w:val="nil"/>
              <w:right w:val="nil"/>
            </w:tcBorders>
            <w:noWrap/>
            <w:vAlign w:val="bottom"/>
            <w:hideMark/>
          </w:tcPr>
          <w:p w14:paraId="0D16496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6" w:type="pct"/>
            <w:tcBorders>
              <w:top w:val="nil"/>
              <w:left w:val="nil"/>
              <w:bottom w:val="nil"/>
              <w:right w:val="nil"/>
            </w:tcBorders>
            <w:noWrap/>
            <w:vAlign w:val="bottom"/>
            <w:hideMark/>
          </w:tcPr>
          <w:p w14:paraId="2B09961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18" w:type="pct"/>
            <w:tcBorders>
              <w:top w:val="nil"/>
              <w:left w:val="nil"/>
              <w:bottom w:val="nil"/>
              <w:right w:val="nil"/>
            </w:tcBorders>
            <w:noWrap/>
            <w:vAlign w:val="bottom"/>
            <w:hideMark/>
          </w:tcPr>
          <w:p w14:paraId="29D0666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r>
      <w:tr w:rsidR="0020258E" w:rsidRPr="0020258E" w14:paraId="590C9254" w14:textId="77777777" w:rsidTr="0020258E">
        <w:trPr>
          <w:trHeight w:val="290"/>
        </w:trPr>
        <w:tc>
          <w:tcPr>
            <w:tcW w:w="2756" w:type="pct"/>
            <w:tcBorders>
              <w:top w:val="nil"/>
              <w:left w:val="nil"/>
              <w:bottom w:val="nil"/>
              <w:right w:val="nil"/>
            </w:tcBorders>
            <w:noWrap/>
            <w:vAlign w:val="bottom"/>
            <w:hideMark/>
          </w:tcPr>
          <w:p w14:paraId="0B0BA62B"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Verejné vysoké školy</w:t>
            </w:r>
          </w:p>
        </w:tc>
        <w:tc>
          <w:tcPr>
            <w:tcW w:w="573" w:type="pct"/>
            <w:tcBorders>
              <w:top w:val="nil"/>
              <w:left w:val="nil"/>
              <w:bottom w:val="nil"/>
              <w:right w:val="nil"/>
            </w:tcBorders>
            <w:noWrap/>
            <w:vAlign w:val="bottom"/>
            <w:hideMark/>
          </w:tcPr>
          <w:p w14:paraId="58F27558"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10 936</w:t>
            </w:r>
          </w:p>
        </w:tc>
        <w:tc>
          <w:tcPr>
            <w:tcW w:w="576" w:type="pct"/>
            <w:tcBorders>
              <w:top w:val="nil"/>
              <w:left w:val="nil"/>
              <w:bottom w:val="nil"/>
              <w:right w:val="nil"/>
            </w:tcBorders>
            <w:noWrap/>
            <w:vAlign w:val="bottom"/>
            <w:hideMark/>
          </w:tcPr>
          <w:p w14:paraId="688C93D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10 633</w:t>
            </w:r>
          </w:p>
        </w:tc>
        <w:tc>
          <w:tcPr>
            <w:tcW w:w="576" w:type="pct"/>
            <w:tcBorders>
              <w:top w:val="nil"/>
              <w:left w:val="nil"/>
              <w:bottom w:val="nil"/>
              <w:right w:val="nil"/>
            </w:tcBorders>
            <w:noWrap/>
            <w:vAlign w:val="bottom"/>
            <w:hideMark/>
          </w:tcPr>
          <w:p w14:paraId="7411C938"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9 359</w:t>
            </w:r>
          </w:p>
        </w:tc>
        <w:tc>
          <w:tcPr>
            <w:tcW w:w="518" w:type="pct"/>
            <w:tcBorders>
              <w:top w:val="nil"/>
              <w:left w:val="nil"/>
              <w:bottom w:val="nil"/>
              <w:right w:val="nil"/>
            </w:tcBorders>
            <w:noWrap/>
            <w:vAlign w:val="bottom"/>
            <w:hideMark/>
          </w:tcPr>
          <w:p w14:paraId="6961692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-1 274</w:t>
            </w:r>
          </w:p>
        </w:tc>
      </w:tr>
      <w:tr w:rsidR="0020258E" w:rsidRPr="0020258E" w14:paraId="3F5B2995" w14:textId="77777777" w:rsidTr="0020258E">
        <w:trPr>
          <w:trHeight w:val="290"/>
        </w:trPr>
        <w:tc>
          <w:tcPr>
            <w:tcW w:w="2756" w:type="pct"/>
            <w:tcBorders>
              <w:top w:val="nil"/>
              <w:left w:val="nil"/>
              <w:bottom w:val="nil"/>
              <w:right w:val="nil"/>
            </w:tcBorders>
            <w:noWrap/>
            <w:vAlign w:val="bottom"/>
            <w:hideMark/>
          </w:tcPr>
          <w:p w14:paraId="52567615"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Verejné výskumné inštitúcie</w:t>
            </w:r>
          </w:p>
        </w:tc>
        <w:tc>
          <w:tcPr>
            <w:tcW w:w="573" w:type="pct"/>
            <w:tcBorders>
              <w:top w:val="nil"/>
              <w:left w:val="nil"/>
              <w:bottom w:val="nil"/>
              <w:right w:val="nil"/>
            </w:tcBorders>
            <w:noWrap/>
            <w:vAlign w:val="bottom"/>
            <w:hideMark/>
          </w:tcPr>
          <w:p w14:paraId="59FCEE1A"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2 424</w:t>
            </w:r>
          </w:p>
        </w:tc>
        <w:tc>
          <w:tcPr>
            <w:tcW w:w="576" w:type="pct"/>
            <w:tcBorders>
              <w:top w:val="nil"/>
              <w:left w:val="nil"/>
              <w:bottom w:val="nil"/>
              <w:right w:val="nil"/>
            </w:tcBorders>
            <w:noWrap/>
            <w:vAlign w:val="bottom"/>
            <w:hideMark/>
          </w:tcPr>
          <w:p w14:paraId="5747398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116</w:t>
            </w:r>
          </w:p>
        </w:tc>
        <w:tc>
          <w:tcPr>
            <w:tcW w:w="576" w:type="pct"/>
            <w:tcBorders>
              <w:top w:val="nil"/>
              <w:left w:val="nil"/>
              <w:bottom w:val="nil"/>
              <w:right w:val="nil"/>
            </w:tcBorders>
            <w:noWrap/>
            <w:vAlign w:val="bottom"/>
            <w:hideMark/>
          </w:tcPr>
          <w:p w14:paraId="6277DBD1"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124</w:t>
            </w:r>
          </w:p>
        </w:tc>
        <w:tc>
          <w:tcPr>
            <w:tcW w:w="518" w:type="pct"/>
            <w:tcBorders>
              <w:top w:val="nil"/>
              <w:left w:val="nil"/>
              <w:bottom w:val="nil"/>
              <w:right w:val="nil"/>
            </w:tcBorders>
            <w:noWrap/>
            <w:vAlign w:val="bottom"/>
            <w:hideMark/>
          </w:tcPr>
          <w:p w14:paraId="2B38DBF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8</w:t>
            </w:r>
          </w:p>
        </w:tc>
      </w:tr>
      <w:tr w:rsidR="0020258E" w:rsidRPr="0020258E" w14:paraId="115A386C" w14:textId="77777777" w:rsidTr="0020258E">
        <w:trPr>
          <w:trHeight w:val="290"/>
        </w:trPr>
        <w:tc>
          <w:tcPr>
            <w:tcW w:w="2756" w:type="pct"/>
            <w:tcBorders>
              <w:top w:val="nil"/>
              <w:left w:val="nil"/>
              <w:bottom w:val="nil"/>
              <w:right w:val="nil"/>
            </w:tcBorders>
            <w:noWrap/>
            <w:vAlign w:val="bottom"/>
            <w:hideMark/>
          </w:tcPr>
          <w:p w14:paraId="27572254"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Zdravotnícke zariadenia ústrednej správy</w:t>
            </w:r>
          </w:p>
        </w:tc>
        <w:tc>
          <w:tcPr>
            <w:tcW w:w="573" w:type="pct"/>
            <w:tcBorders>
              <w:top w:val="nil"/>
              <w:left w:val="nil"/>
              <w:bottom w:val="nil"/>
              <w:right w:val="nil"/>
            </w:tcBorders>
            <w:noWrap/>
            <w:vAlign w:val="bottom"/>
            <w:hideMark/>
          </w:tcPr>
          <w:p w14:paraId="54CCCB41"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187 057</w:t>
            </w:r>
          </w:p>
        </w:tc>
        <w:tc>
          <w:tcPr>
            <w:tcW w:w="576" w:type="pct"/>
            <w:tcBorders>
              <w:top w:val="nil"/>
              <w:left w:val="nil"/>
              <w:bottom w:val="nil"/>
              <w:right w:val="nil"/>
            </w:tcBorders>
            <w:noWrap/>
            <w:vAlign w:val="bottom"/>
            <w:hideMark/>
          </w:tcPr>
          <w:p w14:paraId="4F9E552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150 056</w:t>
            </w:r>
          </w:p>
        </w:tc>
        <w:tc>
          <w:tcPr>
            <w:tcW w:w="576" w:type="pct"/>
            <w:tcBorders>
              <w:top w:val="nil"/>
              <w:left w:val="nil"/>
              <w:bottom w:val="nil"/>
              <w:right w:val="nil"/>
            </w:tcBorders>
            <w:noWrap/>
            <w:vAlign w:val="bottom"/>
            <w:hideMark/>
          </w:tcPr>
          <w:p w14:paraId="0836940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142 179</w:t>
            </w:r>
          </w:p>
        </w:tc>
        <w:tc>
          <w:tcPr>
            <w:tcW w:w="518" w:type="pct"/>
            <w:tcBorders>
              <w:top w:val="nil"/>
              <w:left w:val="nil"/>
              <w:bottom w:val="nil"/>
              <w:right w:val="nil"/>
            </w:tcBorders>
            <w:noWrap/>
            <w:vAlign w:val="bottom"/>
            <w:hideMark/>
          </w:tcPr>
          <w:p w14:paraId="30D909D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-7 877</w:t>
            </w:r>
          </w:p>
        </w:tc>
      </w:tr>
      <w:tr w:rsidR="0020258E" w:rsidRPr="0020258E" w14:paraId="1226D73D" w14:textId="77777777" w:rsidTr="0020258E">
        <w:trPr>
          <w:trHeight w:val="290"/>
        </w:trPr>
        <w:tc>
          <w:tcPr>
            <w:tcW w:w="2756" w:type="pct"/>
            <w:tcBorders>
              <w:top w:val="nil"/>
              <w:left w:val="nil"/>
              <w:bottom w:val="nil"/>
              <w:right w:val="nil"/>
            </w:tcBorders>
            <w:noWrap/>
            <w:vAlign w:val="bottom"/>
            <w:hideMark/>
          </w:tcPr>
          <w:p w14:paraId="4D334221"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Agentúra pre núdzové zásoby ropy a ropných výrobkov</w:t>
            </w:r>
          </w:p>
        </w:tc>
        <w:tc>
          <w:tcPr>
            <w:tcW w:w="573" w:type="pct"/>
            <w:tcBorders>
              <w:top w:val="nil"/>
              <w:left w:val="nil"/>
              <w:bottom w:val="nil"/>
              <w:right w:val="nil"/>
            </w:tcBorders>
            <w:noWrap/>
            <w:vAlign w:val="bottom"/>
            <w:hideMark/>
          </w:tcPr>
          <w:p w14:paraId="427CBCF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220 348</w:t>
            </w:r>
          </w:p>
        </w:tc>
        <w:tc>
          <w:tcPr>
            <w:tcW w:w="576" w:type="pct"/>
            <w:tcBorders>
              <w:top w:val="nil"/>
              <w:left w:val="nil"/>
              <w:bottom w:val="nil"/>
              <w:right w:val="nil"/>
            </w:tcBorders>
            <w:noWrap/>
            <w:vAlign w:val="bottom"/>
            <w:hideMark/>
          </w:tcPr>
          <w:p w14:paraId="466AF6F3"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147 253</w:t>
            </w:r>
          </w:p>
        </w:tc>
        <w:tc>
          <w:tcPr>
            <w:tcW w:w="576" w:type="pct"/>
            <w:tcBorders>
              <w:top w:val="nil"/>
              <w:left w:val="nil"/>
              <w:bottom w:val="nil"/>
              <w:right w:val="nil"/>
            </w:tcBorders>
            <w:noWrap/>
            <w:vAlign w:val="bottom"/>
            <w:hideMark/>
          </w:tcPr>
          <w:p w14:paraId="1090953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74 471</w:t>
            </w:r>
          </w:p>
        </w:tc>
        <w:tc>
          <w:tcPr>
            <w:tcW w:w="518" w:type="pct"/>
            <w:tcBorders>
              <w:top w:val="nil"/>
              <w:left w:val="nil"/>
              <w:bottom w:val="nil"/>
              <w:right w:val="nil"/>
            </w:tcBorders>
            <w:noWrap/>
            <w:vAlign w:val="bottom"/>
            <w:hideMark/>
          </w:tcPr>
          <w:p w14:paraId="15B9C0D1"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-72 782</w:t>
            </w:r>
          </w:p>
        </w:tc>
      </w:tr>
      <w:tr w:rsidR="0020258E" w:rsidRPr="0020258E" w14:paraId="0519F446" w14:textId="77777777" w:rsidTr="0020258E">
        <w:trPr>
          <w:trHeight w:val="290"/>
        </w:trPr>
        <w:tc>
          <w:tcPr>
            <w:tcW w:w="2756" w:type="pct"/>
            <w:tcBorders>
              <w:top w:val="nil"/>
              <w:left w:val="nil"/>
              <w:bottom w:val="nil"/>
              <w:right w:val="nil"/>
            </w:tcBorders>
            <w:noWrap/>
            <w:vAlign w:val="bottom"/>
            <w:hideMark/>
          </w:tcPr>
          <w:p w14:paraId="771BF34F"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Ostatné subjekty ústrednej správy</w:t>
            </w:r>
          </w:p>
        </w:tc>
        <w:tc>
          <w:tcPr>
            <w:tcW w:w="573" w:type="pct"/>
            <w:tcBorders>
              <w:top w:val="nil"/>
              <w:left w:val="nil"/>
              <w:bottom w:val="nil"/>
              <w:right w:val="nil"/>
            </w:tcBorders>
            <w:noWrap/>
            <w:vAlign w:val="bottom"/>
            <w:hideMark/>
          </w:tcPr>
          <w:p w14:paraId="065207BA"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13 809</w:t>
            </w:r>
          </w:p>
        </w:tc>
        <w:tc>
          <w:tcPr>
            <w:tcW w:w="576" w:type="pct"/>
            <w:tcBorders>
              <w:top w:val="nil"/>
              <w:left w:val="nil"/>
              <w:bottom w:val="nil"/>
              <w:right w:val="nil"/>
            </w:tcBorders>
            <w:noWrap/>
            <w:vAlign w:val="bottom"/>
            <w:hideMark/>
          </w:tcPr>
          <w:p w14:paraId="13FF1EF3"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12 048</w:t>
            </w:r>
          </w:p>
        </w:tc>
        <w:tc>
          <w:tcPr>
            <w:tcW w:w="576" w:type="pct"/>
            <w:tcBorders>
              <w:top w:val="nil"/>
              <w:left w:val="nil"/>
              <w:bottom w:val="nil"/>
              <w:right w:val="nil"/>
            </w:tcBorders>
            <w:noWrap/>
            <w:vAlign w:val="bottom"/>
            <w:hideMark/>
          </w:tcPr>
          <w:p w14:paraId="3D53027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10 082</w:t>
            </w:r>
          </w:p>
        </w:tc>
        <w:tc>
          <w:tcPr>
            <w:tcW w:w="518" w:type="pct"/>
            <w:tcBorders>
              <w:top w:val="nil"/>
              <w:left w:val="nil"/>
              <w:bottom w:val="nil"/>
              <w:right w:val="nil"/>
            </w:tcBorders>
            <w:noWrap/>
            <w:vAlign w:val="bottom"/>
            <w:hideMark/>
          </w:tcPr>
          <w:p w14:paraId="3492F6F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-1 966</w:t>
            </w:r>
          </w:p>
        </w:tc>
      </w:tr>
      <w:tr w:rsidR="0020258E" w:rsidRPr="0020258E" w14:paraId="1958B63E" w14:textId="77777777" w:rsidTr="0020258E">
        <w:trPr>
          <w:trHeight w:val="290"/>
        </w:trPr>
        <w:tc>
          <w:tcPr>
            <w:tcW w:w="2756" w:type="pct"/>
            <w:tcBorders>
              <w:top w:val="nil"/>
              <w:left w:val="nil"/>
              <w:bottom w:val="nil"/>
              <w:right w:val="nil"/>
            </w:tcBorders>
            <w:noWrap/>
            <w:vAlign w:val="bottom"/>
            <w:hideMark/>
          </w:tcPr>
          <w:p w14:paraId="4FBCC2EC" w14:textId="77777777" w:rsidR="0020258E" w:rsidRPr="0020258E" w:rsidRDefault="0020258E" w:rsidP="00B6745A">
            <w:pPr>
              <w:spacing w:line="240" w:lineRule="auto"/>
              <w:rPr>
                <w:rFonts w:eastAsia="Times New Roman" w:cs="Times New Roman"/>
                <w:b/>
                <w:bCs/>
                <w:sz w:val="18"/>
                <w:szCs w:val="18"/>
                <w:lang w:eastAsia="sk-SK"/>
              </w:rPr>
            </w:pPr>
            <w:r w:rsidRPr="0020258E">
              <w:rPr>
                <w:rFonts w:eastAsia="Times New Roman" w:cs="Times New Roman"/>
                <w:b/>
                <w:bCs/>
                <w:sz w:val="18"/>
                <w:szCs w:val="18"/>
                <w:lang w:eastAsia="sk-SK"/>
              </w:rPr>
              <w:t>Územná samospráva</w:t>
            </w:r>
          </w:p>
        </w:tc>
        <w:tc>
          <w:tcPr>
            <w:tcW w:w="573" w:type="pct"/>
            <w:tcBorders>
              <w:top w:val="nil"/>
              <w:left w:val="nil"/>
              <w:bottom w:val="nil"/>
              <w:right w:val="nil"/>
            </w:tcBorders>
            <w:noWrap/>
            <w:vAlign w:val="bottom"/>
            <w:hideMark/>
          </w:tcPr>
          <w:p w14:paraId="178EB8FE" w14:textId="77777777" w:rsidR="0020258E" w:rsidRPr="0020258E" w:rsidRDefault="0020258E" w:rsidP="00B6745A">
            <w:pPr>
              <w:spacing w:line="240" w:lineRule="auto"/>
              <w:rPr>
                <w:rFonts w:eastAsia="Times New Roman" w:cs="Times New Roman"/>
                <w:b/>
                <w:bCs/>
                <w:sz w:val="18"/>
                <w:szCs w:val="18"/>
                <w:lang w:eastAsia="sk-SK"/>
              </w:rPr>
            </w:pPr>
          </w:p>
        </w:tc>
        <w:tc>
          <w:tcPr>
            <w:tcW w:w="576" w:type="pct"/>
            <w:tcBorders>
              <w:top w:val="nil"/>
              <w:left w:val="nil"/>
              <w:bottom w:val="nil"/>
              <w:right w:val="nil"/>
            </w:tcBorders>
            <w:noWrap/>
            <w:vAlign w:val="bottom"/>
            <w:hideMark/>
          </w:tcPr>
          <w:p w14:paraId="595BB945" w14:textId="77777777" w:rsidR="0020258E" w:rsidRPr="0020258E" w:rsidRDefault="0020258E" w:rsidP="00B6745A">
            <w:pPr>
              <w:spacing w:line="240" w:lineRule="auto"/>
              <w:rPr>
                <w:rFonts w:eastAsia="Times New Roman" w:cs="Times New Roman"/>
                <w:sz w:val="18"/>
                <w:szCs w:val="18"/>
                <w:lang w:eastAsia="sk-SK"/>
              </w:rPr>
            </w:pPr>
          </w:p>
        </w:tc>
        <w:tc>
          <w:tcPr>
            <w:tcW w:w="576" w:type="pct"/>
            <w:tcBorders>
              <w:top w:val="nil"/>
              <w:left w:val="nil"/>
              <w:bottom w:val="nil"/>
              <w:right w:val="nil"/>
            </w:tcBorders>
            <w:noWrap/>
            <w:vAlign w:val="bottom"/>
            <w:hideMark/>
          </w:tcPr>
          <w:p w14:paraId="2EDF7378" w14:textId="77777777" w:rsidR="0020258E" w:rsidRPr="0020258E" w:rsidRDefault="0020258E" w:rsidP="00B6745A">
            <w:pPr>
              <w:spacing w:line="240" w:lineRule="auto"/>
              <w:rPr>
                <w:rFonts w:eastAsia="Times New Roman" w:cs="Times New Roman"/>
                <w:sz w:val="18"/>
                <w:szCs w:val="18"/>
                <w:lang w:eastAsia="sk-SK"/>
              </w:rPr>
            </w:pPr>
          </w:p>
        </w:tc>
        <w:tc>
          <w:tcPr>
            <w:tcW w:w="518" w:type="pct"/>
            <w:tcBorders>
              <w:top w:val="nil"/>
              <w:left w:val="nil"/>
              <w:bottom w:val="nil"/>
              <w:right w:val="nil"/>
            </w:tcBorders>
            <w:noWrap/>
            <w:vAlign w:val="bottom"/>
            <w:hideMark/>
          </w:tcPr>
          <w:p w14:paraId="4D5D8F8B"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25DC14BD" w14:textId="77777777" w:rsidTr="0020258E">
        <w:trPr>
          <w:trHeight w:val="290"/>
        </w:trPr>
        <w:tc>
          <w:tcPr>
            <w:tcW w:w="2756" w:type="pct"/>
            <w:tcBorders>
              <w:top w:val="nil"/>
              <w:left w:val="nil"/>
              <w:bottom w:val="nil"/>
              <w:right w:val="nil"/>
            </w:tcBorders>
            <w:noWrap/>
            <w:vAlign w:val="bottom"/>
            <w:hideMark/>
          </w:tcPr>
          <w:p w14:paraId="7B542DD4"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Obce a ich rozpočtové organizácie</w:t>
            </w:r>
          </w:p>
        </w:tc>
        <w:tc>
          <w:tcPr>
            <w:tcW w:w="573" w:type="pct"/>
            <w:tcBorders>
              <w:top w:val="nil"/>
              <w:left w:val="nil"/>
              <w:bottom w:val="nil"/>
              <w:right w:val="nil"/>
            </w:tcBorders>
            <w:noWrap/>
            <w:vAlign w:val="bottom"/>
            <w:hideMark/>
          </w:tcPr>
          <w:p w14:paraId="676F1EE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1 833 794</w:t>
            </w:r>
          </w:p>
        </w:tc>
        <w:tc>
          <w:tcPr>
            <w:tcW w:w="576" w:type="pct"/>
            <w:tcBorders>
              <w:top w:val="nil"/>
              <w:left w:val="nil"/>
              <w:bottom w:val="nil"/>
              <w:right w:val="nil"/>
            </w:tcBorders>
            <w:noWrap/>
            <w:vAlign w:val="bottom"/>
            <w:hideMark/>
          </w:tcPr>
          <w:p w14:paraId="2D00FADA"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1 855 142</w:t>
            </w:r>
          </w:p>
        </w:tc>
        <w:tc>
          <w:tcPr>
            <w:tcW w:w="576" w:type="pct"/>
            <w:tcBorders>
              <w:top w:val="nil"/>
              <w:left w:val="nil"/>
              <w:bottom w:val="nil"/>
              <w:right w:val="nil"/>
            </w:tcBorders>
            <w:noWrap/>
            <w:vAlign w:val="bottom"/>
            <w:hideMark/>
          </w:tcPr>
          <w:p w14:paraId="19A457D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1 958 370</w:t>
            </w:r>
          </w:p>
        </w:tc>
        <w:tc>
          <w:tcPr>
            <w:tcW w:w="518" w:type="pct"/>
            <w:tcBorders>
              <w:top w:val="nil"/>
              <w:left w:val="nil"/>
              <w:bottom w:val="nil"/>
              <w:right w:val="nil"/>
            </w:tcBorders>
            <w:noWrap/>
            <w:vAlign w:val="bottom"/>
            <w:hideMark/>
          </w:tcPr>
          <w:p w14:paraId="50CB6485"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103 228</w:t>
            </w:r>
          </w:p>
        </w:tc>
      </w:tr>
      <w:tr w:rsidR="0020258E" w:rsidRPr="0020258E" w14:paraId="1CF3F8DD" w14:textId="77777777" w:rsidTr="0020258E">
        <w:trPr>
          <w:trHeight w:val="290"/>
        </w:trPr>
        <w:tc>
          <w:tcPr>
            <w:tcW w:w="2756" w:type="pct"/>
            <w:tcBorders>
              <w:top w:val="nil"/>
              <w:left w:val="nil"/>
              <w:bottom w:val="nil"/>
              <w:right w:val="nil"/>
            </w:tcBorders>
            <w:noWrap/>
            <w:vAlign w:val="bottom"/>
            <w:hideMark/>
          </w:tcPr>
          <w:p w14:paraId="07146903"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Vyššie územné celky a ich rozpočtové organizácie</w:t>
            </w:r>
          </w:p>
        </w:tc>
        <w:tc>
          <w:tcPr>
            <w:tcW w:w="573" w:type="pct"/>
            <w:tcBorders>
              <w:top w:val="nil"/>
              <w:left w:val="nil"/>
              <w:bottom w:val="nil"/>
              <w:right w:val="nil"/>
            </w:tcBorders>
            <w:noWrap/>
            <w:vAlign w:val="bottom"/>
            <w:hideMark/>
          </w:tcPr>
          <w:p w14:paraId="350D3D1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701 738</w:t>
            </w:r>
          </w:p>
        </w:tc>
        <w:tc>
          <w:tcPr>
            <w:tcW w:w="576" w:type="pct"/>
            <w:tcBorders>
              <w:top w:val="nil"/>
              <w:left w:val="nil"/>
              <w:bottom w:val="nil"/>
              <w:right w:val="nil"/>
            </w:tcBorders>
            <w:noWrap/>
            <w:vAlign w:val="bottom"/>
            <w:hideMark/>
          </w:tcPr>
          <w:p w14:paraId="57EE044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652 244</w:t>
            </w:r>
          </w:p>
        </w:tc>
        <w:tc>
          <w:tcPr>
            <w:tcW w:w="576" w:type="pct"/>
            <w:tcBorders>
              <w:top w:val="nil"/>
              <w:left w:val="nil"/>
              <w:bottom w:val="nil"/>
              <w:right w:val="nil"/>
            </w:tcBorders>
            <w:noWrap/>
            <w:vAlign w:val="bottom"/>
            <w:hideMark/>
          </w:tcPr>
          <w:p w14:paraId="612819D2"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678 183</w:t>
            </w:r>
          </w:p>
        </w:tc>
        <w:tc>
          <w:tcPr>
            <w:tcW w:w="518" w:type="pct"/>
            <w:tcBorders>
              <w:top w:val="nil"/>
              <w:left w:val="nil"/>
              <w:bottom w:val="nil"/>
              <w:right w:val="nil"/>
            </w:tcBorders>
            <w:noWrap/>
            <w:vAlign w:val="bottom"/>
            <w:hideMark/>
          </w:tcPr>
          <w:p w14:paraId="5A73864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25 939</w:t>
            </w:r>
          </w:p>
        </w:tc>
      </w:tr>
      <w:tr w:rsidR="0020258E" w:rsidRPr="0020258E" w14:paraId="3533D233" w14:textId="77777777" w:rsidTr="0020258E">
        <w:trPr>
          <w:trHeight w:val="290"/>
        </w:trPr>
        <w:tc>
          <w:tcPr>
            <w:tcW w:w="2756" w:type="pct"/>
            <w:tcBorders>
              <w:top w:val="nil"/>
              <w:left w:val="nil"/>
              <w:bottom w:val="nil"/>
              <w:right w:val="nil"/>
            </w:tcBorders>
            <w:noWrap/>
            <w:vAlign w:val="bottom"/>
            <w:hideMark/>
          </w:tcPr>
          <w:p w14:paraId="569EF54C"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Príspevkové organizácie obcí</w:t>
            </w:r>
          </w:p>
        </w:tc>
        <w:tc>
          <w:tcPr>
            <w:tcW w:w="573" w:type="pct"/>
            <w:tcBorders>
              <w:top w:val="nil"/>
              <w:left w:val="nil"/>
              <w:bottom w:val="nil"/>
              <w:right w:val="nil"/>
            </w:tcBorders>
            <w:noWrap/>
            <w:vAlign w:val="bottom"/>
            <w:hideMark/>
          </w:tcPr>
          <w:p w14:paraId="2B355B9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2 849</w:t>
            </w:r>
          </w:p>
        </w:tc>
        <w:tc>
          <w:tcPr>
            <w:tcW w:w="576" w:type="pct"/>
            <w:tcBorders>
              <w:top w:val="nil"/>
              <w:left w:val="nil"/>
              <w:bottom w:val="nil"/>
              <w:right w:val="nil"/>
            </w:tcBorders>
            <w:noWrap/>
            <w:vAlign w:val="bottom"/>
            <w:hideMark/>
          </w:tcPr>
          <w:p w14:paraId="3907C12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2 686</w:t>
            </w:r>
          </w:p>
        </w:tc>
        <w:tc>
          <w:tcPr>
            <w:tcW w:w="576" w:type="pct"/>
            <w:tcBorders>
              <w:top w:val="nil"/>
              <w:left w:val="nil"/>
              <w:bottom w:val="nil"/>
              <w:right w:val="nil"/>
            </w:tcBorders>
            <w:noWrap/>
            <w:vAlign w:val="bottom"/>
            <w:hideMark/>
          </w:tcPr>
          <w:p w14:paraId="798963A2"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2 446</w:t>
            </w:r>
          </w:p>
        </w:tc>
        <w:tc>
          <w:tcPr>
            <w:tcW w:w="518" w:type="pct"/>
            <w:tcBorders>
              <w:top w:val="nil"/>
              <w:left w:val="nil"/>
              <w:bottom w:val="nil"/>
              <w:right w:val="nil"/>
            </w:tcBorders>
            <w:noWrap/>
            <w:vAlign w:val="bottom"/>
            <w:hideMark/>
          </w:tcPr>
          <w:p w14:paraId="26C02AB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-240</w:t>
            </w:r>
          </w:p>
        </w:tc>
      </w:tr>
      <w:tr w:rsidR="0020258E" w:rsidRPr="0020258E" w14:paraId="7524108C" w14:textId="77777777" w:rsidTr="0020258E">
        <w:trPr>
          <w:trHeight w:val="290"/>
        </w:trPr>
        <w:tc>
          <w:tcPr>
            <w:tcW w:w="2756" w:type="pct"/>
            <w:tcBorders>
              <w:top w:val="nil"/>
              <w:left w:val="nil"/>
              <w:bottom w:val="nil"/>
              <w:right w:val="nil"/>
            </w:tcBorders>
            <w:noWrap/>
            <w:vAlign w:val="bottom"/>
            <w:hideMark/>
          </w:tcPr>
          <w:p w14:paraId="2013C3F3"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Príspevkové organizácie VÚC</w:t>
            </w:r>
          </w:p>
        </w:tc>
        <w:tc>
          <w:tcPr>
            <w:tcW w:w="573" w:type="pct"/>
            <w:tcBorders>
              <w:top w:val="nil"/>
              <w:left w:val="nil"/>
              <w:bottom w:val="nil"/>
              <w:right w:val="nil"/>
            </w:tcBorders>
            <w:noWrap/>
            <w:vAlign w:val="bottom"/>
            <w:hideMark/>
          </w:tcPr>
          <w:p w14:paraId="3150F77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1 345</w:t>
            </w:r>
          </w:p>
        </w:tc>
        <w:tc>
          <w:tcPr>
            <w:tcW w:w="576" w:type="pct"/>
            <w:tcBorders>
              <w:top w:val="nil"/>
              <w:left w:val="nil"/>
              <w:bottom w:val="nil"/>
              <w:right w:val="nil"/>
            </w:tcBorders>
            <w:noWrap/>
            <w:vAlign w:val="bottom"/>
            <w:hideMark/>
          </w:tcPr>
          <w:p w14:paraId="0A31DD22"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1 544</w:t>
            </w:r>
          </w:p>
        </w:tc>
        <w:tc>
          <w:tcPr>
            <w:tcW w:w="576" w:type="pct"/>
            <w:tcBorders>
              <w:top w:val="nil"/>
              <w:left w:val="nil"/>
              <w:bottom w:val="nil"/>
              <w:right w:val="nil"/>
            </w:tcBorders>
            <w:noWrap/>
            <w:vAlign w:val="bottom"/>
            <w:hideMark/>
          </w:tcPr>
          <w:p w14:paraId="35FD197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2 090</w:t>
            </w:r>
          </w:p>
        </w:tc>
        <w:tc>
          <w:tcPr>
            <w:tcW w:w="518" w:type="pct"/>
            <w:tcBorders>
              <w:top w:val="nil"/>
              <w:left w:val="nil"/>
              <w:bottom w:val="nil"/>
              <w:right w:val="nil"/>
            </w:tcBorders>
            <w:noWrap/>
            <w:vAlign w:val="bottom"/>
            <w:hideMark/>
          </w:tcPr>
          <w:p w14:paraId="49C712A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546</w:t>
            </w:r>
          </w:p>
        </w:tc>
      </w:tr>
      <w:tr w:rsidR="0020258E" w:rsidRPr="0020258E" w14:paraId="493D13F5" w14:textId="77777777" w:rsidTr="0020258E">
        <w:trPr>
          <w:trHeight w:val="290"/>
        </w:trPr>
        <w:tc>
          <w:tcPr>
            <w:tcW w:w="2756" w:type="pct"/>
            <w:tcBorders>
              <w:top w:val="nil"/>
              <w:left w:val="nil"/>
              <w:bottom w:val="nil"/>
              <w:right w:val="nil"/>
            </w:tcBorders>
            <w:noWrap/>
            <w:vAlign w:val="bottom"/>
            <w:hideMark/>
          </w:tcPr>
          <w:p w14:paraId="039BB051"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Dopravné podniky</w:t>
            </w:r>
          </w:p>
        </w:tc>
        <w:tc>
          <w:tcPr>
            <w:tcW w:w="573" w:type="pct"/>
            <w:tcBorders>
              <w:top w:val="nil"/>
              <w:left w:val="nil"/>
              <w:bottom w:val="nil"/>
              <w:right w:val="nil"/>
            </w:tcBorders>
            <w:noWrap/>
            <w:vAlign w:val="bottom"/>
            <w:hideMark/>
          </w:tcPr>
          <w:p w14:paraId="06C7C4C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97 120</w:t>
            </w:r>
          </w:p>
        </w:tc>
        <w:tc>
          <w:tcPr>
            <w:tcW w:w="576" w:type="pct"/>
            <w:tcBorders>
              <w:top w:val="nil"/>
              <w:left w:val="nil"/>
              <w:bottom w:val="nil"/>
              <w:right w:val="nil"/>
            </w:tcBorders>
            <w:noWrap/>
            <w:vAlign w:val="bottom"/>
            <w:hideMark/>
          </w:tcPr>
          <w:p w14:paraId="38D5E13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89 640</w:t>
            </w:r>
          </w:p>
        </w:tc>
        <w:tc>
          <w:tcPr>
            <w:tcW w:w="576" w:type="pct"/>
            <w:tcBorders>
              <w:top w:val="nil"/>
              <w:left w:val="nil"/>
              <w:bottom w:val="nil"/>
              <w:right w:val="nil"/>
            </w:tcBorders>
            <w:noWrap/>
            <w:vAlign w:val="bottom"/>
            <w:hideMark/>
          </w:tcPr>
          <w:p w14:paraId="002DAE5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119 549</w:t>
            </w:r>
          </w:p>
        </w:tc>
        <w:tc>
          <w:tcPr>
            <w:tcW w:w="518" w:type="pct"/>
            <w:tcBorders>
              <w:top w:val="nil"/>
              <w:left w:val="nil"/>
              <w:bottom w:val="nil"/>
              <w:right w:val="nil"/>
            </w:tcBorders>
            <w:noWrap/>
            <w:vAlign w:val="bottom"/>
            <w:hideMark/>
          </w:tcPr>
          <w:p w14:paraId="7384D06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29 909</w:t>
            </w:r>
          </w:p>
        </w:tc>
      </w:tr>
      <w:tr w:rsidR="0020258E" w:rsidRPr="0020258E" w14:paraId="4C03D95A" w14:textId="77777777" w:rsidTr="0020258E">
        <w:trPr>
          <w:trHeight w:val="290"/>
        </w:trPr>
        <w:tc>
          <w:tcPr>
            <w:tcW w:w="2756" w:type="pct"/>
            <w:tcBorders>
              <w:top w:val="nil"/>
              <w:left w:val="nil"/>
              <w:bottom w:val="nil"/>
              <w:right w:val="nil"/>
            </w:tcBorders>
            <w:noWrap/>
            <w:vAlign w:val="bottom"/>
            <w:hideMark/>
          </w:tcPr>
          <w:p w14:paraId="473379F1"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Zdravotnícke zariadenia miestnej samosprávy</w:t>
            </w:r>
          </w:p>
        </w:tc>
        <w:tc>
          <w:tcPr>
            <w:tcW w:w="573" w:type="pct"/>
            <w:tcBorders>
              <w:top w:val="nil"/>
              <w:left w:val="nil"/>
              <w:bottom w:val="nil"/>
              <w:right w:val="nil"/>
            </w:tcBorders>
            <w:noWrap/>
            <w:vAlign w:val="bottom"/>
            <w:hideMark/>
          </w:tcPr>
          <w:p w14:paraId="1CD9E78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3 147</w:t>
            </w:r>
          </w:p>
        </w:tc>
        <w:tc>
          <w:tcPr>
            <w:tcW w:w="576" w:type="pct"/>
            <w:tcBorders>
              <w:top w:val="nil"/>
              <w:left w:val="nil"/>
              <w:bottom w:val="nil"/>
              <w:right w:val="nil"/>
            </w:tcBorders>
            <w:noWrap/>
            <w:vAlign w:val="bottom"/>
            <w:hideMark/>
          </w:tcPr>
          <w:p w14:paraId="6E93B267"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3 148</w:t>
            </w:r>
          </w:p>
        </w:tc>
        <w:tc>
          <w:tcPr>
            <w:tcW w:w="576" w:type="pct"/>
            <w:tcBorders>
              <w:top w:val="nil"/>
              <w:left w:val="nil"/>
              <w:bottom w:val="nil"/>
              <w:right w:val="nil"/>
            </w:tcBorders>
            <w:noWrap/>
            <w:vAlign w:val="bottom"/>
            <w:hideMark/>
          </w:tcPr>
          <w:p w14:paraId="3330187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2 445</w:t>
            </w:r>
          </w:p>
        </w:tc>
        <w:tc>
          <w:tcPr>
            <w:tcW w:w="518" w:type="pct"/>
            <w:tcBorders>
              <w:top w:val="nil"/>
              <w:left w:val="nil"/>
              <w:bottom w:val="nil"/>
              <w:right w:val="nil"/>
            </w:tcBorders>
            <w:noWrap/>
            <w:vAlign w:val="bottom"/>
            <w:hideMark/>
          </w:tcPr>
          <w:p w14:paraId="57289C5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-703</w:t>
            </w:r>
          </w:p>
        </w:tc>
      </w:tr>
      <w:tr w:rsidR="0020258E" w:rsidRPr="0020258E" w14:paraId="70BE9273" w14:textId="77777777" w:rsidTr="0020258E">
        <w:trPr>
          <w:trHeight w:val="290"/>
        </w:trPr>
        <w:tc>
          <w:tcPr>
            <w:tcW w:w="2756" w:type="pct"/>
            <w:tcBorders>
              <w:top w:val="nil"/>
              <w:left w:val="nil"/>
              <w:bottom w:val="nil"/>
              <w:right w:val="nil"/>
            </w:tcBorders>
            <w:noWrap/>
            <w:vAlign w:val="bottom"/>
            <w:hideMark/>
          </w:tcPr>
          <w:p w14:paraId="4AB640AA"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Ostatné subjekty miestnej samosprávy</w:t>
            </w:r>
          </w:p>
        </w:tc>
        <w:tc>
          <w:tcPr>
            <w:tcW w:w="573" w:type="pct"/>
            <w:tcBorders>
              <w:top w:val="nil"/>
              <w:left w:val="nil"/>
              <w:bottom w:val="nil"/>
              <w:right w:val="nil"/>
            </w:tcBorders>
            <w:noWrap/>
            <w:vAlign w:val="bottom"/>
            <w:hideMark/>
          </w:tcPr>
          <w:p w14:paraId="4CDB93F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22 245</w:t>
            </w:r>
          </w:p>
        </w:tc>
        <w:tc>
          <w:tcPr>
            <w:tcW w:w="576" w:type="pct"/>
            <w:tcBorders>
              <w:top w:val="nil"/>
              <w:left w:val="nil"/>
              <w:bottom w:val="nil"/>
              <w:right w:val="nil"/>
            </w:tcBorders>
            <w:noWrap/>
            <w:vAlign w:val="bottom"/>
            <w:hideMark/>
          </w:tcPr>
          <w:p w14:paraId="1EC8859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33 158</w:t>
            </w:r>
          </w:p>
        </w:tc>
        <w:tc>
          <w:tcPr>
            <w:tcW w:w="576" w:type="pct"/>
            <w:tcBorders>
              <w:top w:val="nil"/>
              <w:left w:val="nil"/>
              <w:bottom w:val="nil"/>
              <w:right w:val="nil"/>
            </w:tcBorders>
            <w:noWrap/>
            <w:vAlign w:val="bottom"/>
            <w:hideMark/>
          </w:tcPr>
          <w:p w14:paraId="0DBA767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33 158</w:t>
            </w:r>
          </w:p>
        </w:tc>
        <w:tc>
          <w:tcPr>
            <w:tcW w:w="518" w:type="pct"/>
            <w:tcBorders>
              <w:top w:val="nil"/>
              <w:left w:val="nil"/>
              <w:bottom w:val="nil"/>
              <w:right w:val="nil"/>
            </w:tcBorders>
            <w:noWrap/>
            <w:vAlign w:val="bottom"/>
            <w:hideMark/>
          </w:tcPr>
          <w:p w14:paraId="455F369A"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r>
      <w:tr w:rsidR="0020258E" w:rsidRPr="0020258E" w14:paraId="1C46A3FE" w14:textId="77777777" w:rsidTr="0020258E">
        <w:trPr>
          <w:trHeight w:val="290"/>
        </w:trPr>
        <w:tc>
          <w:tcPr>
            <w:tcW w:w="2756" w:type="pct"/>
            <w:tcBorders>
              <w:top w:val="nil"/>
              <w:left w:val="nil"/>
              <w:bottom w:val="nil"/>
              <w:right w:val="nil"/>
            </w:tcBorders>
            <w:noWrap/>
            <w:vAlign w:val="bottom"/>
            <w:hideMark/>
          </w:tcPr>
          <w:p w14:paraId="5A05442E" w14:textId="77777777" w:rsidR="0020258E" w:rsidRPr="0020258E" w:rsidRDefault="0020258E" w:rsidP="00B6745A">
            <w:pPr>
              <w:spacing w:line="240" w:lineRule="auto"/>
              <w:rPr>
                <w:rFonts w:eastAsia="Times New Roman" w:cs="Times New Roman"/>
                <w:b/>
                <w:bCs/>
                <w:sz w:val="18"/>
                <w:szCs w:val="18"/>
                <w:lang w:eastAsia="sk-SK"/>
              </w:rPr>
            </w:pPr>
            <w:r w:rsidRPr="0020258E">
              <w:rPr>
                <w:rFonts w:eastAsia="Times New Roman" w:cs="Times New Roman"/>
                <w:b/>
                <w:bCs/>
                <w:sz w:val="18"/>
                <w:szCs w:val="18"/>
                <w:lang w:eastAsia="sk-SK"/>
              </w:rPr>
              <w:t>Fondy sociálneho zabezpečenia</w:t>
            </w:r>
          </w:p>
        </w:tc>
        <w:tc>
          <w:tcPr>
            <w:tcW w:w="573" w:type="pct"/>
            <w:tcBorders>
              <w:top w:val="nil"/>
              <w:left w:val="nil"/>
              <w:bottom w:val="nil"/>
              <w:right w:val="nil"/>
            </w:tcBorders>
            <w:noWrap/>
            <w:vAlign w:val="bottom"/>
            <w:hideMark/>
          </w:tcPr>
          <w:p w14:paraId="17158309" w14:textId="77777777" w:rsidR="0020258E" w:rsidRPr="0020258E" w:rsidRDefault="0020258E" w:rsidP="00B6745A">
            <w:pPr>
              <w:spacing w:line="240" w:lineRule="auto"/>
              <w:rPr>
                <w:rFonts w:eastAsia="Times New Roman" w:cs="Times New Roman"/>
                <w:b/>
                <w:bCs/>
                <w:sz w:val="18"/>
                <w:szCs w:val="18"/>
                <w:lang w:eastAsia="sk-SK"/>
              </w:rPr>
            </w:pPr>
          </w:p>
        </w:tc>
        <w:tc>
          <w:tcPr>
            <w:tcW w:w="576" w:type="pct"/>
            <w:tcBorders>
              <w:top w:val="nil"/>
              <w:left w:val="nil"/>
              <w:bottom w:val="nil"/>
              <w:right w:val="nil"/>
            </w:tcBorders>
            <w:noWrap/>
            <w:vAlign w:val="bottom"/>
            <w:hideMark/>
          </w:tcPr>
          <w:p w14:paraId="2F50C072" w14:textId="77777777" w:rsidR="0020258E" w:rsidRPr="0020258E" w:rsidRDefault="0020258E" w:rsidP="00B6745A">
            <w:pPr>
              <w:spacing w:line="240" w:lineRule="auto"/>
              <w:rPr>
                <w:rFonts w:eastAsia="Times New Roman" w:cs="Times New Roman"/>
                <w:sz w:val="18"/>
                <w:szCs w:val="18"/>
                <w:lang w:eastAsia="sk-SK"/>
              </w:rPr>
            </w:pPr>
          </w:p>
        </w:tc>
        <w:tc>
          <w:tcPr>
            <w:tcW w:w="576" w:type="pct"/>
            <w:tcBorders>
              <w:top w:val="nil"/>
              <w:left w:val="nil"/>
              <w:bottom w:val="nil"/>
              <w:right w:val="nil"/>
            </w:tcBorders>
            <w:noWrap/>
            <w:vAlign w:val="bottom"/>
            <w:hideMark/>
          </w:tcPr>
          <w:p w14:paraId="47F39687" w14:textId="77777777" w:rsidR="0020258E" w:rsidRPr="0020258E" w:rsidRDefault="0020258E" w:rsidP="00B6745A">
            <w:pPr>
              <w:spacing w:line="240" w:lineRule="auto"/>
              <w:rPr>
                <w:rFonts w:eastAsia="Times New Roman" w:cs="Times New Roman"/>
                <w:sz w:val="18"/>
                <w:szCs w:val="18"/>
                <w:lang w:eastAsia="sk-SK"/>
              </w:rPr>
            </w:pPr>
          </w:p>
        </w:tc>
        <w:tc>
          <w:tcPr>
            <w:tcW w:w="518" w:type="pct"/>
            <w:tcBorders>
              <w:top w:val="nil"/>
              <w:left w:val="nil"/>
              <w:bottom w:val="nil"/>
              <w:right w:val="nil"/>
            </w:tcBorders>
            <w:noWrap/>
            <w:vAlign w:val="bottom"/>
            <w:hideMark/>
          </w:tcPr>
          <w:p w14:paraId="66E28CF6"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2F039B05" w14:textId="77777777" w:rsidTr="0020258E">
        <w:trPr>
          <w:trHeight w:val="290"/>
        </w:trPr>
        <w:tc>
          <w:tcPr>
            <w:tcW w:w="2756" w:type="pct"/>
            <w:tcBorders>
              <w:top w:val="nil"/>
              <w:left w:val="nil"/>
              <w:bottom w:val="nil"/>
              <w:right w:val="nil"/>
            </w:tcBorders>
            <w:noWrap/>
            <w:vAlign w:val="bottom"/>
            <w:hideMark/>
          </w:tcPr>
          <w:p w14:paraId="5D0E0CF5"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Sociálna poisťovňa</w:t>
            </w:r>
          </w:p>
        </w:tc>
        <w:tc>
          <w:tcPr>
            <w:tcW w:w="573" w:type="pct"/>
            <w:tcBorders>
              <w:top w:val="nil"/>
              <w:left w:val="nil"/>
              <w:bottom w:val="nil"/>
              <w:right w:val="nil"/>
            </w:tcBorders>
            <w:noWrap/>
            <w:vAlign w:val="bottom"/>
            <w:hideMark/>
          </w:tcPr>
          <w:p w14:paraId="7F13E9F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466</w:t>
            </w:r>
          </w:p>
        </w:tc>
        <w:tc>
          <w:tcPr>
            <w:tcW w:w="576" w:type="pct"/>
            <w:tcBorders>
              <w:top w:val="nil"/>
              <w:left w:val="nil"/>
              <w:bottom w:val="nil"/>
              <w:right w:val="nil"/>
            </w:tcBorders>
            <w:noWrap/>
            <w:vAlign w:val="bottom"/>
            <w:hideMark/>
          </w:tcPr>
          <w:p w14:paraId="3A04B10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1 012</w:t>
            </w:r>
          </w:p>
        </w:tc>
        <w:tc>
          <w:tcPr>
            <w:tcW w:w="576" w:type="pct"/>
            <w:tcBorders>
              <w:top w:val="nil"/>
              <w:left w:val="nil"/>
              <w:bottom w:val="nil"/>
              <w:right w:val="nil"/>
            </w:tcBorders>
            <w:noWrap/>
            <w:vAlign w:val="bottom"/>
            <w:hideMark/>
          </w:tcPr>
          <w:p w14:paraId="6109429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412</w:t>
            </w:r>
          </w:p>
        </w:tc>
        <w:tc>
          <w:tcPr>
            <w:tcW w:w="518" w:type="pct"/>
            <w:tcBorders>
              <w:top w:val="nil"/>
              <w:left w:val="nil"/>
              <w:bottom w:val="nil"/>
              <w:right w:val="nil"/>
            </w:tcBorders>
            <w:noWrap/>
            <w:vAlign w:val="bottom"/>
            <w:hideMark/>
          </w:tcPr>
          <w:p w14:paraId="3B4DB41D"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-600</w:t>
            </w:r>
          </w:p>
        </w:tc>
      </w:tr>
      <w:tr w:rsidR="0020258E" w:rsidRPr="0020258E" w14:paraId="1C414133" w14:textId="77777777" w:rsidTr="0020258E">
        <w:trPr>
          <w:trHeight w:val="290"/>
        </w:trPr>
        <w:tc>
          <w:tcPr>
            <w:tcW w:w="2756" w:type="pct"/>
            <w:tcBorders>
              <w:top w:val="nil"/>
              <w:left w:val="nil"/>
              <w:bottom w:val="nil"/>
              <w:right w:val="nil"/>
            </w:tcBorders>
            <w:noWrap/>
            <w:vAlign w:val="bottom"/>
            <w:hideMark/>
          </w:tcPr>
          <w:p w14:paraId="385EEA88"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Verejné zdravotné poistenie</w:t>
            </w:r>
          </w:p>
        </w:tc>
        <w:tc>
          <w:tcPr>
            <w:tcW w:w="573" w:type="pct"/>
            <w:tcBorders>
              <w:top w:val="nil"/>
              <w:left w:val="nil"/>
              <w:bottom w:val="nil"/>
              <w:right w:val="nil"/>
            </w:tcBorders>
            <w:noWrap/>
            <w:vAlign w:val="bottom"/>
            <w:hideMark/>
          </w:tcPr>
          <w:p w14:paraId="2C58237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80</w:t>
            </w:r>
          </w:p>
        </w:tc>
        <w:tc>
          <w:tcPr>
            <w:tcW w:w="576" w:type="pct"/>
            <w:tcBorders>
              <w:top w:val="nil"/>
              <w:left w:val="nil"/>
              <w:bottom w:val="nil"/>
              <w:right w:val="nil"/>
            </w:tcBorders>
            <w:noWrap/>
            <w:vAlign w:val="bottom"/>
            <w:hideMark/>
          </w:tcPr>
          <w:p w14:paraId="4C55980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120</w:t>
            </w:r>
          </w:p>
        </w:tc>
        <w:tc>
          <w:tcPr>
            <w:tcW w:w="576" w:type="pct"/>
            <w:tcBorders>
              <w:top w:val="nil"/>
              <w:left w:val="nil"/>
              <w:bottom w:val="nil"/>
              <w:right w:val="nil"/>
            </w:tcBorders>
            <w:noWrap/>
            <w:vAlign w:val="bottom"/>
            <w:hideMark/>
          </w:tcPr>
          <w:p w14:paraId="0AB6DBF4"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140</w:t>
            </w:r>
          </w:p>
        </w:tc>
        <w:tc>
          <w:tcPr>
            <w:tcW w:w="518" w:type="pct"/>
            <w:tcBorders>
              <w:top w:val="nil"/>
              <w:left w:val="nil"/>
              <w:bottom w:val="nil"/>
              <w:right w:val="nil"/>
            </w:tcBorders>
            <w:noWrap/>
            <w:vAlign w:val="bottom"/>
            <w:hideMark/>
          </w:tcPr>
          <w:p w14:paraId="2420E015"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20</w:t>
            </w:r>
          </w:p>
        </w:tc>
      </w:tr>
      <w:tr w:rsidR="0020258E" w:rsidRPr="0020258E" w14:paraId="085F9CB8" w14:textId="77777777" w:rsidTr="0020258E">
        <w:trPr>
          <w:trHeight w:val="290"/>
        </w:trPr>
        <w:tc>
          <w:tcPr>
            <w:tcW w:w="2756" w:type="pct"/>
            <w:tcBorders>
              <w:top w:val="nil"/>
              <w:left w:val="nil"/>
              <w:bottom w:val="nil"/>
              <w:right w:val="nil"/>
            </w:tcBorders>
            <w:noWrap/>
            <w:vAlign w:val="bottom"/>
            <w:hideMark/>
          </w:tcPr>
          <w:p w14:paraId="0E6F0484" w14:textId="77777777" w:rsidR="0020258E" w:rsidRPr="0020258E" w:rsidRDefault="0020258E" w:rsidP="00B6745A">
            <w:pPr>
              <w:spacing w:line="240" w:lineRule="auto"/>
              <w:rPr>
                <w:rFonts w:eastAsia="Times New Roman" w:cs="Times New Roman"/>
                <w:b/>
                <w:bCs/>
                <w:sz w:val="18"/>
                <w:szCs w:val="18"/>
                <w:lang w:eastAsia="sk-SK"/>
              </w:rPr>
            </w:pPr>
            <w:r w:rsidRPr="0020258E">
              <w:rPr>
                <w:rFonts w:eastAsia="Times New Roman" w:cs="Times New Roman"/>
                <w:b/>
                <w:bCs/>
                <w:sz w:val="18"/>
                <w:szCs w:val="18"/>
                <w:lang w:eastAsia="sk-SK"/>
              </w:rPr>
              <w:t>Verejná správa spolu</w:t>
            </w:r>
          </w:p>
        </w:tc>
        <w:tc>
          <w:tcPr>
            <w:tcW w:w="573" w:type="pct"/>
            <w:tcBorders>
              <w:top w:val="nil"/>
              <w:left w:val="nil"/>
              <w:bottom w:val="nil"/>
              <w:right w:val="nil"/>
            </w:tcBorders>
            <w:noWrap/>
            <w:vAlign w:val="bottom"/>
            <w:hideMark/>
          </w:tcPr>
          <w:p w14:paraId="540CFE44"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70 558 736</w:t>
            </w:r>
          </w:p>
        </w:tc>
        <w:tc>
          <w:tcPr>
            <w:tcW w:w="576" w:type="pct"/>
            <w:tcBorders>
              <w:top w:val="nil"/>
              <w:left w:val="nil"/>
              <w:bottom w:val="nil"/>
              <w:right w:val="nil"/>
            </w:tcBorders>
            <w:noWrap/>
            <w:vAlign w:val="bottom"/>
            <w:hideMark/>
          </w:tcPr>
          <w:p w14:paraId="11834708"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79 310 356</w:t>
            </w:r>
          </w:p>
        </w:tc>
        <w:tc>
          <w:tcPr>
            <w:tcW w:w="576" w:type="pct"/>
            <w:tcBorders>
              <w:top w:val="nil"/>
              <w:left w:val="nil"/>
              <w:bottom w:val="nil"/>
              <w:right w:val="nil"/>
            </w:tcBorders>
            <w:noWrap/>
            <w:vAlign w:val="bottom"/>
            <w:hideMark/>
          </w:tcPr>
          <w:p w14:paraId="7448A697"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85 475 762</w:t>
            </w:r>
          </w:p>
        </w:tc>
        <w:tc>
          <w:tcPr>
            <w:tcW w:w="518" w:type="pct"/>
            <w:tcBorders>
              <w:top w:val="nil"/>
              <w:left w:val="nil"/>
              <w:bottom w:val="nil"/>
              <w:right w:val="nil"/>
            </w:tcBorders>
            <w:noWrap/>
            <w:vAlign w:val="bottom"/>
            <w:hideMark/>
          </w:tcPr>
          <w:p w14:paraId="222BE0E6"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6 165 406</w:t>
            </w:r>
          </w:p>
        </w:tc>
      </w:tr>
      <w:tr w:rsidR="0020258E" w:rsidRPr="0020258E" w14:paraId="3067407B" w14:textId="77777777" w:rsidTr="00105F74">
        <w:trPr>
          <w:trHeight w:val="184"/>
        </w:trPr>
        <w:tc>
          <w:tcPr>
            <w:tcW w:w="2756" w:type="pct"/>
            <w:tcBorders>
              <w:top w:val="nil"/>
              <w:left w:val="nil"/>
              <w:bottom w:val="nil"/>
              <w:right w:val="nil"/>
            </w:tcBorders>
            <w:noWrap/>
            <w:vAlign w:val="bottom"/>
            <w:hideMark/>
          </w:tcPr>
          <w:p w14:paraId="570BE50E" w14:textId="77777777" w:rsidR="0020258E" w:rsidRPr="0020258E" w:rsidRDefault="0020258E" w:rsidP="00B6745A">
            <w:pPr>
              <w:spacing w:line="240" w:lineRule="auto"/>
              <w:ind w:firstLineChars="200" w:firstLine="360"/>
              <w:rPr>
                <w:rFonts w:eastAsia="Times New Roman" w:cs="Times New Roman"/>
                <w:i/>
                <w:iCs/>
                <w:sz w:val="18"/>
                <w:szCs w:val="18"/>
                <w:lang w:eastAsia="sk-SK"/>
              </w:rPr>
            </w:pPr>
            <w:r w:rsidRPr="0020258E">
              <w:rPr>
                <w:rFonts w:eastAsia="Times New Roman" w:cs="Times New Roman"/>
                <w:i/>
                <w:iCs/>
                <w:sz w:val="18"/>
                <w:szCs w:val="18"/>
                <w:lang w:eastAsia="sk-SK"/>
              </w:rPr>
              <w:t>Konsolidácia</w:t>
            </w:r>
          </w:p>
        </w:tc>
        <w:tc>
          <w:tcPr>
            <w:tcW w:w="573" w:type="pct"/>
            <w:tcBorders>
              <w:top w:val="nil"/>
              <w:left w:val="nil"/>
              <w:bottom w:val="nil"/>
              <w:right w:val="nil"/>
            </w:tcBorders>
            <w:noWrap/>
            <w:vAlign w:val="bottom"/>
            <w:hideMark/>
          </w:tcPr>
          <w:p w14:paraId="7E5F3C5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1 676 490</w:t>
            </w:r>
          </w:p>
        </w:tc>
        <w:tc>
          <w:tcPr>
            <w:tcW w:w="576" w:type="pct"/>
            <w:tcBorders>
              <w:top w:val="nil"/>
              <w:left w:val="nil"/>
              <w:bottom w:val="nil"/>
              <w:right w:val="nil"/>
            </w:tcBorders>
            <w:noWrap/>
            <w:vAlign w:val="bottom"/>
            <w:hideMark/>
          </w:tcPr>
          <w:p w14:paraId="269B229C"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1 575 511</w:t>
            </w:r>
          </w:p>
        </w:tc>
        <w:tc>
          <w:tcPr>
            <w:tcW w:w="576" w:type="pct"/>
            <w:tcBorders>
              <w:top w:val="nil"/>
              <w:left w:val="nil"/>
              <w:bottom w:val="nil"/>
              <w:right w:val="nil"/>
            </w:tcBorders>
            <w:noWrap/>
            <w:vAlign w:val="bottom"/>
            <w:hideMark/>
          </w:tcPr>
          <w:p w14:paraId="288B935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1 518 956</w:t>
            </w:r>
          </w:p>
        </w:tc>
        <w:tc>
          <w:tcPr>
            <w:tcW w:w="518" w:type="pct"/>
            <w:tcBorders>
              <w:top w:val="nil"/>
              <w:left w:val="nil"/>
              <w:bottom w:val="nil"/>
              <w:right w:val="nil"/>
            </w:tcBorders>
            <w:noWrap/>
            <w:vAlign w:val="bottom"/>
            <w:hideMark/>
          </w:tcPr>
          <w:p w14:paraId="0D9F395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-56 555</w:t>
            </w:r>
          </w:p>
        </w:tc>
      </w:tr>
      <w:tr w:rsidR="0020258E" w:rsidRPr="0020258E" w14:paraId="2BDE560C" w14:textId="77777777" w:rsidTr="0020258E">
        <w:trPr>
          <w:trHeight w:val="290"/>
        </w:trPr>
        <w:tc>
          <w:tcPr>
            <w:tcW w:w="2756" w:type="pct"/>
            <w:tcBorders>
              <w:top w:val="nil"/>
              <w:left w:val="nil"/>
              <w:bottom w:val="nil"/>
              <w:right w:val="nil"/>
            </w:tcBorders>
            <w:noWrap/>
            <w:vAlign w:val="bottom"/>
            <w:hideMark/>
          </w:tcPr>
          <w:p w14:paraId="042176EB" w14:textId="77777777" w:rsidR="0020258E" w:rsidRPr="0020258E" w:rsidRDefault="0020258E" w:rsidP="00B6745A">
            <w:pPr>
              <w:spacing w:line="240" w:lineRule="auto"/>
              <w:ind w:firstLineChars="200" w:firstLine="360"/>
              <w:rPr>
                <w:rFonts w:eastAsia="Times New Roman" w:cs="Times New Roman"/>
                <w:sz w:val="18"/>
                <w:szCs w:val="18"/>
                <w:lang w:eastAsia="sk-SK"/>
              </w:rPr>
            </w:pPr>
            <w:r w:rsidRPr="0020258E">
              <w:rPr>
                <w:rFonts w:eastAsia="Times New Roman" w:cs="Times New Roman"/>
                <w:sz w:val="18"/>
                <w:szCs w:val="18"/>
                <w:lang w:eastAsia="sk-SK"/>
              </w:rPr>
              <w:t>z toho: konsolidácia v skupine miestnej samosprávy</w:t>
            </w:r>
          </w:p>
        </w:tc>
        <w:tc>
          <w:tcPr>
            <w:tcW w:w="573" w:type="pct"/>
            <w:tcBorders>
              <w:top w:val="nil"/>
              <w:left w:val="nil"/>
              <w:bottom w:val="nil"/>
              <w:right w:val="nil"/>
            </w:tcBorders>
            <w:noWrap/>
            <w:vAlign w:val="bottom"/>
            <w:hideMark/>
          </w:tcPr>
          <w:p w14:paraId="12DBCCB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1 053 265</w:t>
            </w:r>
          </w:p>
        </w:tc>
        <w:tc>
          <w:tcPr>
            <w:tcW w:w="576" w:type="pct"/>
            <w:tcBorders>
              <w:top w:val="nil"/>
              <w:left w:val="nil"/>
              <w:bottom w:val="nil"/>
              <w:right w:val="nil"/>
            </w:tcBorders>
            <w:noWrap/>
            <w:vAlign w:val="bottom"/>
            <w:hideMark/>
          </w:tcPr>
          <w:p w14:paraId="154A77C8"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1 058 328</w:t>
            </w:r>
          </w:p>
        </w:tc>
        <w:tc>
          <w:tcPr>
            <w:tcW w:w="576" w:type="pct"/>
            <w:tcBorders>
              <w:top w:val="nil"/>
              <w:left w:val="nil"/>
              <w:bottom w:val="nil"/>
              <w:right w:val="nil"/>
            </w:tcBorders>
            <w:noWrap/>
            <w:vAlign w:val="bottom"/>
            <w:hideMark/>
          </w:tcPr>
          <w:p w14:paraId="64E1F691"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1 063 809</w:t>
            </w:r>
          </w:p>
        </w:tc>
        <w:tc>
          <w:tcPr>
            <w:tcW w:w="518" w:type="pct"/>
            <w:tcBorders>
              <w:top w:val="nil"/>
              <w:left w:val="nil"/>
              <w:bottom w:val="nil"/>
              <w:right w:val="nil"/>
            </w:tcBorders>
            <w:noWrap/>
            <w:vAlign w:val="bottom"/>
            <w:hideMark/>
          </w:tcPr>
          <w:p w14:paraId="4BBCFA62"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5 481</w:t>
            </w:r>
          </w:p>
        </w:tc>
      </w:tr>
      <w:tr w:rsidR="0020258E" w:rsidRPr="0020258E" w14:paraId="0EB4BB2A" w14:textId="77777777" w:rsidTr="0020258E">
        <w:trPr>
          <w:trHeight w:val="290"/>
        </w:trPr>
        <w:tc>
          <w:tcPr>
            <w:tcW w:w="2756" w:type="pct"/>
            <w:tcBorders>
              <w:top w:val="single" w:sz="4" w:space="0" w:color="auto"/>
              <w:left w:val="nil"/>
              <w:bottom w:val="nil"/>
              <w:right w:val="nil"/>
            </w:tcBorders>
            <w:noWrap/>
            <w:vAlign w:val="bottom"/>
            <w:hideMark/>
          </w:tcPr>
          <w:p w14:paraId="0B97D90A" w14:textId="77777777" w:rsidR="0020258E" w:rsidRPr="0020258E" w:rsidRDefault="0020258E" w:rsidP="00B6745A">
            <w:pPr>
              <w:spacing w:line="240" w:lineRule="auto"/>
              <w:rPr>
                <w:rFonts w:eastAsia="Times New Roman" w:cs="Times New Roman"/>
                <w:b/>
                <w:bCs/>
                <w:sz w:val="18"/>
                <w:szCs w:val="18"/>
                <w:lang w:eastAsia="sk-SK"/>
              </w:rPr>
            </w:pPr>
            <w:r w:rsidRPr="0020258E">
              <w:rPr>
                <w:rFonts w:eastAsia="Times New Roman" w:cs="Times New Roman"/>
                <w:b/>
                <w:bCs/>
                <w:sz w:val="18"/>
                <w:szCs w:val="18"/>
                <w:lang w:eastAsia="sk-SK"/>
              </w:rPr>
              <w:t>Verejná správa spolu konsolidovaná</w:t>
            </w:r>
          </w:p>
        </w:tc>
        <w:tc>
          <w:tcPr>
            <w:tcW w:w="573" w:type="pct"/>
            <w:tcBorders>
              <w:top w:val="single" w:sz="4" w:space="0" w:color="auto"/>
              <w:left w:val="nil"/>
              <w:bottom w:val="nil"/>
              <w:right w:val="nil"/>
            </w:tcBorders>
            <w:noWrap/>
            <w:vAlign w:val="bottom"/>
            <w:hideMark/>
          </w:tcPr>
          <w:p w14:paraId="5B6DFD78"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68 882 246</w:t>
            </w:r>
          </w:p>
        </w:tc>
        <w:tc>
          <w:tcPr>
            <w:tcW w:w="576" w:type="pct"/>
            <w:tcBorders>
              <w:top w:val="single" w:sz="4" w:space="0" w:color="auto"/>
              <w:left w:val="nil"/>
              <w:bottom w:val="nil"/>
              <w:right w:val="nil"/>
            </w:tcBorders>
            <w:noWrap/>
            <w:vAlign w:val="bottom"/>
            <w:hideMark/>
          </w:tcPr>
          <w:p w14:paraId="25A1BE36"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77 734 845</w:t>
            </w:r>
          </w:p>
        </w:tc>
        <w:tc>
          <w:tcPr>
            <w:tcW w:w="576" w:type="pct"/>
            <w:tcBorders>
              <w:top w:val="single" w:sz="4" w:space="0" w:color="auto"/>
              <w:left w:val="nil"/>
              <w:bottom w:val="nil"/>
              <w:right w:val="nil"/>
            </w:tcBorders>
            <w:noWrap/>
            <w:vAlign w:val="bottom"/>
            <w:hideMark/>
          </w:tcPr>
          <w:p w14:paraId="490ADA62"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83 956 806</w:t>
            </w:r>
          </w:p>
        </w:tc>
        <w:tc>
          <w:tcPr>
            <w:tcW w:w="518" w:type="pct"/>
            <w:tcBorders>
              <w:top w:val="single" w:sz="4" w:space="0" w:color="auto"/>
              <w:left w:val="nil"/>
              <w:bottom w:val="nil"/>
              <w:right w:val="nil"/>
            </w:tcBorders>
            <w:noWrap/>
            <w:vAlign w:val="bottom"/>
            <w:hideMark/>
          </w:tcPr>
          <w:p w14:paraId="4068C75B"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6 221 961</w:t>
            </w:r>
          </w:p>
        </w:tc>
      </w:tr>
      <w:tr w:rsidR="0020258E" w:rsidRPr="0020258E" w14:paraId="649BD372" w14:textId="77777777" w:rsidTr="00105F74">
        <w:trPr>
          <w:trHeight w:val="202"/>
        </w:trPr>
        <w:tc>
          <w:tcPr>
            <w:tcW w:w="2756" w:type="pct"/>
            <w:tcBorders>
              <w:top w:val="nil"/>
              <w:left w:val="nil"/>
              <w:bottom w:val="single" w:sz="4" w:space="0" w:color="auto"/>
              <w:right w:val="nil"/>
            </w:tcBorders>
            <w:noWrap/>
            <w:vAlign w:val="bottom"/>
            <w:hideMark/>
          </w:tcPr>
          <w:p w14:paraId="467CEA36" w14:textId="77777777" w:rsidR="0020258E" w:rsidRPr="0020258E" w:rsidRDefault="0020258E" w:rsidP="00B6745A">
            <w:pPr>
              <w:spacing w:line="240" w:lineRule="auto"/>
              <w:ind w:firstLineChars="200" w:firstLine="361"/>
              <w:rPr>
                <w:rFonts w:eastAsia="Times New Roman" w:cs="Times New Roman"/>
                <w:b/>
                <w:bCs/>
                <w:sz w:val="18"/>
                <w:szCs w:val="18"/>
                <w:lang w:eastAsia="sk-SK"/>
              </w:rPr>
            </w:pPr>
            <w:r w:rsidRPr="0020258E">
              <w:rPr>
                <w:rFonts w:eastAsia="Times New Roman" w:cs="Times New Roman"/>
                <w:b/>
                <w:bCs/>
                <w:sz w:val="18"/>
                <w:szCs w:val="18"/>
                <w:lang w:eastAsia="sk-SK"/>
              </w:rPr>
              <w:t>% z HDP</w:t>
            </w:r>
          </w:p>
        </w:tc>
        <w:tc>
          <w:tcPr>
            <w:tcW w:w="573" w:type="pct"/>
            <w:tcBorders>
              <w:top w:val="nil"/>
              <w:left w:val="nil"/>
              <w:bottom w:val="single" w:sz="4" w:space="0" w:color="auto"/>
              <w:right w:val="nil"/>
            </w:tcBorders>
            <w:noWrap/>
            <w:vAlign w:val="bottom"/>
            <w:hideMark/>
          </w:tcPr>
          <w:p w14:paraId="4131FD0C"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55,8</w:t>
            </w:r>
          </w:p>
        </w:tc>
        <w:tc>
          <w:tcPr>
            <w:tcW w:w="576" w:type="pct"/>
            <w:tcBorders>
              <w:top w:val="nil"/>
              <w:left w:val="nil"/>
              <w:bottom w:val="single" w:sz="4" w:space="0" w:color="auto"/>
              <w:right w:val="nil"/>
            </w:tcBorders>
            <w:noWrap/>
            <w:vAlign w:val="bottom"/>
            <w:hideMark/>
          </w:tcPr>
          <w:p w14:paraId="35C5909F"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59,7</w:t>
            </w:r>
          </w:p>
        </w:tc>
        <w:tc>
          <w:tcPr>
            <w:tcW w:w="576" w:type="pct"/>
            <w:tcBorders>
              <w:top w:val="nil"/>
              <w:left w:val="nil"/>
              <w:bottom w:val="single" w:sz="4" w:space="0" w:color="auto"/>
              <w:right w:val="nil"/>
            </w:tcBorders>
            <w:noWrap/>
            <w:vAlign w:val="bottom"/>
            <w:hideMark/>
          </w:tcPr>
          <w:p w14:paraId="774A06BD"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61,4</w:t>
            </w:r>
          </w:p>
        </w:tc>
        <w:tc>
          <w:tcPr>
            <w:tcW w:w="518" w:type="pct"/>
            <w:tcBorders>
              <w:top w:val="nil"/>
              <w:left w:val="nil"/>
              <w:bottom w:val="single" w:sz="4" w:space="0" w:color="auto"/>
              <w:right w:val="nil"/>
            </w:tcBorders>
            <w:noWrap/>
            <w:vAlign w:val="bottom"/>
            <w:hideMark/>
          </w:tcPr>
          <w:p w14:paraId="6DF17ED6"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1,7</w:t>
            </w:r>
          </w:p>
        </w:tc>
      </w:tr>
    </w:tbl>
    <w:p w14:paraId="4953A4CA" w14:textId="7A9C1971" w:rsidR="009A05C7" w:rsidRPr="0020258E" w:rsidRDefault="009A05C7" w:rsidP="004942CF">
      <w:pPr>
        <w:tabs>
          <w:tab w:val="right" w:pos="9070"/>
        </w:tabs>
        <w:spacing w:line="240" w:lineRule="auto"/>
        <w:jc w:val="both"/>
        <w:rPr>
          <w:sz w:val="18"/>
          <w:szCs w:val="18"/>
        </w:rPr>
      </w:pPr>
      <w:r w:rsidRPr="0020258E">
        <w:rPr>
          <w:sz w:val="18"/>
          <w:szCs w:val="18"/>
          <w:vertAlign w:val="superscript"/>
        </w:rPr>
        <w:t>1)</w:t>
      </w:r>
      <w:r w:rsidRPr="0020258E">
        <w:rPr>
          <w:sz w:val="18"/>
          <w:szCs w:val="18"/>
        </w:rPr>
        <w:t xml:space="preserve"> Bez tzv. refinančného systému a záväzkov z vkladov subjektov verejnej správy v Štátnej pokladnici.</w:t>
      </w:r>
      <w:r w:rsidR="0091008D">
        <w:rPr>
          <w:sz w:val="18"/>
          <w:szCs w:val="18"/>
        </w:rPr>
        <w:tab/>
      </w:r>
      <w:r w:rsidRPr="0020258E">
        <w:rPr>
          <w:sz w:val="18"/>
          <w:szCs w:val="18"/>
        </w:rPr>
        <w:t>Zdroj: MF SR</w:t>
      </w:r>
    </w:p>
    <w:p w14:paraId="536A8EEC" w14:textId="0804A843" w:rsidR="00850FAC" w:rsidRPr="0050710A" w:rsidRDefault="00850FAC" w:rsidP="00532D85">
      <w:pPr>
        <w:spacing w:line="240" w:lineRule="auto"/>
        <w:jc w:val="both"/>
        <w:rPr>
          <w:szCs w:val="24"/>
          <w:highlight w:val="yellow"/>
        </w:rPr>
      </w:pPr>
    </w:p>
    <w:p w14:paraId="61DE1871" w14:textId="1F8E27B7" w:rsidR="00C164B8" w:rsidRPr="00845614" w:rsidRDefault="00C164B8" w:rsidP="00C164B8">
      <w:pPr>
        <w:spacing w:line="240" w:lineRule="auto"/>
        <w:jc w:val="both"/>
        <w:rPr>
          <w:b/>
          <w:bCs/>
          <w:szCs w:val="24"/>
        </w:rPr>
      </w:pPr>
      <w:r w:rsidRPr="00845614">
        <w:rPr>
          <w:b/>
          <w:bCs/>
          <w:szCs w:val="24"/>
        </w:rPr>
        <w:lastRenderedPageBreak/>
        <w:t>Zvýšenie maastrichtského dlhu oproti roku 2024 ovplyvnili najmä nasledovné skutočnosti:</w:t>
      </w:r>
    </w:p>
    <w:p w14:paraId="205C7FD8" w14:textId="050B916F" w:rsidR="00C164B8" w:rsidRPr="003C7536" w:rsidRDefault="00C164B8" w:rsidP="008B1431">
      <w:pPr>
        <w:numPr>
          <w:ilvl w:val="0"/>
          <w:numId w:val="2"/>
        </w:numPr>
        <w:spacing w:line="240" w:lineRule="auto"/>
        <w:contextualSpacing/>
        <w:jc w:val="both"/>
        <w:rPr>
          <w:rFonts w:cs="Times New Roman"/>
          <w:szCs w:val="24"/>
        </w:rPr>
      </w:pPr>
      <w:r w:rsidRPr="003C7536">
        <w:rPr>
          <w:rFonts w:cs="Times New Roman"/>
          <w:szCs w:val="24"/>
        </w:rPr>
        <w:t xml:space="preserve">krytie </w:t>
      </w:r>
      <w:r w:rsidR="00845614">
        <w:rPr>
          <w:rFonts w:cs="Times New Roman"/>
          <w:szCs w:val="24"/>
        </w:rPr>
        <w:t xml:space="preserve">hotovostného </w:t>
      </w:r>
      <w:r w:rsidRPr="003C7536">
        <w:rPr>
          <w:rFonts w:cs="Times New Roman"/>
          <w:szCs w:val="24"/>
        </w:rPr>
        <w:t>schodku štátneho rozpočtu</w:t>
      </w:r>
      <w:r w:rsidR="00845614">
        <w:rPr>
          <w:rFonts w:cs="Times New Roman"/>
          <w:szCs w:val="24"/>
        </w:rPr>
        <w:t xml:space="preserve"> (6 108 623 tis. eur) </w:t>
      </w:r>
      <w:r w:rsidRPr="003C7536">
        <w:rPr>
          <w:rFonts w:cs="Times New Roman"/>
          <w:szCs w:val="24"/>
        </w:rPr>
        <w:t>a ďalšie požiadavky na cudzie zdroje vyplývajúce z riadenia dlhu a likvidity, ktoré sa prejavili do emitovania štátnych dlhopisov v úhrnnej menovitej hodnote 12 180 700 tis.</w:t>
      </w:r>
      <w:r w:rsidR="0091008D">
        <w:rPr>
          <w:rFonts w:cs="Times New Roman"/>
          <w:szCs w:val="24"/>
        </w:rPr>
        <w:t> </w:t>
      </w:r>
      <w:r w:rsidRPr="003C7536">
        <w:rPr>
          <w:rFonts w:cs="Times New Roman"/>
          <w:szCs w:val="24"/>
        </w:rPr>
        <w:t>eu</w:t>
      </w:r>
      <w:r>
        <w:rPr>
          <w:rFonts w:cs="Times New Roman"/>
          <w:szCs w:val="24"/>
        </w:rPr>
        <w:t>r a čerpania úveru od Európskej investičnej banky vo výške 240 000 tis. eur a</w:t>
      </w:r>
      <w:r w:rsidR="00635C21">
        <w:rPr>
          <w:rFonts w:cs="Times New Roman"/>
          <w:szCs w:val="24"/>
        </w:rPr>
        <w:t> </w:t>
      </w:r>
      <w:r>
        <w:rPr>
          <w:rFonts w:cs="Times New Roman"/>
          <w:szCs w:val="24"/>
        </w:rPr>
        <w:t xml:space="preserve">prvej tranže úveru od Rozvojovej banky Rady Európy vo výške 150 000 tis. eur, </w:t>
      </w:r>
    </w:p>
    <w:p w14:paraId="17A13E50" w14:textId="77777777" w:rsidR="00C164B8" w:rsidRDefault="00C164B8" w:rsidP="008B1431">
      <w:pPr>
        <w:numPr>
          <w:ilvl w:val="0"/>
          <w:numId w:val="2"/>
        </w:numPr>
        <w:spacing w:line="240" w:lineRule="auto"/>
        <w:contextualSpacing/>
        <w:jc w:val="both"/>
        <w:rPr>
          <w:rFonts w:cs="Times New Roman"/>
          <w:szCs w:val="24"/>
        </w:rPr>
      </w:pPr>
      <w:r w:rsidRPr="003C7536">
        <w:rPr>
          <w:rFonts w:cs="Times New Roman"/>
          <w:szCs w:val="24"/>
        </w:rPr>
        <w:t>nárast dlhu z tzv. zelenej energie o 50 012 tis. eur z dôvodu nižšej hodnoty  inkasovanej TPS ako boli náklady na poskytovanie dotácií výrobcom zelenej energie,</w:t>
      </w:r>
    </w:p>
    <w:p w14:paraId="1FE0496C" w14:textId="29F6778C" w:rsidR="00C164B8" w:rsidRDefault="00C164B8" w:rsidP="008B1431">
      <w:pPr>
        <w:numPr>
          <w:ilvl w:val="0"/>
          <w:numId w:val="2"/>
        </w:numPr>
        <w:spacing w:line="240" w:lineRule="auto"/>
        <w:contextualSpacing/>
        <w:jc w:val="both"/>
        <w:rPr>
          <w:rFonts w:cs="Times New Roman"/>
          <w:szCs w:val="24"/>
        </w:rPr>
      </w:pPr>
      <w:r>
        <w:rPr>
          <w:rFonts w:cs="Times New Roman"/>
          <w:szCs w:val="24"/>
        </w:rPr>
        <w:t>nárast dlhu Národnej diaľničnej spoločnosti,</w:t>
      </w:r>
      <w:r w:rsidR="0091008D">
        <w:rPr>
          <w:rFonts w:cs="Times New Roman"/>
          <w:szCs w:val="24"/>
        </w:rPr>
        <w:t> </w:t>
      </w:r>
      <w:r>
        <w:rPr>
          <w:rFonts w:cs="Times New Roman"/>
          <w:szCs w:val="24"/>
        </w:rPr>
        <w:t>a. s.</w:t>
      </w:r>
      <w:r w:rsidR="00467F0B">
        <w:rPr>
          <w:rFonts w:cs="Times New Roman"/>
          <w:szCs w:val="24"/>
        </w:rPr>
        <w:t>,</w:t>
      </w:r>
      <w:r>
        <w:rPr>
          <w:rFonts w:cs="Times New Roman"/>
          <w:szCs w:val="24"/>
        </w:rPr>
        <w:t xml:space="preserve"> o 90 118 tis. eur zapríčinené čerpaním nového bankového úveru,</w:t>
      </w:r>
    </w:p>
    <w:p w14:paraId="7A6D7D36" w14:textId="77777777" w:rsidR="00C164B8" w:rsidRDefault="00C164B8" w:rsidP="008B1431">
      <w:pPr>
        <w:numPr>
          <w:ilvl w:val="0"/>
          <w:numId w:val="2"/>
        </w:numPr>
        <w:spacing w:line="240" w:lineRule="auto"/>
        <w:contextualSpacing/>
        <w:jc w:val="both"/>
        <w:rPr>
          <w:rFonts w:cs="Times New Roman"/>
          <w:szCs w:val="24"/>
        </w:rPr>
      </w:pPr>
      <w:r>
        <w:rPr>
          <w:rFonts w:cs="Times New Roman"/>
          <w:szCs w:val="24"/>
        </w:rPr>
        <w:t>zvýšenie konsolidovaného dlhu obcí a ich rozpočtových organizácií súhrnne o 91 151 tis. eur najmä z dôvodu čerpania nových bankových úverov,</w:t>
      </w:r>
    </w:p>
    <w:p w14:paraId="55697DAC" w14:textId="77777777" w:rsidR="00C164B8" w:rsidRDefault="00C164B8" w:rsidP="008B1431">
      <w:pPr>
        <w:numPr>
          <w:ilvl w:val="0"/>
          <w:numId w:val="2"/>
        </w:numPr>
        <w:spacing w:line="240" w:lineRule="auto"/>
        <w:contextualSpacing/>
        <w:jc w:val="both"/>
        <w:rPr>
          <w:rFonts w:cs="Times New Roman"/>
          <w:szCs w:val="24"/>
        </w:rPr>
      </w:pPr>
      <w:r>
        <w:rPr>
          <w:rFonts w:cs="Times New Roman"/>
          <w:szCs w:val="24"/>
        </w:rPr>
        <w:t>nárast konsolidovaného dlhu vyšších územných celkov o 35 490 tis. eur spôsobené čerpaním nových bankových úverov,</w:t>
      </w:r>
    </w:p>
    <w:p w14:paraId="4B070F78" w14:textId="77777777" w:rsidR="00C164B8" w:rsidRPr="003C7536" w:rsidRDefault="00C164B8" w:rsidP="008B1431">
      <w:pPr>
        <w:numPr>
          <w:ilvl w:val="0"/>
          <w:numId w:val="2"/>
        </w:numPr>
        <w:spacing w:line="240" w:lineRule="auto"/>
        <w:contextualSpacing/>
        <w:jc w:val="both"/>
        <w:rPr>
          <w:rFonts w:cs="Times New Roman"/>
          <w:szCs w:val="24"/>
        </w:rPr>
      </w:pPr>
      <w:r>
        <w:rPr>
          <w:rFonts w:cs="Times New Roman"/>
          <w:szCs w:val="24"/>
        </w:rPr>
        <w:t>zvýšenie dlhu dopravných podnikov miestnej samosprávy súhrnne o 27 569 tis. eur z dôvodu čerpania nových bankových úverov.</w:t>
      </w:r>
    </w:p>
    <w:p w14:paraId="68E93C38" w14:textId="77777777" w:rsidR="00C164B8" w:rsidRPr="000B28B6" w:rsidRDefault="00C164B8" w:rsidP="00C164B8">
      <w:pPr>
        <w:keepNext/>
        <w:spacing w:line="240" w:lineRule="auto"/>
        <w:jc w:val="both"/>
        <w:rPr>
          <w:szCs w:val="24"/>
        </w:rPr>
      </w:pPr>
      <w:r w:rsidRPr="000B28B6">
        <w:rPr>
          <w:b/>
          <w:szCs w:val="24"/>
        </w:rPr>
        <w:t>Naopak, na pokles</w:t>
      </w:r>
      <w:r w:rsidRPr="000B28B6">
        <w:rPr>
          <w:szCs w:val="24"/>
        </w:rPr>
        <w:t xml:space="preserve"> maastrichtského dlhu oproti jeho stavu v roku 2024 pôsobili tieto skutočnosti:</w:t>
      </w:r>
    </w:p>
    <w:p w14:paraId="56B81113" w14:textId="57268404" w:rsidR="00C164B8" w:rsidRPr="00EF6638" w:rsidRDefault="00C164B8" w:rsidP="008B1431">
      <w:pPr>
        <w:numPr>
          <w:ilvl w:val="0"/>
          <w:numId w:val="3"/>
        </w:numPr>
        <w:spacing w:line="240" w:lineRule="auto"/>
        <w:contextualSpacing/>
        <w:jc w:val="both"/>
        <w:rPr>
          <w:rFonts w:ascii="Calibri" w:hAnsi="Calibri" w:cs="Times New Roman"/>
          <w:szCs w:val="24"/>
        </w:rPr>
      </w:pPr>
      <w:r w:rsidRPr="00EF6638">
        <w:rPr>
          <w:rFonts w:cs="Times New Roman"/>
          <w:szCs w:val="24"/>
        </w:rPr>
        <w:t>splátky záväzkov zo štátnych dlhopisov v menovitej hodnote 5 993 654 tis.</w:t>
      </w:r>
      <w:r w:rsidR="0091008D">
        <w:rPr>
          <w:rFonts w:cs="Times New Roman"/>
          <w:szCs w:val="24"/>
        </w:rPr>
        <w:t> </w:t>
      </w:r>
      <w:r w:rsidRPr="00EF6638">
        <w:rPr>
          <w:rFonts w:cs="Times New Roman"/>
          <w:szCs w:val="24"/>
        </w:rPr>
        <w:t>eur,</w:t>
      </w:r>
    </w:p>
    <w:p w14:paraId="6E73F2D8" w14:textId="77777777" w:rsidR="00C164B8" w:rsidRPr="00EF6638" w:rsidRDefault="00C164B8" w:rsidP="008B1431">
      <w:pPr>
        <w:numPr>
          <w:ilvl w:val="0"/>
          <w:numId w:val="3"/>
        </w:numPr>
        <w:spacing w:line="240" w:lineRule="auto"/>
        <w:contextualSpacing/>
        <w:jc w:val="both"/>
        <w:rPr>
          <w:rFonts w:ascii="Calibri" w:hAnsi="Calibri" w:cs="Times New Roman"/>
          <w:szCs w:val="24"/>
        </w:rPr>
      </w:pPr>
      <w:r w:rsidRPr="00EF6638">
        <w:rPr>
          <w:rFonts w:cs="Times New Roman"/>
          <w:szCs w:val="24"/>
        </w:rPr>
        <w:t>splátky úverov v štátnom dlhu v hodnote 553 835 tis. eur,</w:t>
      </w:r>
    </w:p>
    <w:p w14:paraId="71384CB7" w14:textId="77777777" w:rsidR="00C164B8" w:rsidRPr="00342D95" w:rsidRDefault="00C164B8" w:rsidP="008B1431">
      <w:pPr>
        <w:numPr>
          <w:ilvl w:val="0"/>
          <w:numId w:val="3"/>
        </w:numPr>
        <w:spacing w:line="240" w:lineRule="auto"/>
        <w:contextualSpacing/>
        <w:jc w:val="both"/>
        <w:rPr>
          <w:rFonts w:ascii="Calibri" w:hAnsi="Calibri" w:cs="Times New Roman"/>
          <w:szCs w:val="24"/>
        </w:rPr>
      </w:pPr>
      <w:r w:rsidRPr="00342D95">
        <w:rPr>
          <w:rFonts w:cs="Times New Roman"/>
          <w:szCs w:val="24"/>
        </w:rPr>
        <w:t>zníženie konsolidovaného dlhu Eximbanky o 65 975 tis. eur,</w:t>
      </w:r>
    </w:p>
    <w:p w14:paraId="17E3F940" w14:textId="77777777" w:rsidR="00C164B8" w:rsidRPr="001B4513" w:rsidRDefault="00C164B8" w:rsidP="008B1431">
      <w:pPr>
        <w:numPr>
          <w:ilvl w:val="0"/>
          <w:numId w:val="3"/>
        </w:numPr>
        <w:spacing w:line="240" w:lineRule="auto"/>
        <w:contextualSpacing/>
        <w:jc w:val="both"/>
        <w:rPr>
          <w:rFonts w:ascii="Calibri" w:hAnsi="Calibri" w:cs="Times New Roman"/>
          <w:szCs w:val="24"/>
        </w:rPr>
      </w:pPr>
      <w:r w:rsidRPr="001B4513">
        <w:rPr>
          <w:rFonts w:cs="Times New Roman"/>
          <w:szCs w:val="24"/>
        </w:rPr>
        <w:t>pokles konsolidovaného dlhu Železníc Slovenskej republiky o 15 785 tis. eur,</w:t>
      </w:r>
    </w:p>
    <w:p w14:paraId="1FDDCDF7" w14:textId="77777777" w:rsidR="00C164B8" w:rsidRPr="001B4513" w:rsidRDefault="00C164B8" w:rsidP="008B1431">
      <w:pPr>
        <w:numPr>
          <w:ilvl w:val="0"/>
          <w:numId w:val="3"/>
        </w:numPr>
        <w:spacing w:line="240" w:lineRule="auto"/>
        <w:contextualSpacing/>
        <w:jc w:val="both"/>
        <w:rPr>
          <w:rFonts w:ascii="Calibri" w:hAnsi="Calibri" w:cs="Times New Roman"/>
          <w:szCs w:val="24"/>
        </w:rPr>
      </w:pPr>
      <w:r w:rsidRPr="001B4513">
        <w:rPr>
          <w:rFonts w:cs="Times New Roman"/>
          <w:szCs w:val="24"/>
        </w:rPr>
        <w:t>zníženie konsolidovaného dlhu zdravotníckych zariadení ústrednej správy o 7 887 tis. eur</w:t>
      </w:r>
      <w:r>
        <w:rPr>
          <w:rFonts w:cs="Times New Roman"/>
          <w:szCs w:val="24"/>
        </w:rPr>
        <w:t>.</w:t>
      </w:r>
    </w:p>
    <w:p w14:paraId="1B333BAC" w14:textId="77777777" w:rsidR="00C164B8" w:rsidRPr="00147FC4" w:rsidRDefault="00C164B8" w:rsidP="00C164B8">
      <w:pPr>
        <w:spacing w:line="240" w:lineRule="auto"/>
        <w:jc w:val="both"/>
        <w:rPr>
          <w:szCs w:val="24"/>
        </w:rPr>
      </w:pPr>
      <w:r w:rsidRPr="0071091D">
        <w:rPr>
          <w:b/>
          <w:szCs w:val="24"/>
        </w:rPr>
        <w:t xml:space="preserve">Maastrichtský dlh verejnej správy bol financovaný predovšetkým cennými papiermi, najmä štátnymi dlhopismi </w:t>
      </w:r>
      <w:r w:rsidRPr="0071091D">
        <w:rPr>
          <w:szCs w:val="24"/>
        </w:rPr>
        <w:t xml:space="preserve">v súhrnnej menovitej hodnote 75 037 992 tis. eur (89,4 %). </w:t>
      </w:r>
      <w:r w:rsidRPr="00147FC4">
        <w:rPr>
          <w:szCs w:val="24"/>
        </w:rPr>
        <w:t>Bankové úvery, pôžičky a iné záväzky dosiahli hodnotu 8 794 817 tis. eur (7,4 %), z čoho 1 955 072 tis. eur predstavuje záväzok pripadajúci na Slovenskú republiku z nástroja EFSF, ktorého úroveň sa oproti roku 2024 znížila o 16 156 tis. eur. Osobitnou súčasťou maastrichtského dlhu sú záväzky z vkladov peňažných prostriedkov v Štátnej pokladnici tých klientov, ktorí nie sú súčasťou verejnej správy. Výška týchto záväzkov bola v roku 2025 na úrovni 61 838 tis. eur (0,1 %).</w:t>
      </w:r>
    </w:p>
    <w:p w14:paraId="1784FF24" w14:textId="77777777" w:rsidR="00C164B8" w:rsidRPr="005E1D66" w:rsidRDefault="00C164B8" w:rsidP="00C164B8">
      <w:pPr>
        <w:spacing w:line="240" w:lineRule="auto"/>
        <w:jc w:val="both"/>
        <w:rPr>
          <w:szCs w:val="24"/>
        </w:rPr>
      </w:pPr>
      <w:r w:rsidRPr="005E1D66">
        <w:rPr>
          <w:b/>
          <w:szCs w:val="24"/>
        </w:rPr>
        <w:t xml:space="preserve">Z pohľadu meny, v ktorej je dlh denominovaný, bol maastrichtský dlh v roku 2025 tvorený z 98,9 % dlhom v eurách </w:t>
      </w:r>
      <w:r w:rsidRPr="005E1D66">
        <w:rPr>
          <w:szCs w:val="24"/>
        </w:rPr>
        <w:t>a len 1,1 % dlhu pripadlo na iné meny, ktoré sú najmä v štátnom dlhu pri emitovaných dlhopisoch denominovaných v švajčiarskych frankoch a nórskych korunách.</w:t>
      </w:r>
    </w:p>
    <w:p w14:paraId="643CD0C2" w14:textId="191104A3" w:rsidR="00C164B8" w:rsidRPr="00484A77" w:rsidRDefault="00C164B8" w:rsidP="00C164B8">
      <w:pPr>
        <w:spacing w:line="240" w:lineRule="auto"/>
        <w:jc w:val="both"/>
        <w:rPr>
          <w:szCs w:val="24"/>
        </w:rPr>
      </w:pPr>
      <w:r w:rsidRPr="00484A77">
        <w:rPr>
          <w:b/>
          <w:szCs w:val="24"/>
        </w:rPr>
        <w:t xml:space="preserve">Z hľadiska pôvodnej splatnosti </w:t>
      </w:r>
      <w:r w:rsidRPr="00484A77">
        <w:rPr>
          <w:szCs w:val="24"/>
        </w:rPr>
        <w:t xml:space="preserve">(dohodnutej pri vzniku dlhu) je maastrichtský dlh tvorený z 0,5 % (424 665 tis. eur) krátkodobým dlhom. Dlh s pôvodnou splatnosťou </w:t>
      </w:r>
      <w:r w:rsidR="009270F8">
        <w:rPr>
          <w:szCs w:val="24"/>
        </w:rPr>
        <w:t>dlhšou</w:t>
      </w:r>
      <w:r w:rsidRPr="00484A77">
        <w:rPr>
          <w:szCs w:val="24"/>
        </w:rPr>
        <w:t xml:space="preserve"> ako jeden rok predstavuje 99,5 % (83 532 141 tis. eur).</w:t>
      </w:r>
    </w:p>
    <w:p w14:paraId="0C2183A9" w14:textId="77777777" w:rsidR="00C164B8" w:rsidRPr="003917E5" w:rsidRDefault="00C164B8" w:rsidP="00C164B8">
      <w:pPr>
        <w:spacing w:line="240" w:lineRule="auto"/>
        <w:jc w:val="both"/>
        <w:rPr>
          <w:szCs w:val="24"/>
        </w:rPr>
      </w:pPr>
      <w:r w:rsidRPr="003917E5">
        <w:rPr>
          <w:b/>
          <w:szCs w:val="24"/>
        </w:rPr>
        <w:t>Z hľadiska teritoriálnej štruktúry</w:t>
      </w:r>
      <w:r w:rsidRPr="003917E5">
        <w:rPr>
          <w:szCs w:val="24"/>
        </w:rPr>
        <w:t xml:space="preserve"> majú v držbe väčšinu maastrichtského dlhu verejnej správy SR zahraniční veritelia, a to 59,4 % (49 899 598 tis. eur). V portfóliu tuzemských veriteľov je 40,6 % (34 057 208 tis. eur) maastrichtského dlhu.</w:t>
      </w:r>
    </w:p>
    <w:p w14:paraId="77646D54" w14:textId="77777777" w:rsidR="00415273" w:rsidRPr="0050710A" w:rsidRDefault="00415273" w:rsidP="00532D85">
      <w:pPr>
        <w:spacing w:line="240" w:lineRule="auto"/>
        <w:jc w:val="both"/>
        <w:rPr>
          <w:highlight w:val="yellow"/>
        </w:rPr>
      </w:pPr>
    </w:p>
    <w:p w14:paraId="1497BFA2" w14:textId="77777777" w:rsidR="009A05C7" w:rsidRPr="00042F5E" w:rsidRDefault="009A05C7" w:rsidP="00532D85">
      <w:pPr>
        <w:pStyle w:val="Nadpis3"/>
        <w:spacing w:before="0"/>
        <w:jc w:val="both"/>
      </w:pPr>
      <w:bookmarkStart w:id="69" w:name="_Toc227758898"/>
      <w:r w:rsidRPr="00042F5E">
        <w:t>Štátny dlh</w:t>
      </w:r>
      <w:bookmarkEnd w:id="69"/>
    </w:p>
    <w:p w14:paraId="6621351D" w14:textId="77777777" w:rsidR="00415273" w:rsidRPr="0050710A" w:rsidRDefault="00415273" w:rsidP="00532D85">
      <w:pPr>
        <w:spacing w:line="240" w:lineRule="auto"/>
        <w:jc w:val="both"/>
        <w:rPr>
          <w:szCs w:val="24"/>
          <w:highlight w:val="yellow"/>
        </w:rPr>
      </w:pPr>
    </w:p>
    <w:p w14:paraId="6762E9F4" w14:textId="396B1409" w:rsidR="00C164B8" w:rsidRDefault="00C164B8" w:rsidP="00C164B8">
      <w:pPr>
        <w:spacing w:line="240" w:lineRule="auto"/>
        <w:jc w:val="both"/>
        <w:rPr>
          <w:rFonts w:cs="Times New Roman"/>
          <w:szCs w:val="24"/>
        </w:rPr>
      </w:pPr>
      <w:r w:rsidRPr="003D355D">
        <w:rPr>
          <w:szCs w:val="24"/>
        </w:rPr>
        <w:t xml:space="preserve">Štátny dlh, ktorý je v správe Ministerstva financií SR a ktorým sa financuje </w:t>
      </w:r>
      <w:r w:rsidR="00533595">
        <w:rPr>
          <w:szCs w:val="24"/>
        </w:rPr>
        <w:t>rozdiel</w:t>
      </w:r>
      <w:r w:rsidRPr="003D355D">
        <w:rPr>
          <w:szCs w:val="24"/>
        </w:rPr>
        <w:t xml:space="preserve"> príjmov a výdavkov štátneho rozpočtu, dosiahol v menovitej hodnote ku koncu roka 2025 výšku 81 498 872 tis. eur</w:t>
      </w:r>
      <w:r w:rsidR="00533595">
        <w:rPr>
          <w:szCs w:val="24"/>
        </w:rPr>
        <w:t xml:space="preserve"> (97,07 % z celkového dlhu)</w:t>
      </w:r>
      <w:r w:rsidRPr="003D355D">
        <w:rPr>
          <w:szCs w:val="24"/>
        </w:rPr>
        <w:t>. V porovnaní s úrovňou za predchádzajúci rok vzrástol o 6 087 991 tis. eur (o 8,07 </w:t>
      </w:r>
      <w:r w:rsidRPr="005B2627">
        <w:rPr>
          <w:szCs w:val="24"/>
        </w:rPr>
        <w:t xml:space="preserve">%). </w:t>
      </w:r>
      <w:r w:rsidRPr="005B2627">
        <w:rPr>
          <w:rFonts w:cs="Times New Roman"/>
          <w:szCs w:val="24"/>
        </w:rPr>
        <w:t xml:space="preserve">Potreba financovania podľa schváleného štátneho </w:t>
      </w:r>
      <w:r w:rsidRPr="005B2627">
        <w:rPr>
          <w:rFonts w:cs="Times New Roman"/>
          <w:szCs w:val="24"/>
        </w:rPr>
        <w:lastRenderedPageBreak/>
        <w:t>rozpočtu pre rok 202</w:t>
      </w:r>
      <w:r w:rsidR="005B2627" w:rsidRPr="005B2627">
        <w:rPr>
          <w:rFonts w:cs="Times New Roman"/>
          <w:szCs w:val="24"/>
        </w:rPr>
        <w:t>5</w:t>
      </w:r>
      <w:r w:rsidRPr="005B2627">
        <w:rPr>
          <w:rFonts w:cs="Times New Roman"/>
          <w:szCs w:val="24"/>
        </w:rPr>
        <w:t xml:space="preserve"> bola v hodnote 12,</w:t>
      </w:r>
      <w:r w:rsidR="005B2627" w:rsidRPr="005B2627">
        <w:rPr>
          <w:rFonts w:cs="Times New Roman"/>
          <w:szCs w:val="24"/>
        </w:rPr>
        <w:t>8</w:t>
      </w:r>
      <w:r w:rsidRPr="005B2627">
        <w:rPr>
          <w:rFonts w:cs="Times New Roman"/>
          <w:szCs w:val="24"/>
        </w:rPr>
        <w:t> mld. eur</w:t>
      </w:r>
      <w:r w:rsidR="005B2627" w:rsidRPr="005B2627">
        <w:rPr>
          <w:rFonts w:cs="Times New Roman"/>
          <w:szCs w:val="24"/>
        </w:rPr>
        <w:t>, za celý rok MF SR predalo dlhopisy v nominálnej hodnote, 12,2 mld. eur</w:t>
      </w:r>
      <w:r w:rsidRPr="005B2627">
        <w:rPr>
          <w:rFonts w:cs="Times New Roman"/>
          <w:szCs w:val="24"/>
        </w:rPr>
        <w:t>.</w:t>
      </w:r>
    </w:p>
    <w:p w14:paraId="58B617DF" w14:textId="4F068AE7" w:rsidR="00C164B8" w:rsidRPr="0050710A" w:rsidRDefault="00C164B8" w:rsidP="00C164B8">
      <w:pPr>
        <w:spacing w:line="240" w:lineRule="auto"/>
        <w:jc w:val="both"/>
        <w:rPr>
          <w:rFonts w:cs="Times New Roman"/>
          <w:szCs w:val="24"/>
          <w:highlight w:val="yellow"/>
        </w:rPr>
      </w:pPr>
      <w:r>
        <w:rPr>
          <w:rFonts w:cs="Times New Roman"/>
          <w:szCs w:val="24"/>
        </w:rPr>
        <w:t xml:space="preserve">V marci 2025 boli emitované nové typy dlhopisov, tzv. dlhopisy pre občanov. Investor so splatnosťou 2 roky a Patriot so splatnosťou 4 roky. Pre enormný záujem bol celkový objem ponúkaných dlhopisov navýšený z pôvodných 400 000 tis. eur na 500 000 tis. eur a bol vypredaný do troch dní. </w:t>
      </w:r>
      <w:r w:rsidRPr="003D355D">
        <w:rPr>
          <w:rFonts w:cs="Times New Roman"/>
          <w:szCs w:val="24"/>
        </w:rPr>
        <w:t>V roku 2025 MF SR predalo dlhopisy v konečnej nominálnej hodnote 12 180 700 tis. eur.</w:t>
      </w:r>
    </w:p>
    <w:p w14:paraId="73472BF8" w14:textId="77777777" w:rsidR="00415273" w:rsidRPr="0050710A" w:rsidRDefault="00415273" w:rsidP="00532D85">
      <w:pPr>
        <w:spacing w:line="240" w:lineRule="auto"/>
        <w:jc w:val="both"/>
        <w:rPr>
          <w:rFonts w:cs="Times New Roman"/>
          <w:szCs w:val="24"/>
          <w:highlight w:val="yellow"/>
        </w:rPr>
      </w:pPr>
    </w:p>
    <w:p w14:paraId="5BCE553B" w14:textId="0C6DDFC4" w:rsidR="00BA3DAB" w:rsidRPr="0020258E" w:rsidRDefault="00BA3DAB" w:rsidP="00532D85">
      <w:pPr>
        <w:pStyle w:val="Popis"/>
        <w:jc w:val="both"/>
        <w:rPr>
          <w:lang w:eastAsia="sk-SK"/>
        </w:rPr>
      </w:pPr>
      <w:bookmarkStart w:id="70" w:name="_Toc196313641"/>
      <w:bookmarkStart w:id="71" w:name="_Toc227670151"/>
      <w:r w:rsidRPr="0020258E">
        <w:rPr>
          <w:lang w:eastAsia="sk-SK"/>
        </w:rPr>
        <w:t xml:space="preserve">Tabuľka </w:t>
      </w:r>
      <w:r w:rsidR="003B7AF0" w:rsidRPr="0020258E">
        <w:rPr>
          <w:i/>
          <w:lang w:eastAsia="sk-SK"/>
        </w:rPr>
        <w:fldChar w:fldCharType="begin"/>
      </w:r>
      <w:r w:rsidR="003B7AF0" w:rsidRPr="0020258E">
        <w:rPr>
          <w:lang w:eastAsia="sk-SK"/>
        </w:rPr>
        <w:instrText xml:space="preserve"> SEQ Tabuľka \* ARABIC </w:instrText>
      </w:r>
      <w:r w:rsidR="003B7AF0" w:rsidRPr="0020258E">
        <w:rPr>
          <w:i/>
          <w:lang w:eastAsia="sk-SK"/>
        </w:rPr>
        <w:fldChar w:fldCharType="separate"/>
      </w:r>
      <w:r w:rsidR="00396BE8">
        <w:rPr>
          <w:noProof/>
          <w:lang w:eastAsia="sk-SK"/>
        </w:rPr>
        <w:t>15</w:t>
      </w:r>
      <w:r w:rsidR="003B7AF0" w:rsidRPr="0020258E">
        <w:rPr>
          <w:i/>
          <w:lang w:eastAsia="sk-SK"/>
        </w:rPr>
        <w:fldChar w:fldCharType="end"/>
      </w:r>
      <w:r w:rsidRPr="0020258E">
        <w:rPr>
          <w:lang w:eastAsia="sk-SK"/>
        </w:rPr>
        <w:t xml:space="preserve"> - Štruktúra štátneho dlhu podľa dlhových nástrojov</w:t>
      </w:r>
      <w:bookmarkEnd w:id="70"/>
      <w:bookmarkEnd w:id="71"/>
    </w:p>
    <w:tbl>
      <w:tblPr>
        <w:tblW w:w="5000" w:type="pct"/>
        <w:tblCellMar>
          <w:left w:w="70" w:type="dxa"/>
          <w:right w:w="70" w:type="dxa"/>
        </w:tblCellMar>
        <w:tblLook w:val="04A0" w:firstRow="1" w:lastRow="0" w:firstColumn="1" w:lastColumn="0" w:noHBand="0" w:noVBand="1"/>
      </w:tblPr>
      <w:tblGrid>
        <w:gridCol w:w="4882"/>
        <w:gridCol w:w="1040"/>
        <w:gridCol w:w="1039"/>
        <w:gridCol w:w="1039"/>
        <w:gridCol w:w="1070"/>
      </w:tblGrid>
      <w:tr w:rsidR="0020258E" w:rsidRPr="0020258E" w14:paraId="3127A272" w14:textId="77777777" w:rsidTr="00DC3E84">
        <w:trPr>
          <w:trHeight w:val="290"/>
          <w:tblHeader/>
        </w:trPr>
        <w:tc>
          <w:tcPr>
            <w:tcW w:w="2691" w:type="pct"/>
            <w:vMerge w:val="restart"/>
            <w:tcBorders>
              <w:top w:val="single" w:sz="4" w:space="0" w:color="auto"/>
              <w:left w:val="nil"/>
              <w:bottom w:val="single" w:sz="4" w:space="0" w:color="000000"/>
              <w:right w:val="nil"/>
            </w:tcBorders>
            <w:vAlign w:val="center"/>
            <w:hideMark/>
          </w:tcPr>
          <w:p w14:paraId="11D532FF" w14:textId="77777777" w:rsidR="0020258E" w:rsidRPr="0020258E" w:rsidRDefault="0020258E" w:rsidP="00B6745A">
            <w:pPr>
              <w:spacing w:line="240" w:lineRule="auto"/>
              <w:jc w:val="both"/>
              <w:rPr>
                <w:rFonts w:eastAsia="Times New Roman" w:cs="Times New Roman"/>
                <w:b/>
                <w:bCs/>
                <w:sz w:val="18"/>
                <w:szCs w:val="18"/>
                <w:lang w:eastAsia="sk-SK"/>
              </w:rPr>
            </w:pPr>
            <w:r w:rsidRPr="0020258E">
              <w:rPr>
                <w:rFonts w:eastAsia="Times New Roman" w:cs="Times New Roman"/>
                <w:b/>
                <w:bCs/>
                <w:sz w:val="18"/>
                <w:szCs w:val="18"/>
                <w:lang w:eastAsia="sk-SK"/>
              </w:rPr>
              <w:t>v tis. eur</w:t>
            </w:r>
          </w:p>
        </w:tc>
        <w:tc>
          <w:tcPr>
            <w:tcW w:w="573" w:type="pct"/>
            <w:tcBorders>
              <w:top w:val="single" w:sz="4" w:space="0" w:color="auto"/>
              <w:left w:val="nil"/>
              <w:bottom w:val="nil"/>
              <w:right w:val="nil"/>
            </w:tcBorders>
            <w:vAlign w:val="center"/>
            <w:hideMark/>
          </w:tcPr>
          <w:p w14:paraId="3B12165C"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2023 S</w:t>
            </w:r>
          </w:p>
        </w:tc>
        <w:tc>
          <w:tcPr>
            <w:tcW w:w="573" w:type="pct"/>
            <w:tcBorders>
              <w:top w:val="single" w:sz="4" w:space="0" w:color="auto"/>
              <w:left w:val="nil"/>
              <w:bottom w:val="nil"/>
              <w:right w:val="nil"/>
            </w:tcBorders>
            <w:vAlign w:val="center"/>
            <w:hideMark/>
          </w:tcPr>
          <w:p w14:paraId="3FF0AA54"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2024 S</w:t>
            </w:r>
          </w:p>
        </w:tc>
        <w:tc>
          <w:tcPr>
            <w:tcW w:w="573" w:type="pct"/>
            <w:tcBorders>
              <w:top w:val="single" w:sz="4" w:space="0" w:color="auto"/>
              <w:left w:val="nil"/>
              <w:bottom w:val="nil"/>
              <w:right w:val="nil"/>
            </w:tcBorders>
            <w:vAlign w:val="center"/>
            <w:hideMark/>
          </w:tcPr>
          <w:p w14:paraId="0EC3295E"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2025 S</w:t>
            </w:r>
          </w:p>
        </w:tc>
        <w:tc>
          <w:tcPr>
            <w:tcW w:w="590" w:type="pct"/>
            <w:tcBorders>
              <w:top w:val="single" w:sz="4" w:space="0" w:color="auto"/>
              <w:left w:val="nil"/>
              <w:bottom w:val="nil"/>
              <w:right w:val="nil"/>
            </w:tcBorders>
            <w:vAlign w:val="center"/>
            <w:hideMark/>
          </w:tcPr>
          <w:p w14:paraId="7016AE3F"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Zmena</w:t>
            </w:r>
          </w:p>
        </w:tc>
      </w:tr>
      <w:tr w:rsidR="0020258E" w:rsidRPr="0020258E" w14:paraId="4CC7C2D2" w14:textId="77777777" w:rsidTr="00105F74">
        <w:trPr>
          <w:trHeight w:val="187"/>
          <w:tblHeader/>
        </w:trPr>
        <w:tc>
          <w:tcPr>
            <w:tcW w:w="2691" w:type="pct"/>
            <w:vMerge/>
            <w:tcBorders>
              <w:top w:val="single" w:sz="4" w:space="0" w:color="auto"/>
              <w:left w:val="nil"/>
              <w:bottom w:val="single" w:sz="4" w:space="0" w:color="000000"/>
              <w:right w:val="nil"/>
            </w:tcBorders>
            <w:vAlign w:val="center"/>
            <w:hideMark/>
          </w:tcPr>
          <w:p w14:paraId="588FB71F" w14:textId="77777777" w:rsidR="0020258E" w:rsidRPr="0020258E" w:rsidRDefault="0020258E" w:rsidP="00B6745A">
            <w:pPr>
              <w:spacing w:line="240" w:lineRule="auto"/>
              <w:rPr>
                <w:rFonts w:eastAsia="Times New Roman" w:cs="Times New Roman"/>
                <w:b/>
                <w:bCs/>
                <w:sz w:val="18"/>
                <w:szCs w:val="18"/>
                <w:lang w:eastAsia="sk-SK"/>
              </w:rPr>
            </w:pPr>
          </w:p>
        </w:tc>
        <w:tc>
          <w:tcPr>
            <w:tcW w:w="573" w:type="pct"/>
            <w:tcBorders>
              <w:top w:val="nil"/>
              <w:left w:val="nil"/>
              <w:bottom w:val="single" w:sz="4" w:space="0" w:color="auto"/>
              <w:right w:val="nil"/>
            </w:tcBorders>
            <w:vAlign w:val="center"/>
            <w:hideMark/>
          </w:tcPr>
          <w:p w14:paraId="1C70F396"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1</w:t>
            </w:r>
          </w:p>
        </w:tc>
        <w:tc>
          <w:tcPr>
            <w:tcW w:w="573" w:type="pct"/>
            <w:tcBorders>
              <w:top w:val="nil"/>
              <w:left w:val="nil"/>
              <w:bottom w:val="single" w:sz="4" w:space="0" w:color="auto"/>
              <w:right w:val="nil"/>
            </w:tcBorders>
            <w:vAlign w:val="center"/>
            <w:hideMark/>
          </w:tcPr>
          <w:p w14:paraId="343D745F"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2</w:t>
            </w:r>
          </w:p>
        </w:tc>
        <w:tc>
          <w:tcPr>
            <w:tcW w:w="573" w:type="pct"/>
            <w:tcBorders>
              <w:top w:val="nil"/>
              <w:left w:val="nil"/>
              <w:bottom w:val="single" w:sz="4" w:space="0" w:color="auto"/>
              <w:right w:val="nil"/>
            </w:tcBorders>
            <w:vAlign w:val="center"/>
            <w:hideMark/>
          </w:tcPr>
          <w:p w14:paraId="34A620CD"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3</w:t>
            </w:r>
          </w:p>
        </w:tc>
        <w:tc>
          <w:tcPr>
            <w:tcW w:w="590" w:type="pct"/>
            <w:tcBorders>
              <w:top w:val="nil"/>
              <w:left w:val="nil"/>
              <w:bottom w:val="single" w:sz="4" w:space="0" w:color="auto"/>
              <w:right w:val="nil"/>
            </w:tcBorders>
            <w:vAlign w:val="center"/>
            <w:hideMark/>
          </w:tcPr>
          <w:p w14:paraId="64452C77"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4=(3-2)</w:t>
            </w:r>
          </w:p>
        </w:tc>
      </w:tr>
      <w:tr w:rsidR="0020258E" w:rsidRPr="0020258E" w14:paraId="075D4E0C" w14:textId="77777777" w:rsidTr="00DC3E84">
        <w:trPr>
          <w:trHeight w:val="290"/>
        </w:trPr>
        <w:tc>
          <w:tcPr>
            <w:tcW w:w="2691" w:type="pct"/>
            <w:tcBorders>
              <w:top w:val="nil"/>
              <w:left w:val="nil"/>
              <w:bottom w:val="nil"/>
              <w:right w:val="nil"/>
            </w:tcBorders>
            <w:noWrap/>
            <w:vAlign w:val="bottom"/>
            <w:hideMark/>
          </w:tcPr>
          <w:p w14:paraId="2689DA37"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Štátne dlhopisy</w:t>
            </w:r>
          </w:p>
        </w:tc>
        <w:tc>
          <w:tcPr>
            <w:tcW w:w="573" w:type="pct"/>
            <w:tcBorders>
              <w:top w:val="nil"/>
              <w:left w:val="nil"/>
              <w:bottom w:val="nil"/>
              <w:right w:val="nil"/>
            </w:tcBorders>
            <w:noWrap/>
            <w:vAlign w:val="bottom"/>
            <w:hideMark/>
          </w:tcPr>
          <w:p w14:paraId="1185475A"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60 285 843</w:t>
            </w:r>
          </w:p>
        </w:tc>
        <w:tc>
          <w:tcPr>
            <w:tcW w:w="573" w:type="pct"/>
            <w:tcBorders>
              <w:top w:val="nil"/>
              <w:left w:val="nil"/>
              <w:bottom w:val="nil"/>
              <w:right w:val="nil"/>
            </w:tcBorders>
            <w:noWrap/>
            <w:vAlign w:val="bottom"/>
            <w:hideMark/>
          </w:tcPr>
          <w:p w14:paraId="410EF33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68 945 615</w:t>
            </w:r>
          </w:p>
        </w:tc>
        <w:tc>
          <w:tcPr>
            <w:tcW w:w="573" w:type="pct"/>
            <w:tcBorders>
              <w:top w:val="nil"/>
              <w:left w:val="nil"/>
              <w:bottom w:val="nil"/>
              <w:right w:val="nil"/>
            </w:tcBorders>
            <w:noWrap/>
            <w:vAlign w:val="bottom"/>
            <w:hideMark/>
          </w:tcPr>
          <w:p w14:paraId="7595E65D"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75 132 661</w:t>
            </w:r>
          </w:p>
        </w:tc>
        <w:tc>
          <w:tcPr>
            <w:tcW w:w="590" w:type="pct"/>
            <w:tcBorders>
              <w:top w:val="nil"/>
              <w:left w:val="nil"/>
              <w:bottom w:val="nil"/>
              <w:right w:val="nil"/>
            </w:tcBorders>
            <w:noWrap/>
            <w:vAlign w:val="bottom"/>
            <w:hideMark/>
          </w:tcPr>
          <w:p w14:paraId="12B36603"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6 187 046</w:t>
            </w:r>
          </w:p>
        </w:tc>
      </w:tr>
      <w:tr w:rsidR="0020258E" w:rsidRPr="0020258E" w14:paraId="71872EEB" w14:textId="77777777" w:rsidTr="00DC3E84">
        <w:trPr>
          <w:trHeight w:val="290"/>
        </w:trPr>
        <w:tc>
          <w:tcPr>
            <w:tcW w:w="2691" w:type="pct"/>
            <w:tcBorders>
              <w:top w:val="nil"/>
              <w:left w:val="nil"/>
              <w:bottom w:val="nil"/>
              <w:right w:val="nil"/>
            </w:tcBorders>
            <w:noWrap/>
            <w:vAlign w:val="bottom"/>
            <w:hideMark/>
          </w:tcPr>
          <w:p w14:paraId="2187C461"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Bankové úvery a iné pôžičky</w:t>
            </w:r>
          </w:p>
        </w:tc>
        <w:tc>
          <w:tcPr>
            <w:tcW w:w="573" w:type="pct"/>
            <w:tcBorders>
              <w:top w:val="nil"/>
              <w:left w:val="nil"/>
              <w:bottom w:val="nil"/>
              <w:right w:val="nil"/>
            </w:tcBorders>
            <w:noWrap/>
            <w:vAlign w:val="bottom"/>
            <w:hideMark/>
          </w:tcPr>
          <w:p w14:paraId="7085828B"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4 024 090</w:t>
            </w:r>
          </w:p>
        </w:tc>
        <w:tc>
          <w:tcPr>
            <w:tcW w:w="573" w:type="pct"/>
            <w:tcBorders>
              <w:top w:val="nil"/>
              <w:left w:val="nil"/>
              <w:bottom w:val="nil"/>
              <w:right w:val="nil"/>
            </w:tcBorders>
            <w:noWrap/>
            <w:vAlign w:val="bottom"/>
            <w:hideMark/>
          </w:tcPr>
          <w:p w14:paraId="4CEE0F5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4 090 382</w:t>
            </w:r>
          </w:p>
        </w:tc>
        <w:tc>
          <w:tcPr>
            <w:tcW w:w="573" w:type="pct"/>
            <w:tcBorders>
              <w:top w:val="nil"/>
              <w:left w:val="nil"/>
              <w:bottom w:val="nil"/>
              <w:right w:val="nil"/>
            </w:tcBorders>
            <w:noWrap/>
            <w:vAlign w:val="bottom"/>
            <w:hideMark/>
          </w:tcPr>
          <w:p w14:paraId="63D0998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3 926 450</w:t>
            </w:r>
          </w:p>
        </w:tc>
        <w:tc>
          <w:tcPr>
            <w:tcW w:w="590" w:type="pct"/>
            <w:tcBorders>
              <w:top w:val="nil"/>
              <w:left w:val="nil"/>
              <w:bottom w:val="nil"/>
              <w:right w:val="nil"/>
            </w:tcBorders>
            <w:noWrap/>
            <w:vAlign w:val="bottom"/>
            <w:hideMark/>
          </w:tcPr>
          <w:p w14:paraId="549EF76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-163 932</w:t>
            </w:r>
          </w:p>
        </w:tc>
      </w:tr>
      <w:tr w:rsidR="00DC3E84" w:rsidRPr="0020258E" w14:paraId="35CD3097" w14:textId="77777777" w:rsidTr="00DC3E84">
        <w:trPr>
          <w:trHeight w:val="290"/>
        </w:trPr>
        <w:tc>
          <w:tcPr>
            <w:tcW w:w="2691" w:type="pct"/>
            <w:tcBorders>
              <w:top w:val="nil"/>
              <w:left w:val="nil"/>
              <w:bottom w:val="nil"/>
              <w:right w:val="nil"/>
            </w:tcBorders>
            <w:noWrap/>
            <w:vAlign w:val="bottom"/>
            <w:hideMark/>
          </w:tcPr>
          <w:p w14:paraId="01A203D1" w14:textId="77777777" w:rsidR="00DC3E84" w:rsidRPr="0020258E" w:rsidRDefault="00DC3E84" w:rsidP="00B66B6E">
            <w:pPr>
              <w:spacing w:line="240" w:lineRule="auto"/>
              <w:rPr>
                <w:rFonts w:eastAsia="Times New Roman" w:cs="Times New Roman"/>
                <w:sz w:val="18"/>
                <w:szCs w:val="18"/>
                <w:lang w:eastAsia="sk-SK"/>
              </w:rPr>
            </w:pPr>
            <w:r w:rsidRPr="0020258E">
              <w:rPr>
                <w:rFonts w:eastAsia="Times New Roman" w:cs="Times New Roman"/>
                <w:sz w:val="18"/>
                <w:szCs w:val="18"/>
                <w:lang w:eastAsia="sk-SK"/>
              </w:rPr>
              <w:t>Záväzky z EFSF</w:t>
            </w:r>
          </w:p>
        </w:tc>
        <w:tc>
          <w:tcPr>
            <w:tcW w:w="573" w:type="pct"/>
            <w:tcBorders>
              <w:top w:val="nil"/>
              <w:left w:val="nil"/>
              <w:bottom w:val="nil"/>
              <w:right w:val="nil"/>
            </w:tcBorders>
            <w:noWrap/>
            <w:vAlign w:val="bottom"/>
            <w:hideMark/>
          </w:tcPr>
          <w:p w14:paraId="3F7915CF"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1 972 930</w:t>
            </w:r>
          </w:p>
        </w:tc>
        <w:tc>
          <w:tcPr>
            <w:tcW w:w="573" w:type="pct"/>
            <w:tcBorders>
              <w:top w:val="nil"/>
              <w:left w:val="nil"/>
              <w:bottom w:val="nil"/>
              <w:right w:val="nil"/>
            </w:tcBorders>
            <w:noWrap/>
            <w:vAlign w:val="bottom"/>
            <w:hideMark/>
          </w:tcPr>
          <w:p w14:paraId="23467879"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1 971 228</w:t>
            </w:r>
          </w:p>
        </w:tc>
        <w:tc>
          <w:tcPr>
            <w:tcW w:w="573" w:type="pct"/>
            <w:tcBorders>
              <w:top w:val="nil"/>
              <w:left w:val="nil"/>
              <w:bottom w:val="nil"/>
              <w:right w:val="nil"/>
            </w:tcBorders>
            <w:noWrap/>
            <w:vAlign w:val="bottom"/>
            <w:hideMark/>
          </w:tcPr>
          <w:p w14:paraId="618889D4"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1 955 072</w:t>
            </w:r>
          </w:p>
        </w:tc>
        <w:tc>
          <w:tcPr>
            <w:tcW w:w="590" w:type="pct"/>
            <w:tcBorders>
              <w:top w:val="nil"/>
              <w:left w:val="nil"/>
              <w:bottom w:val="nil"/>
              <w:right w:val="nil"/>
            </w:tcBorders>
            <w:noWrap/>
            <w:vAlign w:val="bottom"/>
            <w:hideMark/>
          </w:tcPr>
          <w:p w14:paraId="4E1C7BFB"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-16 156</w:t>
            </w:r>
          </w:p>
        </w:tc>
      </w:tr>
      <w:tr w:rsidR="00DC3E84" w:rsidRPr="0020258E" w14:paraId="55D2B699" w14:textId="77777777" w:rsidTr="00B66B6E">
        <w:trPr>
          <w:trHeight w:val="290"/>
        </w:trPr>
        <w:tc>
          <w:tcPr>
            <w:tcW w:w="2691" w:type="pct"/>
            <w:tcBorders>
              <w:top w:val="nil"/>
              <w:left w:val="nil"/>
              <w:bottom w:val="nil"/>
              <w:right w:val="nil"/>
            </w:tcBorders>
            <w:noWrap/>
            <w:vAlign w:val="bottom"/>
            <w:hideMark/>
          </w:tcPr>
          <w:p w14:paraId="6322640E" w14:textId="77777777" w:rsidR="00DC3E84" w:rsidRPr="0020258E" w:rsidRDefault="00DC3E84" w:rsidP="00B66B6E">
            <w:pPr>
              <w:spacing w:line="240" w:lineRule="auto"/>
              <w:rPr>
                <w:rFonts w:eastAsia="Times New Roman" w:cs="Times New Roman"/>
                <w:sz w:val="18"/>
                <w:szCs w:val="18"/>
                <w:lang w:eastAsia="sk-SK"/>
              </w:rPr>
            </w:pPr>
            <w:r w:rsidRPr="0020258E">
              <w:rPr>
                <w:rFonts w:eastAsia="Times New Roman" w:cs="Times New Roman"/>
                <w:sz w:val="18"/>
                <w:szCs w:val="18"/>
                <w:lang w:eastAsia="sk-SK"/>
              </w:rPr>
              <w:t>Zábezpeky</w:t>
            </w:r>
          </w:p>
        </w:tc>
        <w:tc>
          <w:tcPr>
            <w:tcW w:w="573" w:type="pct"/>
            <w:tcBorders>
              <w:top w:val="nil"/>
              <w:left w:val="nil"/>
              <w:bottom w:val="nil"/>
              <w:right w:val="nil"/>
            </w:tcBorders>
            <w:noWrap/>
            <w:vAlign w:val="bottom"/>
            <w:hideMark/>
          </w:tcPr>
          <w:p w14:paraId="39654FC4"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188 469</w:t>
            </w:r>
          </w:p>
        </w:tc>
        <w:tc>
          <w:tcPr>
            <w:tcW w:w="573" w:type="pct"/>
            <w:tcBorders>
              <w:top w:val="nil"/>
              <w:left w:val="nil"/>
              <w:bottom w:val="nil"/>
              <w:right w:val="nil"/>
            </w:tcBorders>
            <w:noWrap/>
            <w:vAlign w:val="bottom"/>
            <w:hideMark/>
          </w:tcPr>
          <w:p w14:paraId="7EB1F481"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227 534</w:t>
            </w:r>
          </w:p>
        </w:tc>
        <w:tc>
          <w:tcPr>
            <w:tcW w:w="573" w:type="pct"/>
            <w:tcBorders>
              <w:top w:val="nil"/>
              <w:left w:val="nil"/>
              <w:bottom w:val="nil"/>
              <w:right w:val="nil"/>
            </w:tcBorders>
            <w:noWrap/>
            <w:vAlign w:val="bottom"/>
            <w:hideMark/>
          </w:tcPr>
          <w:p w14:paraId="0BFE050F"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244 433</w:t>
            </w:r>
          </w:p>
        </w:tc>
        <w:tc>
          <w:tcPr>
            <w:tcW w:w="590" w:type="pct"/>
            <w:tcBorders>
              <w:top w:val="nil"/>
              <w:left w:val="nil"/>
              <w:bottom w:val="nil"/>
              <w:right w:val="nil"/>
            </w:tcBorders>
            <w:noWrap/>
            <w:vAlign w:val="bottom"/>
            <w:hideMark/>
          </w:tcPr>
          <w:p w14:paraId="2B14BE3B" w14:textId="77777777" w:rsidR="00DC3E84" w:rsidRPr="0020258E" w:rsidRDefault="00DC3E84"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16 899</w:t>
            </w:r>
          </w:p>
        </w:tc>
      </w:tr>
      <w:tr w:rsidR="0020258E" w:rsidRPr="0020258E" w14:paraId="5CC0FA5B" w14:textId="77777777" w:rsidTr="00DC3E84">
        <w:trPr>
          <w:trHeight w:val="290"/>
        </w:trPr>
        <w:tc>
          <w:tcPr>
            <w:tcW w:w="2691" w:type="pct"/>
            <w:tcBorders>
              <w:top w:val="nil"/>
              <w:left w:val="nil"/>
              <w:bottom w:val="nil"/>
              <w:right w:val="nil"/>
            </w:tcBorders>
            <w:noWrap/>
            <w:vAlign w:val="bottom"/>
            <w:hideMark/>
          </w:tcPr>
          <w:p w14:paraId="6A1FE627"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Záväzky z vkladov v Štátnej pokladnici</w:t>
            </w:r>
          </w:p>
        </w:tc>
        <w:tc>
          <w:tcPr>
            <w:tcW w:w="573" w:type="pct"/>
            <w:tcBorders>
              <w:top w:val="nil"/>
              <w:left w:val="nil"/>
              <w:bottom w:val="nil"/>
              <w:right w:val="nil"/>
            </w:tcBorders>
            <w:noWrap/>
            <w:vAlign w:val="bottom"/>
            <w:hideMark/>
          </w:tcPr>
          <w:p w14:paraId="64CD5EE0"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48 302</w:t>
            </w:r>
          </w:p>
        </w:tc>
        <w:tc>
          <w:tcPr>
            <w:tcW w:w="573" w:type="pct"/>
            <w:tcBorders>
              <w:top w:val="nil"/>
              <w:left w:val="nil"/>
              <w:bottom w:val="nil"/>
              <w:right w:val="nil"/>
            </w:tcBorders>
            <w:noWrap/>
            <w:vAlign w:val="bottom"/>
            <w:hideMark/>
          </w:tcPr>
          <w:p w14:paraId="35BDA91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48 163</w:t>
            </w:r>
          </w:p>
        </w:tc>
        <w:tc>
          <w:tcPr>
            <w:tcW w:w="573" w:type="pct"/>
            <w:tcBorders>
              <w:top w:val="nil"/>
              <w:left w:val="nil"/>
              <w:bottom w:val="nil"/>
              <w:right w:val="nil"/>
            </w:tcBorders>
            <w:noWrap/>
            <w:vAlign w:val="bottom"/>
            <w:hideMark/>
          </w:tcPr>
          <w:p w14:paraId="480DB36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61 838</w:t>
            </w:r>
          </w:p>
        </w:tc>
        <w:tc>
          <w:tcPr>
            <w:tcW w:w="590" w:type="pct"/>
            <w:tcBorders>
              <w:top w:val="nil"/>
              <w:left w:val="nil"/>
              <w:bottom w:val="nil"/>
              <w:right w:val="nil"/>
            </w:tcBorders>
            <w:noWrap/>
            <w:vAlign w:val="bottom"/>
            <w:hideMark/>
          </w:tcPr>
          <w:p w14:paraId="50A81F2E"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13 675</w:t>
            </w:r>
          </w:p>
        </w:tc>
      </w:tr>
      <w:tr w:rsidR="0020258E" w:rsidRPr="0020258E" w14:paraId="52D63CF7" w14:textId="77777777" w:rsidTr="00DC3E84">
        <w:trPr>
          <w:trHeight w:val="290"/>
        </w:trPr>
        <w:tc>
          <w:tcPr>
            <w:tcW w:w="2691" w:type="pct"/>
            <w:tcBorders>
              <w:top w:val="nil"/>
              <w:left w:val="nil"/>
              <w:bottom w:val="nil"/>
              <w:right w:val="nil"/>
            </w:tcBorders>
            <w:noWrap/>
            <w:vAlign w:val="bottom"/>
            <w:hideMark/>
          </w:tcPr>
          <w:p w14:paraId="43BBCDBD"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Dlhodobé záväzky z obchodného styku a prijaté preddavky</w:t>
            </w:r>
          </w:p>
        </w:tc>
        <w:tc>
          <w:tcPr>
            <w:tcW w:w="573" w:type="pct"/>
            <w:tcBorders>
              <w:top w:val="nil"/>
              <w:left w:val="nil"/>
              <w:bottom w:val="nil"/>
              <w:right w:val="nil"/>
            </w:tcBorders>
            <w:noWrap/>
            <w:vAlign w:val="bottom"/>
            <w:hideMark/>
          </w:tcPr>
          <w:p w14:paraId="16D09BE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163</w:t>
            </w:r>
          </w:p>
        </w:tc>
        <w:tc>
          <w:tcPr>
            <w:tcW w:w="573" w:type="pct"/>
            <w:tcBorders>
              <w:top w:val="nil"/>
              <w:left w:val="nil"/>
              <w:bottom w:val="nil"/>
              <w:right w:val="nil"/>
            </w:tcBorders>
            <w:noWrap/>
            <w:vAlign w:val="bottom"/>
            <w:hideMark/>
          </w:tcPr>
          <w:p w14:paraId="5BFA01B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282</w:t>
            </w:r>
          </w:p>
        </w:tc>
        <w:tc>
          <w:tcPr>
            <w:tcW w:w="573" w:type="pct"/>
            <w:tcBorders>
              <w:top w:val="nil"/>
              <w:left w:val="nil"/>
              <w:bottom w:val="nil"/>
              <w:right w:val="nil"/>
            </w:tcBorders>
            <w:noWrap/>
            <w:vAlign w:val="bottom"/>
            <w:hideMark/>
          </w:tcPr>
          <w:p w14:paraId="21210C5F"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729</w:t>
            </w:r>
          </w:p>
        </w:tc>
        <w:tc>
          <w:tcPr>
            <w:tcW w:w="590" w:type="pct"/>
            <w:tcBorders>
              <w:top w:val="nil"/>
              <w:left w:val="nil"/>
              <w:bottom w:val="nil"/>
              <w:right w:val="nil"/>
            </w:tcBorders>
            <w:noWrap/>
            <w:vAlign w:val="bottom"/>
            <w:hideMark/>
          </w:tcPr>
          <w:p w14:paraId="0BE45D2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447</w:t>
            </w:r>
          </w:p>
        </w:tc>
      </w:tr>
      <w:tr w:rsidR="0020258E" w:rsidRPr="0020258E" w14:paraId="72EF7BC0" w14:textId="77777777" w:rsidTr="00DC3E84">
        <w:trPr>
          <w:trHeight w:val="290"/>
        </w:trPr>
        <w:tc>
          <w:tcPr>
            <w:tcW w:w="2691" w:type="pct"/>
            <w:tcBorders>
              <w:top w:val="nil"/>
              <w:left w:val="nil"/>
              <w:bottom w:val="nil"/>
              <w:right w:val="nil"/>
            </w:tcBorders>
            <w:noWrap/>
            <w:vAlign w:val="bottom"/>
            <w:hideMark/>
          </w:tcPr>
          <w:p w14:paraId="7FEDB87A"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Odvodový úver zo záruk voči SZRB</w:t>
            </w:r>
          </w:p>
        </w:tc>
        <w:tc>
          <w:tcPr>
            <w:tcW w:w="573" w:type="pct"/>
            <w:tcBorders>
              <w:top w:val="nil"/>
              <w:left w:val="nil"/>
              <w:bottom w:val="nil"/>
              <w:right w:val="nil"/>
            </w:tcBorders>
            <w:noWrap/>
            <w:vAlign w:val="bottom"/>
            <w:hideMark/>
          </w:tcPr>
          <w:p w14:paraId="5DCB1DF9"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200</w:t>
            </w:r>
          </w:p>
        </w:tc>
        <w:tc>
          <w:tcPr>
            <w:tcW w:w="573" w:type="pct"/>
            <w:tcBorders>
              <w:top w:val="nil"/>
              <w:left w:val="nil"/>
              <w:bottom w:val="nil"/>
              <w:right w:val="nil"/>
            </w:tcBorders>
            <w:noWrap/>
            <w:vAlign w:val="bottom"/>
            <w:hideMark/>
          </w:tcPr>
          <w:p w14:paraId="5449CAD3"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3" w:type="pct"/>
            <w:tcBorders>
              <w:top w:val="nil"/>
              <w:left w:val="nil"/>
              <w:bottom w:val="nil"/>
              <w:right w:val="nil"/>
            </w:tcBorders>
            <w:noWrap/>
            <w:vAlign w:val="bottom"/>
            <w:hideMark/>
          </w:tcPr>
          <w:p w14:paraId="2DF6D3AD"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90" w:type="pct"/>
            <w:tcBorders>
              <w:top w:val="nil"/>
              <w:left w:val="nil"/>
              <w:bottom w:val="nil"/>
              <w:right w:val="nil"/>
            </w:tcBorders>
            <w:noWrap/>
            <w:vAlign w:val="bottom"/>
            <w:hideMark/>
          </w:tcPr>
          <w:p w14:paraId="71235136" w14:textId="77777777" w:rsidR="0020258E" w:rsidRPr="0020258E" w:rsidRDefault="0020258E" w:rsidP="00B6745A">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r>
      <w:tr w:rsidR="001F0B47" w:rsidRPr="0020258E" w14:paraId="7908C839" w14:textId="77777777" w:rsidTr="00B66B6E">
        <w:trPr>
          <w:trHeight w:val="290"/>
        </w:trPr>
        <w:tc>
          <w:tcPr>
            <w:tcW w:w="2691" w:type="pct"/>
            <w:tcBorders>
              <w:top w:val="nil"/>
              <w:left w:val="nil"/>
              <w:bottom w:val="nil"/>
              <w:right w:val="nil"/>
            </w:tcBorders>
            <w:noWrap/>
            <w:vAlign w:val="bottom"/>
            <w:hideMark/>
          </w:tcPr>
          <w:p w14:paraId="36591F75" w14:textId="77777777" w:rsidR="001F0B47" w:rsidRPr="0020258E" w:rsidRDefault="001F0B47" w:rsidP="00B66B6E">
            <w:pPr>
              <w:spacing w:line="240" w:lineRule="auto"/>
              <w:rPr>
                <w:rFonts w:eastAsia="Times New Roman" w:cs="Times New Roman"/>
                <w:sz w:val="18"/>
                <w:szCs w:val="18"/>
                <w:lang w:eastAsia="sk-SK"/>
              </w:rPr>
            </w:pPr>
            <w:r w:rsidRPr="0020258E">
              <w:rPr>
                <w:rFonts w:eastAsia="Times New Roman" w:cs="Times New Roman"/>
                <w:sz w:val="18"/>
                <w:szCs w:val="18"/>
                <w:lang w:eastAsia="sk-SK"/>
              </w:rPr>
              <w:t>Štátne pokladničné poukážky</w:t>
            </w:r>
          </w:p>
        </w:tc>
        <w:tc>
          <w:tcPr>
            <w:tcW w:w="573" w:type="pct"/>
            <w:tcBorders>
              <w:top w:val="nil"/>
              <w:left w:val="nil"/>
              <w:bottom w:val="nil"/>
              <w:right w:val="nil"/>
            </w:tcBorders>
            <w:noWrap/>
            <w:vAlign w:val="bottom"/>
            <w:hideMark/>
          </w:tcPr>
          <w:p w14:paraId="1418AC64" w14:textId="77777777" w:rsidR="001F0B47" w:rsidRPr="0020258E" w:rsidRDefault="001F0B47"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3" w:type="pct"/>
            <w:tcBorders>
              <w:top w:val="nil"/>
              <w:left w:val="nil"/>
              <w:bottom w:val="nil"/>
              <w:right w:val="nil"/>
            </w:tcBorders>
            <w:noWrap/>
            <w:vAlign w:val="bottom"/>
            <w:hideMark/>
          </w:tcPr>
          <w:p w14:paraId="119A267D" w14:textId="77777777" w:rsidR="001F0B47" w:rsidRPr="0020258E" w:rsidRDefault="001F0B47"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73" w:type="pct"/>
            <w:tcBorders>
              <w:top w:val="nil"/>
              <w:left w:val="nil"/>
              <w:bottom w:val="nil"/>
              <w:right w:val="nil"/>
            </w:tcBorders>
            <w:noWrap/>
            <w:vAlign w:val="bottom"/>
            <w:hideMark/>
          </w:tcPr>
          <w:p w14:paraId="61C338B0" w14:textId="77777777" w:rsidR="001F0B47" w:rsidRPr="0020258E" w:rsidRDefault="001F0B47"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c>
          <w:tcPr>
            <w:tcW w:w="590" w:type="pct"/>
            <w:tcBorders>
              <w:top w:val="nil"/>
              <w:left w:val="nil"/>
              <w:bottom w:val="nil"/>
              <w:right w:val="nil"/>
            </w:tcBorders>
            <w:noWrap/>
            <w:vAlign w:val="bottom"/>
            <w:hideMark/>
          </w:tcPr>
          <w:p w14:paraId="1962A962" w14:textId="77777777" w:rsidR="001F0B47" w:rsidRPr="0020258E" w:rsidRDefault="001F0B47" w:rsidP="00B66B6E">
            <w:pPr>
              <w:spacing w:line="240" w:lineRule="auto"/>
              <w:jc w:val="right"/>
              <w:rPr>
                <w:rFonts w:eastAsia="Times New Roman" w:cs="Times New Roman"/>
                <w:sz w:val="18"/>
                <w:szCs w:val="18"/>
                <w:lang w:eastAsia="sk-SK"/>
              </w:rPr>
            </w:pPr>
            <w:r w:rsidRPr="0020258E">
              <w:rPr>
                <w:rFonts w:eastAsia="Times New Roman" w:cs="Times New Roman"/>
                <w:sz w:val="18"/>
                <w:szCs w:val="18"/>
                <w:lang w:eastAsia="sk-SK"/>
              </w:rPr>
              <w:t>0</w:t>
            </w:r>
          </w:p>
        </w:tc>
      </w:tr>
      <w:tr w:rsidR="0020258E" w:rsidRPr="0020258E" w14:paraId="2166FF08" w14:textId="77777777" w:rsidTr="00DC3E84">
        <w:trPr>
          <w:trHeight w:val="290"/>
        </w:trPr>
        <w:tc>
          <w:tcPr>
            <w:tcW w:w="2691" w:type="pct"/>
            <w:tcBorders>
              <w:top w:val="nil"/>
              <w:left w:val="nil"/>
              <w:bottom w:val="nil"/>
              <w:right w:val="nil"/>
            </w:tcBorders>
            <w:noWrap/>
            <w:vAlign w:val="bottom"/>
            <w:hideMark/>
          </w:tcPr>
          <w:p w14:paraId="686B6DC2" w14:textId="77777777" w:rsidR="0020258E" w:rsidRPr="0020258E" w:rsidRDefault="0020258E" w:rsidP="00B6745A">
            <w:pPr>
              <w:spacing w:line="240" w:lineRule="auto"/>
              <w:rPr>
                <w:rFonts w:eastAsia="Times New Roman" w:cs="Times New Roman"/>
                <w:i/>
                <w:iCs/>
                <w:sz w:val="18"/>
                <w:szCs w:val="18"/>
                <w:lang w:eastAsia="sk-SK"/>
              </w:rPr>
            </w:pPr>
            <w:r w:rsidRPr="0020258E">
              <w:rPr>
                <w:rFonts w:eastAsia="Times New Roman" w:cs="Times New Roman"/>
                <w:i/>
                <w:iCs/>
                <w:sz w:val="18"/>
                <w:szCs w:val="18"/>
                <w:lang w:eastAsia="sk-SK"/>
              </w:rPr>
              <w:t>Imput záväzkov schémy zelenej energie</w:t>
            </w:r>
          </w:p>
        </w:tc>
        <w:tc>
          <w:tcPr>
            <w:tcW w:w="573" w:type="pct"/>
            <w:tcBorders>
              <w:top w:val="nil"/>
              <w:left w:val="nil"/>
              <w:bottom w:val="nil"/>
              <w:right w:val="nil"/>
            </w:tcBorders>
            <w:noWrap/>
            <w:vAlign w:val="bottom"/>
            <w:hideMark/>
          </w:tcPr>
          <w:p w14:paraId="7C5E92CD"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0</w:t>
            </w:r>
          </w:p>
        </w:tc>
        <w:tc>
          <w:tcPr>
            <w:tcW w:w="573" w:type="pct"/>
            <w:tcBorders>
              <w:top w:val="nil"/>
              <w:left w:val="nil"/>
              <w:bottom w:val="nil"/>
              <w:right w:val="nil"/>
            </w:tcBorders>
            <w:noWrap/>
            <w:vAlign w:val="bottom"/>
            <w:hideMark/>
          </w:tcPr>
          <w:p w14:paraId="5332AED1"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127 677</w:t>
            </w:r>
          </w:p>
        </w:tc>
        <w:tc>
          <w:tcPr>
            <w:tcW w:w="573" w:type="pct"/>
            <w:tcBorders>
              <w:top w:val="nil"/>
              <w:left w:val="nil"/>
              <w:bottom w:val="nil"/>
              <w:right w:val="nil"/>
            </w:tcBorders>
            <w:noWrap/>
            <w:vAlign w:val="bottom"/>
            <w:hideMark/>
          </w:tcPr>
          <w:p w14:paraId="5A697AF0"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177 689</w:t>
            </w:r>
          </w:p>
        </w:tc>
        <w:tc>
          <w:tcPr>
            <w:tcW w:w="590" w:type="pct"/>
            <w:tcBorders>
              <w:top w:val="nil"/>
              <w:left w:val="nil"/>
              <w:bottom w:val="nil"/>
              <w:right w:val="nil"/>
            </w:tcBorders>
            <w:noWrap/>
            <w:vAlign w:val="bottom"/>
            <w:hideMark/>
          </w:tcPr>
          <w:p w14:paraId="1B9E426D"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50 012</w:t>
            </w:r>
          </w:p>
        </w:tc>
      </w:tr>
      <w:tr w:rsidR="0020258E" w:rsidRPr="0020258E" w14:paraId="67E03CC2" w14:textId="77777777" w:rsidTr="00DC3E84">
        <w:trPr>
          <w:trHeight w:val="290"/>
        </w:trPr>
        <w:tc>
          <w:tcPr>
            <w:tcW w:w="2691" w:type="pct"/>
            <w:tcBorders>
              <w:top w:val="nil"/>
              <w:left w:val="nil"/>
              <w:bottom w:val="nil"/>
              <w:right w:val="nil"/>
            </w:tcBorders>
            <w:noWrap/>
            <w:vAlign w:val="bottom"/>
            <w:hideMark/>
          </w:tcPr>
          <w:p w14:paraId="07528890" w14:textId="77777777" w:rsidR="0020258E" w:rsidRPr="0020258E" w:rsidRDefault="0020258E" w:rsidP="00B6745A">
            <w:pPr>
              <w:spacing w:line="240" w:lineRule="auto"/>
              <w:rPr>
                <w:rFonts w:eastAsia="Times New Roman" w:cs="Times New Roman"/>
                <w:i/>
                <w:iCs/>
                <w:sz w:val="18"/>
                <w:szCs w:val="18"/>
                <w:lang w:eastAsia="sk-SK"/>
              </w:rPr>
            </w:pPr>
            <w:r w:rsidRPr="0020258E">
              <w:rPr>
                <w:rFonts w:eastAsia="Times New Roman" w:cs="Times New Roman"/>
                <w:i/>
                <w:iCs/>
                <w:sz w:val="18"/>
                <w:szCs w:val="18"/>
                <w:lang w:eastAsia="sk-SK"/>
              </w:rPr>
              <w:t>Imput pôžičky z EOSA</w:t>
            </w:r>
          </w:p>
        </w:tc>
        <w:tc>
          <w:tcPr>
            <w:tcW w:w="573" w:type="pct"/>
            <w:tcBorders>
              <w:top w:val="nil"/>
              <w:left w:val="nil"/>
              <w:bottom w:val="nil"/>
              <w:right w:val="nil"/>
            </w:tcBorders>
            <w:noWrap/>
            <w:vAlign w:val="bottom"/>
            <w:hideMark/>
          </w:tcPr>
          <w:p w14:paraId="044DA7B3"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20 945</w:t>
            </w:r>
          </w:p>
        </w:tc>
        <w:tc>
          <w:tcPr>
            <w:tcW w:w="573" w:type="pct"/>
            <w:tcBorders>
              <w:top w:val="nil"/>
              <w:left w:val="nil"/>
              <w:bottom w:val="nil"/>
              <w:right w:val="nil"/>
            </w:tcBorders>
            <w:noWrap/>
            <w:vAlign w:val="bottom"/>
            <w:hideMark/>
          </w:tcPr>
          <w:p w14:paraId="32273806"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0</w:t>
            </w:r>
          </w:p>
        </w:tc>
        <w:tc>
          <w:tcPr>
            <w:tcW w:w="573" w:type="pct"/>
            <w:tcBorders>
              <w:top w:val="nil"/>
              <w:left w:val="nil"/>
              <w:bottom w:val="nil"/>
              <w:right w:val="nil"/>
            </w:tcBorders>
            <w:noWrap/>
            <w:vAlign w:val="bottom"/>
            <w:hideMark/>
          </w:tcPr>
          <w:p w14:paraId="259D0849"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0</w:t>
            </w:r>
          </w:p>
        </w:tc>
        <w:tc>
          <w:tcPr>
            <w:tcW w:w="590" w:type="pct"/>
            <w:tcBorders>
              <w:top w:val="nil"/>
              <w:left w:val="nil"/>
              <w:bottom w:val="nil"/>
              <w:right w:val="nil"/>
            </w:tcBorders>
            <w:noWrap/>
            <w:vAlign w:val="bottom"/>
            <w:hideMark/>
          </w:tcPr>
          <w:p w14:paraId="1453A4A6" w14:textId="77777777" w:rsidR="0020258E" w:rsidRPr="0020258E" w:rsidRDefault="0020258E" w:rsidP="00B6745A">
            <w:pPr>
              <w:spacing w:line="240" w:lineRule="auto"/>
              <w:jc w:val="right"/>
              <w:rPr>
                <w:rFonts w:eastAsia="Times New Roman" w:cs="Times New Roman"/>
                <w:i/>
                <w:iCs/>
                <w:sz w:val="18"/>
                <w:szCs w:val="18"/>
                <w:lang w:eastAsia="sk-SK"/>
              </w:rPr>
            </w:pPr>
            <w:r w:rsidRPr="0020258E">
              <w:rPr>
                <w:rFonts w:eastAsia="Times New Roman" w:cs="Times New Roman"/>
                <w:i/>
                <w:iCs/>
                <w:sz w:val="18"/>
                <w:szCs w:val="18"/>
                <w:lang w:eastAsia="sk-SK"/>
              </w:rPr>
              <w:t>0</w:t>
            </w:r>
          </w:p>
        </w:tc>
      </w:tr>
      <w:tr w:rsidR="0020258E" w:rsidRPr="0020258E" w14:paraId="1AA3962D" w14:textId="77777777" w:rsidTr="00DC3E84">
        <w:trPr>
          <w:trHeight w:val="290"/>
        </w:trPr>
        <w:tc>
          <w:tcPr>
            <w:tcW w:w="2691" w:type="pct"/>
            <w:tcBorders>
              <w:top w:val="single" w:sz="4" w:space="0" w:color="auto"/>
              <w:left w:val="nil"/>
              <w:bottom w:val="single" w:sz="4" w:space="0" w:color="auto"/>
              <w:right w:val="nil"/>
            </w:tcBorders>
            <w:noWrap/>
            <w:vAlign w:val="bottom"/>
            <w:hideMark/>
          </w:tcPr>
          <w:p w14:paraId="2087D11E" w14:textId="77777777" w:rsidR="0020258E" w:rsidRPr="0020258E" w:rsidRDefault="0020258E" w:rsidP="00B6745A">
            <w:pPr>
              <w:spacing w:line="240" w:lineRule="auto"/>
              <w:rPr>
                <w:rFonts w:eastAsia="Times New Roman" w:cs="Times New Roman"/>
                <w:b/>
                <w:bCs/>
                <w:sz w:val="18"/>
                <w:szCs w:val="18"/>
                <w:lang w:eastAsia="sk-SK"/>
              </w:rPr>
            </w:pPr>
            <w:r w:rsidRPr="0020258E">
              <w:rPr>
                <w:rFonts w:eastAsia="Times New Roman" w:cs="Times New Roman"/>
                <w:b/>
                <w:bCs/>
                <w:sz w:val="18"/>
                <w:szCs w:val="18"/>
                <w:lang w:eastAsia="sk-SK"/>
              </w:rPr>
              <w:t>Spolu dlh</w:t>
            </w:r>
          </w:p>
        </w:tc>
        <w:tc>
          <w:tcPr>
            <w:tcW w:w="573" w:type="pct"/>
            <w:tcBorders>
              <w:top w:val="single" w:sz="4" w:space="0" w:color="auto"/>
              <w:left w:val="nil"/>
              <w:bottom w:val="single" w:sz="4" w:space="0" w:color="auto"/>
              <w:right w:val="nil"/>
            </w:tcBorders>
            <w:noWrap/>
            <w:vAlign w:val="bottom"/>
            <w:hideMark/>
          </w:tcPr>
          <w:p w14:paraId="156E424B"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66 540 942</w:t>
            </w:r>
          </w:p>
        </w:tc>
        <w:tc>
          <w:tcPr>
            <w:tcW w:w="573" w:type="pct"/>
            <w:tcBorders>
              <w:top w:val="single" w:sz="4" w:space="0" w:color="auto"/>
              <w:left w:val="nil"/>
              <w:bottom w:val="single" w:sz="4" w:space="0" w:color="auto"/>
              <w:right w:val="nil"/>
            </w:tcBorders>
            <w:noWrap/>
            <w:vAlign w:val="bottom"/>
            <w:hideMark/>
          </w:tcPr>
          <w:p w14:paraId="41F1FB48"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75 410 881</w:t>
            </w:r>
          </w:p>
        </w:tc>
        <w:tc>
          <w:tcPr>
            <w:tcW w:w="573" w:type="pct"/>
            <w:tcBorders>
              <w:top w:val="single" w:sz="4" w:space="0" w:color="auto"/>
              <w:left w:val="nil"/>
              <w:bottom w:val="single" w:sz="4" w:space="0" w:color="auto"/>
              <w:right w:val="nil"/>
            </w:tcBorders>
            <w:noWrap/>
            <w:vAlign w:val="bottom"/>
            <w:hideMark/>
          </w:tcPr>
          <w:p w14:paraId="7B41D04B"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81 498 872</w:t>
            </w:r>
          </w:p>
        </w:tc>
        <w:tc>
          <w:tcPr>
            <w:tcW w:w="590" w:type="pct"/>
            <w:tcBorders>
              <w:top w:val="single" w:sz="4" w:space="0" w:color="auto"/>
              <w:left w:val="nil"/>
              <w:bottom w:val="single" w:sz="4" w:space="0" w:color="auto"/>
              <w:right w:val="nil"/>
            </w:tcBorders>
            <w:noWrap/>
            <w:vAlign w:val="bottom"/>
            <w:hideMark/>
          </w:tcPr>
          <w:p w14:paraId="26E0D6F7" w14:textId="77777777" w:rsidR="0020258E" w:rsidRPr="0020258E" w:rsidRDefault="0020258E" w:rsidP="00B6745A">
            <w:pPr>
              <w:spacing w:line="240" w:lineRule="auto"/>
              <w:jc w:val="right"/>
              <w:rPr>
                <w:rFonts w:eastAsia="Times New Roman" w:cs="Times New Roman"/>
                <w:b/>
                <w:bCs/>
                <w:sz w:val="18"/>
                <w:szCs w:val="18"/>
                <w:lang w:eastAsia="sk-SK"/>
              </w:rPr>
            </w:pPr>
            <w:r w:rsidRPr="0020258E">
              <w:rPr>
                <w:rFonts w:eastAsia="Times New Roman" w:cs="Times New Roman"/>
                <w:b/>
                <w:bCs/>
                <w:sz w:val="18"/>
                <w:szCs w:val="18"/>
                <w:lang w:eastAsia="sk-SK"/>
              </w:rPr>
              <w:t>6 087 991</w:t>
            </w:r>
          </w:p>
        </w:tc>
      </w:tr>
    </w:tbl>
    <w:p w14:paraId="27B42B75" w14:textId="79F325B9" w:rsidR="009A05C7" w:rsidRPr="0020258E" w:rsidRDefault="004942CF" w:rsidP="004942CF">
      <w:pPr>
        <w:keepNext/>
        <w:tabs>
          <w:tab w:val="right" w:pos="9070"/>
        </w:tabs>
        <w:spacing w:line="240" w:lineRule="auto"/>
        <w:jc w:val="both"/>
        <w:rPr>
          <w:sz w:val="18"/>
          <w:szCs w:val="18"/>
        </w:rPr>
      </w:pPr>
      <w:r w:rsidRPr="0020258E">
        <w:rPr>
          <w:sz w:val="18"/>
          <w:szCs w:val="18"/>
        </w:rPr>
        <w:tab/>
      </w:r>
      <w:r w:rsidR="009A05C7" w:rsidRPr="0020258E">
        <w:rPr>
          <w:sz w:val="18"/>
          <w:szCs w:val="18"/>
        </w:rPr>
        <w:t>Zdroj: MF SR, ARDAL</w:t>
      </w:r>
    </w:p>
    <w:p w14:paraId="713887DD" w14:textId="77777777" w:rsidR="00415273" w:rsidRPr="0050710A" w:rsidRDefault="00415273" w:rsidP="00532D85">
      <w:pPr>
        <w:spacing w:line="240" w:lineRule="auto"/>
        <w:jc w:val="both"/>
        <w:rPr>
          <w:szCs w:val="24"/>
          <w:highlight w:val="yellow"/>
        </w:rPr>
      </w:pPr>
    </w:p>
    <w:p w14:paraId="68FA9FEA" w14:textId="6151D9EA" w:rsidR="00C164B8" w:rsidRPr="0007549F" w:rsidRDefault="0011482D" w:rsidP="00C164B8">
      <w:pPr>
        <w:spacing w:line="240" w:lineRule="auto"/>
        <w:jc w:val="both"/>
        <w:rPr>
          <w:szCs w:val="24"/>
        </w:rPr>
      </w:pPr>
      <w:r>
        <w:rPr>
          <w:szCs w:val="24"/>
        </w:rPr>
        <w:t>MF</w:t>
      </w:r>
      <w:r w:rsidR="00C164B8" w:rsidRPr="0007549F">
        <w:rPr>
          <w:szCs w:val="24"/>
        </w:rPr>
        <w:t xml:space="preserve"> SR v mene Slovenskej republiky prijíma úvery od medzinárodných finančných inštitúcií, a to na podporu národných projektov v oblasti budovania cestnej infraštruktúry, životného prostredia, poľnohospodárstva, informatizácie a podobne. Z prostriedkov sa spolufinancujú aj spoločné projekty SR a EÚ financované európskymi štrukturálnymi fondmi a Kohéznym fondom. Z hodnoty týchto úverov tvoria úvery od Európskej investičnej banky 2 625 608 tis. eur a úvery od Rozvojovej banky Rady Európy 670 000 tis. eur. V priebehu roka 2025 boli z ďalšej úverovej tranže prijaté prostriedky od Európskej investičnej banky vo výške 240 000 tis. eur a od Rozvojovej banky Rady Európy vo výške 150 000 tis. eur.</w:t>
      </w:r>
    </w:p>
    <w:p w14:paraId="71D5D196" w14:textId="77777777" w:rsidR="00C164B8" w:rsidRPr="006A5E9A" w:rsidRDefault="00C164B8" w:rsidP="00C164B8">
      <w:pPr>
        <w:spacing w:line="240" w:lineRule="auto"/>
        <w:jc w:val="both"/>
        <w:rPr>
          <w:szCs w:val="24"/>
        </w:rPr>
      </w:pPr>
      <w:r w:rsidRPr="006A5E9A">
        <w:rPr>
          <w:szCs w:val="24"/>
        </w:rPr>
        <w:t>Hodnota zábezpek medziročne vzrástla o 16 899 tis. eur na súčasných 244 433 tis. eur, pričom pasívny kolaterál z derivátových operácií vzrástol o 1 400 tis. eur a zábezpeky jednotlivých štátnych rozpočtových organizácií vzrástli o 15 489 tis. eur.</w:t>
      </w:r>
    </w:p>
    <w:p w14:paraId="32D651D1" w14:textId="77777777" w:rsidR="00C164B8" w:rsidRPr="003A13C8" w:rsidRDefault="00C164B8" w:rsidP="00C164B8">
      <w:pPr>
        <w:spacing w:line="240" w:lineRule="auto"/>
        <w:jc w:val="both"/>
        <w:rPr>
          <w:szCs w:val="24"/>
        </w:rPr>
      </w:pPr>
      <w:r w:rsidRPr="003A13C8">
        <w:rPr>
          <w:b/>
          <w:szCs w:val="24"/>
        </w:rPr>
        <w:t>Z hľadiska pôvodnej splatnosti</w:t>
      </w:r>
      <w:r w:rsidRPr="003A13C8">
        <w:rPr>
          <w:szCs w:val="24"/>
        </w:rPr>
        <w:t xml:space="preserve"> je štátny dlh z 99,6 % dlhodobý (81 192 703 tis. eur). Krátkodobý štátny dlh, ktorý predstavuje 0,4 %, je z rozhodujúcej časti tvorený zábezpekami vo výške 244 433 tis. eur (z toho 25 350 tis. eur tvorí pasívny kolaterál z derivátových operácií uskutočnených na zabezpečenie dlhu v cudzej mene proti kurzovému riziku). Zvyšnú časť krátkodobého dlhu predstavujú záväzky z vkladov tých klientov Štátnej pokladnice, ktorí nie sú zaradení v sektore verejnej správy v hodnote 61 838 tis. eur. Podrobnú štruktúru štátneho dlhu podľa pôvodnej splatnosti poskytuje nasledujúci prehľad.</w:t>
      </w:r>
    </w:p>
    <w:p w14:paraId="2D5032EF" w14:textId="77777777" w:rsidR="00415273" w:rsidRPr="0020258E" w:rsidRDefault="00415273" w:rsidP="00532D85">
      <w:pPr>
        <w:spacing w:line="240" w:lineRule="auto"/>
        <w:jc w:val="both"/>
        <w:rPr>
          <w:szCs w:val="24"/>
        </w:rPr>
      </w:pPr>
    </w:p>
    <w:p w14:paraId="743ECCE9" w14:textId="3299FAEA" w:rsidR="009423E6" w:rsidRPr="0020258E" w:rsidRDefault="009423E6" w:rsidP="00532D85">
      <w:pPr>
        <w:pStyle w:val="Popis"/>
        <w:jc w:val="both"/>
        <w:rPr>
          <w:lang w:eastAsia="sk-SK"/>
        </w:rPr>
      </w:pPr>
      <w:bookmarkStart w:id="72" w:name="_Toc196313642"/>
      <w:bookmarkStart w:id="73" w:name="_Toc227670152"/>
      <w:r w:rsidRPr="0020258E">
        <w:rPr>
          <w:lang w:eastAsia="sk-SK"/>
        </w:rPr>
        <w:t xml:space="preserve">Tabuľka </w:t>
      </w:r>
      <w:r w:rsidR="003B7AF0" w:rsidRPr="0020258E">
        <w:rPr>
          <w:i/>
          <w:lang w:eastAsia="sk-SK"/>
        </w:rPr>
        <w:fldChar w:fldCharType="begin"/>
      </w:r>
      <w:r w:rsidR="003B7AF0" w:rsidRPr="0020258E">
        <w:rPr>
          <w:lang w:eastAsia="sk-SK"/>
        </w:rPr>
        <w:instrText xml:space="preserve"> SEQ Tabuľka \* ARABIC </w:instrText>
      </w:r>
      <w:r w:rsidR="003B7AF0" w:rsidRPr="0020258E">
        <w:rPr>
          <w:i/>
          <w:lang w:eastAsia="sk-SK"/>
        </w:rPr>
        <w:fldChar w:fldCharType="separate"/>
      </w:r>
      <w:r w:rsidR="00396BE8">
        <w:rPr>
          <w:noProof/>
          <w:lang w:eastAsia="sk-SK"/>
        </w:rPr>
        <w:t>16</w:t>
      </w:r>
      <w:r w:rsidR="003B7AF0" w:rsidRPr="0020258E">
        <w:rPr>
          <w:i/>
          <w:lang w:eastAsia="sk-SK"/>
        </w:rPr>
        <w:fldChar w:fldCharType="end"/>
      </w:r>
      <w:r w:rsidRPr="0020258E">
        <w:rPr>
          <w:lang w:eastAsia="sk-SK"/>
        </w:rPr>
        <w:t xml:space="preserve"> - Štátny dlh podľa pôvodnej splatnosti</w:t>
      </w:r>
      <w:bookmarkEnd w:id="72"/>
      <w:bookmarkEnd w:id="73"/>
    </w:p>
    <w:tbl>
      <w:tblPr>
        <w:tblW w:w="5000" w:type="pct"/>
        <w:tblCellMar>
          <w:left w:w="70" w:type="dxa"/>
          <w:right w:w="70" w:type="dxa"/>
        </w:tblCellMar>
        <w:tblLook w:val="04A0" w:firstRow="1" w:lastRow="0" w:firstColumn="1" w:lastColumn="0" w:noHBand="0" w:noVBand="1"/>
      </w:tblPr>
      <w:tblGrid>
        <w:gridCol w:w="2444"/>
        <w:gridCol w:w="1602"/>
        <w:gridCol w:w="1870"/>
        <w:gridCol w:w="1473"/>
        <w:gridCol w:w="1518"/>
        <w:gridCol w:w="163"/>
      </w:tblGrid>
      <w:tr w:rsidR="0020258E" w:rsidRPr="0020258E" w14:paraId="07642741" w14:textId="77777777" w:rsidTr="00576A2A">
        <w:trPr>
          <w:gridAfter w:val="1"/>
          <w:wAfter w:w="90" w:type="pct"/>
          <w:trHeight w:val="298"/>
          <w:tblHeader/>
        </w:trPr>
        <w:tc>
          <w:tcPr>
            <w:tcW w:w="1347" w:type="pct"/>
            <w:vMerge w:val="restart"/>
            <w:tcBorders>
              <w:top w:val="single" w:sz="4" w:space="0" w:color="auto"/>
              <w:left w:val="nil"/>
              <w:bottom w:val="single" w:sz="4" w:space="0" w:color="000000"/>
              <w:right w:val="nil"/>
            </w:tcBorders>
            <w:vAlign w:val="center"/>
            <w:hideMark/>
          </w:tcPr>
          <w:p w14:paraId="56A087A1" w14:textId="77777777" w:rsidR="0020258E" w:rsidRPr="0020258E" w:rsidRDefault="0020258E" w:rsidP="00B6745A">
            <w:pPr>
              <w:spacing w:line="240" w:lineRule="auto"/>
              <w:jc w:val="both"/>
              <w:rPr>
                <w:rFonts w:eastAsia="Times New Roman" w:cs="Times New Roman"/>
                <w:b/>
                <w:bCs/>
                <w:sz w:val="18"/>
                <w:szCs w:val="18"/>
                <w:lang w:eastAsia="sk-SK"/>
              </w:rPr>
            </w:pPr>
            <w:r w:rsidRPr="0020258E">
              <w:rPr>
                <w:rFonts w:eastAsia="Times New Roman" w:cs="Times New Roman"/>
                <w:b/>
                <w:bCs/>
                <w:sz w:val="18"/>
                <w:szCs w:val="18"/>
                <w:lang w:eastAsia="sk-SK"/>
              </w:rPr>
              <w:t>v %</w:t>
            </w:r>
          </w:p>
        </w:tc>
        <w:tc>
          <w:tcPr>
            <w:tcW w:w="883" w:type="pct"/>
            <w:vMerge w:val="restart"/>
            <w:tcBorders>
              <w:top w:val="single" w:sz="4" w:space="0" w:color="auto"/>
              <w:left w:val="nil"/>
              <w:bottom w:val="single" w:sz="4" w:space="0" w:color="000000"/>
              <w:right w:val="nil"/>
            </w:tcBorders>
            <w:vAlign w:val="center"/>
            <w:hideMark/>
          </w:tcPr>
          <w:p w14:paraId="678008C6"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Štátne dlhopisy a ŠPP</w:t>
            </w:r>
          </w:p>
        </w:tc>
        <w:tc>
          <w:tcPr>
            <w:tcW w:w="1031" w:type="pct"/>
            <w:vMerge w:val="restart"/>
            <w:tcBorders>
              <w:top w:val="single" w:sz="4" w:space="0" w:color="auto"/>
              <w:left w:val="nil"/>
              <w:bottom w:val="single" w:sz="4" w:space="0" w:color="000000"/>
              <w:right w:val="nil"/>
            </w:tcBorders>
            <w:vAlign w:val="center"/>
            <w:hideMark/>
          </w:tcPr>
          <w:p w14:paraId="35DD733D"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Bankové úvery a iné pôžičky</w:t>
            </w:r>
          </w:p>
        </w:tc>
        <w:tc>
          <w:tcPr>
            <w:tcW w:w="812" w:type="pct"/>
            <w:vMerge w:val="restart"/>
            <w:tcBorders>
              <w:top w:val="single" w:sz="4" w:space="0" w:color="auto"/>
              <w:left w:val="nil"/>
              <w:bottom w:val="single" w:sz="4" w:space="0" w:color="000000"/>
              <w:right w:val="nil"/>
            </w:tcBorders>
            <w:vAlign w:val="center"/>
            <w:hideMark/>
          </w:tcPr>
          <w:p w14:paraId="0B9AC6CD"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Ostatné záväzky</w:t>
            </w:r>
          </w:p>
        </w:tc>
        <w:tc>
          <w:tcPr>
            <w:tcW w:w="837" w:type="pct"/>
            <w:vMerge w:val="restart"/>
            <w:tcBorders>
              <w:top w:val="single" w:sz="4" w:space="0" w:color="auto"/>
              <w:left w:val="nil"/>
              <w:bottom w:val="single" w:sz="4" w:space="0" w:color="000000"/>
              <w:right w:val="nil"/>
            </w:tcBorders>
            <w:vAlign w:val="center"/>
            <w:hideMark/>
          </w:tcPr>
          <w:p w14:paraId="4BC95F91"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Spolu</w:t>
            </w:r>
          </w:p>
        </w:tc>
      </w:tr>
      <w:tr w:rsidR="0020258E" w:rsidRPr="0020258E" w14:paraId="3F8CFAD9" w14:textId="77777777" w:rsidTr="00105F74">
        <w:trPr>
          <w:trHeight w:val="213"/>
        </w:trPr>
        <w:tc>
          <w:tcPr>
            <w:tcW w:w="1347" w:type="pct"/>
            <w:vMerge/>
            <w:tcBorders>
              <w:top w:val="single" w:sz="4" w:space="0" w:color="auto"/>
              <w:left w:val="nil"/>
              <w:bottom w:val="single" w:sz="4" w:space="0" w:color="000000"/>
              <w:right w:val="nil"/>
            </w:tcBorders>
            <w:vAlign w:val="center"/>
            <w:hideMark/>
          </w:tcPr>
          <w:p w14:paraId="28429978" w14:textId="77777777" w:rsidR="0020258E" w:rsidRPr="0020258E" w:rsidRDefault="0020258E" w:rsidP="00B6745A">
            <w:pPr>
              <w:spacing w:line="240" w:lineRule="auto"/>
              <w:rPr>
                <w:rFonts w:eastAsia="Times New Roman" w:cs="Times New Roman"/>
                <w:b/>
                <w:bCs/>
                <w:sz w:val="18"/>
                <w:szCs w:val="18"/>
                <w:lang w:eastAsia="sk-SK"/>
              </w:rPr>
            </w:pPr>
          </w:p>
        </w:tc>
        <w:tc>
          <w:tcPr>
            <w:tcW w:w="883" w:type="pct"/>
            <w:vMerge/>
            <w:tcBorders>
              <w:top w:val="single" w:sz="4" w:space="0" w:color="auto"/>
              <w:left w:val="nil"/>
              <w:bottom w:val="single" w:sz="4" w:space="0" w:color="000000"/>
              <w:right w:val="nil"/>
            </w:tcBorders>
            <w:vAlign w:val="center"/>
            <w:hideMark/>
          </w:tcPr>
          <w:p w14:paraId="1E06548E" w14:textId="77777777" w:rsidR="0020258E" w:rsidRPr="0020258E" w:rsidRDefault="0020258E" w:rsidP="00B6745A">
            <w:pPr>
              <w:spacing w:line="240" w:lineRule="auto"/>
              <w:rPr>
                <w:rFonts w:eastAsia="Times New Roman" w:cs="Times New Roman"/>
                <w:b/>
                <w:bCs/>
                <w:sz w:val="18"/>
                <w:szCs w:val="18"/>
                <w:lang w:eastAsia="sk-SK"/>
              </w:rPr>
            </w:pPr>
          </w:p>
        </w:tc>
        <w:tc>
          <w:tcPr>
            <w:tcW w:w="1031" w:type="pct"/>
            <w:vMerge/>
            <w:tcBorders>
              <w:top w:val="single" w:sz="4" w:space="0" w:color="auto"/>
              <w:left w:val="nil"/>
              <w:bottom w:val="single" w:sz="4" w:space="0" w:color="000000"/>
              <w:right w:val="nil"/>
            </w:tcBorders>
            <w:vAlign w:val="center"/>
            <w:hideMark/>
          </w:tcPr>
          <w:p w14:paraId="73E69BC2" w14:textId="77777777" w:rsidR="0020258E" w:rsidRPr="0020258E" w:rsidRDefault="0020258E" w:rsidP="00B6745A">
            <w:pPr>
              <w:spacing w:line="240" w:lineRule="auto"/>
              <w:rPr>
                <w:rFonts w:eastAsia="Times New Roman" w:cs="Times New Roman"/>
                <w:b/>
                <w:bCs/>
                <w:sz w:val="18"/>
                <w:szCs w:val="18"/>
                <w:lang w:eastAsia="sk-SK"/>
              </w:rPr>
            </w:pPr>
          </w:p>
        </w:tc>
        <w:tc>
          <w:tcPr>
            <w:tcW w:w="812" w:type="pct"/>
            <w:vMerge/>
            <w:tcBorders>
              <w:top w:val="single" w:sz="4" w:space="0" w:color="auto"/>
              <w:left w:val="nil"/>
              <w:bottom w:val="single" w:sz="4" w:space="0" w:color="000000"/>
              <w:right w:val="nil"/>
            </w:tcBorders>
            <w:vAlign w:val="center"/>
            <w:hideMark/>
          </w:tcPr>
          <w:p w14:paraId="70F248F3" w14:textId="77777777" w:rsidR="0020258E" w:rsidRPr="0020258E" w:rsidRDefault="0020258E" w:rsidP="00B6745A">
            <w:pPr>
              <w:spacing w:line="240" w:lineRule="auto"/>
              <w:rPr>
                <w:rFonts w:eastAsia="Times New Roman" w:cs="Times New Roman"/>
                <w:b/>
                <w:bCs/>
                <w:sz w:val="18"/>
                <w:szCs w:val="18"/>
                <w:lang w:eastAsia="sk-SK"/>
              </w:rPr>
            </w:pPr>
          </w:p>
        </w:tc>
        <w:tc>
          <w:tcPr>
            <w:tcW w:w="837" w:type="pct"/>
            <w:vMerge/>
            <w:tcBorders>
              <w:top w:val="single" w:sz="4" w:space="0" w:color="auto"/>
              <w:left w:val="nil"/>
              <w:bottom w:val="single" w:sz="4" w:space="0" w:color="000000"/>
              <w:right w:val="nil"/>
            </w:tcBorders>
            <w:vAlign w:val="center"/>
            <w:hideMark/>
          </w:tcPr>
          <w:p w14:paraId="19E58CA3" w14:textId="77777777" w:rsidR="0020258E" w:rsidRPr="0020258E" w:rsidRDefault="0020258E" w:rsidP="00B6745A">
            <w:pPr>
              <w:spacing w:line="240" w:lineRule="auto"/>
              <w:rPr>
                <w:rFonts w:eastAsia="Times New Roman" w:cs="Times New Roman"/>
                <w:b/>
                <w:bCs/>
                <w:sz w:val="18"/>
                <w:szCs w:val="18"/>
                <w:lang w:eastAsia="sk-SK"/>
              </w:rPr>
            </w:pPr>
          </w:p>
        </w:tc>
        <w:tc>
          <w:tcPr>
            <w:tcW w:w="90" w:type="pct"/>
            <w:tcBorders>
              <w:top w:val="nil"/>
              <w:left w:val="nil"/>
              <w:bottom w:val="nil"/>
              <w:right w:val="nil"/>
            </w:tcBorders>
            <w:noWrap/>
            <w:vAlign w:val="bottom"/>
            <w:hideMark/>
          </w:tcPr>
          <w:p w14:paraId="16511485" w14:textId="77777777" w:rsidR="0020258E" w:rsidRPr="0020258E" w:rsidRDefault="0020258E" w:rsidP="00B6745A">
            <w:pPr>
              <w:spacing w:line="240" w:lineRule="auto"/>
              <w:jc w:val="center"/>
              <w:rPr>
                <w:rFonts w:eastAsia="Times New Roman" w:cs="Times New Roman"/>
                <w:b/>
                <w:bCs/>
                <w:sz w:val="18"/>
                <w:szCs w:val="18"/>
                <w:lang w:eastAsia="sk-SK"/>
              </w:rPr>
            </w:pPr>
          </w:p>
        </w:tc>
      </w:tr>
      <w:tr w:rsidR="0020258E" w:rsidRPr="0020258E" w14:paraId="581D7B73" w14:textId="77777777" w:rsidTr="00576A2A">
        <w:trPr>
          <w:trHeight w:val="290"/>
        </w:trPr>
        <w:tc>
          <w:tcPr>
            <w:tcW w:w="1347" w:type="pct"/>
            <w:tcBorders>
              <w:top w:val="nil"/>
              <w:left w:val="nil"/>
              <w:bottom w:val="nil"/>
              <w:right w:val="nil"/>
            </w:tcBorders>
            <w:noWrap/>
            <w:vAlign w:val="bottom"/>
            <w:hideMark/>
          </w:tcPr>
          <w:p w14:paraId="1E802A14"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Do 1 roka</w:t>
            </w:r>
          </w:p>
        </w:tc>
        <w:tc>
          <w:tcPr>
            <w:tcW w:w="883" w:type="pct"/>
            <w:tcBorders>
              <w:top w:val="nil"/>
              <w:left w:val="nil"/>
              <w:bottom w:val="nil"/>
              <w:right w:val="nil"/>
            </w:tcBorders>
            <w:noWrap/>
            <w:vAlign w:val="bottom"/>
            <w:hideMark/>
          </w:tcPr>
          <w:p w14:paraId="35DB138A"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1031" w:type="pct"/>
            <w:tcBorders>
              <w:top w:val="nil"/>
              <w:left w:val="nil"/>
              <w:bottom w:val="nil"/>
              <w:right w:val="nil"/>
            </w:tcBorders>
            <w:noWrap/>
            <w:vAlign w:val="bottom"/>
            <w:hideMark/>
          </w:tcPr>
          <w:p w14:paraId="3089598B"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812" w:type="pct"/>
            <w:tcBorders>
              <w:top w:val="nil"/>
              <w:left w:val="nil"/>
              <w:bottom w:val="nil"/>
              <w:right w:val="nil"/>
            </w:tcBorders>
            <w:noWrap/>
            <w:vAlign w:val="bottom"/>
            <w:hideMark/>
          </w:tcPr>
          <w:p w14:paraId="203CFD1E"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63,2</w:t>
            </w:r>
          </w:p>
        </w:tc>
        <w:tc>
          <w:tcPr>
            <w:tcW w:w="837" w:type="pct"/>
            <w:tcBorders>
              <w:top w:val="nil"/>
              <w:left w:val="nil"/>
              <w:bottom w:val="nil"/>
              <w:right w:val="nil"/>
            </w:tcBorders>
            <w:noWrap/>
            <w:vAlign w:val="bottom"/>
            <w:hideMark/>
          </w:tcPr>
          <w:p w14:paraId="5EC736A6"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0,4</w:t>
            </w:r>
          </w:p>
        </w:tc>
        <w:tc>
          <w:tcPr>
            <w:tcW w:w="90" w:type="pct"/>
            <w:vAlign w:val="center"/>
            <w:hideMark/>
          </w:tcPr>
          <w:p w14:paraId="1B88547A"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45E226D7" w14:textId="77777777" w:rsidTr="00576A2A">
        <w:trPr>
          <w:trHeight w:val="290"/>
        </w:trPr>
        <w:tc>
          <w:tcPr>
            <w:tcW w:w="1347" w:type="pct"/>
            <w:tcBorders>
              <w:top w:val="nil"/>
              <w:left w:val="nil"/>
              <w:bottom w:val="nil"/>
              <w:right w:val="nil"/>
            </w:tcBorders>
            <w:noWrap/>
            <w:vAlign w:val="bottom"/>
            <w:hideMark/>
          </w:tcPr>
          <w:p w14:paraId="7E15CE47"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Do 5 rokov</w:t>
            </w:r>
          </w:p>
        </w:tc>
        <w:tc>
          <w:tcPr>
            <w:tcW w:w="883" w:type="pct"/>
            <w:tcBorders>
              <w:top w:val="nil"/>
              <w:left w:val="nil"/>
              <w:bottom w:val="nil"/>
              <w:right w:val="nil"/>
            </w:tcBorders>
            <w:noWrap/>
            <w:vAlign w:val="bottom"/>
            <w:hideMark/>
          </w:tcPr>
          <w:p w14:paraId="25978264"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6,2</w:t>
            </w:r>
          </w:p>
        </w:tc>
        <w:tc>
          <w:tcPr>
            <w:tcW w:w="1031" w:type="pct"/>
            <w:tcBorders>
              <w:top w:val="nil"/>
              <w:left w:val="nil"/>
              <w:bottom w:val="nil"/>
              <w:right w:val="nil"/>
            </w:tcBorders>
            <w:noWrap/>
            <w:vAlign w:val="bottom"/>
            <w:hideMark/>
          </w:tcPr>
          <w:p w14:paraId="4071EEE6"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812" w:type="pct"/>
            <w:tcBorders>
              <w:top w:val="nil"/>
              <w:left w:val="nil"/>
              <w:bottom w:val="nil"/>
              <w:right w:val="nil"/>
            </w:tcBorders>
            <w:noWrap/>
            <w:vAlign w:val="bottom"/>
            <w:hideMark/>
          </w:tcPr>
          <w:p w14:paraId="6DE6CCB6"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36,8</w:t>
            </w:r>
          </w:p>
        </w:tc>
        <w:tc>
          <w:tcPr>
            <w:tcW w:w="837" w:type="pct"/>
            <w:tcBorders>
              <w:top w:val="nil"/>
              <w:left w:val="nil"/>
              <w:bottom w:val="nil"/>
              <w:right w:val="nil"/>
            </w:tcBorders>
            <w:noWrap/>
            <w:vAlign w:val="bottom"/>
            <w:hideMark/>
          </w:tcPr>
          <w:p w14:paraId="4A48562E"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6,0</w:t>
            </w:r>
          </w:p>
        </w:tc>
        <w:tc>
          <w:tcPr>
            <w:tcW w:w="90" w:type="pct"/>
            <w:vAlign w:val="center"/>
            <w:hideMark/>
          </w:tcPr>
          <w:p w14:paraId="541F0A7C"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0E228780" w14:textId="77777777" w:rsidTr="00576A2A">
        <w:trPr>
          <w:trHeight w:val="290"/>
        </w:trPr>
        <w:tc>
          <w:tcPr>
            <w:tcW w:w="1347" w:type="pct"/>
            <w:tcBorders>
              <w:top w:val="nil"/>
              <w:left w:val="nil"/>
              <w:bottom w:val="nil"/>
              <w:right w:val="nil"/>
            </w:tcBorders>
            <w:noWrap/>
            <w:vAlign w:val="bottom"/>
            <w:hideMark/>
          </w:tcPr>
          <w:p w14:paraId="0FF8E03F"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Do 7 rokov</w:t>
            </w:r>
          </w:p>
        </w:tc>
        <w:tc>
          <w:tcPr>
            <w:tcW w:w="883" w:type="pct"/>
            <w:tcBorders>
              <w:top w:val="nil"/>
              <w:left w:val="nil"/>
              <w:bottom w:val="nil"/>
              <w:right w:val="nil"/>
            </w:tcBorders>
            <w:noWrap/>
            <w:vAlign w:val="bottom"/>
            <w:hideMark/>
          </w:tcPr>
          <w:p w14:paraId="59BF9811"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5,8</w:t>
            </w:r>
          </w:p>
        </w:tc>
        <w:tc>
          <w:tcPr>
            <w:tcW w:w="1031" w:type="pct"/>
            <w:tcBorders>
              <w:top w:val="nil"/>
              <w:left w:val="nil"/>
              <w:bottom w:val="nil"/>
              <w:right w:val="nil"/>
            </w:tcBorders>
            <w:noWrap/>
            <w:vAlign w:val="bottom"/>
            <w:hideMark/>
          </w:tcPr>
          <w:p w14:paraId="2639B372"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3,4</w:t>
            </w:r>
          </w:p>
        </w:tc>
        <w:tc>
          <w:tcPr>
            <w:tcW w:w="812" w:type="pct"/>
            <w:tcBorders>
              <w:top w:val="nil"/>
              <w:left w:val="nil"/>
              <w:bottom w:val="nil"/>
              <w:right w:val="nil"/>
            </w:tcBorders>
            <w:noWrap/>
            <w:vAlign w:val="bottom"/>
            <w:hideMark/>
          </w:tcPr>
          <w:p w14:paraId="0EA5EC24"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837" w:type="pct"/>
            <w:tcBorders>
              <w:top w:val="nil"/>
              <w:left w:val="nil"/>
              <w:bottom w:val="nil"/>
              <w:right w:val="nil"/>
            </w:tcBorders>
            <w:noWrap/>
            <w:vAlign w:val="bottom"/>
            <w:hideMark/>
          </w:tcPr>
          <w:p w14:paraId="0E60DEBF"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5,6</w:t>
            </w:r>
          </w:p>
        </w:tc>
        <w:tc>
          <w:tcPr>
            <w:tcW w:w="90" w:type="pct"/>
            <w:vAlign w:val="center"/>
            <w:hideMark/>
          </w:tcPr>
          <w:p w14:paraId="354E0BAC"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510E57F0" w14:textId="77777777" w:rsidTr="00576A2A">
        <w:trPr>
          <w:trHeight w:val="290"/>
        </w:trPr>
        <w:tc>
          <w:tcPr>
            <w:tcW w:w="1347" w:type="pct"/>
            <w:tcBorders>
              <w:top w:val="nil"/>
              <w:left w:val="nil"/>
              <w:bottom w:val="nil"/>
              <w:right w:val="nil"/>
            </w:tcBorders>
            <w:noWrap/>
            <w:vAlign w:val="bottom"/>
            <w:hideMark/>
          </w:tcPr>
          <w:p w14:paraId="5DB4EDF3"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Do 10 rokov</w:t>
            </w:r>
          </w:p>
        </w:tc>
        <w:tc>
          <w:tcPr>
            <w:tcW w:w="883" w:type="pct"/>
            <w:tcBorders>
              <w:top w:val="nil"/>
              <w:left w:val="nil"/>
              <w:bottom w:val="nil"/>
              <w:right w:val="nil"/>
            </w:tcBorders>
            <w:noWrap/>
            <w:vAlign w:val="bottom"/>
            <w:hideMark/>
          </w:tcPr>
          <w:p w14:paraId="011962D1"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26,6</w:t>
            </w:r>
          </w:p>
        </w:tc>
        <w:tc>
          <w:tcPr>
            <w:tcW w:w="1031" w:type="pct"/>
            <w:tcBorders>
              <w:top w:val="nil"/>
              <w:left w:val="nil"/>
              <w:bottom w:val="nil"/>
              <w:right w:val="nil"/>
            </w:tcBorders>
            <w:noWrap/>
            <w:vAlign w:val="bottom"/>
            <w:hideMark/>
          </w:tcPr>
          <w:p w14:paraId="45F08FBE"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7,1</w:t>
            </w:r>
          </w:p>
        </w:tc>
        <w:tc>
          <w:tcPr>
            <w:tcW w:w="812" w:type="pct"/>
            <w:tcBorders>
              <w:top w:val="nil"/>
              <w:left w:val="nil"/>
              <w:bottom w:val="nil"/>
              <w:right w:val="nil"/>
            </w:tcBorders>
            <w:noWrap/>
            <w:vAlign w:val="bottom"/>
            <w:hideMark/>
          </w:tcPr>
          <w:p w14:paraId="38C73F1F"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837" w:type="pct"/>
            <w:tcBorders>
              <w:top w:val="nil"/>
              <w:left w:val="nil"/>
              <w:bottom w:val="nil"/>
              <w:right w:val="nil"/>
            </w:tcBorders>
            <w:noWrap/>
            <w:vAlign w:val="bottom"/>
            <w:hideMark/>
          </w:tcPr>
          <w:p w14:paraId="4ECD580F"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25,0</w:t>
            </w:r>
          </w:p>
        </w:tc>
        <w:tc>
          <w:tcPr>
            <w:tcW w:w="90" w:type="pct"/>
            <w:vAlign w:val="center"/>
            <w:hideMark/>
          </w:tcPr>
          <w:p w14:paraId="36B82273"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6A37B20D" w14:textId="77777777" w:rsidTr="00576A2A">
        <w:trPr>
          <w:trHeight w:val="290"/>
        </w:trPr>
        <w:tc>
          <w:tcPr>
            <w:tcW w:w="1347" w:type="pct"/>
            <w:tcBorders>
              <w:top w:val="nil"/>
              <w:left w:val="nil"/>
              <w:bottom w:val="nil"/>
              <w:right w:val="nil"/>
            </w:tcBorders>
            <w:noWrap/>
            <w:vAlign w:val="bottom"/>
            <w:hideMark/>
          </w:tcPr>
          <w:p w14:paraId="2E507AF0"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lastRenderedPageBreak/>
              <w:t>Do 15 rokov</w:t>
            </w:r>
          </w:p>
        </w:tc>
        <w:tc>
          <w:tcPr>
            <w:tcW w:w="883" w:type="pct"/>
            <w:tcBorders>
              <w:top w:val="nil"/>
              <w:left w:val="nil"/>
              <w:bottom w:val="nil"/>
              <w:right w:val="nil"/>
            </w:tcBorders>
            <w:noWrap/>
            <w:vAlign w:val="bottom"/>
            <w:hideMark/>
          </w:tcPr>
          <w:p w14:paraId="6089207A"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39,2</w:t>
            </w:r>
          </w:p>
        </w:tc>
        <w:tc>
          <w:tcPr>
            <w:tcW w:w="1031" w:type="pct"/>
            <w:tcBorders>
              <w:top w:val="nil"/>
              <w:left w:val="nil"/>
              <w:bottom w:val="nil"/>
              <w:right w:val="nil"/>
            </w:tcBorders>
            <w:noWrap/>
            <w:vAlign w:val="bottom"/>
            <w:hideMark/>
          </w:tcPr>
          <w:p w14:paraId="07AFD99E"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11,7</w:t>
            </w:r>
          </w:p>
        </w:tc>
        <w:tc>
          <w:tcPr>
            <w:tcW w:w="812" w:type="pct"/>
            <w:tcBorders>
              <w:top w:val="nil"/>
              <w:left w:val="nil"/>
              <w:bottom w:val="nil"/>
              <w:right w:val="nil"/>
            </w:tcBorders>
            <w:noWrap/>
            <w:vAlign w:val="bottom"/>
            <w:hideMark/>
          </w:tcPr>
          <w:p w14:paraId="003C2817"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837" w:type="pct"/>
            <w:tcBorders>
              <w:top w:val="nil"/>
              <w:left w:val="nil"/>
              <w:bottom w:val="nil"/>
              <w:right w:val="nil"/>
            </w:tcBorders>
            <w:noWrap/>
            <w:vAlign w:val="bottom"/>
            <w:hideMark/>
          </w:tcPr>
          <w:p w14:paraId="1EDABBD8"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37,0</w:t>
            </w:r>
          </w:p>
        </w:tc>
        <w:tc>
          <w:tcPr>
            <w:tcW w:w="90" w:type="pct"/>
            <w:vAlign w:val="center"/>
            <w:hideMark/>
          </w:tcPr>
          <w:p w14:paraId="48651DDE"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68E0BAC2" w14:textId="77777777" w:rsidTr="00576A2A">
        <w:trPr>
          <w:trHeight w:val="290"/>
        </w:trPr>
        <w:tc>
          <w:tcPr>
            <w:tcW w:w="1347" w:type="pct"/>
            <w:tcBorders>
              <w:top w:val="nil"/>
              <w:left w:val="nil"/>
              <w:bottom w:val="nil"/>
              <w:right w:val="nil"/>
            </w:tcBorders>
            <w:noWrap/>
            <w:vAlign w:val="bottom"/>
            <w:hideMark/>
          </w:tcPr>
          <w:p w14:paraId="75B685D8"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Do 29 rokov</w:t>
            </w:r>
          </w:p>
        </w:tc>
        <w:tc>
          <w:tcPr>
            <w:tcW w:w="883" w:type="pct"/>
            <w:tcBorders>
              <w:top w:val="nil"/>
              <w:left w:val="nil"/>
              <w:bottom w:val="nil"/>
              <w:right w:val="nil"/>
            </w:tcBorders>
            <w:noWrap/>
            <w:vAlign w:val="bottom"/>
            <w:hideMark/>
          </w:tcPr>
          <w:p w14:paraId="7639A999"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12,0</w:t>
            </w:r>
          </w:p>
        </w:tc>
        <w:tc>
          <w:tcPr>
            <w:tcW w:w="1031" w:type="pct"/>
            <w:tcBorders>
              <w:top w:val="nil"/>
              <w:left w:val="nil"/>
              <w:bottom w:val="nil"/>
              <w:right w:val="nil"/>
            </w:tcBorders>
            <w:noWrap/>
            <w:vAlign w:val="bottom"/>
            <w:hideMark/>
          </w:tcPr>
          <w:p w14:paraId="1D2C55C9"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44,5</w:t>
            </w:r>
          </w:p>
        </w:tc>
        <w:tc>
          <w:tcPr>
            <w:tcW w:w="812" w:type="pct"/>
            <w:tcBorders>
              <w:top w:val="nil"/>
              <w:left w:val="nil"/>
              <w:bottom w:val="nil"/>
              <w:right w:val="nil"/>
            </w:tcBorders>
            <w:noWrap/>
            <w:vAlign w:val="bottom"/>
            <w:hideMark/>
          </w:tcPr>
          <w:p w14:paraId="48E3B598"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837" w:type="pct"/>
            <w:tcBorders>
              <w:top w:val="nil"/>
              <w:left w:val="nil"/>
              <w:bottom w:val="nil"/>
              <w:right w:val="nil"/>
            </w:tcBorders>
            <w:noWrap/>
            <w:vAlign w:val="bottom"/>
            <w:hideMark/>
          </w:tcPr>
          <w:p w14:paraId="62BA5D30"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14,2</w:t>
            </w:r>
          </w:p>
        </w:tc>
        <w:tc>
          <w:tcPr>
            <w:tcW w:w="90" w:type="pct"/>
            <w:vAlign w:val="center"/>
            <w:hideMark/>
          </w:tcPr>
          <w:p w14:paraId="2295D388"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0B6F331A" w14:textId="77777777" w:rsidTr="00576A2A">
        <w:trPr>
          <w:trHeight w:val="290"/>
        </w:trPr>
        <w:tc>
          <w:tcPr>
            <w:tcW w:w="1347" w:type="pct"/>
            <w:tcBorders>
              <w:top w:val="nil"/>
              <w:left w:val="nil"/>
              <w:bottom w:val="nil"/>
              <w:right w:val="nil"/>
            </w:tcBorders>
            <w:noWrap/>
            <w:vAlign w:val="bottom"/>
            <w:hideMark/>
          </w:tcPr>
          <w:p w14:paraId="106980B7" w14:textId="77777777" w:rsidR="0020258E" w:rsidRPr="0020258E" w:rsidRDefault="0020258E" w:rsidP="00B6745A">
            <w:pPr>
              <w:spacing w:line="240" w:lineRule="auto"/>
              <w:rPr>
                <w:rFonts w:eastAsia="Times New Roman" w:cs="Times New Roman"/>
                <w:sz w:val="18"/>
                <w:szCs w:val="18"/>
                <w:lang w:eastAsia="sk-SK"/>
              </w:rPr>
            </w:pPr>
            <w:r w:rsidRPr="0020258E">
              <w:rPr>
                <w:rFonts w:eastAsia="Times New Roman" w:cs="Times New Roman"/>
                <w:sz w:val="18"/>
                <w:szCs w:val="18"/>
                <w:lang w:eastAsia="sk-SK"/>
              </w:rPr>
              <w:t>30 rokov a viac</w:t>
            </w:r>
          </w:p>
        </w:tc>
        <w:tc>
          <w:tcPr>
            <w:tcW w:w="883" w:type="pct"/>
            <w:tcBorders>
              <w:top w:val="nil"/>
              <w:left w:val="nil"/>
              <w:bottom w:val="nil"/>
              <w:right w:val="nil"/>
            </w:tcBorders>
            <w:noWrap/>
            <w:vAlign w:val="bottom"/>
            <w:hideMark/>
          </w:tcPr>
          <w:p w14:paraId="3A7BB6F6"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10,2</w:t>
            </w:r>
          </w:p>
        </w:tc>
        <w:tc>
          <w:tcPr>
            <w:tcW w:w="1031" w:type="pct"/>
            <w:tcBorders>
              <w:top w:val="nil"/>
              <w:left w:val="nil"/>
              <w:bottom w:val="nil"/>
              <w:right w:val="nil"/>
            </w:tcBorders>
            <w:noWrap/>
            <w:vAlign w:val="bottom"/>
            <w:hideMark/>
          </w:tcPr>
          <w:p w14:paraId="3726C3F9"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33,3</w:t>
            </w:r>
          </w:p>
        </w:tc>
        <w:tc>
          <w:tcPr>
            <w:tcW w:w="812" w:type="pct"/>
            <w:tcBorders>
              <w:top w:val="nil"/>
              <w:left w:val="nil"/>
              <w:bottom w:val="nil"/>
              <w:right w:val="nil"/>
            </w:tcBorders>
            <w:noWrap/>
            <w:vAlign w:val="bottom"/>
            <w:hideMark/>
          </w:tcPr>
          <w:p w14:paraId="653901AB"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0,0</w:t>
            </w:r>
          </w:p>
        </w:tc>
        <w:tc>
          <w:tcPr>
            <w:tcW w:w="837" w:type="pct"/>
            <w:tcBorders>
              <w:top w:val="nil"/>
              <w:left w:val="nil"/>
              <w:bottom w:val="nil"/>
              <w:right w:val="nil"/>
            </w:tcBorders>
            <w:noWrap/>
            <w:vAlign w:val="bottom"/>
            <w:hideMark/>
          </w:tcPr>
          <w:p w14:paraId="5701F1A2" w14:textId="77777777" w:rsidR="0020258E" w:rsidRPr="0020258E" w:rsidRDefault="0020258E" w:rsidP="00B6745A">
            <w:pPr>
              <w:spacing w:line="240" w:lineRule="auto"/>
              <w:jc w:val="center"/>
              <w:rPr>
                <w:rFonts w:eastAsia="Times New Roman" w:cs="Times New Roman"/>
                <w:sz w:val="18"/>
                <w:szCs w:val="18"/>
                <w:lang w:eastAsia="sk-SK"/>
              </w:rPr>
            </w:pPr>
            <w:r w:rsidRPr="0020258E">
              <w:rPr>
                <w:rFonts w:eastAsia="Times New Roman" w:cs="Times New Roman"/>
                <w:sz w:val="18"/>
                <w:szCs w:val="18"/>
                <w:lang w:eastAsia="sk-SK"/>
              </w:rPr>
              <w:t>11,8</w:t>
            </w:r>
          </w:p>
        </w:tc>
        <w:tc>
          <w:tcPr>
            <w:tcW w:w="90" w:type="pct"/>
            <w:vAlign w:val="center"/>
            <w:hideMark/>
          </w:tcPr>
          <w:p w14:paraId="009FBF01" w14:textId="77777777" w:rsidR="0020258E" w:rsidRPr="0020258E" w:rsidRDefault="0020258E" w:rsidP="00B6745A">
            <w:pPr>
              <w:spacing w:line="240" w:lineRule="auto"/>
              <w:rPr>
                <w:rFonts w:eastAsia="Times New Roman" w:cs="Times New Roman"/>
                <w:sz w:val="18"/>
                <w:szCs w:val="18"/>
                <w:lang w:eastAsia="sk-SK"/>
              </w:rPr>
            </w:pPr>
          </w:p>
        </w:tc>
      </w:tr>
      <w:tr w:rsidR="0020258E" w:rsidRPr="0020258E" w14:paraId="47023DDD" w14:textId="77777777" w:rsidTr="00105F74">
        <w:trPr>
          <w:trHeight w:val="75"/>
        </w:trPr>
        <w:tc>
          <w:tcPr>
            <w:tcW w:w="1347" w:type="pct"/>
            <w:tcBorders>
              <w:top w:val="single" w:sz="4" w:space="0" w:color="auto"/>
              <w:left w:val="nil"/>
              <w:bottom w:val="single" w:sz="4" w:space="0" w:color="auto"/>
              <w:right w:val="nil"/>
            </w:tcBorders>
            <w:noWrap/>
            <w:vAlign w:val="bottom"/>
            <w:hideMark/>
          </w:tcPr>
          <w:p w14:paraId="44082697" w14:textId="77777777" w:rsidR="0020258E" w:rsidRPr="0020258E" w:rsidRDefault="0020258E" w:rsidP="00B6745A">
            <w:pPr>
              <w:spacing w:line="240" w:lineRule="auto"/>
              <w:rPr>
                <w:rFonts w:eastAsia="Times New Roman" w:cs="Times New Roman"/>
                <w:b/>
                <w:bCs/>
                <w:sz w:val="18"/>
                <w:szCs w:val="18"/>
                <w:lang w:eastAsia="sk-SK"/>
              </w:rPr>
            </w:pPr>
            <w:r w:rsidRPr="0020258E">
              <w:rPr>
                <w:rFonts w:eastAsia="Times New Roman" w:cs="Times New Roman"/>
                <w:b/>
                <w:bCs/>
                <w:sz w:val="18"/>
                <w:szCs w:val="18"/>
                <w:lang w:eastAsia="sk-SK"/>
              </w:rPr>
              <w:t>Spolu</w:t>
            </w:r>
          </w:p>
        </w:tc>
        <w:tc>
          <w:tcPr>
            <w:tcW w:w="883" w:type="pct"/>
            <w:tcBorders>
              <w:top w:val="single" w:sz="4" w:space="0" w:color="auto"/>
              <w:left w:val="nil"/>
              <w:bottom w:val="single" w:sz="4" w:space="0" w:color="auto"/>
              <w:right w:val="nil"/>
            </w:tcBorders>
            <w:noWrap/>
            <w:vAlign w:val="bottom"/>
            <w:hideMark/>
          </w:tcPr>
          <w:p w14:paraId="07BD5267"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100,0</w:t>
            </w:r>
          </w:p>
        </w:tc>
        <w:tc>
          <w:tcPr>
            <w:tcW w:w="1031" w:type="pct"/>
            <w:tcBorders>
              <w:top w:val="single" w:sz="4" w:space="0" w:color="auto"/>
              <w:left w:val="nil"/>
              <w:bottom w:val="single" w:sz="4" w:space="0" w:color="auto"/>
              <w:right w:val="nil"/>
            </w:tcBorders>
            <w:noWrap/>
            <w:vAlign w:val="bottom"/>
            <w:hideMark/>
          </w:tcPr>
          <w:p w14:paraId="050EE5A1"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100,0</w:t>
            </w:r>
          </w:p>
        </w:tc>
        <w:tc>
          <w:tcPr>
            <w:tcW w:w="812" w:type="pct"/>
            <w:tcBorders>
              <w:top w:val="single" w:sz="4" w:space="0" w:color="auto"/>
              <w:left w:val="nil"/>
              <w:bottom w:val="single" w:sz="4" w:space="0" w:color="auto"/>
              <w:right w:val="nil"/>
            </w:tcBorders>
            <w:noWrap/>
            <w:vAlign w:val="bottom"/>
            <w:hideMark/>
          </w:tcPr>
          <w:p w14:paraId="278C0B69"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100,0</w:t>
            </w:r>
          </w:p>
        </w:tc>
        <w:tc>
          <w:tcPr>
            <w:tcW w:w="837" w:type="pct"/>
            <w:tcBorders>
              <w:top w:val="single" w:sz="4" w:space="0" w:color="auto"/>
              <w:left w:val="nil"/>
              <w:bottom w:val="single" w:sz="4" w:space="0" w:color="auto"/>
              <w:right w:val="nil"/>
            </w:tcBorders>
            <w:noWrap/>
            <w:vAlign w:val="bottom"/>
            <w:hideMark/>
          </w:tcPr>
          <w:p w14:paraId="429E7E48" w14:textId="77777777" w:rsidR="0020258E" w:rsidRPr="0020258E" w:rsidRDefault="0020258E" w:rsidP="00B6745A">
            <w:pPr>
              <w:spacing w:line="240" w:lineRule="auto"/>
              <w:jc w:val="center"/>
              <w:rPr>
                <w:rFonts w:eastAsia="Times New Roman" w:cs="Times New Roman"/>
                <w:b/>
                <w:bCs/>
                <w:sz w:val="18"/>
                <w:szCs w:val="18"/>
                <w:lang w:eastAsia="sk-SK"/>
              </w:rPr>
            </w:pPr>
            <w:r w:rsidRPr="0020258E">
              <w:rPr>
                <w:rFonts w:eastAsia="Times New Roman" w:cs="Times New Roman"/>
                <w:b/>
                <w:bCs/>
                <w:sz w:val="18"/>
                <w:szCs w:val="18"/>
                <w:lang w:eastAsia="sk-SK"/>
              </w:rPr>
              <w:t>100,0</w:t>
            </w:r>
          </w:p>
        </w:tc>
        <w:tc>
          <w:tcPr>
            <w:tcW w:w="90" w:type="pct"/>
            <w:vAlign w:val="center"/>
            <w:hideMark/>
          </w:tcPr>
          <w:p w14:paraId="555F6067" w14:textId="77777777" w:rsidR="0020258E" w:rsidRPr="0020258E" w:rsidRDefault="0020258E" w:rsidP="00B6745A">
            <w:pPr>
              <w:spacing w:line="240" w:lineRule="auto"/>
              <w:rPr>
                <w:rFonts w:eastAsia="Times New Roman" w:cs="Times New Roman"/>
                <w:sz w:val="18"/>
                <w:szCs w:val="18"/>
                <w:lang w:eastAsia="sk-SK"/>
              </w:rPr>
            </w:pPr>
          </w:p>
        </w:tc>
      </w:tr>
    </w:tbl>
    <w:p w14:paraId="06289281" w14:textId="566120B2" w:rsidR="009A05C7" w:rsidRPr="0020258E" w:rsidRDefault="004942CF" w:rsidP="004942CF">
      <w:pPr>
        <w:tabs>
          <w:tab w:val="right" w:pos="9070"/>
        </w:tabs>
        <w:spacing w:line="240" w:lineRule="auto"/>
        <w:jc w:val="both"/>
        <w:rPr>
          <w:sz w:val="16"/>
          <w:szCs w:val="16"/>
        </w:rPr>
      </w:pPr>
      <w:r w:rsidRPr="0020258E">
        <w:rPr>
          <w:sz w:val="18"/>
          <w:szCs w:val="18"/>
        </w:rPr>
        <w:tab/>
      </w:r>
      <w:r w:rsidR="009A05C7" w:rsidRPr="0020258E">
        <w:rPr>
          <w:sz w:val="18"/>
          <w:szCs w:val="18"/>
        </w:rPr>
        <w:t>Zdroj: MF SR, ARDA</w:t>
      </w:r>
      <w:r w:rsidR="009A05C7" w:rsidRPr="0020258E">
        <w:rPr>
          <w:sz w:val="16"/>
          <w:szCs w:val="16"/>
        </w:rPr>
        <w:t>L</w:t>
      </w:r>
    </w:p>
    <w:p w14:paraId="4FF9F89E" w14:textId="77777777" w:rsidR="00415273" w:rsidRPr="0050710A" w:rsidRDefault="00415273" w:rsidP="00532D85">
      <w:pPr>
        <w:spacing w:line="240" w:lineRule="auto"/>
        <w:jc w:val="both"/>
        <w:rPr>
          <w:szCs w:val="24"/>
          <w:highlight w:val="yellow"/>
        </w:rPr>
      </w:pPr>
    </w:p>
    <w:p w14:paraId="5D89230C" w14:textId="77777777" w:rsidR="009A05C7" w:rsidRPr="00255F8E" w:rsidRDefault="009A05C7" w:rsidP="00532D85">
      <w:pPr>
        <w:pStyle w:val="Nadpis3"/>
        <w:spacing w:before="0"/>
        <w:ind w:left="709"/>
        <w:jc w:val="both"/>
      </w:pPr>
      <w:bookmarkStart w:id="74" w:name="_Toc132929082"/>
      <w:bookmarkStart w:id="75" w:name="_Toc227758899"/>
      <w:r w:rsidRPr="00255F8E">
        <w:t>Maastrichtský dlh ostatných subjektov verejnej správy</w:t>
      </w:r>
      <w:bookmarkEnd w:id="74"/>
      <w:bookmarkEnd w:id="75"/>
    </w:p>
    <w:p w14:paraId="2A767824" w14:textId="77777777" w:rsidR="00415273" w:rsidRPr="0050710A" w:rsidRDefault="00415273" w:rsidP="00532D85">
      <w:pPr>
        <w:spacing w:line="240" w:lineRule="auto"/>
        <w:jc w:val="both"/>
        <w:rPr>
          <w:szCs w:val="24"/>
          <w:highlight w:val="yellow"/>
        </w:rPr>
      </w:pPr>
    </w:p>
    <w:p w14:paraId="355EF237" w14:textId="77777777" w:rsidR="00C164B8" w:rsidRPr="00C22166" w:rsidRDefault="00C164B8" w:rsidP="00C164B8">
      <w:pPr>
        <w:spacing w:line="240" w:lineRule="auto"/>
        <w:jc w:val="both"/>
        <w:rPr>
          <w:szCs w:val="24"/>
        </w:rPr>
      </w:pPr>
      <w:r w:rsidRPr="00C22166">
        <w:rPr>
          <w:szCs w:val="24"/>
        </w:rPr>
        <w:t>Konsolidovaná hodnota maastrichtského dlhu ostatných subjektov verejnej správy k 31.12.2025 dosiahla 2 457 934 tis. eur, z toho na subjekty územnej samosprávy pripadá 1 732 432 tis. eur.</w:t>
      </w:r>
    </w:p>
    <w:p w14:paraId="261B34CD" w14:textId="77777777" w:rsidR="00415273" w:rsidRPr="0050710A" w:rsidRDefault="00415273" w:rsidP="00532D85">
      <w:pPr>
        <w:spacing w:line="240" w:lineRule="auto"/>
        <w:jc w:val="both"/>
        <w:rPr>
          <w:szCs w:val="24"/>
          <w:highlight w:val="yellow"/>
        </w:rPr>
      </w:pPr>
    </w:p>
    <w:p w14:paraId="0B58CFDF" w14:textId="7631432C" w:rsidR="00FB245C" w:rsidRPr="005504D3" w:rsidRDefault="00FB245C" w:rsidP="00532D85">
      <w:pPr>
        <w:pStyle w:val="Popis"/>
        <w:jc w:val="both"/>
        <w:rPr>
          <w:lang w:eastAsia="sk-SK"/>
        </w:rPr>
      </w:pPr>
      <w:bookmarkStart w:id="76" w:name="_Toc196313643"/>
      <w:bookmarkStart w:id="77" w:name="_Toc227670153"/>
      <w:r w:rsidRPr="005504D3">
        <w:rPr>
          <w:lang w:eastAsia="sk-SK"/>
        </w:rPr>
        <w:t xml:space="preserve">Tabuľka </w:t>
      </w:r>
      <w:r w:rsidR="003B7AF0" w:rsidRPr="005504D3">
        <w:rPr>
          <w:i/>
          <w:lang w:eastAsia="sk-SK"/>
        </w:rPr>
        <w:fldChar w:fldCharType="begin"/>
      </w:r>
      <w:r w:rsidR="003B7AF0" w:rsidRPr="005504D3">
        <w:rPr>
          <w:lang w:eastAsia="sk-SK"/>
        </w:rPr>
        <w:instrText xml:space="preserve"> SEQ Tabuľka \* ARABIC </w:instrText>
      </w:r>
      <w:r w:rsidR="003B7AF0" w:rsidRPr="005504D3">
        <w:rPr>
          <w:i/>
          <w:lang w:eastAsia="sk-SK"/>
        </w:rPr>
        <w:fldChar w:fldCharType="separate"/>
      </w:r>
      <w:r w:rsidR="00396BE8">
        <w:rPr>
          <w:noProof/>
          <w:lang w:eastAsia="sk-SK"/>
        </w:rPr>
        <w:t>17</w:t>
      </w:r>
      <w:r w:rsidR="003B7AF0" w:rsidRPr="005504D3">
        <w:rPr>
          <w:i/>
          <w:lang w:eastAsia="sk-SK"/>
        </w:rPr>
        <w:fldChar w:fldCharType="end"/>
      </w:r>
      <w:r w:rsidRPr="005504D3">
        <w:rPr>
          <w:lang w:eastAsia="sk-SK"/>
        </w:rPr>
        <w:t xml:space="preserve"> - Štruktúra dlh obcí podľa dlhového nástroja</w:t>
      </w:r>
      <w:bookmarkEnd w:id="76"/>
      <w:bookmarkEnd w:id="77"/>
    </w:p>
    <w:tbl>
      <w:tblPr>
        <w:tblW w:w="5000" w:type="pct"/>
        <w:tblCellMar>
          <w:left w:w="70" w:type="dxa"/>
          <w:right w:w="70" w:type="dxa"/>
        </w:tblCellMar>
        <w:tblLook w:val="04A0" w:firstRow="1" w:lastRow="0" w:firstColumn="1" w:lastColumn="0" w:noHBand="0" w:noVBand="1"/>
      </w:tblPr>
      <w:tblGrid>
        <w:gridCol w:w="5107"/>
        <w:gridCol w:w="998"/>
        <w:gridCol w:w="998"/>
        <w:gridCol w:w="998"/>
        <w:gridCol w:w="969"/>
      </w:tblGrid>
      <w:tr w:rsidR="005504D3" w:rsidRPr="005504D3" w14:paraId="632C95DB" w14:textId="77777777" w:rsidTr="005504D3">
        <w:trPr>
          <w:trHeight w:val="290"/>
          <w:tblHeader/>
        </w:trPr>
        <w:tc>
          <w:tcPr>
            <w:tcW w:w="2815" w:type="pct"/>
            <w:vMerge w:val="restart"/>
            <w:tcBorders>
              <w:top w:val="single" w:sz="4" w:space="0" w:color="auto"/>
              <w:left w:val="nil"/>
              <w:bottom w:val="single" w:sz="4" w:space="0" w:color="000000"/>
              <w:right w:val="nil"/>
            </w:tcBorders>
            <w:vAlign w:val="center"/>
            <w:hideMark/>
          </w:tcPr>
          <w:p w14:paraId="2D928215" w14:textId="77777777" w:rsidR="005504D3" w:rsidRPr="005504D3" w:rsidRDefault="005504D3" w:rsidP="00B6745A">
            <w:pPr>
              <w:spacing w:line="240" w:lineRule="auto"/>
              <w:jc w:val="both"/>
              <w:rPr>
                <w:rFonts w:eastAsia="Times New Roman" w:cs="Times New Roman"/>
                <w:b/>
                <w:bCs/>
                <w:sz w:val="18"/>
                <w:szCs w:val="18"/>
                <w:lang w:eastAsia="sk-SK"/>
              </w:rPr>
            </w:pPr>
            <w:r w:rsidRPr="005504D3">
              <w:rPr>
                <w:rFonts w:eastAsia="Times New Roman" w:cs="Times New Roman"/>
                <w:b/>
                <w:bCs/>
                <w:sz w:val="18"/>
                <w:szCs w:val="18"/>
                <w:lang w:eastAsia="sk-SK"/>
              </w:rPr>
              <w:t>v tis. eur</w:t>
            </w:r>
          </w:p>
        </w:tc>
        <w:tc>
          <w:tcPr>
            <w:tcW w:w="550" w:type="pct"/>
            <w:tcBorders>
              <w:top w:val="single" w:sz="4" w:space="0" w:color="auto"/>
              <w:left w:val="nil"/>
              <w:bottom w:val="nil"/>
              <w:right w:val="nil"/>
            </w:tcBorders>
            <w:vAlign w:val="center"/>
            <w:hideMark/>
          </w:tcPr>
          <w:p w14:paraId="68953711"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2023 S</w:t>
            </w:r>
          </w:p>
        </w:tc>
        <w:tc>
          <w:tcPr>
            <w:tcW w:w="550" w:type="pct"/>
            <w:tcBorders>
              <w:top w:val="single" w:sz="4" w:space="0" w:color="auto"/>
              <w:left w:val="nil"/>
              <w:bottom w:val="nil"/>
              <w:right w:val="nil"/>
            </w:tcBorders>
            <w:vAlign w:val="center"/>
            <w:hideMark/>
          </w:tcPr>
          <w:p w14:paraId="3F6E8668"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2024 S</w:t>
            </w:r>
          </w:p>
        </w:tc>
        <w:tc>
          <w:tcPr>
            <w:tcW w:w="550" w:type="pct"/>
            <w:tcBorders>
              <w:top w:val="single" w:sz="4" w:space="0" w:color="auto"/>
              <w:left w:val="nil"/>
              <w:bottom w:val="nil"/>
              <w:right w:val="nil"/>
            </w:tcBorders>
            <w:vAlign w:val="center"/>
            <w:hideMark/>
          </w:tcPr>
          <w:p w14:paraId="0E270798"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2025 S</w:t>
            </w:r>
          </w:p>
        </w:tc>
        <w:tc>
          <w:tcPr>
            <w:tcW w:w="534" w:type="pct"/>
            <w:tcBorders>
              <w:top w:val="single" w:sz="4" w:space="0" w:color="auto"/>
              <w:left w:val="nil"/>
              <w:bottom w:val="nil"/>
              <w:right w:val="nil"/>
            </w:tcBorders>
            <w:vAlign w:val="center"/>
            <w:hideMark/>
          </w:tcPr>
          <w:p w14:paraId="0A5B1475"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Zmena</w:t>
            </w:r>
          </w:p>
        </w:tc>
      </w:tr>
      <w:tr w:rsidR="005504D3" w:rsidRPr="005504D3" w14:paraId="6839A4DB" w14:textId="77777777" w:rsidTr="00105F74">
        <w:trPr>
          <w:trHeight w:val="145"/>
          <w:tblHeader/>
        </w:trPr>
        <w:tc>
          <w:tcPr>
            <w:tcW w:w="2815" w:type="pct"/>
            <w:vMerge/>
            <w:tcBorders>
              <w:top w:val="single" w:sz="4" w:space="0" w:color="auto"/>
              <w:left w:val="nil"/>
              <w:bottom w:val="single" w:sz="4" w:space="0" w:color="000000"/>
              <w:right w:val="nil"/>
            </w:tcBorders>
            <w:vAlign w:val="center"/>
            <w:hideMark/>
          </w:tcPr>
          <w:p w14:paraId="407DEC18" w14:textId="77777777" w:rsidR="005504D3" w:rsidRPr="005504D3" w:rsidRDefault="005504D3" w:rsidP="00B6745A">
            <w:pPr>
              <w:spacing w:line="240" w:lineRule="auto"/>
              <w:rPr>
                <w:rFonts w:eastAsia="Times New Roman" w:cs="Times New Roman"/>
                <w:b/>
                <w:bCs/>
                <w:sz w:val="18"/>
                <w:szCs w:val="18"/>
                <w:lang w:eastAsia="sk-SK"/>
              </w:rPr>
            </w:pPr>
          </w:p>
        </w:tc>
        <w:tc>
          <w:tcPr>
            <w:tcW w:w="550" w:type="pct"/>
            <w:tcBorders>
              <w:top w:val="nil"/>
              <w:left w:val="nil"/>
              <w:bottom w:val="single" w:sz="4" w:space="0" w:color="auto"/>
              <w:right w:val="nil"/>
            </w:tcBorders>
            <w:vAlign w:val="center"/>
            <w:hideMark/>
          </w:tcPr>
          <w:p w14:paraId="39D72006"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1</w:t>
            </w:r>
          </w:p>
        </w:tc>
        <w:tc>
          <w:tcPr>
            <w:tcW w:w="550" w:type="pct"/>
            <w:tcBorders>
              <w:top w:val="nil"/>
              <w:left w:val="nil"/>
              <w:bottom w:val="single" w:sz="4" w:space="0" w:color="auto"/>
              <w:right w:val="nil"/>
            </w:tcBorders>
            <w:vAlign w:val="center"/>
            <w:hideMark/>
          </w:tcPr>
          <w:p w14:paraId="0CF44EB7"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2</w:t>
            </w:r>
          </w:p>
        </w:tc>
        <w:tc>
          <w:tcPr>
            <w:tcW w:w="550" w:type="pct"/>
            <w:tcBorders>
              <w:top w:val="nil"/>
              <w:left w:val="nil"/>
              <w:bottom w:val="single" w:sz="4" w:space="0" w:color="auto"/>
              <w:right w:val="nil"/>
            </w:tcBorders>
            <w:vAlign w:val="center"/>
            <w:hideMark/>
          </w:tcPr>
          <w:p w14:paraId="137C6F5E"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3</w:t>
            </w:r>
          </w:p>
        </w:tc>
        <w:tc>
          <w:tcPr>
            <w:tcW w:w="534" w:type="pct"/>
            <w:tcBorders>
              <w:top w:val="nil"/>
              <w:left w:val="nil"/>
              <w:bottom w:val="single" w:sz="4" w:space="0" w:color="auto"/>
              <w:right w:val="nil"/>
            </w:tcBorders>
            <w:vAlign w:val="center"/>
            <w:hideMark/>
          </w:tcPr>
          <w:p w14:paraId="27C9150F" w14:textId="77777777" w:rsidR="005504D3" w:rsidRPr="005504D3" w:rsidRDefault="005504D3" w:rsidP="00B6745A">
            <w:pPr>
              <w:spacing w:line="240" w:lineRule="auto"/>
              <w:jc w:val="center"/>
              <w:rPr>
                <w:rFonts w:eastAsia="Times New Roman" w:cs="Times New Roman"/>
                <w:b/>
                <w:bCs/>
                <w:sz w:val="18"/>
                <w:szCs w:val="18"/>
                <w:lang w:eastAsia="sk-SK"/>
              </w:rPr>
            </w:pPr>
            <w:r w:rsidRPr="005504D3">
              <w:rPr>
                <w:rFonts w:eastAsia="Times New Roman" w:cs="Times New Roman"/>
                <w:b/>
                <w:bCs/>
                <w:sz w:val="18"/>
                <w:szCs w:val="18"/>
                <w:lang w:eastAsia="sk-SK"/>
              </w:rPr>
              <w:t>4=(3-2)</w:t>
            </w:r>
          </w:p>
        </w:tc>
      </w:tr>
      <w:tr w:rsidR="005504D3" w:rsidRPr="005504D3" w14:paraId="0015AD4D" w14:textId="77777777" w:rsidTr="005504D3">
        <w:trPr>
          <w:trHeight w:val="290"/>
        </w:trPr>
        <w:tc>
          <w:tcPr>
            <w:tcW w:w="2815" w:type="pct"/>
            <w:tcBorders>
              <w:top w:val="nil"/>
              <w:left w:val="nil"/>
              <w:bottom w:val="nil"/>
              <w:right w:val="nil"/>
            </w:tcBorders>
            <w:noWrap/>
            <w:vAlign w:val="bottom"/>
            <w:hideMark/>
          </w:tcPr>
          <w:p w14:paraId="06765F8C"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Bankové úvery</w:t>
            </w:r>
          </w:p>
        </w:tc>
        <w:tc>
          <w:tcPr>
            <w:tcW w:w="550" w:type="pct"/>
            <w:tcBorders>
              <w:top w:val="nil"/>
              <w:left w:val="nil"/>
              <w:bottom w:val="nil"/>
              <w:right w:val="nil"/>
            </w:tcBorders>
            <w:noWrap/>
            <w:vAlign w:val="bottom"/>
            <w:hideMark/>
          </w:tcPr>
          <w:p w14:paraId="063C2640"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955 753</w:t>
            </w:r>
          </w:p>
        </w:tc>
        <w:tc>
          <w:tcPr>
            <w:tcW w:w="550" w:type="pct"/>
            <w:tcBorders>
              <w:top w:val="nil"/>
              <w:left w:val="nil"/>
              <w:bottom w:val="nil"/>
              <w:right w:val="nil"/>
            </w:tcBorders>
            <w:noWrap/>
            <w:vAlign w:val="bottom"/>
            <w:hideMark/>
          </w:tcPr>
          <w:p w14:paraId="4C94150E"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938 985</w:t>
            </w:r>
          </w:p>
        </w:tc>
        <w:tc>
          <w:tcPr>
            <w:tcW w:w="550" w:type="pct"/>
            <w:tcBorders>
              <w:top w:val="nil"/>
              <w:left w:val="nil"/>
              <w:bottom w:val="nil"/>
              <w:right w:val="nil"/>
            </w:tcBorders>
            <w:noWrap/>
            <w:vAlign w:val="bottom"/>
            <w:hideMark/>
          </w:tcPr>
          <w:p w14:paraId="67F88F94"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1 033 908</w:t>
            </w:r>
          </w:p>
        </w:tc>
        <w:tc>
          <w:tcPr>
            <w:tcW w:w="534" w:type="pct"/>
            <w:tcBorders>
              <w:top w:val="nil"/>
              <w:left w:val="nil"/>
              <w:bottom w:val="nil"/>
              <w:right w:val="nil"/>
            </w:tcBorders>
            <w:noWrap/>
            <w:vAlign w:val="bottom"/>
            <w:hideMark/>
          </w:tcPr>
          <w:p w14:paraId="45A90445"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94 923</w:t>
            </w:r>
          </w:p>
        </w:tc>
      </w:tr>
      <w:tr w:rsidR="005504D3" w:rsidRPr="005504D3" w14:paraId="01CC98FB" w14:textId="77777777" w:rsidTr="005504D3">
        <w:trPr>
          <w:trHeight w:val="290"/>
        </w:trPr>
        <w:tc>
          <w:tcPr>
            <w:tcW w:w="2815" w:type="pct"/>
            <w:tcBorders>
              <w:top w:val="nil"/>
              <w:left w:val="nil"/>
              <w:bottom w:val="nil"/>
              <w:right w:val="nil"/>
            </w:tcBorders>
            <w:noWrap/>
            <w:vAlign w:val="bottom"/>
            <w:hideMark/>
          </w:tcPr>
          <w:p w14:paraId="5AA61B78" w14:textId="77777777" w:rsidR="005504D3" w:rsidRPr="005504D3" w:rsidRDefault="005504D3" w:rsidP="00B6745A">
            <w:pPr>
              <w:spacing w:line="240" w:lineRule="auto"/>
              <w:ind w:firstLineChars="200" w:firstLine="360"/>
              <w:rPr>
                <w:rFonts w:eastAsia="Times New Roman" w:cs="Times New Roman"/>
                <w:sz w:val="18"/>
                <w:szCs w:val="18"/>
                <w:lang w:eastAsia="sk-SK"/>
              </w:rPr>
            </w:pPr>
            <w:r w:rsidRPr="005504D3">
              <w:rPr>
                <w:rFonts w:eastAsia="Times New Roman" w:cs="Times New Roman"/>
                <w:sz w:val="18"/>
                <w:szCs w:val="18"/>
                <w:lang w:eastAsia="sk-SK"/>
              </w:rPr>
              <w:t>z toho: úvery od SZRB (konsoliduje sa)</w:t>
            </w:r>
          </w:p>
        </w:tc>
        <w:tc>
          <w:tcPr>
            <w:tcW w:w="550" w:type="pct"/>
            <w:tcBorders>
              <w:top w:val="nil"/>
              <w:left w:val="nil"/>
              <w:bottom w:val="nil"/>
              <w:right w:val="nil"/>
            </w:tcBorders>
            <w:noWrap/>
            <w:vAlign w:val="bottom"/>
            <w:hideMark/>
          </w:tcPr>
          <w:p w14:paraId="3178A2C9"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16 289</w:t>
            </w:r>
          </w:p>
        </w:tc>
        <w:tc>
          <w:tcPr>
            <w:tcW w:w="550" w:type="pct"/>
            <w:tcBorders>
              <w:top w:val="nil"/>
              <w:left w:val="nil"/>
              <w:bottom w:val="nil"/>
              <w:right w:val="nil"/>
            </w:tcBorders>
            <w:noWrap/>
            <w:vAlign w:val="bottom"/>
            <w:hideMark/>
          </w:tcPr>
          <w:p w14:paraId="7C09D87A"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14 826</w:t>
            </w:r>
          </w:p>
        </w:tc>
        <w:tc>
          <w:tcPr>
            <w:tcW w:w="550" w:type="pct"/>
            <w:tcBorders>
              <w:top w:val="nil"/>
              <w:left w:val="nil"/>
              <w:bottom w:val="nil"/>
              <w:right w:val="nil"/>
            </w:tcBorders>
            <w:noWrap/>
            <w:vAlign w:val="bottom"/>
            <w:hideMark/>
          </w:tcPr>
          <w:p w14:paraId="20C2A9E6"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15 817</w:t>
            </w:r>
          </w:p>
        </w:tc>
        <w:tc>
          <w:tcPr>
            <w:tcW w:w="534" w:type="pct"/>
            <w:tcBorders>
              <w:top w:val="nil"/>
              <w:left w:val="nil"/>
              <w:bottom w:val="nil"/>
              <w:right w:val="nil"/>
            </w:tcBorders>
            <w:noWrap/>
            <w:vAlign w:val="bottom"/>
            <w:hideMark/>
          </w:tcPr>
          <w:p w14:paraId="66FC8D7B"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991</w:t>
            </w:r>
          </w:p>
        </w:tc>
      </w:tr>
      <w:tr w:rsidR="005504D3" w:rsidRPr="005504D3" w14:paraId="0589ACEF" w14:textId="77777777" w:rsidTr="005504D3">
        <w:trPr>
          <w:trHeight w:val="290"/>
        </w:trPr>
        <w:tc>
          <w:tcPr>
            <w:tcW w:w="2815" w:type="pct"/>
            <w:tcBorders>
              <w:top w:val="nil"/>
              <w:left w:val="nil"/>
              <w:bottom w:val="nil"/>
              <w:right w:val="nil"/>
            </w:tcBorders>
            <w:noWrap/>
            <w:vAlign w:val="bottom"/>
            <w:hideMark/>
          </w:tcPr>
          <w:p w14:paraId="21157AE0"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Pôžičky zo ŠFRB (konsoliduje sa)</w:t>
            </w:r>
          </w:p>
        </w:tc>
        <w:tc>
          <w:tcPr>
            <w:tcW w:w="550" w:type="pct"/>
            <w:tcBorders>
              <w:top w:val="nil"/>
              <w:left w:val="nil"/>
              <w:bottom w:val="nil"/>
              <w:right w:val="nil"/>
            </w:tcBorders>
            <w:noWrap/>
            <w:vAlign w:val="bottom"/>
            <w:hideMark/>
          </w:tcPr>
          <w:p w14:paraId="5017A4DD"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737 891</w:t>
            </w:r>
          </w:p>
        </w:tc>
        <w:tc>
          <w:tcPr>
            <w:tcW w:w="550" w:type="pct"/>
            <w:tcBorders>
              <w:top w:val="nil"/>
              <w:left w:val="nil"/>
              <w:bottom w:val="nil"/>
              <w:right w:val="nil"/>
            </w:tcBorders>
            <w:noWrap/>
            <w:vAlign w:val="bottom"/>
            <w:hideMark/>
          </w:tcPr>
          <w:p w14:paraId="361C99B0"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748 309</w:t>
            </w:r>
          </w:p>
        </w:tc>
        <w:tc>
          <w:tcPr>
            <w:tcW w:w="550" w:type="pct"/>
            <w:tcBorders>
              <w:top w:val="nil"/>
              <w:left w:val="nil"/>
              <w:bottom w:val="nil"/>
              <w:right w:val="nil"/>
            </w:tcBorders>
            <w:noWrap/>
            <w:vAlign w:val="bottom"/>
            <w:hideMark/>
          </w:tcPr>
          <w:p w14:paraId="0240C1E5"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745 126</w:t>
            </w:r>
          </w:p>
        </w:tc>
        <w:tc>
          <w:tcPr>
            <w:tcW w:w="534" w:type="pct"/>
            <w:tcBorders>
              <w:top w:val="nil"/>
              <w:left w:val="nil"/>
              <w:bottom w:val="nil"/>
              <w:right w:val="nil"/>
            </w:tcBorders>
            <w:noWrap/>
            <w:vAlign w:val="bottom"/>
            <w:hideMark/>
          </w:tcPr>
          <w:p w14:paraId="095B1036"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-3 183</w:t>
            </w:r>
          </w:p>
        </w:tc>
      </w:tr>
      <w:tr w:rsidR="005504D3" w:rsidRPr="005504D3" w14:paraId="1F085071" w14:textId="77777777" w:rsidTr="005504D3">
        <w:trPr>
          <w:trHeight w:val="290"/>
        </w:trPr>
        <w:tc>
          <w:tcPr>
            <w:tcW w:w="2815" w:type="pct"/>
            <w:tcBorders>
              <w:top w:val="nil"/>
              <w:left w:val="nil"/>
              <w:bottom w:val="nil"/>
              <w:right w:val="nil"/>
            </w:tcBorders>
            <w:noWrap/>
            <w:vAlign w:val="bottom"/>
            <w:hideMark/>
          </w:tcPr>
          <w:p w14:paraId="0DBBF19C"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Pôžičky z ENVF (konsoliduje sa)</w:t>
            </w:r>
          </w:p>
        </w:tc>
        <w:tc>
          <w:tcPr>
            <w:tcW w:w="550" w:type="pct"/>
            <w:tcBorders>
              <w:top w:val="nil"/>
              <w:left w:val="nil"/>
              <w:bottom w:val="nil"/>
              <w:right w:val="nil"/>
            </w:tcBorders>
            <w:noWrap/>
            <w:vAlign w:val="bottom"/>
            <w:hideMark/>
          </w:tcPr>
          <w:p w14:paraId="7E309901"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16 825</w:t>
            </w:r>
          </w:p>
        </w:tc>
        <w:tc>
          <w:tcPr>
            <w:tcW w:w="550" w:type="pct"/>
            <w:tcBorders>
              <w:top w:val="nil"/>
              <w:left w:val="nil"/>
              <w:bottom w:val="nil"/>
              <w:right w:val="nil"/>
            </w:tcBorders>
            <w:noWrap/>
            <w:vAlign w:val="bottom"/>
            <w:hideMark/>
          </w:tcPr>
          <w:p w14:paraId="296AC289"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38 941</w:t>
            </w:r>
          </w:p>
        </w:tc>
        <w:tc>
          <w:tcPr>
            <w:tcW w:w="550" w:type="pct"/>
            <w:tcBorders>
              <w:top w:val="nil"/>
              <w:left w:val="nil"/>
              <w:bottom w:val="nil"/>
              <w:right w:val="nil"/>
            </w:tcBorders>
            <w:noWrap/>
            <w:vAlign w:val="bottom"/>
            <w:hideMark/>
          </w:tcPr>
          <w:p w14:paraId="7FB5CF51"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59 363</w:t>
            </w:r>
          </w:p>
        </w:tc>
        <w:tc>
          <w:tcPr>
            <w:tcW w:w="534" w:type="pct"/>
            <w:tcBorders>
              <w:top w:val="nil"/>
              <w:left w:val="nil"/>
              <w:bottom w:val="nil"/>
              <w:right w:val="nil"/>
            </w:tcBorders>
            <w:noWrap/>
            <w:vAlign w:val="bottom"/>
            <w:hideMark/>
          </w:tcPr>
          <w:p w14:paraId="7CDF568D"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20 422</w:t>
            </w:r>
          </w:p>
        </w:tc>
      </w:tr>
      <w:tr w:rsidR="005504D3" w:rsidRPr="005504D3" w14:paraId="10FE0DE9" w14:textId="77777777" w:rsidTr="005504D3">
        <w:trPr>
          <w:trHeight w:val="290"/>
        </w:trPr>
        <w:tc>
          <w:tcPr>
            <w:tcW w:w="2815" w:type="pct"/>
            <w:tcBorders>
              <w:top w:val="nil"/>
              <w:left w:val="nil"/>
              <w:bottom w:val="nil"/>
              <w:right w:val="nil"/>
            </w:tcBorders>
            <w:noWrap/>
            <w:vAlign w:val="bottom"/>
            <w:hideMark/>
          </w:tcPr>
          <w:p w14:paraId="1D02C436"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Finančné výpomoci</w:t>
            </w:r>
          </w:p>
        </w:tc>
        <w:tc>
          <w:tcPr>
            <w:tcW w:w="550" w:type="pct"/>
            <w:tcBorders>
              <w:top w:val="nil"/>
              <w:left w:val="nil"/>
              <w:bottom w:val="nil"/>
              <w:right w:val="nil"/>
            </w:tcBorders>
            <w:noWrap/>
            <w:vAlign w:val="bottom"/>
            <w:hideMark/>
          </w:tcPr>
          <w:p w14:paraId="0E2E1833"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45 920</w:t>
            </w:r>
          </w:p>
        </w:tc>
        <w:tc>
          <w:tcPr>
            <w:tcW w:w="550" w:type="pct"/>
            <w:tcBorders>
              <w:top w:val="nil"/>
              <w:left w:val="nil"/>
              <w:bottom w:val="nil"/>
              <w:right w:val="nil"/>
            </w:tcBorders>
            <w:noWrap/>
            <w:vAlign w:val="bottom"/>
            <w:hideMark/>
          </w:tcPr>
          <w:p w14:paraId="19630212"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41 792</w:t>
            </w:r>
          </w:p>
        </w:tc>
        <w:tc>
          <w:tcPr>
            <w:tcW w:w="550" w:type="pct"/>
            <w:tcBorders>
              <w:top w:val="nil"/>
              <w:left w:val="nil"/>
              <w:bottom w:val="nil"/>
              <w:right w:val="nil"/>
            </w:tcBorders>
            <w:noWrap/>
            <w:vAlign w:val="bottom"/>
            <w:hideMark/>
          </w:tcPr>
          <w:p w14:paraId="06532018"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35 639</w:t>
            </w:r>
          </w:p>
        </w:tc>
        <w:tc>
          <w:tcPr>
            <w:tcW w:w="534" w:type="pct"/>
            <w:tcBorders>
              <w:top w:val="nil"/>
              <w:left w:val="nil"/>
              <w:bottom w:val="nil"/>
              <w:right w:val="nil"/>
            </w:tcBorders>
            <w:noWrap/>
            <w:vAlign w:val="bottom"/>
            <w:hideMark/>
          </w:tcPr>
          <w:p w14:paraId="3E02EAFF"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-6 153</w:t>
            </w:r>
          </w:p>
        </w:tc>
      </w:tr>
      <w:tr w:rsidR="005504D3" w:rsidRPr="005504D3" w14:paraId="41162CBD" w14:textId="77777777" w:rsidTr="005504D3">
        <w:trPr>
          <w:trHeight w:val="290"/>
        </w:trPr>
        <w:tc>
          <w:tcPr>
            <w:tcW w:w="2815" w:type="pct"/>
            <w:tcBorders>
              <w:top w:val="nil"/>
              <w:left w:val="nil"/>
              <w:bottom w:val="nil"/>
              <w:right w:val="nil"/>
            </w:tcBorders>
            <w:noWrap/>
            <w:vAlign w:val="bottom"/>
            <w:hideMark/>
          </w:tcPr>
          <w:p w14:paraId="7D684BE1" w14:textId="77777777" w:rsidR="005504D3" w:rsidRPr="005504D3" w:rsidRDefault="005504D3" w:rsidP="00B6745A">
            <w:pPr>
              <w:spacing w:line="240" w:lineRule="auto"/>
              <w:ind w:firstLineChars="200" w:firstLine="360"/>
              <w:rPr>
                <w:rFonts w:eastAsia="Times New Roman" w:cs="Times New Roman"/>
                <w:sz w:val="18"/>
                <w:szCs w:val="18"/>
                <w:lang w:eastAsia="sk-SK"/>
              </w:rPr>
            </w:pPr>
            <w:r w:rsidRPr="005504D3">
              <w:rPr>
                <w:rFonts w:eastAsia="Times New Roman" w:cs="Times New Roman"/>
                <w:sz w:val="18"/>
                <w:szCs w:val="18"/>
                <w:lang w:eastAsia="sk-SK"/>
              </w:rPr>
              <w:t>z toho: NFV z VPS a ŠD (konsoliduje sa)</w:t>
            </w:r>
          </w:p>
        </w:tc>
        <w:tc>
          <w:tcPr>
            <w:tcW w:w="550" w:type="pct"/>
            <w:tcBorders>
              <w:top w:val="nil"/>
              <w:left w:val="nil"/>
              <w:bottom w:val="nil"/>
              <w:right w:val="nil"/>
            </w:tcBorders>
            <w:noWrap/>
            <w:vAlign w:val="bottom"/>
            <w:hideMark/>
          </w:tcPr>
          <w:p w14:paraId="2533E556"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31 653</w:t>
            </w:r>
          </w:p>
        </w:tc>
        <w:tc>
          <w:tcPr>
            <w:tcW w:w="550" w:type="pct"/>
            <w:tcBorders>
              <w:top w:val="nil"/>
              <w:left w:val="nil"/>
              <w:bottom w:val="nil"/>
              <w:right w:val="nil"/>
            </w:tcBorders>
            <w:noWrap/>
            <w:vAlign w:val="bottom"/>
            <w:hideMark/>
          </w:tcPr>
          <w:p w14:paraId="52F1CB9D"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26 918</w:t>
            </w:r>
          </w:p>
        </w:tc>
        <w:tc>
          <w:tcPr>
            <w:tcW w:w="550" w:type="pct"/>
            <w:tcBorders>
              <w:top w:val="nil"/>
              <w:left w:val="nil"/>
              <w:bottom w:val="nil"/>
              <w:right w:val="nil"/>
            </w:tcBorders>
            <w:noWrap/>
            <w:vAlign w:val="bottom"/>
            <w:hideMark/>
          </w:tcPr>
          <w:p w14:paraId="211D28CB"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21 882</w:t>
            </w:r>
          </w:p>
        </w:tc>
        <w:tc>
          <w:tcPr>
            <w:tcW w:w="534" w:type="pct"/>
            <w:tcBorders>
              <w:top w:val="nil"/>
              <w:left w:val="nil"/>
              <w:bottom w:val="nil"/>
              <w:right w:val="nil"/>
            </w:tcBorders>
            <w:noWrap/>
            <w:vAlign w:val="bottom"/>
            <w:hideMark/>
          </w:tcPr>
          <w:p w14:paraId="76B2B6A7"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-5 036</w:t>
            </w:r>
          </w:p>
        </w:tc>
      </w:tr>
      <w:tr w:rsidR="005504D3" w:rsidRPr="005504D3" w14:paraId="5C4FA23D" w14:textId="77777777" w:rsidTr="005504D3">
        <w:trPr>
          <w:trHeight w:val="290"/>
        </w:trPr>
        <w:tc>
          <w:tcPr>
            <w:tcW w:w="2815" w:type="pct"/>
            <w:tcBorders>
              <w:top w:val="nil"/>
              <w:left w:val="nil"/>
              <w:bottom w:val="nil"/>
              <w:right w:val="nil"/>
            </w:tcBorders>
            <w:noWrap/>
            <w:vAlign w:val="bottom"/>
            <w:hideMark/>
          </w:tcPr>
          <w:p w14:paraId="0ABF231C" w14:textId="77777777" w:rsidR="005504D3" w:rsidRPr="005504D3" w:rsidRDefault="005504D3" w:rsidP="00B6745A">
            <w:pPr>
              <w:spacing w:line="240" w:lineRule="auto"/>
              <w:ind w:firstLineChars="600" w:firstLine="1080"/>
              <w:rPr>
                <w:rFonts w:eastAsia="Times New Roman" w:cs="Times New Roman"/>
                <w:sz w:val="18"/>
                <w:szCs w:val="18"/>
                <w:lang w:eastAsia="sk-SK"/>
              </w:rPr>
            </w:pPr>
            <w:r w:rsidRPr="005504D3">
              <w:rPr>
                <w:rFonts w:eastAsia="Times New Roman" w:cs="Times New Roman"/>
                <w:sz w:val="18"/>
                <w:szCs w:val="18"/>
                <w:lang w:eastAsia="sk-SK"/>
              </w:rPr>
              <w:t>od ostat. subj. verejnej správy (konsoliduje sa)</w:t>
            </w:r>
          </w:p>
        </w:tc>
        <w:tc>
          <w:tcPr>
            <w:tcW w:w="550" w:type="pct"/>
            <w:tcBorders>
              <w:top w:val="nil"/>
              <w:left w:val="nil"/>
              <w:bottom w:val="nil"/>
              <w:right w:val="nil"/>
            </w:tcBorders>
            <w:noWrap/>
            <w:vAlign w:val="bottom"/>
            <w:hideMark/>
          </w:tcPr>
          <w:p w14:paraId="61B2917B"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14 267</w:t>
            </w:r>
          </w:p>
        </w:tc>
        <w:tc>
          <w:tcPr>
            <w:tcW w:w="550" w:type="pct"/>
            <w:tcBorders>
              <w:top w:val="nil"/>
              <w:left w:val="nil"/>
              <w:bottom w:val="nil"/>
              <w:right w:val="nil"/>
            </w:tcBorders>
            <w:noWrap/>
            <w:vAlign w:val="bottom"/>
            <w:hideMark/>
          </w:tcPr>
          <w:p w14:paraId="1A841140"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14 874</w:t>
            </w:r>
          </w:p>
        </w:tc>
        <w:tc>
          <w:tcPr>
            <w:tcW w:w="550" w:type="pct"/>
            <w:tcBorders>
              <w:top w:val="nil"/>
              <w:left w:val="nil"/>
              <w:bottom w:val="nil"/>
              <w:right w:val="nil"/>
            </w:tcBorders>
            <w:noWrap/>
            <w:vAlign w:val="bottom"/>
            <w:hideMark/>
          </w:tcPr>
          <w:p w14:paraId="57967780"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13 757</w:t>
            </w:r>
          </w:p>
        </w:tc>
        <w:tc>
          <w:tcPr>
            <w:tcW w:w="534" w:type="pct"/>
            <w:tcBorders>
              <w:top w:val="nil"/>
              <w:left w:val="nil"/>
              <w:bottom w:val="nil"/>
              <w:right w:val="nil"/>
            </w:tcBorders>
            <w:noWrap/>
            <w:vAlign w:val="bottom"/>
            <w:hideMark/>
          </w:tcPr>
          <w:p w14:paraId="42734CA1"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-1 117</w:t>
            </w:r>
          </w:p>
        </w:tc>
      </w:tr>
      <w:tr w:rsidR="005504D3" w:rsidRPr="005504D3" w14:paraId="55444F15" w14:textId="77777777" w:rsidTr="005504D3">
        <w:trPr>
          <w:trHeight w:val="290"/>
        </w:trPr>
        <w:tc>
          <w:tcPr>
            <w:tcW w:w="2815" w:type="pct"/>
            <w:tcBorders>
              <w:top w:val="nil"/>
              <w:left w:val="nil"/>
              <w:bottom w:val="nil"/>
              <w:right w:val="nil"/>
            </w:tcBorders>
            <w:noWrap/>
            <w:vAlign w:val="bottom"/>
            <w:hideMark/>
          </w:tcPr>
          <w:p w14:paraId="760FF19F"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Zábezpeky</w:t>
            </w:r>
          </w:p>
        </w:tc>
        <w:tc>
          <w:tcPr>
            <w:tcW w:w="550" w:type="pct"/>
            <w:tcBorders>
              <w:top w:val="nil"/>
              <w:left w:val="nil"/>
              <w:bottom w:val="nil"/>
              <w:right w:val="nil"/>
            </w:tcBorders>
            <w:noWrap/>
            <w:vAlign w:val="bottom"/>
            <w:hideMark/>
          </w:tcPr>
          <w:p w14:paraId="5CB55D71"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29 571</w:t>
            </w:r>
          </w:p>
        </w:tc>
        <w:tc>
          <w:tcPr>
            <w:tcW w:w="550" w:type="pct"/>
            <w:tcBorders>
              <w:top w:val="nil"/>
              <w:left w:val="nil"/>
              <w:bottom w:val="nil"/>
              <w:right w:val="nil"/>
            </w:tcBorders>
            <w:noWrap/>
            <w:vAlign w:val="bottom"/>
            <w:hideMark/>
          </w:tcPr>
          <w:p w14:paraId="34CE9B7B"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31 643</w:t>
            </w:r>
          </w:p>
        </w:tc>
        <w:tc>
          <w:tcPr>
            <w:tcW w:w="550" w:type="pct"/>
            <w:tcBorders>
              <w:top w:val="nil"/>
              <w:left w:val="nil"/>
              <w:bottom w:val="nil"/>
              <w:right w:val="nil"/>
            </w:tcBorders>
            <w:noWrap/>
            <w:vAlign w:val="bottom"/>
            <w:hideMark/>
          </w:tcPr>
          <w:p w14:paraId="752F98F1"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33 618</w:t>
            </w:r>
          </w:p>
        </w:tc>
        <w:tc>
          <w:tcPr>
            <w:tcW w:w="534" w:type="pct"/>
            <w:tcBorders>
              <w:top w:val="nil"/>
              <w:left w:val="nil"/>
              <w:bottom w:val="nil"/>
              <w:right w:val="nil"/>
            </w:tcBorders>
            <w:noWrap/>
            <w:vAlign w:val="bottom"/>
            <w:hideMark/>
          </w:tcPr>
          <w:p w14:paraId="3E0B5EE5"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1 975</w:t>
            </w:r>
          </w:p>
        </w:tc>
      </w:tr>
      <w:tr w:rsidR="005504D3" w:rsidRPr="005504D3" w14:paraId="7A61EE02" w14:textId="77777777" w:rsidTr="005504D3">
        <w:trPr>
          <w:trHeight w:val="290"/>
        </w:trPr>
        <w:tc>
          <w:tcPr>
            <w:tcW w:w="2815" w:type="pct"/>
            <w:tcBorders>
              <w:top w:val="nil"/>
              <w:left w:val="nil"/>
              <w:bottom w:val="nil"/>
              <w:right w:val="nil"/>
            </w:tcBorders>
            <w:noWrap/>
            <w:vAlign w:val="bottom"/>
            <w:hideMark/>
          </w:tcPr>
          <w:p w14:paraId="389AB4F1"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Dlhodobé záväzky z obchodného styku a prijaté preddavky</w:t>
            </w:r>
          </w:p>
        </w:tc>
        <w:tc>
          <w:tcPr>
            <w:tcW w:w="550" w:type="pct"/>
            <w:tcBorders>
              <w:top w:val="nil"/>
              <w:left w:val="nil"/>
              <w:bottom w:val="nil"/>
              <w:right w:val="nil"/>
            </w:tcBorders>
            <w:noWrap/>
            <w:vAlign w:val="bottom"/>
            <w:hideMark/>
          </w:tcPr>
          <w:p w14:paraId="221C5300"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24 325</w:t>
            </w:r>
          </w:p>
        </w:tc>
        <w:tc>
          <w:tcPr>
            <w:tcW w:w="550" w:type="pct"/>
            <w:tcBorders>
              <w:top w:val="nil"/>
              <w:left w:val="nil"/>
              <w:bottom w:val="nil"/>
              <w:right w:val="nil"/>
            </w:tcBorders>
            <w:noWrap/>
            <w:vAlign w:val="bottom"/>
            <w:hideMark/>
          </w:tcPr>
          <w:p w14:paraId="33A8EB7C"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34 001</w:t>
            </w:r>
          </w:p>
        </w:tc>
        <w:tc>
          <w:tcPr>
            <w:tcW w:w="550" w:type="pct"/>
            <w:tcBorders>
              <w:top w:val="nil"/>
              <w:left w:val="nil"/>
              <w:bottom w:val="nil"/>
              <w:right w:val="nil"/>
            </w:tcBorders>
            <w:noWrap/>
            <w:vAlign w:val="bottom"/>
            <w:hideMark/>
          </w:tcPr>
          <w:p w14:paraId="725ECEA2"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30 756</w:t>
            </w:r>
          </w:p>
        </w:tc>
        <w:tc>
          <w:tcPr>
            <w:tcW w:w="534" w:type="pct"/>
            <w:tcBorders>
              <w:top w:val="nil"/>
              <w:left w:val="nil"/>
              <w:bottom w:val="nil"/>
              <w:right w:val="nil"/>
            </w:tcBorders>
            <w:noWrap/>
            <w:vAlign w:val="bottom"/>
            <w:hideMark/>
          </w:tcPr>
          <w:p w14:paraId="3A2A0DD8"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-3 245</w:t>
            </w:r>
          </w:p>
        </w:tc>
      </w:tr>
      <w:tr w:rsidR="005504D3" w:rsidRPr="005504D3" w14:paraId="6B2F70E6" w14:textId="77777777" w:rsidTr="005504D3">
        <w:trPr>
          <w:trHeight w:val="290"/>
        </w:trPr>
        <w:tc>
          <w:tcPr>
            <w:tcW w:w="2815" w:type="pct"/>
            <w:tcBorders>
              <w:top w:val="nil"/>
              <w:left w:val="nil"/>
              <w:bottom w:val="nil"/>
              <w:right w:val="nil"/>
            </w:tcBorders>
            <w:noWrap/>
            <w:vAlign w:val="bottom"/>
            <w:hideMark/>
          </w:tcPr>
          <w:p w14:paraId="19F4BB10"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Záväzky po zmene veriteľa</w:t>
            </w:r>
          </w:p>
        </w:tc>
        <w:tc>
          <w:tcPr>
            <w:tcW w:w="550" w:type="pct"/>
            <w:tcBorders>
              <w:top w:val="nil"/>
              <w:left w:val="nil"/>
              <w:bottom w:val="nil"/>
              <w:right w:val="nil"/>
            </w:tcBorders>
            <w:noWrap/>
            <w:vAlign w:val="bottom"/>
            <w:hideMark/>
          </w:tcPr>
          <w:p w14:paraId="5CB923DC"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8 627</w:t>
            </w:r>
          </w:p>
        </w:tc>
        <w:tc>
          <w:tcPr>
            <w:tcW w:w="550" w:type="pct"/>
            <w:tcBorders>
              <w:top w:val="nil"/>
              <w:left w:val="nil"/>
              <w:bottom w:val="nil"/>
              <w:right w:val="nil"/>
            </w:tcBorders>
            <w:noWrap/>
            <w:vAlign w:val="bottom"/>
            <w:hideMark/>
          </w:tcPr>
          <w:p w14:paraId="45A1A0F6"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6 495</w:t>
            </w:r>
          </w:p>
        </w:tc>
        <w:tc>
          <w:tcPr>
            <w:tcW w:w="550" w:type="pct"/>
            <w:tcBorders>
              <w:top w:val="nil"/>
              <w:left w:val="nil"/>
              <w:bottom w:val="nil"/>
              <w:right w:val="nil"/>
            </w:tcBorders>
            <w:noWrap/>
            <w:vAlign w:val="bottom"/>
            <w:hideMark/>
          </w:tcPr>
          <w:p w14:paraId="64A8E8BD"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5 064</w:t>
            </w:r>
          </w:p>
        </w:tc>
        <w:tc>
          <w:tcPr>
            <w:tcW w:w="534" w:type="pct"/>
            <w:tcBorders>
              <w:top w:val="nil"/>
              <w:left w:val="nil"/>
              <w:bottom w:val="nil"/>
              <w:right w:val="nil"/>
            </w:tcBorders>
            <w:noWrap/>
            <w:vAlign w:val="bottom"/>
            <w:hideMark/>
          </w:tcPr>
          <w:p w14:paraId="3EF57FAA"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-1 431</w:t>
            </w:r>
          </w:p>
        </w:tc>
      </w:tr>
      <w:tr w:rsidR="005504D3" w:rsidRPr="005504D3" w14:paraId="406A700F" w14:textId="77777777" w:rsidTr="005504D3">
        <w:trPr>
          <w:trHeight w:val="290"/>
        </w:trPr>
        <w:tc>
          <w:tcPr>
            <w:tcW w:w="2815" w:type="pct"/>
            <w:tcBorders>
              <w:top w:val="nil"/>
              <w:left w:val="nil"/>
              <w:bottom w:val="nil"/>
              <w:right w:val="nil"/>
            </w:tcBorders>
            <w:noWrap/>
            <w:vAlign w:val="bottom"/>
            <w:hideMark/>
          </w:tcPr>
          <w:p w14:paraId="160B2716"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Investičné dodávateľské úvery a dodávateľské úvery</w:t>
            </w:r>
          </w:p>
        </w:tc>
        <w:tc>
          <w:tcPr>
            <w:tcW w:w="550" w:type="pct"/>
            <w:tcBorders>
              <w:top w:val="nil"/>
              <w:left w:val="nil"/>
              <w:bottom w:val="nil"/>
              <w:right w:val="nil"/>
            </w:tcBorders>
            <w:noWrap/>
            <w:vAlign w:val="bottom"/>
            <w:hideMark/>
          </w:tcPr>
          <w:p w14:paraId="44E73076"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3 506</w:t>
            </w:r>
          </w:p>
        </w:tc>
        <w:tc>
          <w:tcPr>
            <w:tcW w:w="550" w:type="pct"/>
            <w:tcBorders>
              <w:top w:val="nil"/>
              <w:left w:val="nil"/>
              <w:bottom w:val="nil"/>
              <w:right w:val="nil"/>
            </w:tcBorders>
            <w:noWrap/>
            <w:vAlign w:val="bottom"/>
            <w:hideMark/>
          </w:tcPr>
          <w:p w14:paraId="743B04EB"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3 723</w:t>
            </w:r>
          </w:p>
        </w:tc>
        <w:tc>
          <w:tcPr>
            <w:tcW w:w="550" w:type="pct"/>
            <w:tcBorders>
              <w:top w:val="nil"/>
              <w:left w:val="nil"/>
              <w:bottom w:val="nil"/>
              <w:right w:val="nil"/>
            </w:tcBorders>
            <w:noWrap/>
            <w:vAlign w:val="bottom"/>
            <w:hideMark/>
          </w:tcPr>
          <w:p w14:paraId="17389459"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4 726</w:t>
            </w:r>
          </w:p>
        </w:tc>
        <w:tc>
          <w:tcPr>
            <w:tcW w:w="534" w:type="pct"/>
            <w:tcBorders>
              <w:top w:val="nil"/>
              <w:left w:val="nil"/>
              <w:bottom w:val="nil"/>
              <w:right w:val="nil"/>
            </w:tcBorders>
            <w:noWrap/>
            <w:vAlign w:val="bottom"/>
            <w:hideMark/>
          </w:tcPr>
          <w:p w14:paraId="709FE03D"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1 003</w:t>
            </w:r>
          </w:p>
        </w:tc>
      </w:tr>
      <w:tr w:rsidR="005504D3" w:rsidRPr="005504D3" w14:paraId="171F1B79" w14:textId="77777777" w:rsidTr="005504D3">
        <w:trPr>
          <w:trHeight w:val="290"/>
        </w:trPr>
        <w:tc>
          <w:tcPr>
            <w:tcW w:w="2815" w:type="pct"/>
            <w:tcBorders>
              <w:top w:val="nil"/>
              <w:left w:val="nil"/>
              <w:bottom w:val="nil"/>
              <w:right w:val="nil"/>
            </w:tcBorders>
            <w:noWrap/>
            <w:vAlign w:val="bottom"/>
            <w:hideMark/>
          </w:tcPr>
          <w:p w14:paraId="4E59B881"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Finančný prenájom</w:t>
            </w:r>
          </w:p>
        </w:tc>
        <w:tc>
          <w:tcPr>
            <w:tcW w:w="550" w:type="pct"/>
            <w:tcBorders>
              <w:top w:val="nil"/>
              <w:left w:val="nil"/>
              <w:bottom w:val="nil"/>
              <w:right w:val="nil"/>
            </w:tcBorders>
            <w:noWrap/>
            <w:vAlign w:val="bottom"/>
            <w:hideMark/>
          </w:tcPr>
          <w:p w14:paraId="63080A86"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4 094</w:t>
            </w:r>
          </w:p>
        </w:tc>
        <w:tc>
          <w:tcPr>
            <w:tcW w:w="550" w:type="pct"/>
            <w:tcBorders>
              <w:top w:val="nil"/>
              <w:left w:val="nil"/>
              <w:bottom w:val="nil"/>
              <w:right w:val="nil"/>
            </w:tcBorders>
            <w:noWrap/>
            <w:vAlign w:val="bottom"/>
            <w:hideMark/>
          </w:tcPr>
          <w:p w14:paraId="46889277"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4 973</w:t>
            </w:r>
          </w:p>
        </w:tc>
        <w:tc>
          <w:tcPr>
            <w:tcW w:w="550" w:type="pct"/>
            <w:tcBorders>
              <w:top w:val="nil"/>
              <w:left w:val="nil"/>
              <w:bottom w:val="nil"/>
              <w:right w:val="nil"/>
            </w:tcBorders>
            <w:noWrap/>
            <w:vAlign w:val="bottom"/>
            <w:hideMark/>
          </w:tcPr>
          <w:p w14:paraId="0067CCA1"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4 706</w:t>
            </w:r>
          </w:p>
        </w:tc>
        <w:tc>
          <w:tcPr>
            <w:tcW w:w="534" w:type="pct"/>
            <w:tcBorders>
              <w:top w:val="nil"/>
              <w:left w:val="nil"/>
              <w:bottom w:val="nil"/>
              <w:right w:val="nil"/>
            </w:tcBorders>
            <w:noWrap/>
            <w:vAlign w:val="bottom"/>
            <w:hideMark/>
          </w:tcPr>
          <w:p w14:paraId="2921F775"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-267</w:t>
            </w:r>
          </w:p>
        </w:tc>
      </w:tr>
      <w:tr w:rsidR="005504D3" w:rsidRPr="005504D3" w14:paraId="5C17D017" w14:textId="77777777" w:rsidTr="005504D3">
        <w:trPr>
          <w:trHeight w:val="290"/>
        </w:trPr>
        <w:tc>
          <w:tcPr>
            <w:tcW w:w="2815" w:type="pct"/>
            <w:tcBorders>
              <w:top w:val="nil"/>
              <w:left w:val="nil"/>
              <w:bottom w:val="nil"/>
              <w:right w:val="nil"/>
            </w:tcBorders>
            <w:noWrap/>
            <w:vAlign w:val="bottom"/>
            <w:hideMark/>
          </w:tcPr>
          <w:p w14:paraId="1F6DBC43"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Ostatné nebankové pôžičky</w:t>
            </w:r>
          </w:p>
        </w:tc>
        <w:tc>
          <w:tcPr>
            <w:tcW w:w="550" w:type="pct"/>
            <w:tcBorders>
              <w:top w:val="nil"/>
              <w:left w:val="nil"/>
              <w:bottom w:val="nil"/>
              <w:right w:val="nil"/>
            </w:tcBorders>
            <w:noWrap/>
            <w:vAlign w:val="bottom"/>
            <w:hideMark/>
          </w:tcPr>
          <w:p w14:paraId="4FDC1EDF"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4 414</w:t>
            </w:r>
          </w:p>
        </w:tc>
        <w:tc>
          <w:tcPr>
            <w:tcW w:w="550" w:type="pct"/>
            <w:tcBorders>
              <w:top w:val="nil"/>
              <w:left w:val="nil"/>
              <w:bottom w:val="nil"/>
              <w:right w:val="nil"/>
            </w:tcBorders>
            <w:noWrap/>
            <w:vAlign w:val="bottom"/>
            <w:hideMark/>
          </w:tcPr>
          <w:p w14:paraId="4A992442"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3 578</w:t>
            </w:r>
          </w:p>
        </w:tc>
        <w:tc>
          <w:tcPr>
            <w:tcW w:w="550" w:type="pct"/>
            <w:tcBorders>
              <w:top w:val="nil"/>
              <w:left w:val="nil"/>
              <w:bottom w:val="nil"/>
              <w:right w:val="nil"/>
            </w:tcBorders>
            <w:noWrap/>
            <w:vAlign w:val="bottom"/>
            <w:hideMark/>
          </w:tcPr>
          <w:p w14:paraId="7010CA3F"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2 858</w:t>
            </w:r>
          </w:p>
        </w:tc>
        <w:tc>
          <w:tcPr>
            <w:tcW w:w="534" w:type="pct"/>
            <w:tcBorders>
              <w:top w:val="nil"/>
              <w:left w:val="nil"/>
              <w:bottom w:val="nil"/>
              <w:right w:val="nil"/>
            </w:tcBorders>
            <w:noWrap/>
            <w:vAlign w:val="bottom"/>
            <w:hideMark/>
          </w:tcPr>
          <w:p w14:paraId="4F2BBDA9"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-720</w:t>
            </w:r>
          </w:p>
        </w:tc>
      </w:tr>
      <w:tr w:rsidR="005504D3" w:rsidRPr="005504D3" w14:paraId="154AFB39" w14:textId="77777777" w:rsidTr="005504D3">
        <w:trPr>
          <w:trHeight w:val="290"/>
        </w:trPr>
        <w:tc>
          <w:tcPr>
            <w:tcW w:w="2815" w:type="pct"/>
            <w:tcBorders>
              <w:top w:val="nil"/>
              <w:left w:val="nil"/>
              <w:bottom w:val="nil"/>
              <w:right w:val="nil"/>
            </w:tcBorders>
            <w:noWrap/>
            <w:vAlign w:val="bottom"/>
            <w:hideMark/>
          </w:tcPr>
          <w:p w14:paraId="1896D813"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Cenné papiere</w:t>
            </w:r>
          </w:p>
        </w:tc>
        <w:tc>
          <w:tcPr>
            <w:tcW w:w="550" w:type="pct"/>
            <w:tcBorders>
              <w:top w:val="nil"/>
              <w:left w:val="nil"/>
              <w:bottom w:val="nil"/>
              <w:right w:val="nil"/>
            </w:tcBorders>
            <w:noWrap/>
            <w:vAlign w:val="bottom"/>
            <w:hideMark/>
          </w:tcPr>
          <w:p w14:paraId="6DEC22F2"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2 259</w:t>
            </w:r>
          </w:p>
        </w:tc>
        <w:tc>
          <w:tcPr>
            <w:tcW w:w="550" w:type="pct"/>
            <w:tcBorders>
              <w:top w:val="nil"/>
              <w:left w:val="nil"/>
              <w:bottom w:val="nil"/>
              <w:right w:val="nil"/>
            </w:tcBorders>
            <w:noWrap/>
            <w:vAlign w:val="bottom"/>
            <w:hideMark/>
          </w:tcPr>
          <w:p w14:paraId="17059A26"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2 256</w:t>
            </w:r>
          </w:p>
        </w:tc>
        <w:tc>
          <w:tcPr>
            <w:tcW w:w="550" w:type="pct"/>
            <w:tcBorders>
              <w:top w:val="nil"/>
              <w:left w:val="nil"/>
              <w:bottom w:val="nil"/>
              <w:right w:val="nil"/>
            </w:tcBorders>
            <w:noWrap/>
            <w:vAlign w:val="bottom"/>
            <w:hideMark/>
          </w:tcPr>
          <w:p w14:paraId="4CF75D93"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2 253</w:t>
            </w:r>
          </w:p>
        </w:tc>
        <w:tc>
          <w:tcPr>
            <w:tcW w:w="534" w:type="pct"/>
            <w:tcBorders>
              <w:top w:val="nil"/>
              <w:left w:val="nil"/>
              <w:bottom w:val="nil"/>
              <w:right w:val="nil"/>
            </w:tcBorders>
            <w:noWrap/>
            <w:vAlign w:val="bottom"/>
            <w:hideMark/>
          </w:tcPr>
          <w:p w14:paraId="48CDABF7"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w:t>
            </w:r>
          </w:p>
        </w:tc>
      </w:tr>
      <w:tr w:rsidR="005504D3" w:rsidRPr="005504D3" w14:paraId="075389D2" w14:textId="77777777" w:rsidTr="005504D3">
        <w:trPr>
          <w:trHeight w:val="290"/>
        </w:trPr>
        <w:tc>
          <w:tcPr>
            <w:tcW w:w="2815" w:type="pct"/>
            <w:tcBorders>
              <w:top w:val="nil"/>
              <w:left w:val="nil"/>
              <w:bottom w:val="nil"/>
              <w:right w:val="nil"/>
            </w:tcBorders>
            <w:noWrap/>
            <w:vAlign w:val="bottom"/>
            <w:hideMark/>
          </w:tcPr>
          <w:p w14:paraId="78948109" w14:textId="77777777" w:rsidR="005504D3" w:rsidRPr="005504D3" w:rsidRDefault="005504D3" w:rsidP="00B6745A">
            <w:pPr>
              <w:spacing w:line="240" w:lineRule="auto"/>
              <w:rPr>
                <w:rFonts w:eastAsia="Times New Roman" w:cs="Times New Roman"/>
                <w:sz w:val="18"/>
                <w:szCs w:val="18"/>
                <w:lang w:eastAsia="sk-SK"/>
              </w:rPr>
            </w:pPr>
            <w:r w:rsidRPr="005504D3">
              <w:rPr>
                <w:rFonts w:eastAsia="Times New Roman" w:cs="Times New Roman"/>
                <w:sz w:val="18"/>
                <w:szCs w:val="18"/>
                <w:lang w:eastAsia="sk-SK"/>
              </w:rPr>
              <w:t>Dlhodobé záväzky zo zmlúv o energetickej efektívnosti - ostatné</w:t>
            </w:r>
          </w:p>
        </w:tc>
        <w:tc>
          <w:tcPr>
            <w:tcW w:w="550" w:type="pct"/>
            <w:tcBorders>
              <w:top w:val="nil"/>
              <w:left w:val="nil"/>
              <w:bottom w:val="nil"/>
              <w:right w:val="nil"/>
            </w:tcBorders>
            <w:noWrap/>
            <w:vAlign w:val="bottom"/>
            <w:hideMark/>
          </w:tcPr>
          <w:p w14:paraId="74273379"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609</w:t>
            </w:r>
          </w:p>
        </w:tc>
        <w:tc>
          <w:tcPr>
            <w:tcW w:w="550" w:type="pct"/>
            <w:tcBorders>
              <w:top w:val="nil"/>
              <w:left w:val="nil"/>
              <w:bottom w:val="nil"/>
              <w:right w:val="nil"/>
            </w:tcBorders>
            <w:noWrap/>
            <w:vAlign w:val="bottom"/>
            <w:hideMark/>
          </w:tcPr>
          <w:p w14:paraId="1EEE96E1"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446</w:t>
            </w:r>
          </w:p>
        </w:tc>
        <w:tc>
          <w:tcPr>
            <w:tcW w:w="550" w:type="pct"/>
            <w:tcBorders>
              <w:top w:val="nil"/>
              <w:left w:val="nil"/>
              <w:bottom w:val="nil"/>
              <w:right w:val="nil"/>
            </w:tcBorders>
            <w:noWrap/>
            <w:vAlign w:val="bottom"/>
            <w:hideMark/>
          </w:tcPr>
          <w:p w14:paraId="421EFB32"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353</w:t>
            </w:r>
          </w:p>
        </w:tc>
        <w:tc>
          <w:tcPr>
            <w:tcW w:w="534" w:type="pct"/>
            <w:tcBorders>
              <w:top w:val="nil"/>
              <w:left w:val="nil"/>
              <w:bottom w:val="nil"/>
              <w:right w:val="nil"/>
            </w:tcBorders>
            <w:noWrap/>
            <w:vAlign w:val="bottom"/>
            <w:hideMark/>
          </w:tcPr>
          <w:p w14:paraId="3997959D" w14:textId="77777777" w:rsidR="005504D3" w:rsidRPr="005504D3" w:rsidRDefault="005504D3" w:rsidP="00B6745A">
            <w:pPr>
              <w:spacing w:line="240" w:lineRule="auto"/>
              <w:jc w:val="right"/>
              <w:rPr>
                <w:rFonts w:eastAsia="Times New Roman" w:cs="Times New Roman"/>
                <w:sz w:val="18"/>
                <w:szCs w:val="18"/>
                <w:lang w:eastAsia="sk-SK"/>
              </w:rPr>
            </w:pPr>
            <w:r w:rsidRPr="005504D3">
              <w:rPr>
                <w:rFonts w:eastAsia="Times New Roman" w:cs="Times New Roman"/>
                <w:sz w:val="18"/>
                <w:szCs w:val="18"/>
                <w:lang w:eastAsia="sk-SK"/>
              </w:rPr>
              <w:t>-93</w:t>
            </w:r>
          </w:p>
        </w:tc>
      </w:tr>
      <w:tr w:rsidR="005504D3" w:rsidRPr="005504D3" w14:paraId="2C78477F" w14:textId="77777777" w:rsidTr="005504D3">
        <w:trPr>
          <w:trHeight w:val="290"/>
        </w:trPr>
        <w:tc>
          <w:tcPr>
            <w:tcW w:w="2815" w:type="pct"/>
            <w:tcBorders>
              <w:top w:val="nil"/>
              <w:left w:val="nil"/>
              <w:bottom w:val="nil"/>
              <w:right w:val="nil"/>
            </w:tcBorders>
            <w:noWrap/>
            <w:vAlign w:val="bottom"/>
            <w:hideMark/>
          </w:tcPr>
          <w:p w14:paraId="2ADAF257" w14:textId="77777777" w:rsidR="005504D3" w:rsidRPr="005504D3" w:rsidRDefault="005504D3" w:rsidP="00B6745A">
            <w:pPr>
              <w:spacing w:line="240" w:lineRule="auto"/>
              <w:rPr>
                <w:rFonts w:eastAsia="Times New Roman" w:cs="Times New Roman"/>
                <w:b/>
                <w:bCs/>
                <w:sz w:val="18"/>
                <w:szCs w:val="18"/>
                <w:lang w:eastAsia="sk-SK"/>
              </w:rPr>
            </w:pPr>
            <w:r w:rsidRPr="005504D3">
              <w:rPr>
                <w:rFonts w:eastAsia="Times New Roman" w:cs="Times New Roman"/>
                <w:b/>
                <w:bCs/>
                <w:sz w:val="18"/>
                <w:szCs w:val="18"/>
                <w:lang w:eastAsia="sk-SK"/>
              </w:rPr>
              <w:t>Spolu nekonsolidovaný dlh obcí</w:t>
            </w:r>
          </w:p>
        </w:tc>
        <w:tc>
          <w:tcPr>
            <w:tcW w:w="550" w:type="pct"/>
            <w:tcBorders>
              <w:top w:val="nil"/>
              <w:left w:val="nil"/>
              <w:bottom w:val="nil"/>
              <w:right w:val="nil"/>
            </w:tcBorders>
            <w:noWrap/>
            <w:vAlign w:val="bottom"/>
            <w:hideMark/>
          </w:tcPr>
          <w:p w14:paraId="2C8FBE29"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1 833 794</w:t>
            </w:r>
          </w:p>
        </w:tc>
        <w:tc>
          <w:tcPr>
            <w:tcW w:w="550" w:type="pct"/>
            <w:tcBorders>
              <w:top w:val="nil"/>
              <w:left w:val="nil"/>
              <w:bottom w:val="nil"/>
              <w:right w:val="nil"/>
            </w:tcBorders>
            <w:noWrap/>
            <w:vAlign w:val="bottom"/>
            <w:hideMark/>
          </w:tcPr>
          <w:p w14:paraId="217EFA78"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1 855 142</w:t>
            </w:r>
          </w:p>
        </w:tc>
        <w:tc>
          <w:tcPr>
            <w:tcW w:w="550" w:type="pct"/>
            <w:tcBorders>
              <w:top w:val="nil"/>
              <w:left w:val="nil"/>
              <w:bottom w:val="nil"/>
              <w:right w:val="nil"/>
            </w:tcBorders>
            <w:noWrap/>
            <w:vAlign w:val="bottom"/>
            <w:hideMark/>
          </w:tcPr>
          <w:p w14:paraId="1F5BA3B0"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1 958 370</w:t>
            </w:r>
          </w:p>
        </w:tc>
        <w:tc>
          <w:tcPr>
            <w:tcW w:w="534" w:type="pct"/>
            <w:tcBorders>
              <w:top w:val="nil"/>
              <w:left w:val="nil"/>
              <w:bottom w:val="nil"/>
              <w:right w:val="nil"/>
            </w:tcBorders>
            <w:noWrap/>
            <w:vAlign w:val="bottom"/>
            <w:hideMark/>
          </w:tcPr>
          <w:p w14:paraId="19A36577"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103 228</w:t>
            </w:r>
          </w:p>
        </w:tc>
      </w:tr>
      <w:tr w:rsidR="005504D3" w:rsidRPr="005504D3" w14:paraId="6066D757" w14:textId="77777777" w:rsidTr="00105F74">
        <w:trPr>
          <w:trHeight w:val="254"/>
        </w:trPr>
        <w:tc>
          <w:tcPr>
            <w:tcW w:w="2815" w:type="pct"/>
            <w:tcBorders>
              <w:top w:val="nil"/>
              <w:left w:val="nil"/>
              <w:bottom w:val="single" w:sz="4" w:space="0" w:color="auto"/>
              <w:right w:val="nil"/>
            </w:tcBorders>
            <w:vAlign w:val="bottom"/>
            <w:hideMark/>
          </w:tcPr>
          <w:p w14:paraId="1D5B8EA2" w14:textId="25F10D5B" w:rsidR="005504D3" w:rsidRPr="005504D3" w:rsidRDefault="005504D3" w:rsidP="00B6745A">
            <w:pPr>
              <w:spacing w:line="240" w:lineRule="auto"/>
              <w:rPr>
                <w:rFonts w:eastAsia="Times New Roman" w:cs="Times New Roman"/>
                <w:b/>
                <w:bCs/>
                <w:sz w:val="18"/>
                <w:szCs w:val="18"/>
                <w:lang w:eastAsia="sk-SK"/>
              </w:rPr>
            </w:pPr>
            <w:r w:rsidRPr="005504D3">
              <w:rPr>
                <w:rFonts w:eastAsia="Times New Roman" w:cs="Times New Roman"/>
                <w:b/>
                <w:bCs/>
                <w:sz w:val="18"/>
                <w:szCs w:val="18"/>
                <w:lang w:eastAsia="sk-SK"/>
              </w:rPr>
              <w:t>Konsolidovaný príspevok obcí do kon</w:t>
            </w:r>
            <w:r>
              <w:rPr>
                <w:rFonts w:eastAsia="Times New Roman" w:cs="Times New Roman"/>
                <w:b/>
                <w:bCs/>
                <w:sz w:val="18"/>
                <w:szCs w:val="18"/>
                <w:lang w:eastAsia="sk-SK"/>
              </w:rPr>
              <w:t>s.</w:t>
            </w:r>
            <w:r w:rsidRPr="005504D3">
              <w:rPr>
                <w:rFonts w:eastAsia="Times New Roman" w:cs="Times New Roman"/>
                <w:b/>
                <w:bCs/>
                <w:sz w:val="18"/>
                <w:szCs w:val="18"/>
                <w:lang w:eastAsia="sk-SK"/>
              </w:rPr>
              <w:t xml:space="preserve"> dlhu verejnej správy</w:t>
            </w:r>
          </w:p>
        </w:tc>
        <w:tc>
          <w:tcPr>
            <w:tcW w:w="550" w:type="pct"/>
            <w:tcBorders>
              <w:top w:val="nil"/>
              <w:left w:val="nil"/>
              <w:bottom w:val="single" w:sz="4" w:space="0" w:color="auto"/>
              <w:right w:val="nil"/>
            </w:tcBorders>
            <w:noWrap/>
            <w:vAlign w:val="bottom"/>
            <w:hideMark/>
          </w:tcPr>
          <w:p w14:paraId="5C7B98DE"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1 016 869</w:t>
            </w:r>
          </w:p>
        </w:tc>
        <w:tc>
          <w:tcPr>
            <w:tcW w:w="550" w:type="pct"/>
            <w:tcBorders>
              <w:top w:val="nil"/>
              <w:left w:val="nil"/>
              <w:bottom w:val="single" w:sz="4" w:space="0" w:color="auto"/>
              <w:right w:val="nil"/>
            </w:tcBorders>
            <w:noWrap/>
            <w:vAlign w:val="bottom"/>
            <w:hideMark/>
          </w:tcPr>
          <w:p w14:paraId="0CA46973"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1 011 274</w:t>
            </w:r>
          </w:p>
        </w:tc>
        <w:tc>
          <w:tcPr>
            <w:tcW w:w="550" w:type="pct"/>
            <w:tcBorders>
              <w:top w:val="nil"/>
              <w:left w:val="nil"/>
              <w:bottom w:val="single" w:sz="4" w:space="0" w:color="auto"/>
              <w:right w:val="nil"/>
            </w:tcBorders>
            <w:noWrap/>
            <w:vAlign w:val="bottom"/>
            <w:hideMark/>
          </w:tcPr>
          <w:p w14:paraId="1A6E0A5D"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1 102 425</w:t>
            </w:r>
          </w:p>
        </w:tc>
        <w:tc>
          <w:tcPr>
            <w:tcW w:w="534" w:type="pct"/>
            <w:tcBorders>
              <w:top w:val="nil"/>
              <w:left w:val="nil"/>
              <w:bottom w:val="single" w:sz="4" w:space="0" w:color="auto"/>
              <w:right w:val="nil"/>
            </w:tcBorders>
            <w:noWrap/>
            <w:vAlign w:val="bottom"/>
            <w:hideMark/>
          </w:tcPr>
          <w:p w14:paraId="0A90645C" w14:textId="77777777" w:rsidR="005504D3" w:rsidRPr="005504D3" w:rsidRDefault="005504D3" w:rsidP="00B6745A">
            <w:pPr>
              <w:spacing w:line="240" w:lineRule="auto"/>
              <w:jc w:val="right"/>
              <w:rPr>
                <w:rFonts w:eastAsia="Times New Roman" w:cs="Times New Roman"/>
                <w:b/>
                <w:bCs/>
                <w:sz w:val="18"/>
                <w:szCs w:val="18"/>
                <w:lang w:eastAsia="sk-SK"/>
              </w:rPr>
            </w:pPr>
            <w:r w:rsidRPr="005504D3">
              <w:rPr>
                <w:rFonts w:eastAsia="Times New Roman" w:cs="Times New Roman"/>
                <w:b/>
                <w:bCs/>
                <w:sz w:val="18"/>
                <w:szCs w:val="18"/>
                <w:lang w:eastAsia="sk-SK"/>
              </w:rPr>
              <w:t>91 151</w:t>
            </w:r>
          </w:p>
        </w:tc>
      </w:tr>
    </w:tbl>
    <w:p w14:paraId="52898FCB" w14:textId="324CD428" w:rsidR="009A05C7" w:rsidRPr="005504D3" w:rsidRDefault="004942CF" w:rsidP="004942CF">
      <w:pPr>
        <w:tabs>
          <w:tab w:val="right" w:pos="9070"/>
        </w:tabs>
        <w:spacing w:line="240" w:lineRule="auto"/>
        <w:jc w:val="both"/>
        <w:rPr>
          <w:sz w:val="18"/>
          <w:szCs w:val="18"/>
        </w:rPr>
      </w:pPr>
      <w:r w:rsidRPr="005504D3">
        <w:rPr>
          <w:sz w:val="18"/>
          <w:szCs w:val="18"/>
        </w:rPr>
        <w:tab/>
      </w:r>
      <w:r w:rsidR="009A05C7" w:rsidRPr="005504D3">
        <w:rPr>
          <w:sz w:val="18"/>
          <w:szCs w:val="18"/>
        </w:rPr>
        <w:t>Zdroj: MF SR</w:t>
      </w:r>
    </w:p>
    <w:p w14:paraId="44B6A7F8" w14:textId="77777777" w:rsidR="00576A2A" w:rsidRDefault="00576A2A" w:rsidP="00C164B8">
      <w:pPr>
        <w:spacing w:line="240" w:lineRule="auto"/>
        <w:jc w:val="both"/>
        <w:rPr>
          <w:b/>
          <w:bCs/>
          <w:szCs w:val="24"/>
        </w:rPr>
      </w:pPr>
    </w:p>
    <w:p w14:paraId="120A8001" w14:textId="288656A4" w:rsidR="00C164B8" w:rsidRPr="00FF75C4" w:rsidRDefault="00C164B8" w:rsidP="00C164B8">
      <w:pPr>
        <w:spacing w:line="240" w:lineRule="auto"/>
        <w:jc w:val="both"/>
        <w:rPr>
          <w:szCs w:val="24"/>
        </w:rPr>
      </w:pPr>
      <w:r w:rsidRPr="00FF75C4">
        <w:rPr>
          <w:b/>
          <w:bCs/>
          <w:szCs w:val="24"/>
        </w:rPr>
        <w:t>Dlh</w:t>
      </w:r>
      <w:r w:rsidRPr="00FF75C4">
        <w:rPr>
          <w:szCs w:val="24"/>
        </w:rPr>
        <w:t xml:space="preserve"> </w:t>
      </w:r>
      <w:r w:rsidRPr="00FF75C4">
        <w:rPr>
          <w:b/>
          <w:szCs w:val="24"/>
        </w:rPr>
        <w:t>obcí</w:t>
      </w:r>
      <w:r w:rsidRPr="00FF75C4">
        <w:rPr>
          <w:szCs w:val="24"/>
        </w:rPr>
        <w:t>, nekonsolidovaný na úrovni celej verejnej správy,</w:t>
      </w:r>
      <w:r w:rsidRPr="00FF75C4">
        <w:rPr>
          <w:b/>
          <w:szCs w:val="24"/>
        </w:rPr>
        <w:t xml:space="preserve"> </w:t>
      </w:r>
      <w:r w:rsidRPr="00FF75C4">
        <w:rPr>
          <w:szCs w:val="24"/>
        </w:rPr>
        <w:t>vrátane ich rozpočtových organizácií</w:t>
      </w:r>
      <w:r w:rsidRPr="00FF75C4">
        <w:rPr>
          <w:b/>
          <w:szCs w:val="24"/>
        </w:rPr>
        <w:t xml:space="preserve"> </w:t>
      </w:r>
      <w:r w:rsidRPr="00FF75C4">
        <w:rPr>
          <w:szCs w:val="24"/>
        </w:rPr>
        <w:t>dosiahol v roku 2025 výšku 1 958 370 tis. eur (vrátane záväzkov z pôžičiek od ŠFRB, ENVF a návratných finančných výpomocí zo štátnych finančných aktív). Oproti stavu v roku 2024 je vyšší o 103 228 tis. eur. Rozhodujúcu časť dlhu obcí tvoria bankové úvery vo výške 1 033 908 tis. eur a pôžičky od ŠFRB vo výške 745 126 tis. eur. Treťou významnou položkou dlhu obcí sú prijaté návratné finančné výpomoci zo štátnych finančných aktív, vo výške zostatku 21 882 tis. eur. Z hľadiska pôvodnej splatnosti má dlh obcí prevažne dlhodobý charakter (98,4 %) a prevažná časť dlhu obcí je v rukách domácich veriteľov (97,6 %).</w:t>
      </w:r>
    </w:p>
    <w:p w14:paraId="6F70FD70" w14:textId="77777777" w:rsidR="00C00919" w:rsidRDefault="00C00919" w:rsidP="00C164B8">
      <w:pPr>
        <w:spacing w:line="240" w:lineRule="auto"/>
        <w:jc w:val="both"/>
        <w:rPr>
          <w:szCs w:val="24"/>
        </w:rPr>
      </w:pPr>
    </w:p>
    <w:p w14:paraId="37DD5FE9" w14:textId="52E67DB2" w:rsidR="00C164B8" w:rsidRPr="00FF75C4" w:rsidRDefault="00C164B8" w:rsidP="00C164B8">
      <w:pPr>
        <w:spacing w:line="240" w:lineRule="auto"/>
        <w:jc w:val="both"/>
        <w:rPr>
          <w:szCs w:val="24"/>
        </w:rPr>
      </w:pPr>
      <w:r w:rsidRPr="00CA4A90">
        <w:rPr>
          <w:szCs w:val="24"/>
        </w:rPr>
        <w:t xml:space="preserve">V priebehu roka 2025 neboli zo štátnych finančných aktív poskytnuté nové návratné finančné výpomoci mestám, avšak boli splatené výpomoci poskytnuté v predchádzajúcich rokoch v súhrnnej výške 5 035 tis. eur. </w:t>
      </w:r>
      <w:r w:rsidRPr="00FF75C4">
        <w:rPr>
          <w:szCs w:val="24"/>
        </w:rPr>
        <w:t xml:space="preserve">Zostatok nesplatených NFV k 31.12.2025 predstavuje hodnotu </w:t>
      </w:r>
      <w:r w:rsidRPr="00FF75C4">
        <w:rPr>
          <w:szCs w:val="24"/>
        </w:rPr>
        <w:lastRenderedPageBreak/>
        <w:t>21 882 tis. eur, z toho Mesto Košice (15 344 tis. eur), Martin (250 tis. eur), Bardejov (400 tis. eur), Prešov (3 538 tis. eur) a Kežmarok (2 350 tis. eur).</w:t>
      </w:r>
    </w:p>
    <w:p w14:paraId="42B5344D" w14:textId="77777777" w:rsidR="00C164B8" w:rsidRPr="0091008D" w:rsidRDefault="00C164B8" w:rsidP="00C164B8">
      <w:pPr>
        <w:spacing w:line="240" w:lineRule="auto"/>
        <w:jc w:val="both"/>
        <w:rPr>
          <w:szCs w:val="24"/>
        </w:rPr>
      </w:pPr>
      <w:r w:rsidRPr="00FF75C4">
        <w:rPr>
          <w:szCs w:val="24"/>
        </w:rPr>
        <w:t xml:space="preserve">Pôžičky od ŠFRB na podporu obstarania obecných nájomných bytov ich výstavbou </w:t>
      </w:r>
      <w:r w:rsidRPr="0091008D">
        <w:rPr>
          <w:szCs w:val="24"/>
        </w:rPr>
        <w:t>alebo obstaraním, modernizáciu a rekonštrukciu zariadení sociálnych služieb sú predmetom vzájomnej konsolidácie. Medziročne došlo k ich poklesu úhrnom o 3 183 tis. eur.</w:t>
      </w:r>
    </w:p>
    <w:p w14:paraId="0BBAC5D3" w14:textId="77777777" w:rsidR="00C00919" w:rsidRDefault="00C00919" w:rsidP="00C164B8">
      <w:pPr>
        <w:jc w:val="both"/>
        <w:rPr>
          <w:szCs w:val="24"/>
        </w:rPr>
      </w:pPr>
    </w:p>
    <w:p w14:paraId="070A553A" w14:textId="256138A6" w:rsidR="00C164B8" w:rsidRPr="0091008D" w:rsidRDefault="00C164B8" w:rsidP="00C00919">
      <w:pPr>
        <w:jc w:val="both"/>
        <w:rPr>
          <w:szCs w:val="24"/>
        </w:rPr>
      </w:pPr>
      <w:r w:rsidRPr="0091008D">
        <w:rPr>
          <w:szCs w:val="24"/>
        </w:rPr>
        <w:t>Komerčné úvery od tuzemských bánk alebo zahraničných bánk sú najväčším zdrojom financovania potrieb územnej samosprávy. Súhrnná výška bankových úverov medziročne vzrástla o 94 923 tis. eur. Nové úvery načerpali počas roka 2025 napr. Bratislava – hlavné mesto (30 000 tis. eur), Mestská časť Bratislava – Ružinov (16 857 tis. eur), Mesto Trnava (6 266 tis. eur), Mesto Košice (6 000 tis. eur), Mesto Zlaté Moravce (5 340 tis. eur), Mestská časť Bratislava – Devínska Nová Ves (4 710 tis. eur).</w:t>
      </w:r>
      <w:r w:rsidR="00C00919">
        <w:rPr>
          <w:szCs w:val="24"/>
        </w:rPr>
        <w:t xml:space="preserve"> </w:t>
      </w:r>
      <w:r w:rsidRPr="0091008D">
        <w:rPr>
          <w:szCs w:val="24"/>
        </w:rPr>
        <w:t>Dlhodobé záväzky z obchodného styku a prijaté preddavky sa na dlhu obcí a ich rozpočtových organizácií podieľajú sumou 30 756 tis. eur.</w:t>
      </w:r>
    </w:p>
    <w:p w14:paraId="231A8ED7" w14:textId="77777777" w:rsidR="00415273" w:rsidRPr="0050710A" w:rsidRDefault="00415273" w:rsidP="00532D85">
      <w:pPr>
        <w:spacing w:line="240" w:lineRule="auto"/>
        <w:jc w:val="both"/>
        <w:rPr>
          <w:b/>
          <w:szCs w:val="24"/>
          <w:highlight w:val="yellow"/>
        </w:rPr>
      </w:pPr>
    </w:p>
    <w:p w14:paraId="527645C8" w14:textId="77777777" w:rsidR="00C164B8" w:rsidRPr="005453FE" w:rsidRDefault="00C164B8" w:rsidP="00C164B8">
      <w:pPr>
        <w:spacing w:line="240" w:lineRule="auto"/>
        <w:jc w:val="both"/>
        <w:rPr>
          <w:szCs w:val="24"/>
        </w:rPr>
      </w:pPr>
      <w:r w:rsidRPr="005453FE">
        <w:rPr>
          <w:b/>
          <w:szCs w:val="24"/>
        </w:rPr>
        <w:t xml:space="preserve">Vyššie územné celky </w:t>
      </w:r>
      <w:r w:rsidRPr="005453FE">
        <w:rPr>
          <w:szCs w:val="24"/>
        </w:rPr>
        <w:t>(vrátane ich rozpočtových organizácií)</w:t>
      </w:r>
      <w:r w:rsidRPr="005453FE">
        <w:rPr>
          <w:b/>
          <w:szCs w:val="24"/>
        </w:rPr>
        <w:t xml:space="preserve"> </w:t>
      </w:r>
      <w:r w:rsidRPr="005453FE">
        <w:rPr>
          <w:szCs w:val="24"/>
        </w:rPr>
        <w:t>sa podieľajú na dlhu verejnej správy hodnotou 473 606 tis. eur, čo je o 35 490 tis. eur viac ako v predchádzajúcom roku.</w:t>
      </w:r>
    </w:p>
    <w:p w14:paraId="47754435" w14:textId="77777777" w:rsidR="00415273" w:rsidRPr="00065CB2" w:rsidRDefault="00415273" w:rsidP="00532D85">
      <w:pPr>
        <w:spacing w:line="240" w:lineRule="auto"/>
        <w:jc w:val="both"/>
        <w:rPr>
          <w:szCs w:val="24"/>
        </w:rPr>
      </w:pPr>
    </w:p>
    <w:p w14:paraId="2565E87F" w14:textId="4331EEB4" w:rsidR="00E575C6" w:rsidRPr="00065CB2" w:rsidRDefault="00E575C6" w:rsidP="00532D85">
      <w:pPr>
        <w:pStyle w:val="Popis"/>
        <w:jc w:val="both"/>
        <w:rPr>
          <w:lang w:eastAsia="sk-SK"/>
        </w:rPr>
      </w:pPr>
      <w:bookmarkStart w:id="78" w:name="_Toc196313644"/>
      <w:bookmarkStart w:id="79" w:name="_Toc227670154"/>
      <w:r w:rsidRPr="00065CB2">
        <w:rPr>
          <w:lang w:eastAsia="sk-SK"/>
        </w:rPr>
        <w:t xml:space="preserve">Tabuľka </w:t>
      </w:r>
      <w:r w:rsidRPr="00065CB2">
        <w:rPr>
          <w:i/>
          <w:lang w:eastAsia="sk-SK"/>
        </w:rPr>
        <w:fldChar w:fldCharType="begin"/>
      </w:r>
      <w:r w:rsidRPr="00065CB2">
        <w:rPr>
          <w:lang w:eastAsia="sk-SK"/>
        </w:rPr>
        <w:instrText xml:space="preserve"> SEQ Tabuľka \* ARABIC </w:instrText>
      </w:r>
      <w:r w:rsidRPr="00065CB2">
        <w:rPr>
          <w:i/>
          <w:lang w:eastAsia="sk-SK"/>
        </w:rPr>
        <w:fldChar w:fldCharType="separate"/>
      </w:r>
      <w:r w:rsidR="00396BE8">
        <w:rPr>
          <w:noProof/>
          <w:lang w:eastAsia="sk-SK"/>
        </w:rPr>
        <w:t>18</w:t>
      </w:r>
      <w:r w:rsidRPr="00065CB2">
        <w:rPr>
          <w:i/>
          <w:lang w:eastAsia="sk-SK"/>
        </w:rPr>
        <w:fldChar w:fldCharType="end"/>
      </w:r>
      <w:r w:rsidRPr="00065CB2">
        <w:rPr>
          <w:lang w:eastAsia="sk-SK"/>
        </w:rPr>
        <w:t xml:space="preserve"> - Štruktúra dlhu VÚC podľa dlhového nástroja</w:t>
      </w:r>
      <w:bookmarkEnd w:id="78"/>
      <w:bookmarkEnd w:id="79"/>
    </w:p>
    <w:tbl>
      <w:tblPr>
        <w:tblW w:w="5000" w:type="pct"/>
        <w:tblCellMar>
          <w:left w:w="70" w:type="dxa"/>
          <w:right w:w="70" w:type="dxa"/>
        </w:tblCellMar>
        <w:tblLook w:val="04A0" w:firstRow="1" w:lastRow="0" w:firstColumn="1" w:lastColumn="0" w:noHBand="0" w:noVBand="1"/>
      </w:tblPr>
      <w:tblGrid>
        <w:gridCol w:w="5152"/>
        <w:gridCol w:w="1012"/>
        <w:gridCol w:w="1012"/>
        <w:gridCol w:w="1012"/>
        <w:gridCol w:w="882"/>
      </w:tblGrid>
      <w:tr w:rsidR="00065CB2" w:rsidRPr="00065CB2" w14:paraId="0DAE5EA2" w14:textId="77777777" w:rsidTr="00065CB2">
        <w:trPr>
          <w:trHeight w:val="290"/>
          <w:tblHeader/>
        </w:trPr>
        <w:tc>
          <w:tcPr>
            <w:tcW w:w="2840" w:type="pct"/>
            <w:vMerge w:val="restart"/>
            <w:tcBorders>
              <w:top w:val="single" w:sz="4" w:space="0" w:color="auto"/>
              <w:left w:val="nil"/>
              <w:bottom w:val="single" w:sz="4" w:space="0" w:color="000000"/>
              <w:right w:val="nil"/>
            </w:tcBorders>
            <w:vAlign w:val="center"/>
            <w:hideMark/>
          </w:tcPr>
          <w:p w14:paraId="294DDC04" w14:textId="77777777" w:rsidR="00065CB2" w:rsidRPr="00065CB2" w:rsidRDefault="00065CB2" w:rsidP="00B6745A">
            <w:pPr>
              <w:spacing w:line="240" w:lineRule="auto"/>
              <w:jc w:val="both"/>
              <w:rPr>
                <w:rFonts w:eastAsia="Times New Roman" w:cs="Times New Roman"/>
                <w:b/>
                <w:bCs/>
                <w:sz w:val="18"/>
                <w:szCs w:val="18"/>
                <w:lang w:eastAsia="sk-SK"/>
              </w:rPr>
            </w:pPr>
            <w:r w:rsidRPr="00065CB2">
              <w:rPr>
                <w:rFonts w:eastAsia="Times New Roman" w:cs="Times New Roman"/>
                <w:b/>
                <w:bCs/>
                <w:sz w:val="18"/>
                <w:szCs w:val="18"/>
                <w:lang w:eastAsia="sk-SK"/>
              </w:rPr>
              <w:t>v tis. eur</w:t>
            </w:r>
          </w:p>
        </w:tc>
        <w:tc>
          <w:tcPr>
            <w:tcW w:w="558" w:type="pct"/>
            <w:tcBorders>
              <w:top w:val="single" w:sz="4" w:space="0" w:color="auto"/>
              <w:left w:val="nil"/>
              <w:bottom w:val="nil"/>
              <w:right w:val="nil"/>
            </w:tcBorders>
            <w:vAlign w:val="center"/>
            <w:hideMark/>
          </w:tcPr>
          <w:p w14:paraId="2AFE3F26"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2023 S</w:t>
            </w:r>
          </w:p>
        </w:tc>
        <w:tc>
          <w:tcPr>
            <w:tcW w:w="558" w:type="pct"/>
            <w:tcBorders>
              <w:top w:val="single" w:sz="4" w:space="0" w:color="auto"/>
              <w:left w:val="nil"/>
              <w:bottom w:val="nil"/>
              <w:right w:val="nil"/>
            </w:tcBorders>
            <w:vAlign w:val="center"/>
            <w:hideMark/>
          </w:tcPr>
          <w:p w14:paraId="76C96965"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2024 S</w:t>
            </w:r>
          </w:p>
        </w:tc>
        <w:tc>
          <w:tcPr>
            <w:tcW w:w="558" w:type="pct"/>
            <w:tcBorders>
              <w:top w:val="single" w:sz="4" w:space="0" w:color="auto"/>
              <w:left w:val="nil"/>
              <w:bottom w:val="nil"/>
              <w:right w:val="nil"/>
            </w:tcBorders>
            <w:vAlign w:val="center"/>
            <w:hideMark/>
          </w:tcPr>
          <w:p w14:paraId="27DD4AAB"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2025 S</w:t>
            </w:r>
          </w:p>
        </w:tc>
        <w:tc>
          <w:tcPr>
            <w:tcW w:w="486" w:type="pct"/>
            <w:tcBorders>
              <w:top w:val="single" w:sz="4" w:space="0" w:color="auto"/>
              <w:left w:val="nil"/>
              <w:bottom w:val="nil"/>
              <w:right w:val="nil"/>
            </w:tcBorders>
            <w:vAlign w:val="center"/>
            <w:hideMark/>
          </w:tcPr>
          <w:p w14:paraId="6F864913"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Zmena</w:t>
            </w:r>
          </w:p>
        </w:tc>
      </w:tr>
      <w:tr w:rsidR="00065CB2" w:rsidRPr="00065CB2" w14:paraId="0B4D9030" w14:textId="77777777" w:rsidTr="002C6030">
        <w:trPr>
          <w:trHeight w:val="59"/>
          <w:tblHeader/>
        </w:trPr>
        <w:tc>
          <w:tcPr>
            <w:tcW w:w="2840" w:type="pct"/>
            <w:vMerge/>
            <w:tcBorders>
              <w:top w:val="single" w:sz="4" w:space="0" w:color="auto"/>
              <w:left w:val="nil"/>
              <w:bottom w:val="single" w:sz="4" w:space="0" w:color="000000"/>
              <w:right w:val="nil"/>
            </w:tcBorders>
            <w:vAlign w:val="center"/>
            <w:hideMark/>
          </w:tcPr>
          <w:p w14:paraId="757122B9" w14:textId="77777777" w:rsidR="00065CB2" w:rsidRPr="00065CB2" w:rsidRDefault="00065CB2" w:rsidP="00B6745A">
            <w:pPr>
              <w:spacing w:line="240" w:lineRule="auto"/>
              <w:rPr>
                <w:rFonts w:eastAsia="Times New Roman" w:cs="Times New Roman"/>
                <w:b/>
                <w:bCs/>
                <w:sz w:val="18"/>
                <w:szCs w:val="18"/>
                <w:lang w:eastAsia="sk-SK"/>
              </w:rPr>
            </w:pPr>
          </w:p>
        </w:tc>
        <w:tc>
          <w:tcPr>
            <w:tcW w:w="558" w:type="pct"/>
            <w:tcBorders>
              <w:top w:val="nil"/>
              <w:left w:val="nil"/>
              <w:bottom w:val="single" w:sz="4" w:space="0" w:color="auto"/>
              <w:right w:val="nil"/>
            </w:tcBorders>
            <w:vAlign w:val="center"/>
            <w:hideMark/>
          </w:tcPr>
          <w:p w14:paraId="104E040D"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1</w:t>
            </w:r>
          </w:p>
        </w:tc>
        <w:tc>
          <w:tcPr>
            <w:tcW w:w="558" w:type="pct"/>
            <w:tcBorders>
              <w:top w:val="nil"/>
              <w:left w:val="nil"/>
              <w:bottom w:val="single" w:sz="4" w:space="0" w:color="auto"/>
              <w:right w:val="nil"/>
            </w:tcBorders>
            <w:vAlign w:val="center"/>
            <w:hideMark/>
          </w:tcPr>
          <w:p w14:paraId="1BFE2F7B"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2</w:t>
            </w:r>
          </w:p>
        </w:tc>
        <w:tc>
          <w:tcPr>
            <w:tcW w:w="558" w:type="pct"/>
            <w:tcBorders>
              <w:top w:val="nil"/>
              <w:left w:val="nil"/>
              <w:bottom w:val="single" w:sz="4" w:space="0" w:color="auto"/>
              <w:right w:val="nil"/>
            </w:tcBorders>
            <w:vAlign w:val="center"/>
            <w:hideMark/>
          </w:tcPr>
          <w:p w14:paraId="0170437A"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3</w:t>
            </w:r>
          </w:p>
        </w:tc>
        <w:tc>
          <w:tcPr>
            <w:tcW w:w="486" w:type="pct"/>
            <w:tcBorders>
              <w:top w:val="nil"/>
              <w:left w:val="nil"/>
              <w:bottom w:val="single" w:sz="4" w:space="0" w:color="auto"/>
              <w:right w:val="nil"/>
            </w:tcBorders>
            <w:vAlign w:val="center"/>
            <w:hideMark/>
          </w:tcPr>
          <w:p w14:paraId="4AD93EDD" w14:textId="77777777" w:rsidR="00065CB2" w:rsidRPr="00065CB2" w:rsidRDefault="00065CB2" w:rsidP="00B6745A">
            <w:pPr>
              <w:spacing w:line="240" w:lineRule="auto"/>
              <w:jc w:val="center"/>
              <w:rPr>
                <w:rFonts w:eastAsia="Times New Roman" w:cs="Times New Roman"/>
                <w:b/>
                <w:bCs/>
                <w:sz w:val="18"/>
                <w:szCs w:val="18"/>
                <w:lang w:eastAsia="sk-SK"/>
              </w:rPr>
            </w:pPr>
            <w:r w:rsidRPr="00065CB2">
              <w:rPr>
                <w:rFonts w:eastAsia="Times New Roman" w:cs="Times New Roman"/>
                <w:b/>
                <w:bCs/>
                <w:sz w:val="18"/>
                <w:szCs w:val="18"/>
                <w:lang w:eastAsia="sk-SK"/>
              </w:rPr>
              <w:t>4=(3-2)</w:t>
            </w:r>
          </w:p>
        </w:tc>
      </w:tr>
      <w:tr w:rsidR="00065CB2" w:rsidRPr="00065CB2" w14:paraId="43B20F10" w14:textId="77777777" w:rsidTr="00065CB2">
        <w:trPr>
          <w:trHeight w:val="300"/>
        </w:trPr>
        <w:tc>
          <w:tcPr>
            <w:tcW w:w="2840" w:type="pct"/>
            <w:tcBorders>
              <w:top w:val="nil"/>
              <w:left w:val="nil"/>
              <w:bottom w:val="nil"/>
              <w:right w:val="nil"/>
            </w:tcBorders>
            <w:noWrap/>
            <w:vAlign w:val="bottom"/>
            <w:hideMark/>
          </w:tcPr>
          <w:p w14:paraId="39A12F98" w14:textId="77777777" w:rsidR="00065CB2" w:rsidRPr="00065CB2" w:rsidRDefault="00065CB2" w:rsidP="00B6745A">
            <w:pPr>
              <w:spacing w:line="240" w:lineRule="auto"/>
              <w:rPr>
                <w:rFonts w:eastAsia="Times New Roman" w:cs="Times New Roman"/>
                <w:sz w:val="18"/>
                <w:szCs w:val="18"/>
                <w:lang w:eastAsia="sk-SK"/>
              </w:rPr>
            </w:pPr>
            <w:r w:rsidRPr="00065CB2">
              <w:rPr>
                <w:rFonts w:eastAsia="Times New Roman" w:cs="Times New Roman"/>
                <w:sz w:val="18"/>
                <w:szCs w:val="18"/>
                <w:lang w:eastAsia="sk-SK"/>
              </w:rPr>
              <w:t>Bankové úvery</w:t>
            </w:r>
          </w:p>
        </w:tc>
        <w:tc>
          <w:tcPr>
            <w:tcW w:w="558" w:type="pct"/>
            <w:tcBorders>
              <w:top w:val="nil"/>
              <w:left w:val="nil"/>
              <w:bottom w:val="nil"/>
              <w:right w:val="nil"/>
            </w:tcBorders>
            <w:noWrap/>
            <w:vAlign w:val="bottom"/>
            <w:hideMark/>
          </w:tcPr>
          <w:p w14:paraId="77ABAFDC"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455 345</w:t>
            </w:r>
          </w:p>
        </w:tc>
        <w:tc>
          <w:tcPr>
            <w:tcW w:w="558" w:type="pct"/>
            <w:tcBorders>
              <w:top w:val="nil"/>
              <w:left w:val="nil"/>
              <w:bottom w:val="nil"/>
              <w:right w:val="nil"/>
            </w:tcBorders>
            <w:noWrap/>
            <w:vAlign w:val="bottom"/>
            <w:hideMark/>
          </w:tcPr>
          <w:p w14:paraId="10867C5E"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430 742</w:t>
            </w:r>
          </w:p>
        </w:tc>
        <w:tc>
          <w:tcPr>
            <w:tcW w:w="558" w:type="pct"/>
            <w:tcBorders>
              <w:top w:val="nil"/>
              <w:left w:val="nil"/>
              <w:bottom w:val="nil"/>
              <w:right w:val="nil"/>
            </w:tcBorders>
            <w:noWrap/>
            <w:vAlign w:val="bottom"/>
            <w:hideMark/>
          </w:tcPr>
          <w:p w14:paraId="125DD5ED"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460 148</w:t>
            </w:r>
          </w:p>
        </w:tc>
        <w:tc>
          <w:tcPr>
            <w:tcW w:w="486" w:type="pct"/>
            <w:tcBorders>
              <w:top w:val="nil"/>
              <w:left w:val="nil"/>
              <w:bottom w:val="nil"/>
              <w:right w:val="nil"/>
            </w:tcBorders>
            <w:noWrap/>
            <w:vAlign w:val="bottom"/>
            <w:hideMark/>
          </w:tcPr>
          <w:p w14:paraId="34E4AC48"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29 406</w:t>
            </w:r>
          </w:p>
        </w:tc>
      </w:tr>
      <w:tr w:rsidR="00065CB2" w:rsidRPr="00065CB2" w14:paraId="6FF0C6E6" w14:textId="77777777" w:rsidTr="00065CB2">
        <w:trPr>
          <w:trHeight w:val="300"/>
        </w:trPr>
        <w:tc>
          <w:tcPr>
            <w:tcW w:w="2840" w:type="pct"/>
            <w:tcBorders>
              <w:top w:val="nil"/>
              <w:left w:val="nil"/>
              <w:bottom w:val="nil"/>
              <w:right w:val="nil"/>
            </w:tcBorders>
            <w:vAlign w:val="bottom"/>
            <w:hideMark/>
          </w:tcPr>
          <w:p w14:paraId="78AE762E" w14:textId="77777777" w:rsidR="00065CB2" w:rsidRPr="00065CB2" w:rsidRDefault="00065CB2" w:rsidP="00B6745A">
            <w:pPr>
              <w:spacing w:line="240" w:lineRule="auto"/>
              <w:rPr>
                <w:rFonts w:eastAsia="Times New Roman" w:cs="Times New Roman"/>
                <w:sz w:val="18"/>
                <w:szCs w:val="18"/>
                <w:lang w:eastAsia="sk-SK"/>
              </w:rPr>
            </w:pPr>
            <w:r w:rsidRPr="00065CB2">
              <w:rPr>
                <w:rFonts w:eastAsia="Times New Roman" w:cs="Times New Roman"/>
                <w:sz w:val="18"/>
                <w:szCs w:val="18"/>
                <w:lang w:eastAsia="sk-SK"/>
              </w:rPr>
              <w:t>Pôžička od NDF II. (konsoliduje sa)</w:t>
            </w:r>
          </w:p>
        </w:tc>
        <w:tc>
          <w:tcPr>
            <w:tcW w:w="558" w:type="pct"/>
            <w:tcBorders>
              <w:top w:val="nil"/>
              <w:left w:val="nil"/>
              <w:bottom w:val="nil"/>
              <w:right w:val="nil"/>
            </w:tcBorders>
            <w:noWrap/>
            <w:vAlign w:val="bottom"/>
            <w:hideMark/>
          </w:tcPr>
          <w:p w14:paraId="57F8BC18"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106 290</w:t>
            </w:r>
          </w:p>
        </w:tc>
        <w:tc>
          <w:tcPr>
            <w:tcW w:w="558" w:type="pct"/>
            <w:tcBorders>
              <w:top w:val="nil"/>
              <w:left w:val="nil"/>
              <w:bottom w:val="nil"/>
              <w:right w:val="nil"/>
            </w:tcBorders>
            <w:noWrap/>
            <w:vAlign w:val="bottom"/>
            <w:hideMark/>
          </w:tcPr>
          <w:p w14:paraId="7C54C872"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106 290</w:t>
            </w:r>
          </w:p>
        </w:tc>
        <w:tc>
          <w:tcPr>
            <w:tcW w:w="558" w:type="pct"/>
            <w:tcBorders>
              <w:top w:val="nil"/>
              <w:left w:val="nil"/>
              <w:bottom w:val="nil"/>
              <w:right w:val="nil"/>
            </w:tcBorders>
            <w:noWrap/>
            <w:vAlign w:val="bottom"/>
            <w:hideMark/>
          </w:tcPr>
          <w:p w14:paraId="5B9AB48C"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103 907</w:t>
            </w:r>
          </w:p>
        </w:tc>
        <w:tc>
          <w:tcPr>
            <w:tcW w:w="486" w:type="pct"/>
            <w:tcBorders>
              <w:top w:val="nil"/>
              <w:left w:val="nil"/>
              <w:bottom w:val="nil"/>
              <w:right w:val="nil"/>
            </w:tcBorders>
            <w:noWrap/>
            <w:vAlign w:val="bottom"/>
            <w:hideMark/>
          </w:tcPr>
          <w:p w14:paraId="590D57DE"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-2 383</w:t>
            </w:r>
          </w:p>
        </w:tc>
      </w:tr>
      <w:tr w:rsidR="00956277" w:rsidRPr="00065CB2" w14:paraId="708F53AF" w14:textId="77777777" w:rsidTr="00B66B6E">
        <w:trPr>
          <w:trHeight w:val="300"/>
        </w:trPr>
        <w:tc>
          <w:tcPr>
            <w:tcW w:w="2840" w:type="pct"/>
            <w:tcBorders>
              <w:top w:val="nil"/>
              <w:left w:val="nil"/>
              <w:bottom w:val="nil"/>
              <w:right w:val="nil"/>
            </w:tcBorders>
            <w:vAlign w:val="bottom"/>
            <w:hideMark/>
          </w:tcPr>
          <w:p w14:paraId="3B1EDF06" w14:textId="77777777" w:rsidR="00956277" w:rsidRPr="00065CB2" w:rsidRDefault="00956277" w:rsidP="00B66B6E">
            <w:pPr>
              <w:spacing w:line="240" w:lineRule="auto"/>
              <w:rPr>
                <w:rFonts w:eastAsia="Times New Roman" w:cs="Times New Roman"/>
                <w:sz w:val="18"/>
                <w:szCs w:val="18"/>
                <w:lang w:eastAsia="sk-SK"/>
              </w:rPr>
            </w:pPr>
            <w:r w:rsidRPr="00065CB2">
              <w:rPr>
                <w:rFonts w:eastAsia="Times New Roman" w:cs="Times New Roman"/>
                <w:sz w:val="18"/>
                <w:szCs w:val="18"/>
                <w:lang w:eastAsia="sk-SK"/>
              </w:rPr>
              <w:t>Návratné finančné výpomoci zo VPS a ŠD (konsoliduje sa)</w:t>
            </w:r>
          </w:p>
        </w:tc>
        <w:tc>
          <w:tcPr>
            <w:tcW w:w="558" w:type="pct"/>
            <w:tcBorders>
              <w:top w:val="nil"/>
              <w:left w:val="nil"/>
              <w:bottom w:val="nil"/>
              <w:right w:val="nil"/>
            </w:tcBorders>
            <w:noWrap/>
            <w:vAlign w:val="bottom"/>
            <w:hideMark/>
          </w:tcPr>
          <w:p w14:paraId="2A5EBDED" w14:textId="77777777" w:rsidR="00956277" w:rsidRPr="00065CB2" w:rsidRDefault="00956277" w:rsidP="00B66B6E">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129 800</w:t>
            </w:r>
          </w:p>
        </w:tc>
        <w:tc>
          <w:tcPr>
            <w:tcW w:w="558" w:type="pct"/>
            <w:tcBorders>
              <w:top w:val="nil"/>
              <w:left w:val="nil"/>
              <w:bottom w:val="nil"/>
              <w:right w:val="nil"/>
            </w:tcBorders>
            <w:noWrap/>
            <w:vAlign w:val="bottom"/>
            <w:hideMark/>
          </w:tcPr>
          <w:p w14:paraId="0FA8F149" w14:textId="77777777" w:rsidR="00956277" w:rsidRPr="00065CB2" w:rsidRDefault="00956277" w:rsidP="00B66B6E">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102 500</w:t>
            </w:r>
          </w:p>
        </w:tc>
        <w:tc>
          <w:tcPr>
            <w:tcW w:w="558" w:type="pct"/>
            <w:tcBorders>
              <w:top w:val="nil"/>
              <w:left w:val="nil"/>
              <w:bottom w:val="nil"/>
              <w:right w:val="nil"/>
            </w:tcBorders>
            <w:noWrap/>
            <w:vAlign w:val="bottom"/>
            <w:hideMark/>
          </w:tcPr>
          <w:p w14:paraId="5F3D3C3C" w14:textId="77777777" w:rsidR="00956277" w:rsidRPr="00065CB2" w:rsidRDefault="00956277" w:rsidP="00B66B6E">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90 081</w:t>
            </w:r>
          </w:p>
        </w:tc>
        <w:tc>
          <w:tcPr>
            <w:tcW w:w="486" w:type="pct"/>
            <w:tcBorders>
              <w:top w:val="nil"/>
              <w:left w:val="nil"/>
              <w:bottom w:val="nil"/>
              <w:right w:val="nil"/>
            </w:tcBorders>
            <w:noWrap/>
            <w:vAlign w:val="bottom"/>
            <w:hideMark/>
          </w:tcPr>
          <w:p w14:paraId="4B3CA4E9" w14:textId="77777777" w:rsidR="00956277" w:rsidRPr="00065CB2" w:rsidRDefault="00956277" w:rsidP="00B66B6E">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-12 419</w:t>
            </w:r>
          </w:p>
        </w:tc>
      </w:tr>
      <w:tr w:rsidR="00065CB2" w:rsidRPr="00065CB2" w14:paraId="7F8FE4E6" w14:textId="77777777" w:rsidTr="00065CB2">
        <w:trPr>
          <w:trHeight w:val="300"/>
        </w:trPr>
        <w:tc>
          <w:tcPr>
            <w:tcW w:w="2840" w:type="pct"/>
            <w:tcBorders>
              <w:top w:val="nil"/>
              <w:left w:val="nil"/>
              <w:bottom w:val="nil"/>
              <w:right w:val="nil"/>
            </w:tcBorders>
            <w:vAlign w:val="bottom"/>
            <w:hideMark/>
          </w:tcPr>
          <w:p w14:paraId="030B4AF0" w14:textId="77777777" w:rsidR="00065CB2" w:rsidRPr="00065CB2" w:rsidRDefault="00065CB2" w:rsidP="00B6745A">
            <w:pPr>
              <w:spacing w:line="240" w:lineRule="auto"/>
              <w:rPr>
                <w:rFonts w:eastAsia="Times New Roman" w:cs="Times New Roman"/>
                <w:sz w:val="18"/>
                <w:szCs w:val="18"/>
                <w:lang w:eastAsia="sk-SK"/>
              </w:rPr>
            </w:pPr>
            <w:r w:rsidRPr="00065CB2">
              <w:rPr>
                <w:rFonts w:eastAsia="Times New Roman" w:cs="Times New Roman"/>
                <w:sz w:val="18"/>
                <w:szCs w:val="18"/>
                <w:lang w:eastAsia="sk-SK"/>
              </w:rPr>
              <w:t>Pôžičky zo ŠFRB (konsoliduje sa)</w:t>
            </w:r>
          </w:p>
        </w:tc>
        <w:tc>
          <w:tcPr>
            <w:tcW w:w="558" w:type="pct"/>
            <w:tcBorders>
              <w:top w:val="nil"/>
              <w:left w:val="nil"/>
              <w:bottom w:val="nil"/>
              <w:right w:val="nil"/>
            </w:tcBorders>
            <w:noWrap/>
            <w:vAlign w:val="bottom"/>
            <w:hideMark/>
          </w:tcPr>
          <w:p w14:paraId="63468385" w14:textId="77777777" w:rsidR="00065CB2" w:rsidRPr="00065CB2" w:rsidRDefault="00065CB2" w:rsidP="00B6745A">
            <w:pPr>
              <w:spacing w:line="240" w:lineRule="auto"/>
              <w:rPr>
                <w:rFonts w:eastAsia="Times New Roman" w:cs="Times New Roman"/>
                <w:sz w:val="18"/>
                <w:szCs w:val="18"/>
                <w:lang w:eastAsia="sk-SK"/>
              </w:rPr>
            </w:pPr>
          </w:p>
        </w:tc>
        <w:tc>
          <w:tcPr>
            <w:tcW w:w="558" w:type="pct"/>
            <w:tcBorders>
              <w:top w:val="nil"/>
              <w:left w:val="nil"/>
              <w:bottom w:val="nil"/>
              <w:right w:val="nil"/>
            </w:tcBorders>
            <w:noWrap/>
            <w:vAlign w:val="bottom"/>
            <w:hideMark/>
          </w:tcPr>
          <w:p w14:paraId="23307736"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4 607</w:t>
            </w:r>
          </w:p>
        </w:tc>
        <w:tc>
          <w:tcPr>
            <w:tcW w:w="558" w:type="pct"/>
            <w:tcBorders>
              <w:top w:val="nil"/>
              <w:left w:val="nil"/>
              <w:bottom w:val="nil"/>
              <w:right w:val="nil"/>
            </w:tcBorders>
            <w:noWrap/>
            <w:vAlign w:val="bottom"/>
            <w:hideMark/>
          </w:tcPr>
          <w:p w14:paraId="155A20B2"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9 980</w:t>
            </w:r>
          </w:p>
        </w:tc>
        <w:tc>
          <w:tcPr>
            <w:tcW w:w="486" w:type="pct"/>
            <w:tcBorders>
              <w:top w:val="nil"/>
              <w:left w:val="nil"/>
              <w:bottom w:val="nil"/>
              <w:right w:val="nil"/>
            </w:tcBorders>
            <w:noWrap/>
            <w:vAlign w:val="bottom"/>
            <w:hideMark/>
          </w:tcPr>
          <w:p w14:paraId="3DA50A7B"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5 373</w:t>
            </w:r>
          </w:p>
        </w:tc>
      </w:tr>
      <w:tr w:rsidR="00065CB2" w:rsidRPr="00065CB2" w14:paraId="26985B1E" w14:textId="77777777" w:rsidTr="00065CB2">
        <w:trPr>
          <w:trHeight w:val="300"/>
        </w:trPr>
        <w:tc>
          <w:tcPr>
            <w:tcW w:w="2840" w:type="pct"/>
            <w:tcBorders>
              <w:top w:val="nil"/>
              <w:left w:val="nil"/>
              <w:bottom w:val="nil"/>
              <w:right w:val="nil"/>
            </w:tcBorders>
            <w:vAlign w:val="bottom"/>
            <w:hideMark/>
          </w:tcPr>
          <w:p w14:paraId="4E4D520D" w14:textId="77777777" w:rsidR="00065CB2" w:rsidRPr="00065CB2" w:rsidRDefault="00065CB2" w:rsidP="00B6745A">
            <w:pPr>
              <w:spacing w:line="240" w:lineRule="auto"/>
              <w:rPr>
                <w:rFonts w:eastAsia="Times New Roman" w:cs="Times New Roman"/>
                <w:sz w:val="18"/>
                <w:szCs w:val="18"/>
                <w:lang w:eastAsia="sk-SK"/>
              </w:rPr>
            </w:pPr>
            <w:r w:rsidRPr="00065CB2">
              <w:rPr>
                <w:rFonts w:eastAsia="Times New Roman" w:cs="Times New Roman"/>
                <w:sz w:val="18"/>
                <w:szCs w:val="18"/>
                <w:lang w:eastAsia="sk-SK"/>
              </w:rPr>
              <w:t>Pôžičky z ENVF (konsoliduje sa)</w:t>
            </w:r>
          </w:p>
        </w:tc>
        <w:tc>
          <w:tcPr>
            <w:tcW w:w="558" w:type="pct"/>
            <w:tcBorders>
              <w:top w:val="nil"/>
              <w:left w:val="nil"/>
              <w:bottom w:val="nil"/>
              <w:right w:val="nil"/>
            </w:tcBorders>
            <w:noWrap/>
            <w:vAlign w:val="bottom"/>
            <w:hideMark/>
          </w:tcPr>
          <w:p w14:paraId="0751985D" w14:textId="77777777" w:rsidR="00065CB2" w:rsidRPr="00065CB2" w:rsidRDefault="00065CB2" w:rsidP="00B6745A">
            <w:pPr>
              <w:spacing w:line="240" w:lineRule="auto"/>
              <w:rPr>
                <w:rFonts w:eastAsia="Times New Roman" w:cs="Times New Roman"/>
                <w:sz w:val="18"/>
                <w:szCs w:val="18"/>
                <w:lang w:eastAsia="sk-SK"/>
              </w:rPr>
            </w:pPr>
          </w:p>
        </w:tc>
        <w:tc>
          <w:tcPr>
            <w:tcW w:w="558" w:type="pct"/>
            <w:tcBorders>
              <w:top w:val="nil"/>
              <w:left w:val="nil"/>
              <w:bottom w:val="nil"/>
              <w:right w:val="nil"/>
            </w:tcBorders>
            <w:noWrap/>
            <w:vAlign w:val="bottom"/>
            <w:hideMark/>
          </w:tcPr>
          <w:p w14:paraId="604EE0E1"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731</w:t>
            </w:r>
          </w:p>
        </w:tc>
        <w:tc>
          <w:tcPr>
            <w:tcW w:w="558" w:type="pct"/>
            <w:tcBorders>
              <w:top w:val="nil"/>
              <w:left w:val="nil"/>
              <w:bottom w:val="nil"/>
              <w:right w:val="nil"/>
            </w:tcBorders>
            <w:noWrap/>
            <w:vAlign w:val="bottom"/>
            <w:hideMark/>
          </w:tcPr>
          <w:p w14:paraId="4D160150"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609</w:t>
            </w:r>
          </w:p>
        </w:tc>
        <w:tc>
          <w:tcPr>
            <w:tcW w:w="486" w:type="pct"/>
            <w:tcBorders>
              <w:top w:val="nil"/>
              <w:left w:val="nil"/>
              <w:bottom w:val="nil"/>
              <w:right w:val="nil"/>
            </w:tcBorders>
            <w:noWrap/>
            <w:vAlign w:val="bottom"/>
            <w:hideMark/>
          </w:tcPr>
          <w:p w14:paraId="603D3147"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-122</w:t>
            </w:r>
          </w:p>
        </w:tc>
      </w:tr>
      <w:tr w:rsidR="00065CB2" w:rsidRPr="00065CB2" w14:paraId="51552B20" w14:textId="77777777" w:rsidTr="00065CB2">
        <w:trPr>
          <w:trHeight w:val="300"/>
        </w:trPr>
        <w:tc>
          <w:tcPr>
            <w:tcW w:w="2840" w:type="pct"/>
            <w:tcBorders>
              <w:top w:val="nil"/>
              <w:left w:val="nil"/>
              <w:bottom w:val="nil"/>
              <w:right w:val="nil"/>
            </w:tcBorders>
            <w:noWrap/>
            <w:vAlign w:val="bottom"/>
            <w:hideMark/>
          </w:tcPr>
          <w:p w14:paraId="3DEC5E12" w14:textId="77777777" w:rsidR="00065CB2" w:rsidRPr="00065CB2" w:rsidRDefault="00065CB2" w:rsidP="00B6745A">
            <w:pPr>
              <w:spacing w:line="240" w:lineRule="auto"/>
              <w:rPr>
                <w:rFonts w:eastAsia="Times New Roman" w:cs="Times New Roman"/>
                <w:sz w:val="18"/>
                <w:szCs w:val="18"/>
                <w:lang w:eastAsia="sk-SK"/>
              </w:rPr>
            </w:pPr>
            <w:r w:rsidRPr="00065CB2">
              <w:rPr>
                <w:rFonts w:eastAsia="Times New Roman" w:cs="Times New Roman"/>
                <w:sz w:val="18"/>
                <w:szCs w:val="18"/>
                <w:lang w:eastAsia="sk-SK"/>
              </w:rPr>
              <w:t>Dlhodobé záväzky zo zmlúv o energetickej efektívnosti - ostatné</w:t>
            </w:r>
          </w:p>
        </w:tc>
        <w:tc>
          <w:tcPr>
            <w:tcW w:w="558" w:type="pct"/>
            <w:tcBorders>
              <w:top w:val="nil"/>
              <w:left w:val="nil"/>
              <w:bottom w:val="nil"/>
              <w:right w:val="nil"/>
            </w:tcBorders>
            <w:noWrap/>
            <w:vAlign w:val="bottom"/>
            <w:hideMark/>
          </w:tcPr>
          <w:p w14:paraId="2FE1C004" w14:textId="77777777" w:rsidR="00065CB2" w:rsidRPr="00065CB2" w:rsidRDefault="00065CB2" w:rsidP="00B6745A">
            <w:pPr>
              <w:spacing w:line="240" w:lineRule="auto"/>
              <w:rPr>
                <w:rFonts w:eastAsia="Times New Roman" w:cs="Times New Roman"/>
                <w:sz w:val="18"/>
                <w:szCs w:val="18"/>
                <w:lang w:eastAsia="sk-SK"/>
              </w:rPr>
            </w:pPr>
          </w:p>
        </w:tc>
        <w:tc>
          <w:tcPr>
            <w:tcW w:w="558" w:type="pct"/>
            <w:tcBorders>
              <w:top w:val="nil"/>
              <w:left w:val="nil"/>
              <w:bottom w:val="nil"/>
              <w:right w:val="nil"/>
            </w:tcBorders>
            <w:noWrap/>
            <w:vAlign w:val="bottom"/>
            <w:hideMark/>
          </w:tcPr>
          <w:p w14:paraId="02902D60" w14:textId="77777777" w:rsidR="00065CB2" w:rsidRPr="00065CB2" w:rsidRDefault="00065CB2" w:rsidP="00B6745A">
            <w:pPr>
              <w:spacing w:line="240" w:lineRule="auto"/>
              <w:rPr>
                <w:rFonts w:eastAsia="Times New Roman" w:cs="Times New Roman"/>
                <w:sz w:val="18"/>
                <w:szCs w:val="18"/>
                <w:lang w:eastAsia="sk-SK"/>
              </w:rPr>
            </w:pPr>
          </w:p>
        </w:tc>
        <w:tc>
          <w:tcPr>
            <w:tcW w:w="558" w:type="pct"/>
            <w:tcBorders>
              <w:top w:val="nil"/>
              <w:left w:val="nil"/>
              <w:bottom w:val="nil"/>
              <w:right w:val="nil"/>
            </w:tcBorders>
            <w:noWrap/>
            <w:vAlign w:val="bottom"/>
            <w:hideMark/>
          </w:tcPr>
          <w:p w14:paraId="70298022"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9 090</w:t>
            </w:r>
          </w:p>
        </w:tc>
        <w:tc>
          <w:tcPr>
            <w:tcW w:w="486" w:type="pct"/>
            <w:tcBorders>
              <w:top w:val="nil"/>
              <w:left w:val="nil"/>
              <w:bottom w:val="nil"/>
              <w:right w:val="nil"/>
            </w:tcBorders>
            <w:noWrap/>
            <w:vAlign w:val="bottom"/>
            <w:hideMark/>
          </w:tcPr>
          <w:p w14:paraId="03258468"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9 090</w:t>
            </w:r>
          </w:p>
        </w:tc>
      </w:tr>
      <w:tr w:rsidR="00065CB2" w:rsidRPr="00065CB2" w14:paraId="637A4498" w14:textId="77777777" w:rsidTr="00065CB2">
        <w:trPr>
          <w:trHeight w:val="300"/>
        </w:trPr>
        <w:tc>
          <w:tcPr>
            <w:tcW w:w="2840" w:type="pct"/>
            <w:tcBorders>
              <w:top w:val="nil"/>
              <w:left w:val="nil"/>
              <w:bottom w:val="nil"/>
              <w:right w:val="nil"/>
            </w:tcBorders>
            <w:noWrap/>
            <w:vAlign w:val="bottom"/>
            <w:hideMark/>
          </w:tcPr>
          <w:p w14:paraId="4B643DF2" w14:textId="77777777" w:rsidR="00065CB2" w:rsidRPr="00065CB2" w:rsidRDefault="00065CB2" w:rsidP="00B6745A">
            <w:pPr>
              <w:spacing w:line="240" w:lineRule="auto"/>
              <w:rPr>
                <w:rFonts w:eastAsia="Times New Roman" w:cs="Times New Roman"/>
                <w:sz w:val="18"/>
                <w:szCs w:val="18"/>
                <w:lang w:eastAsia="sk-SK"/>
              </w:rPr>
            </w:pPr>
            <w:r w:rsidRPr="00065CB2">
              <w:rPr>
                <w:rFonts w:eastAsia="Times New Roman" w:cs="Times New Roman"/>
                <w:sz w:val="18"/>
                <w:szCs w:val="18"/>
                <w:lang w:eastAsia="sk-SK"/>
              </w:rPr>
              <w:t>Zábezpeky</w:t>
            </w:r>
          </w:p>
        </w:tc>
        <w:tc>
          <w:tcPr>
            <w:tcW w:w="558" w:type="pct"/>
            <w:tcBorders>
              <w:top w:val="nil"/>
              <w:left w:val="nil"/>
              <w:bottom w:val="nil"/>
              <w:right w:val="nil"/>
            </w:tcBorders>
            <w:noWrap/>
            <w:vAlign w:val="bottom"/>
            <w:hideMark/>
          </w:tcPr>
          <w:p w14:paraId="5FA95D28"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4 604</w:t>
            </w:r>
          </w:p>
        </w:tc>
        <w:tc>
          <w:tcPr>
            <w:tcW w:w="558" w:type="pct"/>
            <w:tcBorders>
              <w:top w:val="nil"/>
              <w:left w:val="nil"/>
              <w:bottom w:val="nil"/>
              <w:right w:val="nil"/>
            </w:tcBorders>
            <w:noWrap/>
            <w:vAlign w:val="bottom"/>
            <w:hideMark/>
          </w:tcPr>
          <w:p w14:paraId="7F67A51D"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4 840</w:t>
            </w:r>
          </w:p>
        </w:tc>
        <w:tc>
          <w:tcPr>
            <w:tcW w:w="558" w:type="pct"/>
            <w:tcBorders>
              <w:top w:val="nil"/>
              <w:left w:val="nil"/>
              <w:bottom w:val="nil"/>
              <w:right w:val="nil"/>
            </w:tcBorders>
            <w:noWrap/>
            <w:vAlign w:val="bottom"/>
            <w:hideMark/>
          </w:tcPr>
          <w:p w14:paraId="463644B8"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2 821</w:t>
            </w:r>
          </w:p>
        </w:tc>
        <w:tc>
          <w:tcPr>
            <w:tcW w:w="486" w:type="pct"/>
            <w:tcBorders>
              <w:top w:val="nil"/>
              <w:left w:val="nil"/>
              <w:bottom w:val="nil"/>
              <w:right w:val="nil"/>
            </w:tcBorders>
            <w:noWrap/>
            <w:vAlign w:val="bottom"/>
            <w:hideMark/>
          </w:tcPr>
          <w:p w14:paraId="2AF71200"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-2 019</w:t>
            </w:r>
          </w:p>
        </w:tc>
      </w:tr>
      <w:tr w:rsidR="00065CB2" w:rsidRPr="00065CB2" w14:paraId="09CB77D6" w14:textId="77777777" w:rsidTr="00065CB2">
        <w:trPr>
          <w:trHeight w:val="300"/>
        </w:trPr>
        <w:tc>
          <w:tcPr>
            <w:tcW w:w="2840" w:type="pct"/>
            <w:tcBorders>
              <w:top w:val="nil"/>
              <w:left w:val="nil"/>
              <w:bottom w:val="nil"/>
              <w:right w:val="nil"/>
            </w:tcBorders>
            <w:vAlign w:val="bottom"/>
            <w:hideMark/>
          </w:tcPr>
          <w:p w14:paraId="64A656B4" w14:textId="77777777" w:rsidR="00065CB2" w:rsidRPr="00065CB2" w:rsidRDefault="00065CB2" w:rsidP="00B6745A">
            <w:pPr>
              <w:spacing w:line="240" w:lineRule="auto"/>
              <w:rPr>
                <w:rFonts w:eastAsia="Times New Roman" w:cs="Times New Roman"/>
                <w:sz w:val="18"/>
                <w:szCs w:val="18"/>
                <w:lang w:eastAsia="sk-SK"/>
              </w:rPr>
            </w:pPr>
            <w:r w:rsidRPr="00065CB2">
              <w:rPr>
                <w:rFonts w:eastAsia="Times New Roman" w:cs="Times New Roman"/>
                <w:sz w:val="18"/>
                <w:szCs w:val="18"/>
                <w:lang w:eastAsia="sk-SK"/>
              </w:rPr>
              <w:t>Dlhodobé záväzky z obchodného styku a prijaté preddavky</w:t>
            </w:r>
          </w:p>
        </w:tc>
        <w:tc>
          <w:tcPr>
            <w:tcW w:w="558" w:type="pct"/>
            <w:tcBorders>
              <w:top w:val="nil"/>
              <w:left w:val="nil"/>
              <w:bottom w:val="nil"/>
              <w:right w:val="nil"/>
            </w:tcBorders>
            <w:noWrap/>
            <w:vAlign w:val="bottom"/>
            <w:hideMark/>
          </w:tcPr>
          <w:p w14:paraId="5C592F46"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5 699</w:t>
            </w:r>
          </w:p>
        </w:tc>
        <w:tc>
          <w:tcPr>
            <w:tcW w:w="558" w:type="pct"/>
            <w:tcBorders>
              <w:top w:val="nil"/>
              <w:left w:val="nil"/>
              <w:bottom w:val="nil"/>
              <w:right w:val="nil"/>
            </w:tcBorders>
            <w:noWrap/>
            <w:vAlign w:val="bottom"/>
            <w:hideMark/>
          </w:tcPr>
          <w:p w14:paraId="6477823E"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2 534</w:t>
            </w:r>
          </w:p>
        </w:tc>
        <w:tc>
          <w:tcPr>
            <w:tcW w:w="558" w:type="pct"/>
            <w:tcBorders>
              <w:top w:val="nil"/>
              <w:left w:val="nil"/>
              <w:bottom w:val="nil"/>
              <w:right w:val="nil"/>
            </w:tcBorders>
            <w:noWrap/>
            <w:vAlign w:val="bottom"/>
            <w:hideMark/>
          </w:tcPr>
          <w:p w14:paraId="57CC815A"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1 547</w:t>
            </w:r>
          </w:p>
        </w:tc>
        <w:tc>
          <w:tcPr>
            <w:tcW w:w="486" w:type="pct"/>
            <w:tcBorders>
              <w:top w:val="nil"/>
              <w:left w:val="nil"/>
              <w:bottom w:val="nil"/>
              <w:right w:val="nil"/>
            </w:tcBorders>
            <w:noWrap/>
            <w:vAlign w:val="bottom"/>
            <w:hideMark/>
          </w:tcPr>
          <w:p w14:paraId="5B8B4B0F" w14:textId="77777777" w:rsidR="00065CB2" w:rsidRPr="00065CB2" w:rsidRDefault="00065CB2" w:rsidP="00B6745A">
            <w:pPr>
              <w:spacing w:line="240" w:lineRule="auto"/>
              <w:jc w:val="right"/>
              <w:rPr>
                <w:rFonts w:eastAsia="Times New Roman" w:cs="Times New Roman"/>
                <w:sz w:val="18"/>
                <w:szCs w:val="18"/>
                <w:lang w:eastAsia="sk-SK"/>
              </w:rPr>
            </w:pPr>
            <w:r w:rsidRPr="00065CB2">
              <w:rPr>
                <w:rFonts w:eastAsia="Times New Roman" w:cs="Times New Roman"/>
                <w:sz w:val="18"/>
                <w:szCs w:val="18"/>
                <w:lang w:eastAsia="sk-SK"/>
              </w:rPr>
              <w:t>-987</w:t>
            </w:r>
          </w:p>
        </w:tc>
      </w:tr>
      <w:tr w:rsidR="00065CB2" w:rsidRPr="00065CB2" w14:paraId="17FCC894" w14:textId="77777777" w:rsidTr="00065CB2">
        <w:trPr>
          <w:trHeight w:val="290"/>
        </w:trPr>
        <w:tc>
          <w:tcPr>
            <w:tcW w:w="2840" w:type="pct"/>
            <w:tcBorders>
              <w:top w:val="nil"/>
              <w:left w:val="nil"/>
              <w:bottom w:val="nil"/>
              <w:right w:val="nil"/>
            </w:tcBorders>
            <w:noWrap/>
            <w:vAlign w:val="bottom"/>
            <w:hideMark/>
          </w:tcPr>
          <w:p w14:paraId="5DC10A1B" w14:textId="77777777" w:rsidR="00065CB2" w:rsidRPr="00065CB2" w:rsidRDefault="00065CB2" w:rsidP="00B6745A">
            <w:pPr>
              <w:spacing w:line="240" w:lineRule="auto"/>
              <w:rPr>
                <w:rFonts w:eastAsia="Times New Roman" w:cs="Times New Roman"/>
                <w:b/>
                <w:bCs/>
                <w:sz w:val="18"/>
                <w:szCs w:val="18"/>
                <w:lang w:eastAsia="sk-SK"/>
              </w:rPr>
            </w:pPr>
            <w:r w:rsidRPr="00065CB2">
              <w:rPr>
                <w:rFonts w:eastAsia="Times New Roman" w:cs="Times New Roman"/>
                <w:b/>
                <w:bCs/>
                <w:sz w:val="18"/>
                <w:szCs w:val="18"/>
                <w:lang w:eastAsia="sk-SK"/>
              </w:rPr>
              <w:t>Spolu nekonsolidovaný dlh VÚC</w:t>
            </w:r>
          </w:p>
        </w:tc>
        <w:tc>
          <w:tcPr>
            <w:tcW w:w="558" w:type="pct"/>
            <w:tcBorders>
              <w:top w:val="nil"/>
              <w:left w:val="nil"/>
              <w:bottom w:val="nil"/>
              <w:right w:val="nil"/>
            </w:tcBorders>
            <w:noWrap/>
            <w:vAlign w:val="bottom"/>
            <w:hideMark/>
          </w:tcPr>
          <w:p w14:paraId="51ADA4F2"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701 738</w:t>
            </w:r>
          </w:p>
        </w:tc>
        <w:tc>
          <w:tcPr>
            <w:tcW w:w="558" w:type="pct"/>
            <w:tcBorders>
              <w:top w:val="nil"/>
              <w:left w:val="nil"/>
              <w:bottom w:val="nil"/>
              <w:right w:val="nil"/>
            </w:tcBorders>
            <w:noWrap/>
            <w:vAlign w:val="bottom"/>
            <w:hideMark/>
          </w:tcPr>
          <w:p w14:paraId="0D9DAA6A"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652 244</w:t>
            </w:r>
          </w:p>
        </w:tc>
        <w:tc>
          <w:tcPr>
            <w:tcW w:w="558" w:type="pct"/>
            <w:tcBorders>
              <w:top w:val="nil"/>
              <w:left w:val="nil"/>
              <w:bottom w:val="nil"/>
              <w:right w:val="nil"/>
            </w:tcBorders>
            <w:noWrap/>
            <w:vAlign w:val="bottom"/>
            <w:hideMark/>
          </w:tcPr>
          <w:p w14:paraId="749F5775"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678 183</w:t>
            </w:r>
          </w:p>
        </w:tc>
        <w:tc>
          <w:tcPr>
            <w:tcW w:w="486" w:type="pct"/>
            <w:tcBorders>
              <w:top w:val="nil"/>
              <w:left w:val="nil"/>
              <w:bottom w:val="nil"/>
              <w:right w:val="nil"/>
            </w:tcBorders>
            <w:noWrap/>
            <w:vAlign w:val="bottom"/>
            <w:hideMark/>
          </w:tcPr>
          <w:p w14:paraId="1FEB1120"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25 939</w:t>
            </w:r>
          </w:p>
        </w:tc>
      </w:tr>
      <w:tr w:rsidR="00065CB2" w:rsidRPr="00065CB2" w14:paraId="23A4317B" w14:textId="77777777" w:rsidTr="00105F74">
        <w:trPr>
          <w:trHeight w:val="539"/>
        </w:trPr>
        <w:tc>
          <w:tcPr>
            <w:tcW w:w="2840" w:type="pct"/>
            <w:tcBorders>
              <w:top w:val="nil"/>
              <w:left w:val="nil"/>
              <w:bottom w:val="single" w:sz="4" w:space="0" w:color="auto"/>
              <w:right w:val="nil"/>
            </w:tcBorders>
            <w:vAlign w:val="bottom"/>
            <w:hideMark/>
          </w:tcPr>
          <w:p w14:paraId="57A781F9" w14:textId="77777777" w:rsidR="00065CB2" w:rsidRPr="00065CB2" w:rsidRDefault="00065CB2" w:rsidP="00B6745A">
            <w:pPr>
              <w:spacing w:line="240" w:lineRule="auto"/>
              <w:rPr>
                <w:rFonts w:eastAsia="Times New Roman" w:cs="Times New Roman"/>
                <w:b/>
                <w:bCs/>
                <w:sz w:val="18"/>
                <w:szCs w:val="18"/>
                <w:lang w:eastAsia="sk-SK"/>
              </w:rPr>
            </w:pPr>
            <w:r w:rsidRPr="00065CB2">
              <w:rPr>
                <w:rFonts w:eastAsia="Times New Roman" w:cs="Times New Roman"/>
                <w:b/>
                <w:bCs/>
                <w:sz w:val="18"/>
                <w:szCs w:val="18"/>
                <w:lang w:eastAsia="sk-SK"/>
              </w:rPr>
              <w:t>Konsolidovaný príspevok VÚC do konsolidovaného dlhu verejnej správy</w:t>
            </w:r>
          </w:p>
        </w:tc>
        <w:tc>
          <w:tcPr>
            <w:tcW w:w="558" w:type="pct"/>
            <w:tcBorders>
              <w:top w:val="nil"/>
              <w:left w:val="nil"/>
              <w:bottom w:val="single" w:sz="4" w:space="0" w:color="auto"/>
              <w:right w:val="nil"/>
            </w:tcBorders>
            <w:noWrap/>
            <w:vAlign w:val="bottom"/>
            <w:hideMark/>
          </w:tcPr>
          <w:p w14:paraId="50320DBD"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465 648</w:t>
            </w:r>
          </w:p>
        </w:tc>
        <w:tc>
          <w:tcPr>
            <w:tcW w:w="558" w:type="pct"/>
            <w:tcBorders>
              <w:top w:val="nil"/>
              <w:left w:val="nil"/>
              <w:bottom w:val="single" w:sz="4" w:space="0" w:color="auto"/>
              <w:right w:val="nil"/>
            </w:tcBorders>
            <w:noWrap/>
            <w:vAlign w:val="bottom"/>
            <w:hideMark/>
          </w:tcPr>
          <w:p w14:paraId="2B45F529"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438 116</w:t>
            </w:r>
          </w:p>
        </w:tc>
        <w:tc>
          <w:tcPr>
            <w:tcW w:w="558" w:type="pct"/>
            <w:tcBorders>
              <w:top w:val="nil"/>
              <w:left w:val="nil"/>
              <w:bottom w:val="single" w:sz="4" w:space="0" w:color="auto"/>
              <w:right w:val="nil"/>
            </w:tcBorders>
            <w:noWrap/>
            <w:vAlign w:val="bottom"/>
            <w:hideMark/>
          </w:tcPr>
          <w:p w14:paraId="35DAF625"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473 606</w:t>
            </w:r>
          </w:p>
        </w:tc>
        <w:tc>
          <w:tcPr>
            <w:tcW w:w="486" w:type="pct"/>
            <w:tcBorders>
              <w:top w:val="nil"/>
              <w:left w:val="nil"/>
              <w:bottom w:val="single" w:sz="4" w:space="0" w:color="auto"/>
              <w:right w:val="nil"/>
            </w:tcBorders>
            <w:noWrap/>
            <w:vAlign w:val="bottom"/>
            <w:hideMark/>
          </w:tcPr>
          <w:p w14:paraId="2C21B186" w14:textId="77777777" w:rsidR="00065CB2" w:rsidRPr="00065CB2" w:rsidRDefault="00065CB2" w:rsidP="00B6745A">
            <w:pPr>
              <w:spacing w:line="240" w:lineRule="auto"/>
              <w:jc w:val="right"/>
              <w:rPr>
                <w:rFonts w:eastAsia="Times New Roman" w:cs="Times New Roman"/>
                <w:b/>
                <w:bCs/>
                <w:sz w:val="18"/>
                <w:szCs w:val="18"/>
                <w:lang w:eastAsia="sk-SK"/>
              </w:rPr>
            </w:pPr>
            <w:r w:rsidRPr="00065CB2">
              <w:rPr>
                <w:rFonts w:eastAsia="Times New Roman" w:cs="Times New Roman"/>
                <w:b/>
                <w:bCs/>
                <w:sz w:val="18"/>
                <w:szCs w:val="18"/>
                <w:lang w:eastAsia="sk-SK"/>
              </w:rPr>
              <w:t>35 490</w:t>
            </w:r>
          </w:p>
        </w:tc>
      </w:tr>
    </w:tbl>
    <w:p w14:paraId="26DB59F1" w14:textId="00874C69" w:rsidR="009A05C7" w:rsidRPr="00065CB2" w:rsidRDefault="004942CF" w:rsidP="004942CF">
      <w:pPr>
        <w:tabs>
          <w:tab w:val="right" w:pos="9070"/>
        </w:tabs>
        <w:spacing w:line="240" w:lineRule="auto"/>
        <w:jc w:val="both"/>
        <w:rPr>
          <w:sz w:val="18"/>
          <w:szCs w:val="18"/>
        </w:rPr>
      </w:pPr>
      <w:r w:rsidRPr="00065CB2">
        <w:rPr>
          <w:sz w:val="18"/>
          <w:szCs w:val="18"/>
        </w:rPr>
        <w:tab/>
      </w:r>
      <w:r w:rsidR="009A05C7" w:rsidRPr="00065CB2">
        <w:rPr>
          <w:sz w:val="18"/>
          <w:szCs w:val="18"/>
        </w:rPr>
        <w:t>Zdroj: MF SR</w:t>
      </w:r>
    </w:p>
    <w:p w14:paraId="7200CDA6" w14:textId="77777777" w:rsidR="00415273" w:rsidRPr="0050710A" w:rsidRDefault="00415273" w:rsidP="00532D85">
      <w:pPr>
        <w:spacing w:line="240" w:lineRule="auto"/>
        <w:jc w:val="both"/>
        <w:rPr>
          <w:szCs w:val="24"/>
          <w:highlight w:val="yellow"/>
        </w:rPr>
      </w:pPr>
    </w:p>
    <w:p w14:paraId="2217F78D" w14:textId="4E4435D0" w:rsidR="00C164B8" w:rsidRPr="0050710A" w:rsidRDefault="00C164B8" w:rsidP="00C164B8">
      <w:pPr>
        <w:spacing w:line="240" w:lineRule="auto"/>
        <w:jc w:val="both"/>
        <w:rPr>
          <w:szCs w:val="24"/>
          <w:highlight w:val="yellow"/>
        </w:rPr>
      </w:pPr>
      <w:r w:rsidRPr="005453FE">
        <w:rPr>
          <w:szCs w:val="24"/>
        </w:rPr>
        <w:t xml:space="preserve">Najvýznamnejšiu časť dlhu VÚC tvoria bankové úvery, ktorých výška sa medziročne zvýšila o 29 406 tis. eur. </w:t>
      </w:r>
      <w:r>
        <w:rPr>
          <w:szCs w:val="24"/>
        </w:rPr>
        <w:t>Nové bankové úvery boli v priebehu roka 2025 čerpané napríklad zo strany Prešovského samosprávneho kraja (23 603 tis. eur), Banskobystrického samosprávneho kraja (17 614 tis. eur), Bratislavského samosprávneho kraja (15 000 tis. eur od Európskej investičnej banky), Žilinského samosprávneho kraja (14</w:t>
      </w:r>
      <w:r w:rsidR="0091008D">
        <w:rPr>
          <w:szCs w:val="24"/>
        </w:rPr>
        <w:t> </w:t>
      </w:r>
      <w:r>
        <w:rPr>
          <w:szCs w:val="24"/>
        </w:rPr>
        <w:t>000</w:t>
      </w:r>
      <w:r w:rsidR="0091008D">
        <w:rPr>
          <w:szCs w:val="24"/>
        </w:rPr>
        <w:t> </w:t>
      </w:r>
      <w:r>
        <w:rPr>
          <w:szCs w:val="24"/>
        </w:rPr>
        <w:t>tis. eur, z čoho 12 000 tis. eur od</w:t>
      </w:r>
      <w:r w:rsidR="0091008D">
        <w:rPr>
          <w:szCs w:val="24"/>
        </w:rPr>
        <w:t> </w:t>
      </w:r>
      <w:r>
        <w:rPr>
          <w:szCs w:val="24"/>
        </w:rPr>
        <w:t>Rozvojovej banky Rady Európy). V priebehu roka 2025 prišlo k splateniu bankových úverov čerpaných v predchádzajúcich rokoch napríklad zo strany Košického samosprávneho kraja (17 175 tis. eur), Prešovského samosprávneho kraja (16 115 tis. eur) a Trnavského samosprávneho kraja (11 647 tis. eur).</w:t>
      </w:r>
    </w:p>
    <w:p w14:paraId="778BD892" w14:textId="77777777" w:rsidR="00C00919" w:rsidRDefault="00C00919" w:rsidP="00C164B8">
      <w:pPr>
        <w:spacing w:line="240" w:lineRule="auto"/>
        <w:jc w:val="both"/>
        <w:rPr>
          <w:szCs w:val="24"/>
        </w:rPr>
      </w:pPr>
    </w:p>
    <w:p w14:paraId="3BCD8F6C" w14:textId="18AFD4E0" w:rsidR="00C164B8" w:rsidRPr="00D03198" w:rsidRDefault="00C164B8" w:rsidP="00C164B8">
      <w:pPr>
        <w:spacing w:line="240" w:lineRule="auto"/>
        <w:jc w:val="both"/>
        <w:rPr>
          <w:szCs w:val="24"/>
        </w:rPr>
      </w:pPr>
      <w:r w:rsidRPr="00E67BAD">
        <w:rPr>
          <w:szCs w:val="24"/>
        </w:rPr>
        <w:t>Vyššie územné celky čerpajú bankové úvery najmä za účelom predfinancovania investičných projektov financovaných z európskych štrukturálnych a investičných fondov, napríklad na obnovu budov samosprávnych krajov (hlavne školských zariadení) s cieľom zníženia ich energetickej náročnosti a celkovej modernizácie, na obnovu cestnej infraštruktúry</w:t>
      </w:r>
      <w:r w:rsidR="00E67BAD" w:rsidRPr="00E67BAD">
        <w:rPr>
          <w:szCs w:val="24"/>
        </w:rPr>
        <w:t xml:space="preserve">, </w:t>
      </w:r>
      <w:r w:rsidRPr="00E67BAD">
        <w:rPr>
          <w:szCs w:val="24"/>
        </w:rPr>
        <w:t>a na refundáciu už vynaložených investičných výdavkov.</w:t>
      </w:r>
      <w:r w:rsidR="00C00919">
        <w:rPr>
          <w:szCs w:val="24"/>
        </w:rPr>
        <w:t xml:space="preserve"> </w:t>
      </w:r>
      <w:r w:rsidRPr="005453FE">
        <w:rPr>
          <w:szCs w:val="24"/>
        </w:rPr>
        <w:t xml:space="preserve">Podstatnú časť nekonsolidovaného </w:t>
      </w:r>
      <w:r w:rsidRPr="005453FE">
        <w:rPr>
          <w:szCs w:val="24"/>
        </w:rPr>
        <w:lastRenderedPageBreak/>
        <w:t>dlhu VÚC tvoria pôžičky od spoločnosti National Development Fund II. poskytnuté samosprávnym krajom v súhrnnej výške 103 907 tis. eur ešte v roku 2023. Ďalšiu významnú časť tvoria návratné finančné výpomoci zo štátnych finančných aktív, ktorých hodnota sa medziročne znížila o 12 419 tis. eur</w:t>
      </w:r>
      <w:r w:rsidR="00BB281E">
        <w:rPr>
          <w:szCs w:val="24"/>
        </w:rPr>
        <w:t>, a to z dôvodu ich odpustenia na základe rozhodnutia vlády SR (bližší popis je v časti Štátne finančné aktíva)</w:t>
      </w:r>
      <w:r w:rsidRPr="005453FE">
        <w:rPr>
          <w:szCs w:val="24"/>
        </w:rPr>
        <w:t xml:space="preserve">. </w:t>
      </w:r>
      <w:r w:rsidRPr="00D03198">
        <w:rPr>
          <w:szCs w:val="24"/>
        </w:rPr>
        <w:t>Pôžičky zo ŠFRB čerpali Trnavský samosprávny kraj (3 068 tis. eur) a Trenčiansky samosprávny kraj (1 539 tis. eur) a pôžičky z ENVF Prešovský samosprávny kraj (731 tis. eur).</w:t>
      </w:r>
    </w:p>
    <w:p w14:paraId="1F87D6BE" w14:textId="77777777" w:rsidR="00415273" w:rsidRPr="00FE37B9" w:rsidRDefault="00415273" w:rsidP="00532D85">
      <w:pPr>
        <w:spacing w:line="240" w:lineRule="auto"/>
        <w:jc w:val="both"/>
        <w:rPr>
          <w:szCs w:val="24"/>
        </w:rPr>
      </w:pPr>
    </w:p>
    <w:p w14:paraId="1CF010C6" w14:textId="3425EC68" w:rsidR="00E575C6" w:rsidRPr="00FE37B9" w:rsidRDefault="00E575C6" w:rsidP="00532D85">
      <w:pPr>
        <w:pStyle w:val="Popis"/>
        <w:jc w:val="both"/>
        <w:rPr>
          <w:lang w:eastAsia="sk-SK"/>
        </w:rPr>
      </w:pPr>
      <w:bookmarkStart w:id="80" w:name="_Toc196313645"/>
      <w:bookmarkStart w:id="81" w:name="_Toc227670155"/>
      <w:r w:rsidRPr="00FE37B9">
        <w:rPr>
          <w:lang w:eastAsia="sk-SK"/>
        </w:rPr>
        <w:t xml:space="preserve">Tabuľka </w:t>
      </w:r>
      <w:r w:rsidRPr="00FE37B9">
        <w:rPr>
          <w:i/>
          <w:lang w:eastAsia="sk-SK"/>
        </w:rPr>
        <w:fldChar w:fldCharType="begin"/>
      </w:r>
      <w:r w:rsidRPr="00FE37B9">
        <w:rPr>
          <w:lang w:eastAsia="sk-SK"/>
        </w:rPr>
        <w:instrText xml:space="preserve"> SEQ Tabuľka \* ARABIC </w:instrText>
      </w:r>
      <w:r w:rsidRPr="00FE37B9">
        <w:rPr>
          <w:i/>
          <w:lang w:eastAsia="sk-SK"/>
        </w:rPr>
        <w:fldChar w:fldCharType="separate"/>
      </w:r>
      <w:r w:rsidR="00396BE8">
        <w:rPr>
          <w:noProof/>
          <w:lang w:eastAsia="sk-SK"/>
        </w:rPr>
        <w:t>19</w:t>
      </w:r>
      <w:r w:rsidRPr="00FE37B9">
        <w:rPr>
          <w:i/>
          <w:lang w:eastAsia="sk-SK"/>
        </w:rPr>
        <w:fldChar w:fldCharType="end"/>
      </w:r>
      <w:r w:rsidRPr="00FE37B9">
        <w:rPr>
          <w:lang w:eastAsia="sk-SK"/>
        </w:rPr>
        <w:t xml:space="preserve"> - Nekonsolidovaný dlh VÚC podľa samosprávnych krajov k 31.12.202</w:t>
      </w:r>
      <w:bookmarkEnd w:id="80"/>
      <w:r w:rsidR="00FE37B9">
        <w:rPr>
          <w:lang w:eastAsia="sk-SK"/>
        </w:rPr>
        <w:t>5</w:t>
      </w:r>
      <w:bookmarkEnd w:id="81"/>
    </w:p>
    <w:tbl>
      <w:tblPr>
        <w:tblW w:w="5000" w:type="pct"/>
        <w:tblCellMar>
          <w:left w:w="70" w:type="dxa"/>
          <w:right w:w="70" w:type="dxa"/>
        </w:tblCellMar>
        <w:tblLook w:val="04A0" w:firstRow="1" w:lastRow="0" w:firstColumn="1" w:lastColumn="0" w:noHBand="0" w:noVBand="1"/>
      </w:tblPr>
      <w:tblGrid>
        <w:gridCol w:w="2367"/>
        <w:gridCol w:w="1700"/>
        <w:gridCol w:w="1654"/>
        <w:gridCol w:w="1651"/>
        <w:gridCol w:w="1698"/>
      </w:tblGrid>
      <w:tr w:rsidR="00FE37B9" w:rsidRPr="003B7D3C" w14:paraId="60049FFF" w14:textId="77777777" w:rsidTr="00105F74">
        <w:trPr>
          <w:trHeight w:val="454"/>
          <w:tblHeader/>
        </w:trPr>
        <w:tc>
          <w:tcPr>
            <w:tcW w:w="1305" w:type="pct"/>
            <w:tcBorders>
              <w:top w:val="single" w:sz="4" w:space="0" w:color="auto"/>
              <w:left w:val="nil"/>
              <w:bottom w:val="single" w:sz="4" w:space="0" w:color="auto"/>
              <w:right w:val="nil"/>
            </w:tcBorders>
            <w:noWrap/>
            <w:vAlign w:val="center"/>
            <w:hideMark/>
          </w:tcPr>
          <w:p w14:paraId="2A7CB1D8" w14:textId="77777777" w:rsidR="00FE37B9" w:rsidRPr="003B7D3C" w:rsidRDefault="00FE37B9" w:rsidP="00B6745A">
            <w:pPr>
              <w:spacing w:line="240" w:lineRule="auto"/>
              <w:rPr>
                <w:rFonts w:eastAsia="Times New Roman" w:cs="Times New Roman"/>
                <w:b/>
                <w:bCs/>
                <w:sz w:val="20"/>
                <w:szCs w:val="20"/>
                <w:lang w:eastAsia="sk-SK"/>
              </w:rPr>
            </w:pPr>
            <w:r w:rsidRPr="003B7D3C">
              <w:rPr>
                <w:rFonts w:eastAsia="Times New Roman" w:cs="Times New Roman"/>
                <w:b/>
                <w:bCs/>
                <w:sz w:val="20"/>
                <w:szCs w:val="20"/>
                <w:lang w:eastAsia="sk-SK"/>
              </w:rPr>
              <w:t>v tis. eur</w:t>
            </w:r>
          </w:p>
        </w:tc>
        <w:tc>
          <w:tcPr>
            <w:tcW w:w="937" w:type="pct"/>
            <w:tcBorders>
              <w:top w:val="single" w:sz="4" w:space="0" w:color="auto"/>
              <w:left w:val="nil"/>
              <w:bottom w:val="single" w:sz="4" w:space="0" w:color="auto"/>
              <w:right w:val="nil"/>
            </w:tcBorders>
            <w:noWrap/>
            <w:vAlign w:val="center"/>
            <w:hideMark/>
          </w:tcPr>
          <w:p w14:paraId="0CBF840A"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Bankové úvery</w:t>
            </w:r>
          </w:p>
        </w:tc>
        <w:tc>
          <w:tcPr>
            <w:tcW w:w="912" w:type="pct"/>
            <w:tcBorders>
              <w:top w:val="single" w:sz="4" w:space="0" w:color="auto"/>
              <w:left w:val="nil"/>
              <w:bottom w:val="single" w:sz="4" w:space="0" w:color="auto"/>
              <w:right w:val="nil"/>
            </w:tcBorders>
            <w:vAlign w:val="center"/>
            <w:hideMark/>
          </w:tcPr>
          <w:p w14:paraId="2A391B92"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Návratné fin. výpomoci</w:t>
            </w:r>
          </w:p>
        </w:tc>
        <w:tc>
          <w:tcPr>
            <w:tcW w:w="910" w:type="pct"/>
            <w:tcBorders>
              <w:top w:val="single" w:sz="4" w:space="0" w:color="auto"/>
              <w:left w:val="nil"/>
              <w:bottom w:val="single" w:sz="4" w:space="0" w:color="auto"/>
              <w:right w:val="nil"/>
            </w:tcBorders>
            <w:vAlign w:val="center"/>
            <w:hideMark/>
          </w:tcPr>
          <w:p w14:paraId="6BE382C2"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Ostatné dlhové nástroje</w:t>
            </w:r>
          </w:p>
        </w:tc>
        <w:tc>
          <w:tcPr>
            <w:tcW w:w="936" w:type="pct"/>
            <w:tcBorders>
              <w:top w:val="single" w:sz="4" w:space="0" w:color="auto"/>
              <w:left w:val="nil"/>
              <w:bottom w:val="single" w:sz="4" w:space="0" w:color="auto"/>
              <w:right w:val="nil"/>
            </w:tcBorders>
            <w:noWrap/>
            <w:vAlign w:val="center"/>
            <w:hideMark/>
          </w:tcPr>
          <w:p w14:paraId="121C3AB3"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Spolu</w:t>
            </w:r>
          </w:p>
        </w:tc>
      </w:tr>
      <w:tr w:rsidR="00FE37B9" w:rsidRPr="003B7D3C" w14:paraId="634ECC49" w14:textId="77777777" w:rsidTr="00FE37B9">
        <w:trPr>
          <w:trHeight w:val="290"/>
        </w:trPr>
        <w:tc>
          <w:tcPr>
            <w:tcW w:w="1305" w:type="pct"/>
            <w:tcBorders>
              <w:top w:val="nil"/>
              <w:left w:val="nil"/>
              <w:bottom w:val="nil"/>
              <w:right w:val="nil"/>
            </w:tcBorders>
            <w:noWrap/>
            <w:vAlign w:val="bottom"/>
            <w:hideMark/>
          </w:tcPr>
          <w:p w14:paraId="2C7AD19B"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Prešovský</w:t>
            </w:r>
          </w:p>
        </w:tc>
        <w:tc>
          <w:tcPr>
            <w:tcW w:w="937" w:type="pct"/>
            <w:tcBorders>
              <w:top w:val="nil"/>
              <w:left w:val="nil"/>
              <w:bottom w:val="nil"/>
              <w:right w:val="nil"/>
            </w:tcBorders>
            <w:noWrap/>
            <w:vAlign w:val="bottom"/>
            <w:hideMark/>
          </w:tcPr>
          <w:p w14:paraId="7EC7E439"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101 274</w:t>
            </w:r>
          </w:p>
        </w:tc>
        <w:tc>
          <w:tcPr>
            <w:tcW w:w="912" w:type="pct"/>
            <w:tcBorders>
              <w:top w:val="nil"/>
              <w:left w:val="nil"/>
              <w:bottom w:val="nil"/>
              <w:right w:val="nil"/>
            </w:tcBorders>
            <w:noWrap/>
            <w:vAlign w:val="bottom"/>
            <w:hideMark/>
          </w:tcPr>
          <w:p w14:paraId="558B5265"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36 509</w:t>
            </w:r>
          </w:p>
        </w:tc>
        <w:tc>
          <w:tcPr>
            <w:tcW w:w="910" w:type="pct"/>
            <w:tcBorders>
              <w:top w:val="nil"/>
              <w:left w:val="nil"/>
              <w:bottom w:val="nil"/>
              <w:right w:val="nil"/>
            </w:tcBorders>
            <w:noWrap/>
            <w:vAlign w:val="bottom"/>
            <w:hideMark/>
          </w:tcPr>
          <w:p w14:paraId="5CE4D7EA"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716</w:t>
            </w:r>
          </w:p>
        </w:tc>
        <w:tc>
          <w:tcPr>
            <w:tcW w:w="936" w:type="pct"/>
            <w:tcBorders>
              <w:top w:val="nil"/>
              <w:left w:val="nil"/>
              <w:bottom w:val="nil"/>
              <w:right w:val="nil"/>
            </w:tcBorders>
            <w:noWrap/>
            <w:vAlign w:val="bottom"/>
            <w:hideMark/>
          </w:tcPr>
          <w:p w14:paraId="523C0313"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138 499</w:t>
            </w:r>
          </w:p>
        </w:tc>
      </w:tr>
      <w:tr w:rsidR="00FE37B9" w:rsidRPr="003B7D3C" w14:paraId="72E980EB" w14:textId="77777777" w:rsidTr="00FE37B9">
        <w:trPr>
          <w:trHeight w:val="290"/>
        </w:trPr>
        <w:tc>
          <w:tcPr>
            <w:tcW w:w="1305" w:type="pct"/>
            <w:tcBorders>
              <w:top w:val="nil"/>
              <w:left w:val="nil"/>
              <w:bottom w:val="nil"/>
              <w:right w:val="nil"/>
            </w:tcBorders>
            <w:noWrap/>
            <w:vAlign w:val="bottom"/>
            <w:hideMark/>
          </w:tcPr>
          <w:p w14:paraId="61000B4C"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Bratislavský</w:t>
            </w:r>
          </w:p>
        </w:tc>
        <w:tc>
          <w:tcPr>
            <w:tcW w:w="937" w:type="pct"/>
            <w:tcBorders>
              <w:top w:val="nil"/>
              <w:left w:val="nil"/>
              <w:bottom w:val="nil"/>
              <w:right w:val="nil"/>
            </w:tcBorders>
            <w:noWrap/>
            <w:vAlign w:val="bottom"/>
            <w:hideMark/>
          </w:tcPr>
          <w:p w14:paraId="59BE4956"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67 249</w:t>
            </w:r>
          </w:p>
        </w:tc>
        <w:tc>
          <w:tcPr>
            <w:tcW w:w="912" w:type="pct"/>
            <w:tcBorders>
              <w:top w:val="nil"/>
              <w:left w:val="nil"/>
              <w:bottom w:val="nil"/>
              <w:right w:val="nil"/>
            </w:tcBorders>
            <w:noWrap/>
            <w:vAlign w:val="bottom"/>
            <w:hideMark/>
          </w:tcPr>
          <w:p w14:paraId="74104334"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44 433</w:t>
            </w:r>
          </w:p>
        </w:tc>
        <w:tc>
          <w:tcPr>
            <w:tcW w:w="910" w:type="pct"/>
            <w:tcBorders>
              <w:top w:val="nil"/>
              <w:left w:val="nil"/>
              <w:bottom w:val="nil"/>
              <w:right w:val="nil"/>
            </w:tcBorders>
            <w:noWrap/>
            <w:vAlign w:val="bottom"/>
            <w:hideMark/>
          </w:tcPr>
          <w:p w14:paraId="2EEF0F5D"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170</w:t>
            </w:r>
          </w:p>
        </w:tc>
        <w:tc>
          <w:tcPr>
            <w:tcW w:w="936" w:type="pct"/>
            <w:tcBorders>
              <w:top w:val="nil"/>
              <w:left w:val="nil"/>
              <w:bottom w:val="nil"/>
              <w:right w:val="nil"/>
            </w:tcBorders>
            <w:noWrap/>
            <w:vAlign w:val="bottom"/>
            <w:hideMark/>
          </w:tcPr>
          <w:p w14:paraId="242D24CD"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111 852</w:t>
            </w:r>
          </w:p>
        </w:tc>
      </w:tr>
      <w:tr w:rsidR="00FE37B9" w:rsidRPr="003B7D3C" w14:paraId="3EF48CC9" w14:textId="77777777" w:rsidTr="00FE37B9">
        <w:trPr>
          <w:trHeight w:val="290"/>
        </w:trPr>
        <w:tc>
          <w:tcPr>
            <w:tcW w:w="1305" w:type="pct"/>
            <w:tcBorders>
              <w:top w:val="nil"/>
              <w:left w:val="nil"/>
              <w:bottom w:val="nil"/>
              <w:right w:val="nil"/>
            </w:tcBorders>
            <w:noWrap/>
            <w:vAlign w:val="bottom"/>
            <w:hideMark/>
          </w:tcPr>
          <w:p w14:paraId="0303BD46"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Košický</w:t>
            </w:r>
          </w:p>
        </w:tc>
        <w:tc>
          <w:tcPr>
            <w:tcW w:w="937" w:type="pct"/>
            <w:tcBorders>
              <w:top w:val="nil"/>
              <w:left w:val="nil"/>
              <w:bottom w:val="nil"/>
              <w:right w:val="nil"/>
            </w:tcBorders>
            <w:noWrap/>
            <w:vAlign w:val="bottom"/>
            <w:hideMark/>
          </w:tcPr>
          <w:p w14:paraId="4180CA52"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65 969</w:t>
            </w:r>
          </w:p>
        </w:tc>
        <w:tc>
          <w:tcPr>
            <w:tcW w:w="912" w:type="pct"/>
            <w:tcBorders>
              <w:top w:val="nil"/>
              <w:left w:val="nil"/>
              <w:bottom w:val="nil"/>
              <w:right w:val="nil"/>
            </w:tcBorders>
            <w:noWrap/>
            <w:vAlign w:val="bottom"/>
            <w:hideMark/>
          </w:tcPr>
          <w:p w14:paraId="04DE85DC"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30 563</w:t>
            </w:r>
          </w:p>
        </w:tc>
        <w:tc>
          <w:tcPr>
            <w:tcW w:w="910" w:type="pct"/>
            <w:tcBorders>
              <w:top w:val="nil"/>
              <w:left w:val="nil"/>
              <w:bottom w:val="nil"/>
              <w:right w:val="nil"/>
            </w:tcBorders>
            <w:noWrap/>
            <w:vAlign w:val="bottom"/>
            <w:hideMark/>
          </w:tcPr>
          <w:p w14:paraId="67C1F9C6"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9 335</w:t>
            </w:r>
          </w:p>
        </w:tc>
        <w:tc>
          <w:tcPr>
            <w:tcW w:w="936" w:type="pct"/>
            <w:tcBorders>
              <w:top w:val="nil"/>
              <w:left w:val="nil"/>
              <w:bottom w:val="nil"/>
              <w:right w:val="nil"/>
            </w:tcBorders>
            <w:noWrap/>
            <w:vAlign w:val="bottom"/>
            <w:hideMark/>
          </w:tcPr>
          <w:p w14:paraId="17980B41"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105 867</w:t>
            </w:r>
          </w:p>
        </w:tc>
      </w:tr>
      <w:tr w:rsidR="00FE37B9" w:rsidRPr="003B7D3C" w14:paraId="20C8E578" w14:textId="77777777" w:rsidTr="00FE37B9">
        <w:trPr>
          <w:trHeight w:val="290"/>
        </w:trPr>
        <w:tc>
          <w:tcPr>
            <w:tcW w:w="1305" w:type="pct"/>
            <w:tcBorders>
              <w:top w:val="nil"/>
              <w:left w:val="nil"/>
              <w:bottom w:val="nil"/>
              <w:right w:val="nil"/>
            </w:tcBorders>
            <w:noWrap/>
            <w:vAlign w:val="bottom"/>
            <w:hideMark/>
          </w:tcPr>
          <w:p w14:paraId="46C9E27F"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Banskobystrický</w:t>
            </w:r>
          </w:p>
        </w:tc>
        <w:tc>
          <w:tcPr>
            <w:tcW w:w="937" w:type="pct"/>
            <w:tcBorders>
              <w:top w:val="nil"/>
              <w:left w:val="nil"/>
              <w:bottom w:val="nil"/>
              <w:right w:val="nil"/>
            </w:tcBorders>
            <w:noWrap/>
            <w:vAlign w:val="bottom"/>
            <w:hideMark/>
          </w:tcPr>
          <w:p w14:paraId="4A02F60E"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59 584</w:t>
            </w:r>
          </w:p>
        </w:tc>
        <w:tc>
          <w:tcPr>
            <w:tcW w:w="912" w:type="pct"/>
            <w:tcBorders>
              <w:top w:val="nil"/>
              <w:left w:val="nil"/>
              <w:bottom w:val="nil"/>
              <w:right w:val="nil"/>
            </w:tcBorders>
            <w:noWrap/>
            <w:vAlign w:val="bottom"/>
            <w:hideMark/>
          </w:tcPr>
          <w:p w14:paraId="6EA661B5"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23 079</w:t>
            </w:r>
          </w:p>
        </w:tc>
        <w:tc>
          <w:tcPr>
            <w:tcW w:w="910" w:type="pct"/>
            <w:tcBorders>
              <w:top w:val="nil"/>
              <w:left w:val="nil"/>
              <w:bottom w:val="nil"/>
              <w:right w:val="nil"/>
            </w:tcBorders>
            <w:noWrap/>
            <w:vAlign w:val="bottom"/>
            <w:hideMark/>
          </w:tcPr>
          <w:p w14:paraId="7FFF48CC"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1 630</w:t>
            </w:r>
          </w:p>
        </w:tc>
        <w:tc>
          <w:tcPr>
            <w:tcW w:w="936" w:type="pct"/>
            <w:tcBorders>
              <w:top w:val="nil"/>
              <w:left w:val="nil"/>
              <w:bottom w:val="nil"/>
              <w:right w:val="nil"/>
            </w:tcBorders>
            <w:noWrap/>
            <w:vAlign w:val="bottom"/>
            <w:hideMark/>
          </w:tcPr>
          <w:p w14:paraId="7F98B79C"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84 293</w:t>
            </w:r>
          </w:p>
        </w:tc>
      </w:tr>
      <w:tr w:rsidR="00FE37B9" w:rsidRPr="003B7D3C" w14:paraId="0E8341B1" w14:textId="77777777" w:rsidTr="00FE37B9">
        <w:trPr>
          <w:trHeight w:val="290"/>
        </w:trPr>
        <w:tc>
          <w:tcPr>
            <w:tcW w:w="1305" w:type="pct"/>
            <w:tcBorders>
              <w:top w:val="nil"/>
              <w:left w:val="nil"/>
              <w:bottom w:val="nil"/>
              <w:right w:val="nil"/>
            </w:tcBorders>
            <w:noWrap/>
            <w:vAlign w:val="bottom"/>
            <w:hideMark/>
          </w:tcPr>
          <w:p w14:paraId="5617E191"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Žilinský</w:t>
            </w:r>
          </w:p>
        </w:tc>
        <w:tc>
          <w:tcPr>
            <w:tcW w:w="937" w:type="pct"/>
            <w:tcBorders>
              <w:top w:val="nil"/>
              <w:left w:val="nil"/>
              <w:bottom w:val="nil"/>
              <w:right w:val="nil"/>
            </w:tcBorders>
            <w:noWrap/>
            <w:vAlign w:val="bottom"/>
            <w:hideMark/>
          </w:tcPr>
          <w:p w14:paraId="6D35619F"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51 569</w:t>
            </w:r>
          </w:p>
        </w:tc>
        <w:tc>
          <w:tcPr>
            <w:tcW w:w="912" w:type="pct"/>
            <w:tcBorders>
              <w:top w:val="nil"/>
              <w:left w:val="nil"/>
              <w:bottom w:val="nil"/>
              <w:right w:val="nil"/>
            </w:tcBorders>
            <w:noWrap/>
            <w:vAlign w:val="bottom"/>
            <w:hideMark/>
          </w:tcPr>
          <w:p w14:paraId="33EF0AD2"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29 515</w:t>
            </w:r>
          </w:p>
        </w:tc>
        <w:tc>
          <w:tcPr>
            <w:tcW w:w="910" w:type="pct"/>
            <w:tcBorders>
              <w:top w:val="nil"/>
              <w:left w:val="nil"/>
              <w:bottom w:val="nil"/>
              <w:right w:val="nil"/>
            </w:tcBorders>
            <w:noWrap/>
            <w:vAlign w:val="bottom"/>
            <w:hideMark/>
          </w:tcPr>
          <w:p w14:paraId="747EF014"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213</w:t>
            </w:r>
          </w:p>
        </w:tc>
        <w:tc>
          <w:tcPr>
            <w:tcW w:w="936" w:type="pct"/>
            <w:tcBorders>
              <w:top w:val="nil"/>
              <w:left w:val="nil"/>
              <w:bottom w:val="nil"/>
              <w:right w:val="nil"/>
            </w:tcBorders>
            <w:noWrap/>
            <w:vAlign w:val="bottom"/>
            <w:hideMark/>
          </w:tcPr>
          <w:p w14:paraId="44CD2EA5"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81 297</w:t>
            </w:r>
          </w:p>
        </w:tc>
      </w:tr>
      <w:tr w:rsidR="00FE37B9" w:rsidRPr="003B7D3C" w14:paraId="0AC18BF8" w14:textId="77777777" w:rsidTr="00FE37B9">
        <w:trPr>
          <w:trHeight w:val="290"/>
        </w:trPr>
        <w:tc>
          <w:tcPr>
            <w:tcW w:w="1305" w:type="pct"/>
            <w:tcBorders>
              <w:top w:val="nil"/>
              <w:left w:val="nil"/>
              <w:bottom w:val="nil"/>
              <w:right w:val="nil"/>
            </w:tcBorders>
            <w:noWrap/>
            <w:vAlign w:val="bottom"/>
            <w:hideMark/>
          </w:tcPr>
          <w:p w14:paraId="5C7BDD4B"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Trenčiansky</w:t>
            </w:r>
          </w:p>
        </w:tc>
        <w:tc>
          <w:tcPr>
            <w:tcW w:w="937" w:type="pct"/>
            <w:tcBorders>
              <w:top w:val="nil"/>
              <w:left w:val="nil"/>
              <w:bottom w:val="nil"/>
              <w:right w:val="nil"/>
            </w:tcBorders>
            <w:noWrap/>
            <w:vAlign w:val="bottom"/>
            <w:hideMark/>
          </w:tcPr>
          <w:p w14:paraId="16E576B7"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55 349</w:t>
            </w:r>
          </w:p>
        </w:tc>
        <w:tc>
          <w:tcPr>
            <w:tcW w:w="912" w:type="pct"/>
            <w:tcBorders>
              <w:top w:val="nil"/>
              <w:left w:val="nil"/>
              <w:bottom w:val="nil"/>
              <w:right w:val="nil"/>
            </w:tcBorders>
            <w:noWrap/>
            <w:vAlign w:val="bottom"/>
            <w:hideMark/>
          </w:tcPr>
          <w:p w14:paraId="7C08169B"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14 681</w:t>
            </w:r>
          </w:p>
        </w:tc>
        <w:tc>
          <w:tcPr>
            <w:tcW w:w="910" w:type="pct"/>
            <w:tcBorders>
              <w:top w:val="nil"/>
              <w:left w:val="nil"/>
              <w:bottom w:val="nil"/>
              <w:right w:val="nil"/>
            </w:tcBorders>
            <w:noWrap/>
            <w:vAlign w:val="bottom"/>
            <w:hideMark/>
          </w:tcPr>
          <w:p w14:paraId="5D582720"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818</w:t>
            </w:r>
          </w:p>
        </w:tc>
        <w:tc>
          <w:tcPr>
            <w:tcW w:w="936" w:type="pct"/>
            <w:tcBorders>
              <w:top w:val="nil"/>
              <w:left w:val="nil"/>
              <w:bottom w:val="nil"/>
              <w:right w:val="nil"/>
            </w:tcBorders>
            <w:noWrap/>
            <w:vAlign w:val="bottom"/>
            <w:hideMark/>
          </w:tcPr>
          <w:p w14:paraId="19E1E958"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70 848</w:t>
            </w:r>
          </w:p>
        </w:tc>
      </w:tr>
      <w:tr w:rsidR="00FE37B9" w:rsidRPr="003B7D3C" w14:paraId="39E5ACAE" w14:textId="77777777" w:rsidTr="00FE37B9">
        <w:trPr>
          <w:trHeight w:val="290"/>
        </w:trPr>
        <w:tc>
          <w:tcPr>
            <w:tcW w:w="1305" w:type="pct"/>
            <w:tcBorders>
              <w:top w:val="nil"/>
              <w:left w:val="nil"/>
              <w:bottom w:val="nil"/>
              <w:right w:val="nil"/>
            </w:tcBorders>
            <w:noWrap/>
            <w:vAlign w:val="bottom"/>
            <w:hideMark/>
          </w:tcPr>
          <w:p w14:paraId="3E236902"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Trnavský</w:t>
            </w:r>
          </w:p>
        </w:tc>
        <w:tc>
          <w:tcPr>
            <w:tcW w:w="937" w:type="pct"/>
            <w:tcBorders>
              <w:top w:val="nil"/>
              <w:left w:val="nil"/>
              <w:bottom w:val="nil"/>
              <w:right w:val="nil"/>
            </w:tcBorders>
            <w:noWrap/>
            <w:vAlign w:val="bottom"/>
            <w:hideMark/>
          </w:tcPr>
          <w:p w14:paraId="6F80493D"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49 790</w:t>
            </w:r>
          </w:p>
        </w:tc>
        <w:tc>
          <w:tcPr>
            <w:tcW w:w="912" w:type="pct"/>
            <w:tcBorders>
              <w:top w:val="nil"/>
              <w:left w:val="nil"/>
              <w:bottom w:val="nil"/>
              <w:right w:val="nil"/>
            </w:tcBorders>
            <w:noWrap/>
            <w:vAlign w:val="bottom"/>
            <w:hideMark/>
          </w:tcPr>
          <w:p w14:paraId="2786AF5C"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10 129</w:t>
            </w:r>
          </w:p>
        </w:tc>
        <w:tc>
          <w:tcPr>
            <w:tcW w:w="910" w:type="pct"/>
            <w:tcBorders>
              <w:top w:val="nil"/>
              <w:left w:val="nil"/>
              <w:bottom w:val="nil"/>
              <w:right w:val="nil"/>
            </w:tcBorders>
            <w:noWrap/>
            <w:vAlign w:val="bottom"/>
            <w:hideMark/>
          </w:tcPr>
          <w:p w14:paraId="75021C2F"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335</w:t>
            </w:r>
          </w:p>
        </w:tc>
        <w:tc>
          <w:tcPr>
            <w:tcW w:w="936" w:type="pct"/>
            <w:tcBorders>
              <w:top w:val="nil"/>
              <w:left w:val="nil"/>
              <w:bottom w:val="nil"/>
              <w:right w:val="nil"/>
            </w:tcBorders>
            <w:noWrap/>
            <w:vAlign w:val="bottom"/>
            <w:hideMark/>
          </w:tcPr>
          <w:p w14:paraId="6D002704"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60 254</w:t>
            </w:r>
          </w:p>
        </w:tc>
      </w:tr>
      <w:tr w:rsidR="00FE37B9" w:rsidRPr="003B7D3C" w14:paraId="7CC9CE21" w14:textId="77777777" w:rsidTr="00FE37B9">
        <w:trPr>
          <w:trHeight w:val="290"/>
        </w:trPr>
        <w:tc>
          <w:tcPr>
            <w:tcW w:w="1305" w:type="pct"/>
            <w:tcBorders>
              <w:top w:val="nil"/>
              <w:left w:val="nil"/>
              <w:bottom w:val="nil"/>
              <w:right w:val="nil"/>
            </w:tcBorders>
            <w:noWrap/>
            <w:vAlign w:val="bottom"/>
            <w:hideMark/>
          </w:tcPr>
          <w:p w14:paraId="3B1E5C2A" w14:textId="77777777" w:rsidR="00FE37B9" w:rsidRPr="003B7D3C" w:rsidRDefault="00FE37B9" w:rsidP="00B6745A">
            <w:pPr>
              <w:spacing w:line="240" w:lineRule="auto"/>
              <w:rPr>
                <w:rFonts w:eastAsia="Times New Roman" w:cs="Times New Roman"/>
                <w:sz w:val="20"/>
                <w:szCs w:val="20"/>
                <w:lang w:eastAsia="sk-SK"/>
              </w:rPr>
            </w:pPr>
            <w:r w:rsidRPr="003B7D3C">
              <w:rPr>
                <w:rFonts w:eastAsia="Times New Roman" w:cs="Times New Roman"/>
                <w:sz w:val="20"/>
                <w:szCs w:val="20"/>
                <w:lang w:eastAsia="sk-SK"/>
              </w:rPr>
              <w:t>Nitriansky</w:t>
            </w:r>
          </w:p>
        </w:tc>
        <w:tc>
          <w:tcPr>
            <w:tcW w:w="937" w:type="pct"/>
            <w:tcBorders>
              <w:top w:val="nil"/>
              <w:left w:val="nil"/>
              <w:bottom w:val="nil"/>
              <w:right w:val="nil"/>
            </w:tcBorders>
            <w:noWrap/>
            <w:vAlign w:val="bottom"/>
            <w:hideMark/>
          </w:tcPr>
          <w:p w14:paraId="16C27FA4"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9 364</w:t>
            </w:r>
          </w:p>
        </w:tc>
        <w:tc>
          <w:tcPr>
            <w:tcW w:w="912" w:type="pct"/>
            <w:tcBorders>
              <w:top w:val="nil"/>
              <w:left w:val="nil"/>
              <w:bottom w:val="nil"/>
              <w:right w:val="nil"/>
            </w:tcBorders>
            <w:noWrap/>
            <w:vAlign w:val="bottom"/>
            <w:hideMark/>
          </w:tcPr>
          <w:p w14:paraId="3EA77BE3"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15 668</w:t>
            </w:r>
          </w:p>
        </w:tc>
        <w:tc>
          <w:tcPr>
            <w:tcW w:w="910" w:type="pct"/>
            <w:tcBorders>
              <w:top w:val="nil"/>
              <w:left w:val="nil"/>
              <w:bottom w:val="nil"/>
              <w:right w:val="nil"/>
            </w:tcBorders>
            <w:noWrap/>
            <w:vAlign w:val="bottom"/>
            <w:hideMark/>
          </w:tcPr>
          <w:p w14:paraId="3A488DFB"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241</w:t>
            </w:r>
          </w:p>
        </w:tc>
        <w:tc>
          <w:tcPr>
            <w:tcW w:w="936" w:type="pct"/>
            <w:tcBorders>
              <w:top w:val="nil"/>
              <w:left w:val="nil"/>
              <w:bottom w:val="nil"/>
              <w:right w:val="nil"/>
            </w:tcBorders>
            <w:noWrap/>
            <w:vAlign w:val="bottom"/>
            <w:hideMark/>
          </w:tcPr>
          <w:p w14:paraId="0C7B99D9" w14:textId="77777777" w:rsidR="00FE37B9" w:rsidRPr="003B7D3C" w:rsidRDefault="00FE37B9" w:rsidP="00B6745A">
            <w:pPr>
              <w:spacing w:line="240" w:lineRule="auto"/>
              <w:jc w:val="center"/>
              <w:rPr>
                <w:rFonts w:eastAsia="Times New Roman" w:cs="Times New Roman"/>
                <w:sz w:val="20"/>
                <w:szCs w:val="20"/>
                <w:lang w:eastAsia="sk-SK"/>
              </w:rPr>
            </w:pPr>
            <w:r w:rsidRPr="003B7D3C">
              <w:rPr>
                <w:rFonts w:eastAsia="Times New Roman" w:cs="Times New Roman"/>
                <w:sz w:val="20"/>
                <w:szCs w:val="20"/>
                <w:lang w:eastAsia="sk-SK"/>
              </w:rPr>
              <w:t>25 273</w:t>
            </w:r>
          </w:p>
        </w:tc>
      </w:tr>
      <w:tr w:rsidR="00FE37B9" w:rsidRPr="003B7D3C" w14:paraId="40EB3DE6" w14:textId="77777777" w:rsidTr="00105F74">
        <w:trPr>
          <w:trHeight w:val="211"/>
        </w:trPr>
        <w:tc>
          <w:tcPr>
            <w:tcW w:w="1305" w:type="pct"/>
            <w:tcBorders>
              <w:top w:val="single" w:sz="4" w:space="0" w:color="auto"/>
              <w:left w:val="nil"/>
              <w:bottom w:val="single" w:sz="4" w:space="0" w:color="auto"/>
              <w:right w:val="nil"/>
            </w:tcBorders>
            <w:noWrap/>
            <w:vAlign w:val="bottom"/>
            <w:hideMark/>
          </w:tcPr>
          <w:p w14:paraId="64F5BFF2" w14:textId="77777777" w:rsidR="00FE37B9" w:rsidRPr="003B7D3C" w:rsidRDefault="00FE37B9" w:rsidP="00B6745A">
            <w:pPr>
              <w:spacing w:line="240" w:lineRule="auto"/>
              <w:rPr>
                <w:rFonts w:eastAsia="Times New Roman" w:cs="Times New Roman"/>
                <w:b/>
                <w:bCs/>
                <w:sz w:val="20"/>
                <w:szCs w:val="20"/>
                <w:lang w:eastAsia="sk-SK"/>
              </w:rPr>
            </w:pPr>
            <w:r w:rsidRPr="003B7D3C">
              <w:rPr>
                <w:rFonts w:eastAsia="Times New Roman" w:cs="Times New Roman"/>
                <w:b/>
                <w:bCs/>
                <w:sz w:val="20"/>
                <w:szCs w:val="20"/>
                <w:lang w:eastAsia="sk-SK"/>
              </w:rPr>
              <w:t>Spolu VÚC</w:t>
            </w:r>
          </w:p>
        </w:tc>
        <w:tc>
          <w:tcPr>
            <w:tcW w:w="937" w:type="pct"/>
            <w:tcBorders>
              <w:top w:val="single" w:sz="4" w:space="0" w:color="auto"/>
              <w:left w:val="nil"/>
              <w:bottom w:val="single" w:sz="4" w:space="0" w:color="auto"/>
              <w:right w:val="nil"/>
            </w:tcBorders>
            <w:noWrap/>
            <w:vAlign w:val="bottom"/>
            <w:hideMark/>
          </w:tcPr>
          <w:p w14:paraId="42D19FC6"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460 148</w:t>
            </w:r>
          </w:p>
        </w:tc>
        <w:tc>
          <w:tcPr>
            <w:tcW w:w="912" w:type="pct"/>
            <w:tcBorders>
              <w:top w:val="single" w:sz="4" w:space="0" w:color="auto"/>
              <w:left w:val="nil"/>
              <w:bottom w:val="single" w:sz="4" w:space="0" w:color="auto"/>
              <w:right w:val="nil"/>
            </w:tcBorders>
            <w:noWrap/>
            <w:vAlign w:val="bottom"/>
            <w:hideMark/>
          </w:tcPr>
          <w:p w14:paraId="7EEB483E"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204 577</w:t>
            </w:r>
          </w:p>
        </w:tc>
        <w:tc>
          <w:tcPr>
            <w:tcW w:w="910" w:type="pct"/>
            <w:tcBorders>
              <w:top w:val="single" w:sz="4" w:space="0" w:color="auto"/>
              <w:left w:val="nil"/>
              <w:bottom w:val="single" w:sz="4" w:space="0" w:color="auto"/>
              <w:right w:val="nil"/>
            </w:tcBorders>
            <w:noWrap/>
            <w:vAlign w:val="bottom"/>
            <w:hideMark/>
          </w:tcPr>
          <w:p w14:paraId="233F6025"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13 458</w:t>
            </w:r>
          </w:p>
        </w:tc>
        <w:tc>
          <w:tcPr>
            <w:tcW w:w="936" w:type="pct"/>
            <w:tcBorders>
              <w:top w:val="single" w:sz="4" w:space="0" w:color="auto"/>
              <w:left w:val="nil"/>
              <w:bottom w:val="single" w:sz="4" w:space="0" w:color="auto"/>
              <w:right w:val="nil"/>
            </w:tcBorders>
            <w:noWrap/>
            <w:vAlign w:val="bottom"/>
            <w:hideMark/>
          </w:tcPr>
          <w:p w14:paraId="51583B64" w14:textId="77777777" w:rsidR="00FE37B9" w:rsidRPr="003B7D3C" w:rsidRDefault="00FE37B9" w:rsidP="00B6745A">
            <w:pPr>
              <w:spacing w:line="240" w:lineRule="auto"/>
              <w:jc w:val="center"/>
              <w:rPr>
                <w:rFonts w:eastAsia="Times New Roman" w:cs="Times New Roman"/>
                <w:b/>
                <w:bCs/>
                <w:sz w:val="20"/>
                <w:szCs w:val="20"/>
                <w:lang w:eastAsia="sk-SK"/>
              </w:rPr>
            </w:pPr>
            <w:r w:rsidRPr="003B7D3C">
              <w:rPr>
                <w:rFonts w:eastAsia="Times New Roman" w:cs="Times New Roman"/>
                <w:b/>
                <w:bCs/>
                <w:sz w:val="20"/>
                <w:szCs w:val="20"/>
                <w:lang w:eastAsia="sk-SK"/>
              </w:rPr>
              <w:t>678 183</w:t>
            </w:r>
          </w:p>
        </w:tc>
      </w:tr>
    </w:tbl>
    <w:p w14:paraId="5CB7518A" w14:textId="11FCDEF0" w:rsidR="009A05C7" w:rsidRPr="0050710A" w:rsidRDefault="004942CF" w:rsidP="004942CF">
      <w:pPr>
        <w:keepNext/>
        <w:tabs>
          <w:tab w:val="right" w:pos="9070"/>
        </w:tabs>
        <w:spacing w:line="240" w:lineRule="auto"/>
        <w:jc w:val="both"/>
        <w:rPr>
          <w:sz w:val="18"/>
          <w:szCs w:val="18"/>
          <w:highlight w:val="yellow"/>
        </w:rPr>
      </w:pPr>
      <w:r w:rsidRPr="00FE37B9">
        <w:rPr>
          <w:sz w:val="18"/>
          <w:szCs w:val="18"/>
        </w:rPr>
        <w:tab/>
      </w:r>
      <w:r w:rsidR="009A05C7" w:rsidRPr="00FE37B9">
        <w:rPr>
          <w:sz w:val="18"/>
          <w:szCs w:val="18"/>
        </w:rPr>
        <w:t>Zdroj: MF SR</w:t>
      </w:r>
    </w:p>
    <w:p w14:paraId="59E0987B" w14:textId="77777777" w:rsidR="00415273" w:rsidRPr="0050710A" w:rsidRDefault="00415273" w:rsidP="00532D85">
      <w:pPr>
        <w:spacing w:line="240" w:lineRule="auto"/>
        <w:jc w:val="both"/>
        <w:rPr>
          <w:szCs w:val="24"/>
          <w:highlight w:val="yellow"/>
        </w:rPr>
      </w:pPr>
    </w:p>
    <w:p w14:paraId="1803BFC5" w14:textId="77777777" w:rsidR="00C164B8" w:rsidRPr="0050710A" w:rsidRDefault="00C164B8" w:rsidP="00C164B8">
      <w:pPr>
        <w:spacing w:line="240" w:lineRule="auto"/>
        <w:jc w:val="both"/>
        <w:rPr>
          <w:szCs w:val="24"/>
          <w:highlight w:val="yellow"/>
        </w:rPr>
      </w:pPr>
      <w:r w:rsidRPr="009842F4">
        <w:rPr>
          <w:szCs w:val="24"/>
        </w:rPr>
        <w:t>Z celkového dlhu VÚC predstavujú záväzky voči domácim veriteľom 414 526 tis. eur (61,1 %) a voči zahraničným veriteľom 263 657 tis. eur (38,9 %). Úvermi od zahraničných veriteľov disponuje Prešovský (71 778 tis. eur), Bratislavský (46 955 tis. eur), Košický (46 954 tis. eur), Trnavský (43 292 tis. eur), Žilinský (27 700 tis. eur) a aj Trenčiansky samosprávny kraj (26 915 tis. eur). Z hľadiska pôvodnej splatnosti je dlh VÚC majoritne tvorený dlhodobými záväzkami (98,1 %).</w:t>
      </w:r>
    </w:p>
    <w:p w14:paraId="65A3307E" w14:textId="77777777" w:rsidR="00415273" w:rsidRPr="0050710A" w:rsidRDefault="00415273" w:rsidP="00532D85">
      <w:pPr>
        <w:spacing w:line="240" w:lineRule="auto"/>
        <w:jc w:val="both"/>
        <w:rPr>
          <w:b/>
          <w:szCs w:val="24"/>
          <w:highlight w:val="yellow"/>
        </w:rPr>
      </w:pPr>
    </w:p>
    <w:p w14:paraId="03902EA7" w14:textId="77777777" w:rsidR="00C164B8" w:rsidRPr="00061260" w:rsidRDefault="00C164B8" w:rsidP="00C164B8">
      <w:pPr>
        <w:spacing w:line="240" w:lineRule="auto"/>
        <w:jc w:val="both"/>
        <w:rPr>
          <w:szCs w:val="24"/>
        </w:rPr>
      </w:pPr>
      <w:r w:rsidRPr="00061260">
        <w:rPr>
          <w:b/>
          <w:szCs w:val="24"/>
        </w:rPr>
        <w:t>Obchodné spoločnosti štátu</w:t>
      </w:r>
      <w:r w:rsidRPr="00061260">
        <w:rPr>
          <w:szCs w:val="24"/>
        </w:rPr>
        <w:t xml:space="preserve"> (patriace do ústrednej správy) majú po štátnom dlhu, obciach a VÚC najväčší podiel na konsolidovanom dlhu verejnej správy (0,6 %).</w:t>
      </w:r>
    </w:p>
    <w:p w14:paraId="4D5A64AE" w14:textId="77777777" w:rsidR="00C164B8" w:rsidRPr="0050710A" w:rsidRDefault="00C164B8" w:rsidP="00C164B8">
      <w:pPr>
        <w:spacing w:line="240" w:lineRule="auto"/>
        <w:jc w:val="both"/>
        <w:rPr>
          <w:szCs w:val="24"/>
          <w:highlight w:val="yellow"/>
        </w:rPr>
      </w:pPr>
    </w:p>
    <w:p w14:paraId="1FD54C66" w14:textId="6F54F5EC" w:rsidR="00C164B8" w:rsidRPr="0050710A" w:rsidRDefault="00C164B8" w:rsidP="00C164B8">
      <w:pPr>
        <w:spacing w:line="240" w:lineRule="auto"/>
        <w:jc w:val="both"/>
        <w:rPr>
          <w:szCs w:val="24"/>
          <w:highlight w:val="yellow"/>
        </w:rPr>
      </w:pPr>
      <w:r w:rsidRPr="00061260">
        <w:rPr>
          <w:szCs w:val="24"/>
        </w:rPr>
        <w:t xml:space="preserve">Dlh </w:t>
      </w:r>
      <w:r w:rsidRPr="00061260">
        <w:rPr>
          <w:b/>
          <w:szCs w:val="24"/>
        </w:rPr>
        <w:t>Železničnej spoločnosti Slovensko, a. s.</w:t>
      </w:r>
      <w:r w:rsidR="00467F0B">
        <w:rPr>
          <w:b/>
          <w:szCs w:val="24"/>
        </w:rPr>
        <w:t>,</w:t>
      </w:r>
      <w:r w:rsidRPr="00061260">
        <w:rPr>
          <w:b/>
          <w:szCs w:val="24"/>
        </w:rPr>
        <w:t xml:space="preserve"> (ŽSSK)</w:t>
      </w:r>
      <w:r w:rsidRPr="00061260">
        <w:rPr>
          <w:szCs w:val="24"/>
        </w:rPr>
        <w:t xml:space="preserve">, ktorý dosiahol v roku 2025 hodnotu 307 271 tis. eur, sa medziročne zvýšil </w:t>
      </w:r>
      <w:r w:rsidR="00DA7858">
        <w:rPr>
          <w:szCs w:val="24"/>
        </w:rPr>
        <w:t xml:space="preserve">úhrnom len </w:t>
      </w:r>
      <w:r w:rsidRPr="00061260">
        <w:rPr>
          <w:szCs w:val="24"/>
        </w:rPr>
        <w:t xml:space="preserve">o 569 tis. eur </w:t>
      </w:r>
      <w:r w:rsidRPr="00A27F93">
        <w:rPr>
          <w:szCs w:val="24"/>
        </w:rPr>
        <w:t xml:space="preserve">vzhľadom na to, že výška úverov načerpaných počas roka 2025 bola vyššia ako splácanie úverov prijatých v predchádzajúcich rokoch. Prostriedky sú využívané na financovanie projektov zrýchlenia a skvalitnenia osobnej dopravy, s čím sú spojené nároky na modernizáciu, obnovu a údržbu vozňov a rušňov. </w:t>
      </w:r>
      <w:r w:rsidRPr="00061260">
        <w:rPr>
          <w:szCs w:val="24"/>
        </w:rPr>
        <w:t>Dlh ŽSSK tvoria bankové úvery od tuzemských veriteľov vo výške 306 634 tis. eur a krátkodobé zábezpeky v hodnote 637 tis. eur.</w:t>
      </w:r>
    </w:p>
    <w:p w14:paraId="54E0AFD5" w14:textId="77777777" w:rsidR="00C164B8" w:rsidRPr="0050710A" w:rsidRDefault="00C164B8" w:rsidP="00C164B8">
      <w:pPr>
        <w:spacing w:line="240" w:lineRule="auto"/>
        <w:jc w:val="both"/>
        <w:rPr>
          <w:szCs w:val="24"/>
          <w:highlight w:val="yellow"/>
        </w:rPr>
      </w:pPr>
    </w:p>
    <w:p w14:paraId="37CB5BA7" w14:textId="296B4430" w:rsidR="00C164B8" w:rsidRDefault="00C164B8" w:rsidP="00C164B8">
      <w:pPr>
        <w:spacing w:line="240" w:lineRule="auto"/>
        <w:jc w:val="both"/>
        <w:rPr>
          <w:szCs w:val="24"/>
        </w:rPr>
      </w:pPr>
      <w:r w:rsidRPr="00BC61ED">
        <w:rPr>
          <w:szCs w:val="24"/>
        </w:rPr>
        <w:t xml:space="preserve">Dlh </w:t>
      </w:r>
      <w:r w:rsidRPr="00BC61ED">
        <w:rPr>
          <w:b/>
          <w:szCs w:val="24"/>
        </w:rPr>
        <w:t xml:space="preserve">Železníc Slovenskej republiky (ŽSR), </w:t>
      </w:r>
      <w:r w:rsidRPr="00BC61ED">
        <w:rPr>
          <w:szCs w:val="24"/>
        </w:rPr>
        <w:t xml:space="preserve">ktoré spravujú </w:t>
      </w:r>
      <w:r w:rsidR="00936B4C">
        <w:rPr>
          <w:szCs w:val="24"/>
        </w:rPr>
        <w:t xml:space="preserve">a modernizujú </w:t>
      </w:r>
      <w:r w:rsidRPr="00BC61ED">
        <w:rPr>
          <w:szCs w:val="24"/>
        </w:rPr>
        <w:t>železničnú infraštruktúru vo vlastníctve štátu,</w:t>
      </w:r>
      <w:r w:rsidRPr="00BC61ED">
        <w:rPr>
          <w:b/>
          <w:szCs w:val="24"/>
        </w:rPr>
        <w:t xml:space="preserve"> </w:t>
      </w:r>
      <w:r w:rsidRPr="00BC61ED">
        <w:rPr>
          <w:szCs w:val="24"/>
        </w:rPr>
        <w:t>dosiahol v roku 2025 hodnotu 92 033 tis. eur, čo je o 16 524 tis. eur menej oproti stavu v roku 2024. Dlh predstavujú v prevažnej miere dlhodobé bankové úvery od tuzemských veriteľov vo výške 32 725 tis. eur, ktorých hodnota oproti minulému roku klesla o 15 362 tis. eur vzhľadom na to, že splátky úverov prevyšujú čerpanie. Úroveň pôžičky od National Development Fund II., a. s.</w:t>
      </w:r>
      <w:r w:rsidR="00467F0B">
        <w:rPr>
          <w:szCs w:val="24"/>
        </w:rPr>
        <w:t>,</w:t>
      </w:r>
      <w:r w:rsidRPr="00BC61ED">
        <w:rPr>
          <w:szCs w:val="24"/>
        </w:rPr>
        <w:t xml:space="preserve"> dosiahla 56 237 tis.</w:t>
      </w:r>
      <w:r w:rsidR="0091008D">
        <w:rPr>
          <w:szCs w:val="24"/>
        </w:rPr>
        <w:t> </w:t>
      </w:r>
      <w:r w:rsidRPr="00BC61ED">
        <w:rPr>
          <w:szCs w:val="24"/>
        </w:rPr>
        <w:t>eur.</w:t>
      </w:r>
      <w:r w:rsidR="00936B4C">
        <w:rPr>
          <w:szCs w:val="24"/>
        </w:rPr>
        <w:t xml:space="preserve"> </w:t>
      </w:r>
      <w:r w:rsidRPr="00BC61ED">
        <w:rPr>
          <w:szCs w:val="24"/>
        </w:rPr>
        <w:t>Zvyšnú časť dlhu tvoria krátkodobé zábezpeky vo výške 1 691 tis. eur a dlhodobé záväzky z obchodného styku a prijaté preddavky vo výške 1 380 tis. eur.</w:t>
      </w:r>
    </w:p>
    <w:p w14:paraId="0F87E552" w14:textId="77777777" w:rsidR="00C164B8" w:rsidRDefault="00C164B8" w:rsidP="00C164B8">
      <w:pPr>
        <w:spacing w:line="240" w:lineRule="auto"/>
        <w:jc w:val="both"/>
        <w:rPr>
          <w:szCs w:val="24"/>
        </w:rPr>
      </w:pPr>
    </w:p>
    <w:p w14:paraId="6B75317C" w14:textId="1323BD2E" w:rsidR="00C164B8" w:rsidRPr="00BC61ED" w:rsidRDefault="00C164B8" w:rsidP="00C164B8">
      <w:pPr>
        <w:spacing w:line="240" w:lineRule="auto"/>
        <w:jc w:val="both"/>
        <w:rPr>
          <w:b/>
          <w:szCs w:val="24"/>
        </w:rPr>
      </w:pPr>
      <w:r>
        <w:rPr>
          <w:szCs w:val="24"/>
        </w:rPr>
        <w:lastRenderedPageBreak/>
        <w:t xml:space="preserve">Dlh </w:t>
      </w:r>
      <w:r w:rsidRPr="00B04CB7">
        <w:rPr>
          <w:b/>
          <w:bCs/>
          <w:szCs w:val="24"/>
        </w:rPr>
        <w:t>Národnej diaľničnej spoločnosti,</w:t>
      </w:r>
      <w:r w:rsidR="0091008D">
        <w:rPr>
          <w:b/>
          <w:bCs/>
          <w:szCs w:val="24"/>
        </w:rPr>
        <w:t> </w:t>
      </w:r>
      <w:r w:rsidRPr="00B04CB7">
        <w:rPr>
          <w:b/>
          <w:bCs/>
          <w:szCs w:val="24"/>
        </w:rPr>
        <w:t>a. </w:t>
      </w:r>
      <w:r w:rsidRPr="00467F0B">
        <w:rPr>
          <w:b/>
          <w:bCs/>
          <w:szCs w:val="24"/>
        </w:rPr>
        <w:t>s.</w:t>
      </w:r>
      <w:r w:rsidR="00467F0B">
        <w:rPr>
          <w:szCs w:val="24"/>
        </w:rPr>
        <w:t>,</w:t>
      </w:r>
      <w:r>
        <w:rPr>
          <w:szCs w:val="24"/>
        </w:rPr>
        <w:t> vzrástol oproti predchádzajúcemu roku o 90 118 tis. eur na  súčasnú hodnotu 114 693 tis. eur. Nárast dlhu bol spôsobený čerpaním bankového úveru vo výške 86 881 tis. eur. Zvyšnú časť dlhu subjektu predstavujú dlhodobé záväzky z obchodného styku a prijaté preddavky vo výške 25 605 tis. eur a krátkodobé zábezpeky v hodnote 2 202 tis. eur.</w:t>
      </w:r>
    </w:p>
    <w:p w14:paraId="09F852D1" w14:textId="77777777" w:rsidR="00C164B8" w:rsidRPr="006919C9" w:rsidRDefault="00C164B8" w:rsidP="00C164B8">
      <w:pPr>
        <w:spacing w:line="240" w:lineRule="auto"/>
        <w:jc w:val="both"/>
        <w:rPr>
          <w:szCs w:val="24"/>
        </w:rPr>
      </w:pPr>
    </w:p>
    <w:p w14:paraId="168DDDA4" w14:textId="59A074FB" w:rsidR="00C164B8" w:rsidRPr="006919C9" w:rsidRDefault="00C164B8" w:rsidP="00C164B8">
      <w:pPr>
        <w:spacing w:line="240" w:lineRule="auto"/>
        <w:jc w:val="both"/>
        <w:rPr>
          <w:szCs w:val="24"/>
        </w:rPr>
      </w:pPr>
      <w:r w:rsidRPr="006919C9">
        <w:rPr>
          <w:szCs w:val="24"/>
        </w:rPr>
        <w:t xml:space="preserve">Dlh </w:t>
      </w:r>
      <w:r w:rsidRPr="006919C9">
        <w:rPr>
          <w:b/>
          <w:szCs w:val="24"/>
        </w:rPr>
        <w:t xml:space="preserve">Agentúry pre núdzové zásoby ropy a ropných výrobkov </w:t>
      </w:r>
      <w:r w:rsidRPr="006919C9">
        <w:rPr>
          <w:szCs w:val="24"/>
        </w:rPr>
        <w:t>takmer celý tvorí</w:t>
      </w:r>
      <w:r w:rsidRPr="006919C9">
        <w:rPr>
          <w:b/>
          <w:szCs w:val="24"/>
        </w:rPr>
        <w:t xml:space="preserve"> </w:t>
      </w:r>
      <w:r w:rsidRPr="006919C9">
        <w:rPr>
          <w:szCs w:val="24"/>
        </w:rPr>
        <w:t>návratná finančná výpomoc zo štátnych finančných aktív vo výške 73 000 tis.</w:t>
      </w:r>
      <w:r w:rsidR="0091008D">
        <w:rPr>
          <w:szCs w:val="24"/>
        </w:rPr>
        <w:t> </w:t>
      </w:r>
      <w:r w:rsidRPr="006919C9">
        <w:rPr>
          <w:szCs w:val="24"/>
        </w:rPr>
        <w:t>eur. Jej úroveň oproti</w:t>
      </w:r>
      <w:r>
        <w:rPr>
          <w:szCs w:val="24"/>
        </w:rPr>
        <w:t> </w:t>
      </w:r>
      <w:r w:rsidRPr="006919C9">
        <w:rPr>
          <w:szCs w:val="24"/>
        </w:rPr>
        <w:t>stavu v roku 2024 klesla o 73 000 tis. eur, z dôvodu úhrady splátky. Zvyšnú časť dlhu subjektu predstavujú krátkodobé zábezpeky vo výške 1 471 tis. eur.</w:t>
      </w:r>
    </w:p>
    <w:p w14:paraId="5B7C9B84" w14:textId="77777777" w:rsidR="00C164B8" w:rsidRPr="0050710A" w:rsidRDefault="00C164B8" w:rsidP="00C164B8">
      <w:pPr>
        <w:spacing w:line="240" w:lineRule="auto"/>
        <w:jc w:val="both"/>
        <w:rPr>
          <w:szCs w:val="24"/>
          <w:highlight w:val="yellow"/>
        </w:rPr>
      </w:pPr>
    </w:p>
    <w:p w14:paraId="566706F8" w14:textId="77777777" w:rsidR="00C164B8" w:rsidRPr="0050710A" w:rsidRDefault="00C164B8" w:rsidP="00C164B8">
      <w:pPr>
        <w:spacing w:line="240" w:lineRule="auto"/>
        <w:jc w:val="both"/>
        <w:rPr>
          <w:szCs w:val="24"/>
          <w:highlight w:val="yellow"/>
        </w:rPr>
      </w:pPr>
      <w:r w:rsidRPr="0092128C">
        <w:rPr>
          <w:szCs w:val="24"/>
        </w:rPr>
        <w:t xml:space="preserve">Dlh </w:t>
      </w:r>
      <w:r w:rsidRPr="0092128C">
        <w:rPr>
          <w:b/>
          <w:szCs w:val="24"/>
        </w:rPr>
        <w:t>ústredných zdravotníckych zariadení</w:t>
      </w:r>
      <w:r w:rsidRPr="0092128C">
        <w:rPr>
          <w:szCs w:val="24"/>
        </w:rPr>
        <w:t xml:space="preserve"> medziročne klesol oproti stavu za rok 2024 o 7 877 tis. eur. Dlh vo výške 142 179 tis. eur tvoria v rozhodujúcej miere záväzky po zmene veriteľa vo výške 104 146 tis. eur. </w:t>
      </w:r>
      <w:r w:rsidRPr="00C60820">
        <w:rPr>
          <w:szCs w:val="24"/>
        </w:rPr>
        <w:t>Dlh ústredných zdravotníckych zariadení ďalej tvoria bankové úvery</w:t>
      </w:r>
      <w:r w:rsidRPr="00C60820">
        <w:rPr>
          <w:rStyle w:val="Odkaznapoznmkupodiarou"/>
          <w:szCs w:val="24"/>
        </w:rPr>
        <w:footnoteReference w:id="16"/>
      </w:r>
      <w:r w:rsidRPr="00C60820">
        <w:rPr>
          <w:szCs w:val="24"/>
        </w:rPr>
        <w:t>, ktorých stav sa medziročne znížil o 1 999 tis. eur na úroveň 28 817 tis. eur, záväzky vyplývajúce z ostatných zmlúv o energetickej efektívnosti v hodnote 1 558 tis. eur, finančný prenájom vo výške 1 060 tis. eur, zábezpeky vo výške 1 692 tis. eur a návratné finančné výpomoci v hodnote 647 tis. eur. Dlhodobé záväzky z obchodného styku a prijaté preddavky zvyšujú úroveň dlhu ústredných zdravotníckych zariadení o 4 259 tis. eur.</w:t>
      </w:r>
    </w:p>
    <w:p w14:paraId="49834723" w14:textId="77777777" w:rsidR="00C164B8" w:rsidRPr="0050710A" w:rsidRDefault="00C164B8" w:rsidP="00C164B8">
      <w:pPr>
        <w:spacing w:line="240" w:lineRule="auto"/>
        <w:jc w:val="both"/>
        <w:rPr>
          <w:b/>
          <w:szCs w:val="24"/>
          <w:highlight w:val="yellow"/>
        </w:rPr>
      </w:pPr>
    </w:p>
    <w:p w14:paraId="4C4CEAE5" w14:textId="2C40FDA9" w:rsidR="00C164B8" w:rsidRPr="00FD5C4C" w:rsidRDefault="00C164B8" w:rsidP="00C164B8">
      <w:pPr>
        <w:spacing w:line="240" w:lineRule="auto"/>
        <w:jc w:val="both"/>
        <w:rPr>
          <w:szCs w:val="24"/>
        </w:rPr>
      </w:pPr>
      <w:r w:rsidRPr="00FD5C4C">
        <w:rPr>
          <w:b/>
          <w:szCs w:val="24"/>
        </w:rPr>
        <w:t xml:space="preserve">Exportno-importná banka Slovenskej republiky </w:t>
      </w:r>
      <w:r w:rsidRPr="00FD5C4C">
        <w:rPr>
          <w:szCs w:val="24"/>
        </w:rPr>
        <w:t>sa podieľa na dlhu verejnej správy v roku 2025 sumou 149 437 tis. eur. Oproti predchádzajúcemu roku dlh klesol o 95 975 tis. eur.</w:t>
      </w:r>
      <w:r w:rsidRPr="00FD5C4C">
        <w:rPr>
          <w:rFonts w:cs="Times New Roman"/>
          <w:szCs w:val="24"/>
        </w:rPr>
        <w:t xml:space="preserve"> Prevzatý dlh voči BNC (Kuba)</w:t>
      </w:r>
      <w:r w:rsidR="005119D9">
        <w:rPr>
          <w:rFonts w:cs="Times New Roman"/>
          <w:szCs w:val="24"/>
        </w:rPr>
        <w:t xml:space="preserve"> </w:t>
      </w:r>
      <w:r w:rsidRPr="00FD5C4C">
        <w:rPr>
          <w:rFonts w:cs="Times New Roman"/>
          <w:szCs w:val="24"/>
        </w:rPr>
        <w:t xml:space="preserve">vo výške nesplatenej istiny sa </w:t>
      </w:r>
      <w:r w:rsidR="005119D9">
        <w:rPr>
          <w:rFonts w:cs="Times New Roman"/>
          <w:szCs w:val="24"/>
        </w:rPr>
        <w:t>z dôvodu</w:t>
      </w:r>
      <w:r w:rsidRPr="00FD5C4C">
        <w:rPr>
          <w:rFonts w:cs="Times New Roman"/>
          <w:szCs w:val="24"/>
        </w:rPr>
        <w:t xml:space="preserve"> splátk</w:t>
      </w:r>
      <w:r w:rsidR="005119D9">
        <w:rPr>
          <w:rFonts w:cs="Times New Roman"/>
          <w:szCs w:val="24"/>
        </w:rPr>
        <w:t>y</w:t>
      </w:r>
      <w:r w:rsidRPr="00FD5C4C">
        <w:rPr>
          <w:rFonts w:cs="Times New Roman"/>
          <w:szCs w:val="24"/>
        </w:rPr>
        <w:t xml:space="preserve"> </w:t>
      </w:r>
      <w:r w:rsidR="005119D9">
        <w:rPr>
          <w:rFonts w:cs="Times New Roman"/>
          <w:szCs w:val="24"/>
        </w:rPr>
        <w:t>poistného plnenia</w:t>
      </w:r>
      <w:r w:rsidRPr="00FD5C4C">
        <w:rPr>
          <w:rFonts w:cs="Times New Roman"/>
          <w:szCs w:val="24"/>
        </w:rPr>
        <w:t xml:space="preserve"> </w:t>
      </w:r>
      <w:r w:rsidR="005119D9">
        <w:rPr>
          <w:rFonts w:cs="Times New Roman"/>
          <w:szCs w:val="24"/>
        </w:rPr>
        <w:t xml:space="preserve">zo strany Eximbanky </w:t>
      </w:r>
      <w:r w:rsidRPr="00FD5C4C">
        <w:rPr>
          <w:rFonts w:cs="Times New Roman"/>
          <w:szCs w:val="24"/>
        </w:rPr>
        <w:t>znížil oproti stavu v predchádzajúcom roku o 17 230 tis. eur na</w:t>
      </w:r>
      <w:r w:rsidR="005119D9">
        <w:rPr>
          <w:rFonts w:cs="Times New Roman"/>
          <w:szCs w:val="24"/>
        </w:rPr>
        <w:t> </w:t>
      </w:r>
      <w:r w:rsidRPr="00FD5C4C">
        <w:rPr>
          <w:rFonts w:cs="Times New Roman"/>
          <w:szCs w:val="24"/>
        </w:rPr>
        <w:t xml:space="preserve">súčasnú hodnotu 34 459 tis. eur. </w:t>
      </w:r>
      <w:r w:rsidRPr="00FD5C4C">
        <w:rPr>
          <w:szCs w:val="24"/>
        </w:rPr>
        <w:t>Dlhodobé bankové úvery dosiahli v roku 2025 súhrnnú výšku 110 000 tis. eur, čo je o 80 000 tis. eur menej ako v roku 2024.</w:t>
      </w:r>
    </w:p>
    <w:p w14:paraId="3DDC4396" w14:textId="77777777" w:rsidR="00C164B8" w:rsidRPr="0050710A" w:rsidRDefault="00C164B8" w:rsidP="00C164B8">
      <w:pPr>
        <w:spacing w:line="240" w:lineRule="auto"/>
        <w:jc w:val="both"/>
        <w:rPr>
          <w:szCs w:val="24"/>
          <w:highlight w:val="yellow"/>
        </w:rPr>
      </w:pPr>
    </w:p>
    <w:p w14:paraId="461996A7" w14:textId="5D1D5C16" w:rsidR="00C164B8" w:rsidRPr="0050710A" w:rsidRDefault="00C164B8" w:rsidP="00C164B8">
      <w:pPr>
        <w:spacing w:line="240" w:lineRule="auto"/>
        <w:jc w:val="both"/>
        <w:rPr>
          <w:szCs w:val="24"/>
          <w:highlight w:val="yellow"/>
        </w:rPr>
      </w:pPr>
      <w:r w:rsidRPr="002C12B0">
        <w:rPr>
          <w:szCs w:val="24"/>
        </w:rPr>
        <w:t>Dlh</w:t>
      </w:r>
      <w:r w:rsidRPr="002C12B0">
        <w:rPr>
          <w:b/>
          <w:szCs w:val="24"/>
        </w:rPr>
        <w:t xml:space="preserve"> Slovenskej záručnej a rozvojovej banky, a. s.</w:t>
      </w:r>
      <w:r w:rsidR="00467F0B">
        <w:rPr>
          <w:b/>
          <w:szCs w:val="24"/>
        </w:rPr>
        <w:t>,</w:t>
      </w:r>
      <w:r w:rsidRPr="002C12B0">
        <w:rPr>
          <w:b/>
          <w:szCs w:val="24"/>
        </w:rPr>
        <w:t xml:space="preserve"> (SZRB)</w:t>
      </w:r>
      <w:r w:rsidRPr="002C12B0">
        <w:rPr>
          <w:szCs w:val="24"/>
        </w:rPr>
        <w:t xml:space="preserve"> na nekonsolidovanej báze dosiahol v roku 2025 výšku 275 427 tis. eur. Najvýznamnejšiu časť dlhu tvoria vklady klientov SZRB na bežných a termínovaných účtoch v súhrnnej hodnote 253 196 tis. eur. Vzhľadom na to, že majoritu klientov SZRB tvoria subjekty verejnej správy, vklady v súhrnnej výške 216 387 tis. eur sú predmetom konsolidácie. </w:t>
      </w:r>
      <w:r w:rsidRPr="00500D01">
        <w:rPr>
          <w:szCs w:val="24"/>
        </w:rPr>
        <w:t>Rovnako sú predmetom konsolidácie aj bankové úvery v rámci iniciatívy JEREMIE od NDF I. a NDF II. v súhrnnej výške 11 317 tis. eur. SZRB tiež disponuje zahraničnými úvermi od Rozvojovej banky Rady Európy (5 912 tis. eur) a Európskej investičnej banky (2 214 tis. eur) a tuzemským úverom od NBS (2 810 tis. eur).</w:t>
      </w:r>
    </w:p>
    <w:p w14:paraId="5EB5513E" w14:textId="77777777" w:rsidR="00C164B8" w:rsidRPr="0050710A" w:rsidRDefault="00C164B8" w:rsidP="00C164B8">
      <w:pPr>
        <w:spacing w:line="240" w:lineRule="auto"/>
        <w:jc w:val="both"/>
        <w:rPr>
          <w:szCs w:val="24"/>
          <w:highlight w:val="yellow"/>
        </w:rPr>
      </w:pPr>
    </w:p>
    <w:p w14:paraId="6CFAA9C9" w14:textId="77777777" w:rsidR="00C164B8" w:rsidRPr="0050710A" w:rsidRDefault="00C164B8" w:rsidP="00C164B8">
      <w:pPr>
        <w:spacing w:line="240" w:lineRule="auto"/>
        <w:jc w:val="both"/>
        <w:rPr>
          <w:szCs w:val="24"/>
          <w:highlight w:val="yellow"/>
        </w:rPr>
      </w:pPr>
      <w:r w:rsidRPr="00604A7D">
        <w:rPr>
          <w:szCs w:val="24"/>
        </w:rPr>
        <w:t>Dlh</w:t>
      </w:r>
      <w:r w:rsidRPr="00604A7D">
        <w:rPr>
          <w:b/>
          <w:szCs w:val="24"/>
        </w:rPr>
        <w:t xml:space="preserve"> dopravných podnikov</w:t>
      </w:r>
      <w:r w:rsidRPr="00604A7D">
        <w:rPr>
          <w:szCs w:val="24"/>
        </w:rPr>
        <w:t xml:space="preserve"> </w:t>
      </w:r>
      <w:r w:rsidRPr="00604A7D">
        <w:rPr>
          <w:b/>
          <w:szCs w:val="24"/>
        </w:rPr>
        <w:t>miestnej samosprávy</w:t>
      </w:r>
      <w:r w:rsidRPr="00604A7D">
        <w:rPr>
          <w:szCs w:val="24"/>
        </w:rPr>
        <w:t xml:space="preserve"> dosiahol v roku 2025 úroveň 119 549 tis. eur, čo znamená nárast o 29 909 tis. eur oproti stavu v roku 2024. Väčšinu dlhu tvoria domáce bankové úvery vo výške 109 784 tis. eur, ktorých úroveň sa medziročne zvýšila o 31 765 tis. eur. Okrem bankových úverov tvoria dlh dopravných podnikov aj dlhodobé záväzky z obchodného styku a prijaté preddavky (7 342 tis. eur) a finančný prenájom (2 301 tis. eur). Dlh dopravných podnikov majoritne tvoria záväzky so splatnosťou dlhšou ako jeden rok (100,0 %), voči tuzemským veriteľom (100,0 %).</w:t>
      </w:r>
    </w:p>
    <w:p w14:paraId="6750844B" w14:textId="77777777" w:rsidR="00C164B8" w:rsidRPr="00B04CB7" w:rsidRDefault="00C164B8" w:rsidP="004A1F94">
      <w:pPr>
        <w:spacing w:line="240" w:lineRule="auto"/>
        <w:jc w:val="both"/>
        <w:rPr>
          <w:szCs w:val="24"/>
        </w:rPr>
      </w:pPr>
      <w:r w:rsidRPr="00B04CB7">
        <w:rPr>
          <w:szCs w:val="24"/>
        </w:rPr>
        <w:t xml:space="preserve">Bankové úvery čerpajú dopravné podniky za účelom financovania projektov obnovy vozového parku (autobusy, trolejbusy, električky) ako aj modernizáciu a rozširovanie prislúchajúcej infraštruktúry (nové električkové trate, depá a podobne). Väčšina z komerčných úverov má zároveň dojednanú formu zabezpečenia v podobe nakúpeného dlhodobého majetku </w:t>
      </w:r>
      <w:r w:rsidRPr="00B04CB7">
        <w:rPr>
          <w:szCs w:val="24"/>
        </w:rPr>
        <w:lastRenderedPageBreak/>
        <w:t>alebo peňažnými pohľadávkami z obchodného styku (napr. zo zmlúv o službách v mestskej hromadnej doprave).</w:t>
      </w:r>
    </w:p>
    <w:p w14:paraId="4D34A7FC" w14:textId="77777777" w:rsidR="00415273" w:rsidRPr="0050710A" w:rsidRDefault="00415273" w:rsidP="004A1F94">
      <w:pPr>
        <w:spacing w:line="240" w:lineRule="auto"/>
        <w:jc w:val="both"/>
        <w:rPr>
          <w:szCs w:val="24"/>
          <w:highlight w:val="yellow"/>
        </w:rPr>
      </w:pPr>
    </w:p>
    <w:p w14:paraId="6A8A7139" w14:textId="2405F092" w:rsidR="009A05C7" w:rsidRPr="00042F5E" w:rsidRDefault="009A05C7" w:rsidP="004A1F94">
      <w:pPr>
        <w:pStyle w:val="Nadpis2"/>
        <w:spacing w:after="0"/>
      </w:pPr>
      <w:bookmarkStart w:id="82" w:name="_Toc227758900"/>
      <w:bookmarkStart w:id="83" w:name="_Toc6415639"/>
      <w:bookmarkStart w:id="84" w:name="_Toc132929083"/>
      <w:r w:rsidRPr="00042F5E">
        <w:t>Limity verejných výdavkov</w:t>
      </w:r>
      <w:bookmarkEnd w:id="82"/>
    </w:p>
    <w:p w14:paraId="0A2FA859" w14:textId="77777777" w:rsidR="0087576A" w:rsidRDefault="0087576A" w:rsidP="004A1F94">
      <w:pPr>
        <w:spacing w:line="240" w:lineRule="auto"/>
        <w:jc w:val="both"/>
        <w:rPr>
          <w:b/>
          <w:bCs/>
          <w:szCs w:val="24"/>
          <w:highlight w:val="yellow"/>
        </w:rPr>
      </w:pPr>
    </w:p>
    <w:p w14:paraId="76628211" w14:textId="074A7129" w:rsidR="0087576A" w:rsidRPr="00C00919" w:rsidRDefault="0087576A" w:rsidP="004A1F94">
      <w:pPr>
        <w:spacing w:line="240" w:lineRule="auto"/>
        <w:jc w:val="both"/>
        <w:rPr>
          <w:szCs w:val="24"/>
        </w:rPr>
      </w:pPr>
      <w:r w:rsidRPr="00C00919">
        <w:rPr>
          <w:b/>
          <w:bCs/>
          <w:szCs w:val="24"/>
        </w:rPr>
        <w:t>Kumulatívny rast čistých výdavkov do roku 202</w:t>
      </w:r>
      <w:r w:rsidR="00A57F2D">
        <w:rPr>
          <w:b/>
          <w:bCs/>
          <w:szCs w:val="24"/>
        </w:rPr>
        <w:t>5</w:t>
      </w:r>
      <w:r w:rsidRPr="00C00919">
        <w:rPr>
          <w:b/>
          <w:bCs/>
          <w:szCs w:val="24"/>
        </w:rPr>
        <w:t xml:space="preserve"> dosiahol </w:t>
      </w:r>
      <w:r w:rsidR="00A57F2D">
        <w:rPr>
          <w:b/>
          <w:bCs/>
          <w:szCs w:val="24"/>
        </w:rPr>
        <w:t>5,3</w:t>
      </w:r>
      <w:r w:rsidRPr="00C00919">
        <w:rPr>
          <w:b/>
          <w:bCs/>
          <w:szCs w:val="24"/>
        </w:rPr>
        <w:t> % a bol tak po zarátaní nových príjmových opatrení a obrannej výnimky bezpečne pod maximálnym povoleným rastom</w:t>
      </w:r>
      <w:r w:rsidRPr="00C00919">
        <w:rPr>
          <w:szCs w:val="24"/>
        </w:rPr>
        <w:t>. Rast čistých výdavkov tlmili prijaté príjmové opatrenia na rok 2025 v objeme 1,</w:t>
      </w:r>
      <w:r w:rsidR="00A57F2D">
        <w:rPr>
          <w:szCs w:val="24"/>
        </w:rPr>
        <w:t>06</w:t>
      </w:r>
      <w:r w:rsidRPr="00C00919">
        <w:rPr>
          <w:szCs w:val="24"/>
        </w:rPr>
        <w:t> % HDP</w:t>
      </w:r>
      <w:r w:rsidR="00A57F2D">
        <w:rPr>
          <w:szCs w:val="24"/>
        </w:rPr>
        <w:t xml:space="preserve"> (1,446 mld. Eur)</w:t>
      </w:r>
      <w:r w:rsidRPr="00C00919">
        <w:rPr>
          <w:szCs w:val="24"/>
        </w:rPr>
        <w:t>.</w:t>
      </w:r>
      <w:r w:rsidR="00F24C4B">
        <w:rPr>
          <w:szCs w:val="24"/>
        </w:rPr>
        <w:t xml:space="preserve"> </w:t>
      </w:r>
      <w:r w:rsidRPr="00C00919">
        <w:rPr>
          <w:szCs w:val="24"/>
        </w:rPr>
        <w:t>Plneniu rastu čistých výdavkov napomáhala aj výnimka na rast obranných výdavkov uznaná EK v júli 2025 do objemu 1,5 % HDP nad úroveň obranných výdavkov z roku 2021. V roku 2025 bolo z tejto výnimky využitých 0,</w:t>
      </w:r>
      <w:r w:rsidR="00A57F2D">
        <w:rPr>
          <w:szCs w:val="24"/>
        </w:rPr>
        <w:t>6</w:t>
      </w:r>
      <w:r w:rsidRPr="00C00919">
        <w:rPr>
          <w:szCs w:val="24"/>
        </w:rPr>
        <w:t> % HDP. Ďalším pozitívnym faktorom je to, že ani rastúce úrokové náklady sa do čistých výdavkov nezapočítavajú. Navyše pokles príjmov, ktorý neovplyvňuje povolený rast čistých výdavkov vláda čiastočne kompenzovala viazaním rezerv na nepriaznivý makroekonomický vývoj.</w:t>
      </w:r>
    </w:p>
    <w:p w14:paraId="2E9E7078" w14:textId="77777777" w:rsidR="000A21AD" w:rsidRPr="00C00919" w:rsidRDefault="000A21AD" w:rsidP="00532D85">
      <w:pPr>
        <w:spacing w:line="240" w:lineRule="auto"/>
        <w:jc w:val="both"/>
        <w:rPr>
          <w:szCs w:val="24"/>
        </w:rPr>
      </w:pPr>
    </w:p>
    <w:p w14:paraId="204C1E69" w14:textId="29214A77" w:rsidR="000A21AD" w:rsidRPr="00C00919" w:rsidRDefault="000A21AD" w:rsidP="000A21AD">
      <w:pPr>
        <w:pStyle w:val="Popis"/>
        <w:keepNext/>
      </w:pPr>
      <w:bookmarkStart w:id="85" w:name="_Toc227670156"/>
      <w:r w:rsidRPr="00C00919">
        <w:t xml:space="preserve">Tabuľka </w:t>
      </w:r>
      <w:r w:rsidRPr="00C00919">
        <w:fldChar w:fldCharType="begin"/>
      </w:r>
      <w:r w:rsidRPr="00C00919">
        <w:instrText xml:space="preserve"> SEQ Tabuľka \* ARABIC </w:instrText>
      </w:r>
      <w:r w:rsidRPr="00C00919">
        <w:fldChar w:fldCharType="separate"/>
      </w:r>
      <w:r w:rsidR="00396BE8">
        <w:rPr>
          <w:noProof/>
        </w:rPr>
        <w:t>20</w:t>
      </w:r>
      <w:r w:rsidRPr="00C00919">
        <w:fldChar w:fldCharType="end"/>
      </w:r>
      <w:r w:rsidRPr="00C00919">
        <w:t xml:space="preserve"> - Rast čistých výdavkov podľa ESA 2010</w:t>
      </w:r>
      <w:bookmarkEnd w:id="85"/>
    </w:p>
    <w:tbl>
      <w:tblPr>
        <w:tblW w:w="5000" w:type="pct"/>
        <w:tblCellMar>
          <w:left w:w="70" w:type="dxa"/>
          <w:right w:w="70" w:type="dxa"/>
        </w:tblCellMar>
        <w:tblLook w:val="04A0" w:firstRow="1" w:lastRow="0" w:firstColumn="1" w:lastColumn="0" w:noHBand="0" w:noVBand="1"/>
      </w:tblPr>
      <w:tblGrid>
        <w:gridCol w:w="252"/>
        <w:gridCol w:w="5663"/>
        <w:gridCol w:w="1067"/>
        <w:gridCol w:w="1021"/>
        <w:gridCol w:w="1067"/>
      </w:tblGrid>
      <w:tr w:rsidR="00A57F2D" w:rsidRPr="00C00919" w14:paraId="348C7BB8" w14:textId="77777777" w:rsidTr="00A57F2D">
        <w:trPr>
          <w:trHeight w:val="290"/>
          <w:tblHeader/>
        </w:trPr>
        <w:tc>
          <w:tcPr>
            <w:tcW w:w="3261" w:type="pct"/>
            <w:gridSpan w:val="2"/>
            <w:tcBorders>
              <w:top w:val="single" w:sz="4" w:space="0" w:color="auto"/>
              <w:left w:val="nil"/>
              <w:bottom w:val="single" w:sz="4" w:space="0" w:color="auto"/>
              <w:right w:val="nil"/>
            </w:tcBorders>
            <w:noWrap/>
            <w:vAlign w:val="center"/>
            <w:hideMark/>
          </w:tcPr>
          <w:p w14:paraId="2C3F6118" w14:textId="77777777" w:rsidR="00A57F2D" w:rsidRPr="00C00919" w:rsidRDefault="00A57F2D" w:rsidP="000A21AD">
            <w:pPr>
              <w:spacing w:line="240" w:lineRule="auto"/>
              <w:rPr>
                <w:rFonts w:eastAsia="Times New Roman" w:cs="Times New Roman"/>
                <w:b/>
                <w:bCs/>
                <w:color w:val="000000"/>
                <w:sz w:val="18"/>
                <w:szCs w:val="18"/>
                <w:lang w:eastAsia="sk-SK"/>
              </w:rPr>
            </w:pPr>
            <w:r w:rsidRPr="00C00919">
              <w:rPr>
                <w:rFonts w:eastAsia="Times New Roman" w:cs="Times New Roman"/>
                <w:b/>
                <w:bCs/>
                <w:color w:val="000000"/>
                <w:sz w:val="18"/>
                <w:szCs w:val="18"/>
                <w:lang w:eastAsia="sk-SK"/>
              </w:rPr>
              <w:t>v mld. eur</w:t>
            </w:r>
          </w:p>
        </w:tc>
        <w:tc>
          <w:tcPr>
            <w:tcW w:w="588" w:type="pct"/>
            <w:tcBorders>
              <w:top w:val="single" w:sz="4" w:space="0" w:color="auto"/>
              <w:left w:val="nil"/>
              <w:bottom w:val="single" w:sz="4" w:space="0" w:color="auto"/>
              <w:right w:val="nil"/>
            </w:tcBorders>
            <w:noWrap/>
            <w:vAlign w:val="bottom"/>
            <w:hideMark/>
          </w:tcPr>
          <w:p w14:paraId="167C9C87" w14:textId="77777777" w:rsidR="00A57F2D" w:rsidRPr="00C00919" w:rsidRDefault="00A57F2D" w:rsidP="000A21AD">
            <w:pPr>
              <w:spacing w:line="240" w:lineRule="auto"/>
              <w:jc w:val="center"/>
              <w:rPr>
                <w:rFonts w:eastAsia="Times New Roman" w:cs="Times New Roman"/>
                <w:b/>
                <w:bCs/>
                <w:color w:val="000000"/>
                <w:sz w:val="18"/>
                <w:szCs w:val="18"/>
                <w:lang w:eastAsia="sk-SK"/>
              </w:rPr>
            </w:pPr>
            <w:r w:rsidRPr="00C00919">
              <w:rPr>
                <w:rFonts w:eastAsia="Times New Roman" w:cs="Times New Roman"/>
                <w:b/>
                <w:bCs/>
                <w:color w:val="000000"/>
                <w:sz w:val="18"/>
                <w:szCs w:val="18"/>
              </w:rPr>
              <w:t>2023</w:t>
            </w:r>
          </w:p>
        </w:tc>
        <w:tc>
          <w:tcPr>
            <w:tcW w:w="563" w:type="pct"/>
            <w:tcBorders>
              <w:top w:val="single" w:sz="4" w:space="0" w:color="auto"/>
              <w:left w:val="nil"/>
              <w:bottom w:val="single" w:sz="4" w:space="0" w:color="auto"/>
              <w:right w:val="nil"/>
            </w:tcBorders>
            <w:vAlign w:val="bottom"/>
            <w:hideMark/>
          </w:tcPr>
          <w:p w14:paraId="458DB378" w14:textId="77777777" w:rsidR="00A57F2D" w:rsidRPr="00C00919" w:rsidRDefault="00A57F2D" w:rsidP="000A21AD">
            <w:pPr>
              <w:spacing w:line="240" w:lineRule="auto"/>
              <w:jc w:val="center"/>
              <w:rPr>
                <w:rFonts w:eastAsia="Times New Roman" w:cs="Times New Roman"/>
                <w:b/>
                <w:bCs/>
                <w:color w:val="000000"/>
                <w:sz w:val="18"/>
                <w:szCs w:val="18"/>
                <w:lang w:eastAsia="sk-SK"/>
              </w:rPr>
            </w:pPr>
            <w:r w:rsidRPr="00C00919">
              <w:rPr>
                <w:rFonts w:eastAsia="Times New Roman" w:cs="Times New Roman"/>
                <w:b/>
                <w:bCs/>
                <w:color w:val="000000"/>
                <w:sz w:val="18"/>
                <w:szCs w:val="18"/>
              </w:rPr>
              <w:t>2024</w:t>
            </w:r>
          </w:p>
        </w:tc>
        <w:tc>
          <w:tcPr>
            <w:tcW w:w="588" w:type="pct"/>
            <w:tcBorders>
              <w:top w:val="single" w:sz="4" w:space="0" w:color="auto"/>
              <w:left w:val="nil"/>
              <w:bottom w:val="single" w:sz="4" w:space="0" w:color="auto"/>
              <w:right w:val="nil"/>
            </w:tcBorders>
            <w:noWrap/>
            <w:vAlign w:val="bottom"/>
            <w:hideMark/>
          </w:tcPr>
          <w:p w14:paraId="682AE6EC" w14:textId="77777777" w:rsidR="00A57F2D" w:rsidRPr="00C00919" w:rsidRDefault="00A57F2D" w:rsidP="000A21AD">
            <w:pPr>
              <w:spacing w:line="240" w:lineRule="auto"/>
              <w:jc w:val="center"/>
              <w:rPr>
                <w:rFonts w:eastAsia="Times New Roman" w:cs="Times New Roman"/>
                <w:b/>
                <w:bCs/>
                <w:color w:val="000000"/>
                <w:sz w:val="18"/>
                <w:szCs w:val="18"/>
                <w:lang w:eastAsia="sk-SK"/>
              </w:rPr>
            </w:pPr>
            <w:r w:rsidRPr="00C00919">
              <w:rPr>
                <w:rFonts w:eastAsia="Times New Roman" w:cs="Times New Roman"/>
                <w:b/>
                <w:bCs/>
                <w:color w:val="000000"/>
                <w:sz w:val="18"/>
                <w:szCs w:val="18"/>
              </w:rPr>
              <w:t>2025</w:t>
            </w:r>
          </w:p>
        </w:tc>
      </w:tr>
      <w:tr w:rsidR="00A57F2D" w:rsidRPr="00C00919" w14:paraId="1D26B16F" w14:textId="77777777" w:rsidTr="00A57F2D">
        <w:trPr>
          <w:trHeight w:val="290"/>
        </w:trPr>
        <w:tc>
          <w:tcPr>
            <w:tcW w:w="139" w:type="pct"/>
            <w:tcBorders>
              <w:top w:val="nil"/>
              <w:left w:val="nil"/>
              <w:bottom w:val="nil"/>
              <w:right w:val="nil"/>
            </w:tcBorders>
            <w:noWrap/>
            <w:vAlign w:val="center"/>
            <w:hideMark/>
          </w:tcPr>
          <w:p w14:paraId="0C731E29"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1</w:t>
            </w:r>
          </w:p>
        </w:tc>
        <w:tc>
          <w:tcPr>
            <w:tcW w:w="3122" w:type="pct"/>
            <w:tcBorders>
              <w:top w:val="nil"/>
              <w:left w:val="nil"/>
              <w:bottom w:val="nil"/>
              <w:right w:val="nil"/>
            </w:tcBorders>
            <w:noWrap/>
            <w:vAlign w:val="center"/>
            <w:hideMark/>
          </w:tcPr>
          <w:p w14:paraId="3758B5FB" w14:textId="77777777" w:rsidR="00A57F2D" w:rsidRPr="00C00919" w:rsidRDefault="00A57F2D" w:rsidP="000A21AD">
            <w:pPr>
              <w:spacing w:line="240" w:lineRule="auto"/>
              <w:rPr>
                <w:rFonts w:eastAsia="Times New Roman" w:cs="Times New Roman"/>
                <w:color w:val="000000"/>
                <w:sz w:val="18"/>
                <w:szCs w:val="18"/>
                <w:lang w:eastAsia="sk-SK"/>
              </w:rPr>
            </w:pPr>
            <w:r w:rsidRPr="00C00919">
              <w:rPr>
                <w:rFonts w:eastAsia="Times New Roman" w:cs="Times New Roman"/>
                <w:color w:val="000000"/>
                <w:sz w:val="18"/>
                <w:szCs w:val="18"/>
              </w:rPr>
              <w:t>Celkové výdavky verejnej správy</w:t>
            </w:r>
          </w:p>
        </w:tc>
        <w:tc>
          <w:tcPr>
            <w:tcW w:w="588" w:type="pct"/>
            <w:tcBorders>
              <w:top w:val="nil"/>
              <w:left w:val="nil"/>
              <w:bottom w:val="nil"/>
              <w:right w:val="nil"/>
            </w:tcBorders>
            <w:vAlign w:val="center"/>
            <w:hideMark/>
          </w:tcPr>
          <w:p w14:paraId="614A22AB"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59,8</w:t>
            </w:r>
          </w:p>
        </w:tc>
        <w:tc>
          <w:tcPr>
            <w:tcW w:w="563" w:type="pct"/>
            <w:tcBorders>
              <w:top w:val="nil"/>
              <w:left w:val="nil"/>
              <w:bottom w:val="nil"/>
              <w:right w:val="nil"/>
            </w:tcBorders>
            <w:noWrap/>
            <w:vAlign w:val="center"/>
            <w:hideMark/>
          </w:tcPr>
          <w:p w14:paraId="7420D4B5"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61,8</w:t>
            </w:r>
          </w:p>
        </w:tc>
        <w:tc>
          <w:tcPr>
            <w:tcW w:w="588" w:type="pct"/>
            <w:tcBorders>
              <w:top w:val="nil"/>
              <w:left w:val="nil"/>
              <w:bottom w:val="nil"/>
              <w:right w:val="nil"/>
            </w:tcBorders>
            <w:noWrap/>
            <w:vAlign w:val="center"/>
            <w:hideMark/>
          </w:tcPr>
          <w:p w14:paraId="2A8D14BF"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65,6</w:t>
            </w:r>
          </w:p>
        </w:tc>
      </w:tr>
      <w:tr w:rsidR="00A57F2D" w:rsidRPr="00C00919" w14:paraId="5002A07D" w14:textId="77777777" w:rsidTr="00A57F2D">
        <w:trPr>
          <w:trHeight w:val="290"/>
        </w:trPr>
        <w:tc>
          <w:tcPr>
            <w:tcW w:w="139" w:type="pct"/>
            <w:tcBorders>
              <w:top w:val="nil"/>
              <w:left w:val="nil"/>
              <w:bottom w:val="nil"/>
              <w:right w:val="nil"/>
            </w:tcBorders>
            <w:noWrap/>
            <w:vAlign w:val="center"/>
            <w:hideMark/>
          </w:tcPr>
          <w:p w14:paraId="7071BE39"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2</w:t>
            </w:r>
          </w:p>
        </w:tc>
        <w:tc>
          <w:tcPr>
            <w:tcW w:w="3122" w:type="pct"/>
            <w:tcBorders>
              <w:top w:val="nil"/>
              <w:left w:val="nil"/>
              <w:bottom w:val="nil"/>
              <w:right w:val="nil"/>
            </w:tcBorders>
            <w:noWrap/>
            <w:vAlign w:val="center"/>
            <w:hideMark/>
          </w:tcPr>
          <w:p w14:paraId="569B8050" w14:textId="77777777" w:rsidR="00A57F2D" w:rsidRPr="00C00919" w:rsidRDefault="00A57F2D" w:rsidP="000A21AD">
            <w:pPr>
              <w:spacing w:line="240" w:lineRule="auto"/>
              <w:rPr>
                <w:rFonts w:eastAsia="Times New Roman" w:cs="Times New Roman"/>
                <w:color w:val="000000"/>
                <w:sz w:val="18"/>
                <w:szCs w:val="18"/>
                <w:lang w:eastAsia="sk-SK"/>
              </w:rPr>
            </w:pPr>
            <w:r w:rsidRPr="00C00919">
              <w:rPr>
                <w:rFonts w:eastAsia="Times New Roman" w:cs="Times New Roman"/>
                <w:color w:val="000000"/>
                <w:sz w:val="18"/>
                <w:szCs w:val="18"/>
              </w:rPr>
              <w:t>Zdroje z EÚ</w:t>
            </w:r>
          </w:p>
        </w:tc>
        <w:tc>
          <w:tcPr>
            <w:tcW w:w="588" w:type="pct"/>
            <w:tcBorders>
              <w:top w:val="nil"/>
              <w:left w:val="nil"/>
              <w:bottom w:val="nil"/>
              <w:right w:val="nil"/>
            </w:tcBorders>
            <w:vAlign w:val="center"/>
            <w:hideMark/>
          </w:tcPr>
          <w:p w14:paraId="26965900"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3,6</w:t>
            </w:r>
          </w:p>
        </w:tc>
        <w:tc>
          <w:tcPr>
            <w:tcW w:w="563" w:type="pct"/>
            <w:tcBorders>
              <w:top w:val="nil"/>
              <w:left w:val="nil"/>
              <w:bottom w:val="nil"/>
              <w:right w:val="nil"/>
            </w:tcBorders>
            <w:noWrap/>
            <w:vAlign w:val="center"/>
            <w:hideMark/>
          </w:tcPr>
          <w:p w14:paraId="70E129F7"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2,1</w:t>
            </w:r>
          </w:p>
        </w:tc>
        <w:tc>
          <w:tcPr>
            <w:tcW w:w="588" w:type="pct"/>
            <w:tcBorders>
              <w:top w:val="nil"/>
              <w:left w:val="nil"/>
              <w:bottom w:val="nil"/>
              <w:right w:val="nil"/>
            </w:tcBorders>
            <w:noWrap/>
            <w:vAlign w:val="center"/>
            <w:hideMark/>
          </w:tcPr>
          <w:p w14:paraId="0913E830"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3,2</w:t>
            </w:r>
          </w:p>
        </w:tc>
      </w:tr>
      <w:tr w:rsidR="00A57F2D" w:rsidRPr="00C00919" w14:paraId="0D70E26C" w14:textId="77777777" w:rsidTr="00A57F2D">
        <w:trPr>
          <w:trHeight w:val="290"/>
        </w:trPr>
        <w:tc>
          <w:tcPr>
            <w:tcW w:w="139" w:type="pct"/>
            <w:tcBorders>
              <w:top w:val="nil"/>
              <w:left w:val="nil"/>
              <w:bottom w:val="nil"/>
              <w:right w:val="nil"/>
            </w:tcBorders>
            <w:noWrap/>
            <w:vAlign w:val="center"/>
            <w:hideMark/>
          </w:tcPr>
          <w:p w14:paraId="0FD3C822"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3</w:t>
            </w:r>
          </w:p>
        </w:tc>
        <w:tc>
          <w:tcPr>
            <w:tcW w:w="3122" w:type="pct"/>
            <w:tcBorders>
              <w:top w:val="nil"/>
              <w:left w:val="nil"/>
              <w:bottom w:val="nil"/>
              <w:right w:val="nil"/>
            </w:tcBorders>
            <w:noWrap/>
            <w:vAlign w:val="center"/>
            <w:hideMark/>
          </w:tcPr>
          <w:p w14:paraId="4AB18955" w14:textId="77777777" w:rsidR="00A57F2D" w:rsidRPr="00C00919" w:rsidRDefault="00A57F2D" w:rsidP="000A21AD">
            <w:pPr>
              <w:spacing w:line="240" w:lineRule="auto"/>
              <w:rPr>
                <w:rFonts w:eastAsia="Times New Roman" w:cs="Times New Roman"/>
                <w:color w:val="000000"/>
                <w:sz w:val="18"/>
                <w:szCs w:val="18"/>
                <w:lang w:eastAsia="sk-SK"/>
              </w:rPr>
            </w:pPr>
            <w:r w:rsidRPr="00C00919">
              <w:rPr>
                <w:rFonts w:eastAsia="Times New Roman" w:cs="Times New Roman"/>
                <w:color w:val="000000"/>
                <w:sz w:val="18"/>
                <w:szCs w:val="18"/>
              </w:rPr>
              <w:t>Úrokové náklady</w:t>
            </w:r>
          </w:p>
        </w:tc>
        <w:tc>
          <w:tcPr>
            <w:tcW w:w="588" w:type="pct"/>
            <w:tcBorders>
              <w:top w:val="nil"/>
              <w:left w:val="nil"/>
              <w:bottom w:val="nil"/>
              <w:right w:val="nil"/>
            </w:tcBorders>
            <w:vAlign w:val="center"/>
            <w:hideMark/>
          </w:tcPr>
          <w:p w14:paraId="17EE5893"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1,4</w:t>
            </w:r>
          </w:p>
        </w:tc>
        <w:tc>
          <w:tcPr>
            <w:tcW w:w="563" w:type="pct"/>
            <w:tcBorders>
              <w:top w:val="nil"/>
              <w:left w:val="nil"/>
              <w:bottom w:val="nil"/>
              <w:right w:val="nil"/>
            </w:tcBorders>
            <w:noWrap/>
            <w:vAlign w:val="center"/>
            <w:hideMark/>
          </w:tcPr>
          <w:p w14:paraId="2DC8B8F3"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1,9</w:t>
            </w:r>
          </w:p>
        </w:tc>
        <w:tc>
          <w:tcPr>
            <w:tcW w:w="588" w:type="pct"/>
            <w:tcBorders>
              <w:top w:val="nil"/>
              <w:left w:val="nil"/>
              <w:bottom w:val="nil"/>
              <w:right w:val="nil"/>
            </w:tcBorders>
            <w:noWrap/>
            <w:vAlign w:val="center"/>
            <w:hideMark/>
          </w:tcPr>
          <w:p w14:paraId="086C08F0"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2,1</w:t>
            </w:r>
          </w:p>
        </w:tc>
      </w:tr>
      <w:tr w:rsidR="00A57F2D" w:rsidRPr="00C00919" w14:paraId="1997659F" w14:textId="77777777" w:rsidTr="00A57F2D">
        <w:trPr>
          <w:trHeight w:val="290"/>
        </w:trPr>
        <w:tc>
          <w:tcPr>
            <w:tcW w:w="139" w:type="pct"/>
            <w:tcBorders>
              <w:top w:val="nil"/>
              <w:left w:val="nil"/>
              <w:bottom w:val="nil"/>
              <w:right w:val="nil"/>
            </w:tcBorders>
            <w:noWrap/>
            <w:vAlign w:val="center"/>
            <w:hideMark/>
          </w:tcPr>
          <w:p w14:paraId="3EAB0447"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4</w:t>
            </w:r>
          </w:p>
        </w:tc>
        <w:tc>
          <w:tcPr>
            <w:tcW w:w="3122" w:type="pct"/>
            <w:tcBorders>
              <w:top w:val="nil"/>
              <w:left w:val="nil"/>
              <w:bottom w:val="nil"/>
              <w:right w:val="nil"/>
            </w:tcBorders>
            <w:noWrap/>
            <w:vAlign w:val="center"/>
            <w:hideMark/>
          </w:tcPr>
          <w:p w14:paraId="41CFF6BA" w14:textId="77777777" w:rsidR="00A57F2D" w:rsidRPr="00C00919" w:rsidRDefault="00A57F2D" w:rsidP="000A21AD">
            <w:pPr>
              <w:spacing w:line="240" w:lineRule="auto"/>
              <w:rPr>
                <w:rFonts w:eastAsia="Times New Roman" w:cs="Times New Roman"/>
                <w:color w:val="000000"/>
                <w:sz w:val="18"/>
                <w:szCs w:val="18"/>
                <w:lang w:eastAsia="sk-SK"/>
              </w:rPr>
            </w:pPr>
            <w:r w:rsidRPr="00C00919">
              <w:rPr>
                <w:rFonts w:eastAsia="Times New Roman" w:cs="Times New Roman"/>
                <w:color w:val="000000"/>
                <w:sz w:val="18"/>
                <w:szCs w:val="18"/>
              </w:rPr>
              <w:t>Cyklické výdavky v nezamestnanosti</w:t>
            </w:r>
          </w:p>
        </w:tc>
        <w:tc>
          <w:tcPr>
            <w:tcW w:w="588" w:type="pct"/>
            <w:tcBorders>
              <w:top w:val="nil"/>
              <w:left w:val="nil"/>
              <w:bottom w:val="nil"/>
              <w:right w:val="nil"/>
            </w:tcBorders>
            <w:vAlign w:val="center"/>
            <w:hideMark/>
          </w:tcPr>
          <w:p w14:paraId="62391CBA"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w:t>
            </w:r>
          </w:p>
        </w:tc>
        <w:tc>
          <w:tcPr>
            <w:tcW w:w="563" w:type="pct"/>
            <w:tcBorders>
              <w:top w:val="nil"/>
              <w:left w:val="nil"/>
              <w:bottom w:val="nil"/>
              <w:right w:val="nil"/>
            </w:tcBorders>
            <w:noWrap/>
            <w:vAlign w:val="center"/>
            <w:hideMark/>
          </w:tcPr>
          <w:p w14:paraId="440FFFA2"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w:t>
            </w:r>
          </w:p>
        </w:tc>
        <w:tc>
          <w:tcPr>
            <w:tcW w:w="588" w:type="pct"/>
            <w:tcBorders>
              <w:top w:val="nil"/>
              <w:left w:val="nil"/>
              <w:bottom w:val="nil"/>
              <w:right w:val="nil"/>
            </w:tcBorders>
            <w:noWrap/>
            <w:vAlign w:val="center"/>
            <w:hideMark/>
          </w:tcPr>
          <w:p w14:paraId="34CED18E"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w:t>
            </w:r>
          </w:p>
        </w:tc>
      </w:tr>
      <w:tr w:rsidR="00A57F2D" w:rsidRPr="00C00919" w14:paraId="31A05571" w14:textId="77777777" w:rsidTr="00A57F2D">
        <w:trPr>
          <w:trHeight w:val="290"/>
        </w:trPr>
        <w:tc>
          <w:tcPr>
            <w:tcW w:w="139" w:type="pct"/>
            <w:tcBorders>
              <w:top w:val="nil"/>
              <w:left w:val="nil"/>
              <w:bottom w:val="nil"/>
              <w:right w:val="nil"/>
            </w:tcBorders>
            <w:noWrap/>
            <w:vAlign w:val="center"/>
            <w:hideMark/>
          </w:tcPr>
          <w:p w14:paraId="60224BB8"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5</w:t>
            </w:r>
          </w:p>
        </w:tc>
        <w:tc>
          <w:tcPr>
            <w:tcW w:w="3122" w:type="pct"/>
            <w:tcBorders>
              <w:top w:val="nil"/>
              <w:left w:val="nil"/>
              <w:bottom w:val="nil"/>
              <w:right w:val="nil"/>
            </w:tcBorders>
            <w:noWrap/>
            <w:vAlign w:val="center"/>
            <w:hideMark/>
          </w:tcPr>
          <w:p w14:paraId="1EBFAC36" w14:textId="77777777" w:rsidR="00A57F2D" w:rsidRPr="00C00919" w:rsidRDefault="00A57F2D" w:rsidP="000A21AD">
            <w:pPr>
              <w:spacing w:line="240" w:lineRule="auto"/>
              <w:rPr>
                <w:rFonts w:eastAsia="Times New Roman" w:cs="Times New Roman"/>
                <w:color w:val="000000"/>
                <w:sz w:val="18"/>
                <w:szCs w:val="18"/>
                <w:lang w:eastAsia="sk-SK"/>
              </w:rPr>
            </w:pPr>
            <w:r w:rsidRPr="00C00919">
              <w:rPr>
                <w:rFonts w:eastAsia="Times New Roman" w:cs="Times New Roman"/>
                <w:color w:val="000000"/>
                <w:sz w:val="18"/>
                <w:szCs w:val="18"/>
              </w:rPr>
              <w:t>Jednorazové vplyvy</w:t>
            </w:r>
          </w:p>
        </w:tc>
        <w:tc>
          <w:tcPr>
            <w:tcW w:w="588" w:type="pct"/>
            <w:tcBorders>
              <w:top w:val="nil"/>
              <w:left w:val="nil"/>
              <w:bottom w:val="nil"/>
              <w:right w:val="nil"/>
            </w:tcBorders>
            <w:vAlign w:val="center"/>
            <w:hideMark/>
          </w:tcPr>
          <w:p w14:paraId="3A3E4957"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w:t>
            </w:r>
          </w:p>
        </w:tc>
        <w:tc>
          <w:tcPr>
            <w:tcW w:w="563" w:type="pct"/>
            <w:tcBorders>
              <w:top w:val="nil"/>
              <w:left w:val="nil"/>
              <w:bottom w:val="nil"/>
              <w:right w:val="nil"/>
            </w:tcBorders>
            <w:noWrap/>
            <w:vAlign w:val="center"/>
            <w:hideMark/>
          </w:tcPr>
          <w:p w14:paraId="02907184"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w:t>
            </w:r>
          </w:p>
        </w:tc>
        <w:tc>
          <w:tcPr>
            <w:tcW w:w="588" w:type="pct"/>
            <w:tcBorders>
              <w:top w:val="nil"/>
              <w:left w:val="nil"/>
              <w:bottom w:val="nil"/>
              <w:right w:val="nil"/>
            </w:tcBorders>
            <w:noWrap/>
            <w:vAlign w:val="center"/>
            <w:hideMark/>
          </w:tcPr>
          <w:p w14:paraId="7A5F7F6F"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w:t>
            </w:r>
          </w:p>
        </w:tc>
      </w:tr>
      <w:tr w:rsidR="00A57F2D" w:rsidRPr="00C00919" w14:paraId="5D2D892B" w14:textId="77777777" w:rsidTr="00A57F2D">
        <w:trPr>
          <w:trHeight w:val="290"/>
        </w:trPr>
        <w:tc>
          <w:tcPr>
            <w:tcW w:w="139" w:type="pct"/>
            <w:tcBorders>
              <w:top w:val="nil"/>
              <w:left w:val="nil"/>
              <w:bottom w:val="nil"/>
              <w:right w:val="nil"/>
            </w:tcBorders>
            <w:noWrap/>
            <w:vAlign w:val="center"/>
            <w:hideMark/>
          </w:tcPr>
          <w:p w14:paraId="6EFA9595"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6</w:t>
            </w:r>
          </w:p>
        </w:tc>
        <w:tc>
          <w:tcPr>
            <w:tcW w:w="3122" w:type="pct"/>
            <w:tcBorders>
              <w:top w:val="nil"/>
              <w:left w:val="nil"/>
              <w:bottom w:val="nil"/>
              <w:right w:val="nil"/>
            </w:tcBorders>
            <w:noWrap/>
            <w:vAlign w:val="center"/>
            <w:hideMark/>
          </w:tcPr>
          <w:p w14:paraId="1E49648D" w14:textId="77777777" w:rsidR="00A57F2D" w:rsidRPr="00C00919" w:rsidRDefault="00A57F2D" w:rsidP="000A21AD">
            <w:pPr>
              <w:spacing w:line="240" w:lineRule="auto"/>
              <w:rPr>
                <w:rFonts w:eastAsia="Times New Roman" w:cs="Times New Roman"/>
                <w:color w:val="000000"/>
                <w:sz w:val="18"/>
                <w:szCs w:val="18"/>
                <w:lang w:eastAsia="sk-SK"/>
              </w:rPr>
            </w:pPr>
            <w:r w:rsidRPr="00C00919">
              <w:rPr>
                <w:rFonts w:eastAsia="Times New Roman" w:cs="Times New Roman"/>
                <w:color w:val="000000"/>
                <w:sz w:val="18"/>
                <w:szCs w:val="18"/>
              </w:rPr>
              <w:t>Spolufinancovanie</w:t>
            </w:r>
          </w:p>
        </w:tc>
        <w:tc>
          <w:tcPr>
            <w:tcW w:w="588" w:type="pct"/>
            <w:tcBorders>
              <w:top w:val="nil"/>
              <w:left w:val="nil"/>
              <w:bottom w:val="nil"/>
              <w:right w:val="nil"/>
            </w:tcBorders>
            <w:vAlign w:val="center"/>
            <w:hideMark/>
          </w:tcPr>
          <w:p w14:paraId="00A32C99"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0,6</w:t>
            </w:r>
          </w:p>
        </w:tc>
        <w:tc>
          <w:tcPr>
            <w:tcW w:w="563" w:type="pct"/>
            <w:tcBorders>
              <w:top w:val="nil"/>
              <w:left w:val="nil"/>
              <w:bottom w:val="nil"/>
              <w:right w:val="nil"/>
            </w:tcBorders>
            <w:noWrap/>
            <w:vAlign w:val="center"/>
            <w:hideMark/>
          </w:tcPr>
          <w:p w14:paraId="0EF2A5FA"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0,5</w:t>
            </w:r>
          </w:p>
        </w:tc>
        <w:tc>
          <w:tcPr>
            <w:tcW w:w="588" w:type="pct"/>
            <w:tcBorders>
              <w:top w:val="nil"/>
              <w:left w:val="nil"/>
              <w:bottom w:val="nil"/>
              <w:right w:val="nil"/>
            </w:tcBorders>
            <w:noWrap/>
            <w:vAlign w:val="center"/>
            <w:hideMark/>
          </w:tcPr>
          <w:p w14:paraId="0DD62ABC"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0,5</w:t>
            </w:r>
          </w:p>
        </w:tc>
      </w:tr>
      <w:tr w:rsidR="00A57F2D" w:rsidRPr="00C00919" w14:paraId="50571CCA" w14:textId="77777777" w:rsidTr="00A57F2D">
        <w:trPr>
          <w:trHeight w:val="290"/>
        </w:trPr>
        <w:tc>
          <w:tcPr>
            <w:tcW w:w="139" w:type="pct"/>
            <w:tcBorders>
              <w:top w:val="single" w:sz="4" w:space="0" w:color="auto"/>
              <w:left w:val="nil"/>
              <w:bottom w:val="nil"/>
              <w:right w:val="nil"/>
            </w:tcBorders>
            <w:noWrap/>
            <w:vAlign w:val="center"/>
            <w:hideMark/>
          </w:tcPr>
          <w:p w14:paraId="36F42C2F"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7</w:t>
            </w:r>
          </w:p>
        </w:tc>
        <w:tc>
          <w:tcPr>
            <w:tcW w:w="3122" w:type="pct"/>
            <w:tcBorders>
              <w:top w:val="single" w:sz="4" w:space="0" w:color="auto"/>
              <w:left w:val="nil"/>
              <w:bottom w:val="nil"/>
              <w:right w:val="nil"/>
            </w:tcBorders>
            <w:noWrap/>
            <w:vAlign w:val="center"/>
            <w:hideMark/>
          </w:tcPr>
          <w:p w14:paraId="504FE0B0" w14:textId="77777777" w:rsidR="00A57F2D" w:rsidRPr="00C00919" w:rsidRDefault="00A57F2D" w:rsidP="000A21AD">
            <w:pPr>
              <w:spacing w:line="240" w:lineRule="auto"/>
              <w:rPr>
                <w:rFonts w:eastAsia="Times New Roman" w:cs="Times New Roman"/>
                <w:b/>
                <w:bCs/>
                <w:color w:val="000000"/>
                <w:sz w:val="18"/>
                <w:szCs w:val="18"/>
                <w:lang w:eastAsia="sk-SK"/>
              </w:rPr>
            </w:pPr>
            <w:r w:rsidRPr="00C00919">
              <w:rPr>
                <w:rFonts w:eastAsia="Times New Roman" w:cs="Times New Roman"/>
                <w:b/>
                <w:bCs/>
                <w:color w:val="000000"/>
                <w:sz w:val="18"/>
                <w:szCs w:val="18"/>
              </w:rPr>
              <w:t>NFPV - národne financované primárne výdavky (= 1-2-3-4-5-6)</w:t>
            </w:r>
          </w:p>
        </w:tc>
        <w:tc>
          <w:tcPr>
            <w:tcW w:w="588" w:type="pct"/>
            <w:tcBorders>
              <w:top w:val="single" w:sz="4" w:space="0" w:color="auto"/>
              <w:left w:val="nil"/>
              <w:bottom w:val="nil"/>
              <w:right w:val="nil"/>
            </w:tcBorders>
            <w:vAlign w:val="center"/>
            <w:hideMark/>
          </w:tcPr>
          <w:p w14:paraId="236BA312" w14:textId="77777777" w:rsidR="00A57F2D" w:rsidRPr="00C00919" w:rsidRDefault="00A57F2D" w:rsidP="000A21AD">
            <w:pPr>
              <w:spacing w:line="240" w:lineRule="auto"/>
              <w:jc w:val="right"/>
              <w:rPr>
                <w:rFonts w:eastAsia="Times New Roman" w:cs="Times New Roman"/>
                <w:b/>
                <w:bCs/>
                <w:color w:val="000000"/>
                <w:sz w:val="18"/>
                <w:szCs w:val="18"/>
                <w:lang w:eastAsia="sk-SK"/>
              </w:rPr>
            </w:pPr>
            <w:r w:rsidRPr="00C00919">
              <w:rPr>
                <w:rFonts w:eastAsia="Times New Roman" w:cs="Times New Roman"/>
                <w:b/>
                <w:bCs/>
                <w:color w:val="000000"/>
                <w:sz w:val="18"/>
                <w:szCs w:val="18"/>
              </w:rPr>
              <w:t>54,1</w:t>
            </w:r>
          </w:p>
        </w:tc>
        <w:tc>
          <w:tcPr>
            <w:tcW w:w="563" w:type="pct"/>
            <w:tcBorders>
              <w:top w:val="single" w:sz="4" w:space="0" w:color="auto"/>
              <w:left w:val="nil"/>
              <w:bottom w:val="nil"/>
              <w:right w:val="nil"/>
            </w:tcBorders>
            <w:noWrap/>
            <w:vAlign w:val="center"/>
            <w:hideMark/>
          </w:tcPr>
          <w:p w14:paraId="735BA8ED" w14:textId="77777777" w:rsidR="00A57F2D" w:rsidRPr="00C00919" w:rsidRDefault="00A57F2D" w:rsidP="000A21AD">
            <w:pPr>
              <w:spacing w:line="240" w:lineRule="auto"/>
              <w:jc w:val="right"/>
              <w:rPr>
                <w:rFonts w:eastAsia="Times New Roman" w:cs="Times New Roman"/>
                <w:b/>
                <w:bCs/>
                <w:color w:val="000000"/>
                <w:sz w:val="18"/>
                <w:szCs w:val="18"/>
                <w:lang w:eastAsia="sk-SK"/>
              </w:rPr>
            </w:pPr>
            <w:r w:rsidRPr="00C00919">
              <w:rPr>
                <w:rFonts w:eastAsia="Times New Roman" w:cs="Times New Roman"/>
                <w:b/>
                <w:bCs/>
                <w:color w:val="000000"/>
                <w:sz w:val="18"/>
                <w:szCs w:val="18"/>
              </w:rPr>
              <w:t>57,4</w:t>
            </w:r>
          </w:p>
        </w:tc>
        <w:tc>
          <w:tcPr>
            <w:tcW w:w="588" w:type="pct"/>
            <w:tcBorders>
              <w:top w:val="single" w:sz="4" w:space="0" w:color="auto"/>
              <w:left w:val="nil"/>
              <w:bottom w:val="nil"/>
              <w:right w:val="nil"/>
            </w:tcBorders>
            <w:noWrap/>
            <w:vAlign w:val="center"/>
            <w:hideMark/>
          </w:tcPr>
          <w:p w14:paraId="1E6C7F91" w14:textId="77777777" w:rsidR="00A57F2D" w:rsidRPr="00C00919" w:rsidRDefault="00A57F2D" w:rsidP="000A21AD">
            <w:pPr>
              <w:spacing w:line="240" w:lineRule="auto"/>
              <w:jc w:val="right"/>
              <w:rPr>
                <w:rFonts w:eastAsia="Times New Roman" w:cs="Times New Roman"/>
                <w:b/>
                <w:bCs/>
                <w:color w:val="000000"/>
                <w:sz w:val="18"/>
                <w:szCs w:val="18"/>
                <w:lang w:eastAsia="sk-SK"/>
              </w:rPr>
            </w:pPr>
            <w:r w:rsidRPr="00C00919">
              <w:rPr>
                <w:rFonts w:eastAsia="Times New Roman" w:cs="Times New Roman"/>
                <w:b/>
                <w:bCs/>
                <w:color w:val="000000"/>
                <w:sz w:val="18"/>
                <w:szCs w:val="18"/>
              </w:rPr>
              <w:t>59,8</w:t>
            </w:r>
          </w:p>
        </w:tc>
      </w:tr>
      <w:tr w:rsidR="00A57F2D" w:rsidRPr="00C00919" w14:paraId="2AE2AB67" w14:textId="77777777" w:rsidTr="00A57F2D">
        <w:trPr>
          <w:trHeight w:val="290"/>
        </w:trPr>
        <w:tc>
          <w:tcPr>
            <w:tcW w:w="139" w:type="pct"/>
            <w:tcBorders>
              <w:top w:val="nil"/>
              <w:left w:val="nil"/>
              <w:bottom w:val="single" w:sz="4" w:space="0" w:color="auto"/>
              <w:right w:val="nil"/>
            </w:tcBorders>
            <w:noWrap/>
            <w:vAlign w:val="center"/>
            <w:hideMark/>
          </w:tcPr>
          <w:p w14:paraId="38F84886"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8</w:t>
            </w:r>
          </w:p>
        </w:tc>
        <w:tc>
          <w:tcPr>
            <w:tcW w:w="3122" w:type="pct"/>
            <w:tcBorders>
              <w:top w:val="nil"/>
              <w:left w:val="nil"/>
              <w:bottom w:val="single" w:sz="4" w:space="0" w:color="auto"/>
              <w:right w:val="nil"/>
            </w:tcBorders>
            <w:noWrap/>
            <w:vAlign w:val="center"/>
            <w:hideMark/>
          </w:tcPr>
          <w:p w14:paraId="28032009" w14:textId="77777777" w:rsidR="00A57F2D" w:rsidRPr="00C00919" w:rsidRDefault="00A57F2D" w:rsidP="000A21AD">
            <w:pPr>
              <w:spacing w:line="240" w:lineRule="auto"/>
              <w:rPr>
                <w:rFonts w:eastAsia="Times New Roman" w:cs="Times New Roman"/>
                <w:color w:val="000000"/>
                <w:sz w:val="18"/>
                <w:szCs w:val="18"/>
                <w:lang w:eastAsia="sk-SK"/>
              </w:rPr>
            </w:pPr>
            <w:r w:rsidRPr="00C00919">
              <w:rPr>
                <w:rFonts w:eastAsia="Times New Roman" w:cs="Times New Roman"/>
                <w:color w:val="000000"/>
                <w:sz w:val="18"/>
                <w:szCs w:val="18"/>
              </w:rPr>
              <w:t>Diskrečné príjmové opatrenia (DRM)</w:t>
            </w:r>
          </w:p>
        </w:tc>
        <w:tc>
          <w:tcPr>
            <w:tcW w:w="588" w:type="pct"/>
            <w:tcBorders>
              <w:top w:val="nil"/>
              <w:left w:val="nil"/>
              <w:bottom w:val="single" w:sz="4" w:space="0" w:color="auto"/>
              <w:right w:val="nil"/>
            </w:tcBorders>
            <w:vAlign w:val="center"/>
            <w:hideMark/>
          </w:tcPr>
          <w:p w14:paraId="1AF0CD91"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 </w:t>
            </w:r>
          </w:p>
        </w:tc>
        <w:tc>
          <w:tcPr>
            <w:tcW w:w="563" w:type="pct"/>
            <w:tcBorders>
              <w:top w:val="nil"/>
              <w:left w:val="nil"/>
              <w:bottom w:val="single" w:sz="4" w:space="0" w:color="auto"/>
              <w:right w:val="nil"/>
            </w:tcBorders>
            <w:noWrap/>
            <w:vAlign w:val="center"/>
            <w:hideMark/>
          </w:tcPr>
          <w:p w14:paraId="230AF46A"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1,3</w:t>
            </w:r>
          </w:p>
        </w:tc>
        <w:tc>
          <w:tcPr>
            <w:tcW w:w="588" w:type="pct"/>
            <w:tcBorders>
              <w:top w:val="nil"/>
              <w:left w:val="nil"/>
              <w:bottom w:val="single" w:sz="4" w:space="0" w:color="auto"/>
              <w:right w:val="nil"/>
            </w:tcBorders>
            <w:noWrap/>
            <w:vAlign w:val="center"/>
            <w:hideMark/>
          </w:tcPr>
          <w:p w14:paraId="764F5DF2" w14:textId="77777777" w:rsidR="00A57F2D" w:rsidRPr="00C00919" w:rsidRDefault="00A57F2D" w:rsidP="000A21AD">
            <w:pPr>
              <w:spacing w:line="240" w:lineRule="auto"/>
              <w:jc w:val="right"/>
              <w:rPr>
                <w:rFonts w:eastAsia="Times New Roman" w:cs="Times New Roman"/>
                <w:color w:val="000000"/>
                <w:sz w:val="18"/>
                <w:szCs w:val="18"/>
                <w:lang w:eastAsia="sk-SK"/>
              </w:rPr>
            </w:pPr>
            <w:r w:rsidRPr="00C00919">
              <w:rPr>
                <w:rFonts w:eastAsia="Times New Roman" w:cs="Times New Roman"/>
                <w:color w:val="000000"/>
                <w:sz w:val="18"/>
                <w:szCs w:val="18"/>
              </w:rPr>
              <w:t>1,4</w:t>
            </w:r>
          </w:p>
        </w:tc>
      </w:tr>
      <w:tr w:rsidR="00A57F2D" w:rsidRPr="00C00919" w14:paraId="664E02C4" w14:textId="77777777" w:rsidTr="00A57F2D">
        <w:trPr>
          <w:trHeight w:val="290"/>
        </w:trPr>
        <w:tc>
          <w:tcPr>
            <w:tcW w:w="139" w:type="pct"/>
            <w:tcBorders>
              <w:top w:val="nil"/>
              <w:left w:val="nil"/>
              <w:bottom w:val="nil"/>
              <w:right w:val="nil"/>
            </w:tcBorders>
            <w:noWrap/>
            <w:vAlign w:val="center"/>
            <w:hideMark/>
          </w:tcPr>
          <w:p w14:paraId="54D65E97" w14:textId="77777777" w:rsidR="00A57F2D" w:rsidRPr="00C00919" w:rsidRDefault="00A57F2D" w:rsidP="000A21AD">
            <w:pPr>
              <w:spacing w:line="240" w:lineRule="auto"/>
              <w:jc w:val="right"/>
              <w:rPr>
                <w:rFonts w:eastAsia="Times New Roman" w:cs="Times New Roman"/>
                <w:color w:val="000000"/>
                <w:sz w:val="18"/>
                <w:szCs w:val="18"/>
                <w:lang w:eastAsia="sk-SK"/>
              </w:rPr>
            </w:pPr>
          </w:p>
        </w:tc>
        <w:tc>
          <w:tcPr>
            <w:tcW w:w="3122" w:type="pct"/>
            <w:tcBorders>
              <w:top w:val="nil"/>
              <w:left w:val="nil"/>
              <w:bottom w:val="nil"/>
              <w:right w:val="nil"/>
            </w:tcBorders>
            <w:noWrap/>
            <w:vAlign w:val="center"/>
            <w:hideMark/>
          </w:tcPr>
          <w:p w14:paraId="3EF7AE55" w14:textId="77777777" w:rsidR="00A57F2D" w:rsidRPr="00C00919" w:rsidRDefault="00A57F2D" w:rsidP="000A21AD">
            <w:pPr>
              <w:spacing w:line="240" w:lineRule="auto"/>
              <w:rPr>
                <w:rFonts w:eastAsia="Times New Roman" w:cs="Times New Roman"/>
                <w:i/>
                <w:iCs/>
                <w:color w:val="000000"/>
                <w:sz w:val="18"/>
                <w:szCs w:val="18"/>
                <w:lang w:eastAsia="sk-SK"/>
              </w:rPr>
            </w:pPr>
            <w:r w:rsidRPr="00C00919">
              <w:rPr>
                <w:rFonts w:eastAsia="Times New Roman" w:cs="Times New Roman"/>
                <w:i/>
                <w:iCs/>
                <w:color w:val="000000"/>
                <w:sz w:val="18"/>
                <w:szCs w:val="18"/>
              </w:rPr>
              <w:t>Skutočný rast čistých výdavkov</w:t>
            </w:r>
          </w:p>
        </w:tc>
        <w:tc>
          <w:tcPr>
            <w:tcW w:w="588" w:type="pct"/>
            <w:tcBorders>
              <w:top w:val="nil"/>
              <w:left w:val="nil"/>
              <w:bottom w:val="nil"/>
              <w:right w:val="nil"/>
            </w:tcBorders>
            <w:vAlign w:val="center"/>
            <w:hideMark/>
          </w:tcPr>
          <w:p w14:paraId="3EE7C6CD" w14:textId="77777777" w:rsidR="00A57F2D" w:rsidRPr="00C00919" w:rsidRDefault="00A57F2D" w:rsidP="000A21AD">
            <w:pPr>
              <w:spacing w:line="240" w:lineRule="auto"/>
              <w:rPr>
                <w:rFonts w:eastAsia="Times New Roman" w:cs="Times New Roman"/>
                <w:i/>
                <w:iCs/>
                <w:color w:val="000000"/>
                <w:sz w:val="18"/>
                <w:szCs w:val="18"/>
                <w:lang w:eastAsia="sk-SK"/>
              </w:rPr>
            </w:pPr>
          </w:p>
        </w:tc>
        <w:tc>
          <w:tcPr>
            <w:tcW w:w="563" w:type="pct"/>
            <w:tcBorders>
              <w:top w:val="nil"/>
              <w:left w:val="nil"/>
              <w:bottom w:val="nil"/>
              <w:right w:val="nil"/>
            </w:tcBorders>
            <w:noWrap/>
            <w:vAlign w:val="center"/>
            <w:hideMark/>
          </w:tcPr>
          <w:p w14:paraId="5CC26ABB" w14:textId="77777777" w:rsidR="00A57F2D" w:rsidRPr="00C00919" w:rsidRDefault="00A57F2D" w:rsidP="000A21AD">
            <w:pPr>
              <w:spacing w:line="240" w:lineRule="auto"/>
              <w:jc w:val="right"/>
              <w:rPr>
                <w:rFonts w:eastAsia="Times New Roman" w:cs="Times New Roman"/>
                <w:b/>
                <w:bCs/>
                <w:color w:val="000000"/>
                <w:sz w:val="18"/>
                <w:szCs w:val="18"/>
                <w:lang w:eastAsia="sk-SK"/>
              </w:rPr>
            </w:pPr>
            <w:r w:rsidRPr="00C00919">
              <w:rPr>
                <w:rFonts w:eastAsia="Times New Roman" w:cs="Times New Roman"/>
                <w:b/>
                <w:bCs/>
                <w:color w:val="000000"/>
                <w:sz w:val="18"/>
                <w:szCs w:val="18"/>
              </w:rPr>
              <w:t>3,50%</w:t>
            </w:r>
          </w:p>
        </w:tc>
        <w:tc>
          <w:tcPr>
            <w:tcW w:w="588" w:type="pct"/>
            <w:tcBorders>
              <w:top w:val="nil"/>
              <w:left w:val="nil"/>
              <w:bottom w:val="nil"/>
              <w:right w:val="nil"/>
            </w:tcBorders>
            <w:noWrap/>
            <w:vAlign w:val="center"/>
            <w:hideMark/>
          </w:tcPr>
          <w:p w14:paraId="298573FB" w14:textId="77777777" w:rsidR="00A57F2D" w:rsidRPr="00C00919" w:rsidRDefault="00A57F2D" w:rsidP="000A21AD">
            <w:pPr>
              <w:spacing w:line="240" w:lineRule="auto"/>
              <w:jc w:val="right"/>
              <w:rPr>
                <w:rFonts w:eastAsia="Times New Roman" w:cs="Times New Roman"/>
                <w:b/>
                <w:bCs/>
                <w:color w:val="000000"/>
                <w:sz w:val="18"/>
                <w:szCs w:val="18"/>
                <w:lang w:eastAsia="sk-SK"/>
              </w:rPr>
            </w:pPr>
            <w:r w:rsidRPr="00C00919">
              <w:rPr>
                <w:rFonts w:eastAsia="Times New Roman" w:cs="Times New Roman"/>
                <w:b/>
                <w:bCs/>
                <w:color w:val="000000"/>
                <w:sz w:val="18"/>
                <w:szCs w:val="18"/>
              </w:rPr>
              <w:t>1,70%</w:t>
            </w:r>
          </w:p>
        </w:tc>
      </w:tr>
      <w:tr w:rsidR="00A57F2D" w:rsidRPr="00C00919" w14:paraId="4DF1D0E2" w14:textId="77777777" w:rsidTr="00A57F2D">
        <w:trPr>
          <w:trHeight w:val="290"/>
        </w:trPr>
        <w:tc>
          <w:tcPr>
            <w:tcW w:w="139" w:type="pct"/>
            <w:tcBorders>
              <w:top w:val="nil"/>
              <w:left w:val="nil"/>
              <w:bottom w:val="single" w:sz="4" w:space="0" w:color="auto"/>
              <w:right w:val="nil"/>
            </w:tcBorders>
            <w:noWrap/>
            <w:vAlign w:val="center"/>
            <w:hideMark/>
          </w:tcPr>
          <w:p w14:paraId="59CCF5BD" w14:textId="77777777" w:rsidR="00A57F2D" w:rsidRPr="00C00919" w:rsidRDefault="00A57F2D" w:rsidP="000A21AD">
            <w:pPr>
              <w:spacing w:line="240" w:lineRule="auto"/>
              <w:rPr>
                <w:rFonts w:eastAsia="Times New Roman" w:cs="Times New Roman"/>
                <w:i/>
                <w:iCs/>
                <w:color w:val="000000"/>
                <w:sz w:val="18"/>
                <w:szCs w:val="18"/>
                <w:lang w:eastAsia="sk-SK"/>
              </w:rPr>
            </w:pPr>
            <w:r w:rsidRPr="00C00919">
              <w:rPr>
                <w:rFonts w:eastAsia="Times New Roman" w:cs="Times New Roman"/>
                <w:i/>
                <w:iCs/>
                <w:color w:val="000000"/>
                <w:sz w:val="18"/>
                <w:szCs w:val="18"/>
              </w:rPr>
              <w:t> </w:t>
            </w:r>
          </w:p>
        </w:tc>
        <w:tc>
          <w:tcPr>
            <w:tcW w:w="3122" w:type="pct"/>
            <w:tcBorders>
              <w:top w:val="nil"/>
              <w:left w:val="nil"/>
              <w:bottom w:val="single" w:sz="4" w:space="0" w:color="auto"/>
              <w:right w:val="nil"/>
            </w:tcBorders>
            <w:noWrap/>
            <w:vAlign w:val="center"/>
            <w:hideMark/>
          </w:tcPr>
          <w:p w14:paraId="26FC3A04" w14:textId="77777777" w:rsidR="00A57F2D" w:rsidRPr="00C00919" w:rsidRDefault="00A57F2D" w:rsidP="000A21AD">
            <w:pPr>
              <w:spacing w:line="240" w:lineRule="auto"/>
              <w:rPr>
                <w:rFonts w:eastAsia="Times New Roman" w:cs="Times New Roman"/>
                <w:i/>
                <w:iCs/>
                <w:color w:val="000000"/>
                <w:sz w:val="18"/>
                <w:szCs w:val="18"/>
                <w:lang w:eastAsia="sk-SK"/>
              </w:rPr>
            </w:pPr>
            <w:r w:rsidRPr="00C00919">
              <w:rPr>
                <w:rFonts w:eastAsia="Times New Roman" w:cs="Times New Roman"/>
                <w:i/>
                <w:iCs/>
                <w:color w:val="000000"/>
                <w:sz w:val="18"/>
                <w:szCs w:val="18"/>
              </w:rPr>
              <w:t>Kumulatív</w:t>
            </w:r>
          </w:p>
        </w:tc>
        <w:tc>
          <w:tcPr>
            <w:tcW w:w="588" w:type="pct"/>
            <w:tcBorders>
              <w:top w:val="nil"/>
              <w:left w:val="nil"/>
              <w:bottom w:val="single" w:sz="4" w:space="0" w:color="auto"/>
              <w:right w:val="nil"/>
            </w:tcBorders>
            <w:vAlign w:val="center"/>
            <w:hideMark/>
          </w:tcPr>
          <w:p w14:paraId="354A6393" w14:textId="77777777" w:rsidR="00A57F2D" w:rsidRPr="00C00919" w:rsidRDefault="00A57F2D" w:rsidP="000A21AD">
            <w:pPr>
              <w:spacing w:line="240" w:lineRule="auto"/>
              <w:jc w:val="right"/>
              <w:rPr>
                <w:rFonts w:eastAsia="Times New Roman" w:cs="Times New Roman"/>
                <w:i/>
                <w:iCs/>
                <w:color w:val="000000"/>
                <w:sz w:val="18"/>
                <w:szCs w:val="18"/>
                <w:lang w:eastAsia="sk-SK"/>
              </w:rPr>
            </w:pPr>
            <w:r w:rsidRPr="00C00919">
              <w:rPr>
                <w:rFonts w:eastAsia="Times New Roman" w:cs="Times New Roman"/>
                <w:i/>
                <w:iCs/>
                <w:color w:val="000000"/>
                <w:sz w:val="18"/>
                <w:szCs w:val="18"/>
              </w:rPr>
              <w:t> </w:t>
            </w:r>
          </w:p>
        </w:tc>
        <w:tc>
          <w:tcPr>
            <w:tcW w:w="563" w:type="pct"/>
            <w:tcBorders>
              <w:top w:val="nil"/>
              <w:left w:val="nil"/>
              <w:bottom w:val="single" w:sz="4" w:space="0" w:color="auto"/>
              <w:right w:val="nil"/>
            </w:tcBorders>
            <w:noWrap/>
            <w:vAlign w:val="center"/>
            <w:hideMark/>
          </w:tcPr>
          <w:p w14:paraId="01DADA1E" w14:textId="77777777" w:rsidR="00A57F2D" w:rsidRPr="00C00919" w:rsidRDefault="00A57F2D" w:rsidP="000A21AD">
            <w:pPr>
              <w:spacing w:line="240" w:lineRule="auto"/>
              <w:jc w:val="right"/>
              <w:rPr>
                <w:rFonts w:eastAsia="Times New Roman" w:cs="Times New Roman"/>
                <w:i/>
                <w:iCs/>
                <w:color w:val="000000"/>
                <w:sz w:val="18"/>
                <w:szCs w:val="18"/>
                <w:lang w:eastAsia="sk-SK"/>
              </w:rPr>
            </w:pPr>
            <w:r w:rsidRPr="00C00919">
              <w:rPr>
                <w:rFonts w:eastAsia="Times New Roman" w:cs="Times New Roman"/>
                <w:i/>
                <w:iCs/>
                <w:color w:val="000000"/>
                <w:sz w:val="18"/>
                <w:szCs w:val="18"/>
              </w:rPr>
              <w:t>3,50%</w:t>
            </w:r>
          </w:p>
        </w:tc>
        <w:tc>
          <w:tcPr>
            <w:tcW w:w="588" w:type="pct"/>
            <w:tcBorders>
              <w:top w:val="nil"/>
              <w:left w:val="nil"/>
              <w:bottom w:val="single" w:sz="4" w:space="0" w:color="auto"/>
              <w:right w:val="nil"/>
            </w:tcBorders>
            <w:noWrap/>
            <w:vAlign w:val="center"/>
            <w:hideMark/>
          </w:tcPr>
          <w:p w14:paraId="43EE70F6" w14:textId="77777777" w:rsidR="00A57F2D" w:rsidRPr="00C00919" w:rsidRDefault="00A57F2D" w:rsidP="000A21AD">
            <w:pPr>
              <w:spacing w:line="240" w:lineRule="auto"/>
              <w:jc w:val="right"/>
              <w:rPr>
                <w:rFonts w:eastAsia="Times New Roman" w:cs="Times New Roman"/>
                <w:i/>
                <w:iCs/>
                <w:color w:val="000000"/>
                <w:sz w:val="18"/>
                <w:szCs w:val="18"/>
                <w:lang w:eastAsia="sk-SK"/>
              </w:rPr>
            </w:pPr>
            <w:r w:rsidRPr="00C00919">
              <w:rPr>
                <w:rFonts w:eastAsia="Times New Roman" w:cs="Times New Roman"/>
                <w:i/>
                <w:iCs/>
                <w:color w:val="000000"/>
                <w:sz w:val="18"/>
                <w:szCs w:val="18"/>
              </w:rPr>
              <w:t>5,30%</w:t>
            </w:r>
          </w:p>
        </w:tc>
      </w:tr>
      <w:tr w:rsidR="00A57F2D" w:rsidRPr="00C00919" w14:paraId="6948E6CF" w14:textId="77777777" w:rsidTr="00A57F2D">
        <w:trPr>
          <w:trHeight w:val="290"/>
        </w:trPr>
        <w:tc>
          <w:tcPr>
            <w:tcW w:w="139" w:type="pct"/>
            <w:tcBorders>
              <w:top w:val="nil"/>
              <w:left w:val="nil"/>
              <w:bottom w:val="nil"/>
              <w:right w:val="nil"/>
            </w:tcBorders>
            <w:noWrap/>
            <w:vAlign w:val="center"/>
            <w:hideMark/>
          </w:tcPr>
          <w:p w14:paraId="50E74BD6" w14:textId="77777777" w:rsidR="00A57F2D" w:rsidRPr="00C00919" w:rsidRDefault="00A57F2D" w:rsidP="000A21AD">
            <w:pPr>
              <w:spacing w:line="240" w:lineRule="auto"/>
              <w:jc w:val="right"/>
              <w:rPr>
                <w:rFonts w:eastAsia="Times New Roman" w:cs="Times New Roman"/>
                <w:i/>
                <w:iCs/>
                <w:color w:val="000000"/>
                <w:sz w:val="18"/>
                <w:szCs w:val="18"/>
                <w:lang w:eastAsia="sk-SK"/>
              </w:rPr>
            </w:pPr>
          </w:p>
        </w:tc>
        <w:tc>
          <w:tcPr>
            <w:tcW w:w="3122" w:type="pct"/>
            <w:tcBorders>
              <w:top w:val="nil"/>
              <w:left w:val="nil"/>
              <w:bottom w:val="nil"/>
              <w:right w:val="nil"/>
            </w:tcBorders>
            <w:noWrap/>
            <w:vAlign w:val="center"/>
            <w:hideMark/>
          </w:tcPr>
          <w:p w14:paraId="5455337F" w14:textId="77777777" w:rsidR="00A57F2D" w:rsidRPr="00C00919" w:rsidRDefault="00A57F2D" w:rsidP="000A21AD">
            <w:pPr>
              <w:spacing w:line="240" w:lineRule="auto"/>
              <w:rPr>
                <w:rFonts w:eastAsia="Times New Roman" w:cs="Times New Roman"/>
                <w:i/>
                <w:iCs/>
                <w:color w:val="000000"/>
                <w:sz w:val="18"/>
                <w:szCs w:val="18"/>
                <w:lang w:eastAsia="sk-SK"/>
              </w:rPr>
            </w:pPr>
            <w:r w:rsidRPr="00C00919">
              <w:rPr>
                <w:rFonts w:eastAsia="Times New Roman" w:cs="Times New Roman"/>
                <w:i/>
                <w:iCs/>
                <w:color w:val="000000"/>
                <w:sz w:val="18"/>
                <w:szCs w:val="18"/>
              </w:rPr>
              <w:t>Rast čistých výdavkov podľa MTP (EK trajektória)</w:t>
            </w:r>
          </w:p>
        </w:tc>
        <w:tc>
          <w:tcPr>
            <w:tcW w:w="588" w:type="pct"/>
            <w:tcBorders>
              <w:top w:val="nil"/>
              <w:left w:val="nil"/>
              <w:bottom w:val="nil"/>
              <w:right w:val="nil"/>
            </w:tcBorders>
            <w:vAlign w:val="center"/>
            <w:hideMark/>
          </w:tcPr>
          <w:p w14:paraId="63A57869" w14:textId="77777777" w:rsidR="00A57F2D" w:rsidRPr="00C00919" w:rsidRDefault="00A57F2D" w:rsidP="000A21AD">
            <w:pPr>
              <w:spacing w:line="240" w:lineRule="auto"/>
              <w:rPr>
                <w:rFonts w:eastAsia="Times New Roman" w:cs="Times New Roman"/>
                <w:i/>
                <w:iCs/>
                <w:color w:val="000000"/>
                <w:sz w:val="18"/>
                <w:szCs w:val="18"/>
                <w:lang w:eastAsia="sk-SK"/>
              </w:rPr>
            </w:pPr>
          </w:p>
        </w:tc>
        <w:tc>
          <w:tcPr>
            <w:tcW w:w="563" w:type="pct"/>
            <w:tcBorders>
              <w:top w:val="nil"/>
              <w:left w:val="nil"/>
              <w:bottom w:val="nil"/>
              <w:right w:val="nil"/>
            </w:tcBorders>
            <w:noWrap/>
            <w:vAlign w:val="center"/>
            <w:hideMark/>
          </w:tcPr>
          <w:p w14:paraId="5E0935D9" w14:textId="77777777" w:rsidR="00A57F2D" w:rsidRPr="00C00919" w:rsidRDefault="00A57F2D" w:rsidP="000A21AD">
            <w:pPr>
              <w:spacing w:line="240" w:lineRule="auto"/>
              <w:jc w:val="right"/>
              <w:rPr>
                <w:rFonts w:eastAsia="Times New Roman" w:cs="Times New Roman"/>
                <w:b/>
                <w:bCs/>
                <w:color w:val="000000"/>
                <w:sz w:val="18"/>
                <w:szCs w:val="18"/>
                <w:lang w:eastAsia="sk-SK"/>
              </w:rPr>
            </w:pPr>
            <w:r w:rsidRPr="00C00919">
              <w:rPr>
                <w:rFonts w:eastAsia="Times New Roman" w:cs="Times New Roman"/>
                <w:b/>
                <w:bCs/>
                <w:color w:val="000000"/>
                <w:sz w:val="18"/>
                <w:szCs w:val="18"/>
              </w:rPr>
              <w:t>6,20%</w:t>
            </w:r>
          </w:p>
        </w:tc>
        <w:tc>
          <w:tcPr>
            <w:tcW w:w="588" w:type="pct"/>
            <w:tcBorders>
              <w:top w:val="nil"/>
              <w:left w:val="nil"/>
              <w:bottom w:val="nil"/>
              <w:right w:val="nil"/>
            </w:tcBorders>
            <w:noWrap/>
            <w:vAlign w:val="center"/>
            <w:hideMark/>
          </w:tcPr>
          <w:p w14:paraId="2263C0A4" w14:textId="77777777" w:rsidR="00A57F2D" w:rsidRPr="00C00919" w:rsidRDefault="00A57F2D" w:rsidP="000A21AD">
            <w:pPr>
              <w:spacing w:line="240" w:lineRule="auto"/>
              <w:jc w:val="right"/>
              <w:rPr>
                <w:rFonts w:eastAsia="Times New Roman" w:cs="Times New Roman"/>
                <w:b/>
                <w:bCs/>
                <w:color w:val="000000"/>
                <w:sz w:val="18"/>
                <w:szCs w:val="18"/>
                <w:lang w:eastAsia="sk-SK"/>
              </w:rPr>
            </w:pPr>
            <w:r w:rsidRPr="00C00919">
              <w:rPr>
                <w:rFonts w:eastAsia="Times New Roman" w:cs="Times New Roman"/>
                <w:b/>
                <w:bCs/>
                <w:color w:val="000000"/>
                <w:sz w:val="18"/>
                <w:szCs w:val="18"/>
              </w:rPr>
              <w:t>3,80%</w:t>
            </w:r>
          </w:p>
        </w:tc>
      </w:tr>
      <w:tr w:rsidR="00A57F2D" w:rsidRPr="00C00919" w14:paraId="190346BC" w14:textId="77777777" w:rsidTr="00A57F2D">
        <w:trPr>
          <w:trHeight w:val="290"/>
        </w:trPr>
        <w:tc>
          <w:tcPr>
            <w:tcW w:w="139" w:type="pct"/>
            <w:tcBorders>
              <w:top w:val="nil"/>
              <w:left w:val="nil"/>
              <w:bottom w:val="single" w:sz="4" w:space="0" w:color="auto"/>
              <w:right w:val="nil"/>
            </w:tcBorders>
            <w:noWrap/>
            <w:vAlign w:val="center"/>
            <w:hideMark/>
          </w:tcPr>
          <w:p w14:paraId="2CCB932E" w14:textId="77777777" w:rsidR="00A57F2D" w:rsidRPr="00C00919" w:rsidRDefault="00A57F2D" w:rsidP="000A21AD">
            <w:pPr>
              <w:spacing w:line="240" w:lineRule="auto"/>
              <w:rPr>
                <w:rFonts w:eastAsia="Times New Roman" w:cs="Times New Roman"/>
                <w:i/>
                <w:iCs/>
                <w:color w:val="000000"/>
                <w:sz w:val="18"/>
                <w:szCs w:val="18"/>
                <w:lang w:eastAsia="sk-SK"/>
              </w:rPr>
            </w:pPr>
            <w:r w:rsidRPr="00C00919">
              <w:rPr>
                <w:rFonts w:eastAsia="Times New Roman" w:cs="Times New Roman"/>
                <w:i/>
                <w:iCs/>
                <w:color w:val="000000"/>
                <w:sz w:val="18"/>
                <w:szCs w:val="18"/>
              </w:rPr>
              <w:t> </w:t>
            </w:r>
          </w:p>
        </w:tc>
        <w:tc>
          <w:tcPr>
            <w:tcW w:w="3122" w:type="pct"/>
            <w:tcBorders>
              <w:top w:val="nil"/>
              <w:left w:val="nil"/>
              <w:bottom w:val="single" w:sz="4" w:space="0" w:color="auto"/>
              <w:right w:val="nil"/>
            </w:tcBorders>
            <w:noWrap/>
            <w:vAlign w:val="center"/>
            <w:hideMark/>
          </w:tcPr>
          <w:p w14:paraId="18DA087B" w14:textId="77777777" w:rsidR="00A57F2D" w:rsidRPr="00C00919" w:rsidRDefault="00A57F2D" w:rsidP="000A21AD">
            <w:pPr>
              <w:spacing w:line="240" w:lineRule="auto"/>
              <w:rPr>
                <w:rFonts w:eastAsia="Times New Roman" w:cs="Times New Roman"/>
                <w:i/>
                <w:iCs/>
                <w:color w:val="000000"/>
                <w:sz w:val="18"/>
                <w:szCs w:val="18"/>
                <w:lang w:eastAsia="sk-SK"/>
              </w:rPr>
            </w:pPr>
            <w:r w:rsidRPr="00C00919">
              <w:rPr>
                <w:rFonts w:eastAsia="Times New Roman" w:cs="Times New Roman"/>
                <w:i/>
                <w:iCs/>
                <w:color w:val="000000"/>
                <w:sz w:val="18"/>
                <w:szCs w:val="18"/>
              </w:rPr>
              <w:t>Kumulatív</w:t>
            </w:r>
          </w:p>
        </w:tc>
        <w:tc>
          <w:tcPr>
            <w:tcW w:w="588" w:type="pct"/>
            <w:tcBorders>
              <w:top w:val="nil"/>
              <w:left w:val="nil"/>
              <w:bottom w:val="single" w:sz="4" w:space="0" w:color="auto"/>
              <w:right w:val="nil"/>
            </w:tcBorders>
            <w:vAlign w:val="center"/>
            <w:hideMark/>
          </w:tcPr>
          <w:p w14:paraId="7F841612" w14:textId="77777777" w:rsidR="00A57F2D" w:rsidRPr="00C00919" w:rsidRDefault="00A57F2D" w:rsidP="000A21AD">
            <w:pPr>
              <w:spacing w:line="240" w:lineRule="auto"/>
              <w:jc w:val="right"/>
              <w:rPr>
                <w:rFonts w:eastAsia="Times New Roman" w:cs="Times New Roman"/>
                <w:i/>
                <w:iCs/>
                <w:color w:val="000000"/>
                <w:sz w:val="18"/>
                <w:szCs w:val="18"/>
                <w:lang w:eastAsia="sk-SK"/>
              </w:rPr>
            </w:pPr>
            <w:r w:rsidRPr="00C00919">
              <w:rPr>
                <w:rFonts w:eastAsia="Times New Roman" w:cs="Times New Roman"/>
                <w:i/>
                <w:iCs/>
                <w:color w:val="000000"/>
                <w:sz w:val="18"/>
                <w:szCs w:val="18"/>
              </w:rPr>
              <w:t> </w:t>
            </w:r>
          </w:p>
        </w:tc>
        <w:tc>
          <w:tcPr>
            <w:tcW w:w="563" w:type="pct"/>
            <w:tcBorders>
              <w:top w:val="nil"/>
              <w:left w:val="nil"/>
              <w:bottom w:val="single" w:sz="4" w:space="0" w:color="auto"/>
              <w:right w:val="nil"/>
            </w:tcBorders>
            <w:noWrap/>
            <w:vAlign w:val="center"/>
            <w:hideMark/>
          </w:tcPr>
          <w:p w14:paraId="094FA402" w14:textId="77777777" w:rsidR="00A57F2D" w:rsidRPr="00C00919" w:rsidRDefault="00A57F2D" w:rsidP="000A21AD">
            <w:pPr>
              <w:spacing w:line="240" w:lineRule="auto"/>
              <w:jc w:val="right"/>
              <w:rPr>
                <w:rFonts w:eastAsia="Times New Roman" w:cs="Times New Roman"/>
                <w:i/>
                <w:iCs/>
                <w:color w:val="000000"/>
                <w:sz w:val="18"/>
                <w:szCs w:val="18"/>
                <w:lang w:eastAsia="sk-SK"/>
              </w:rPr>
            </w:pPr>
            <w:r w:rsidRPr="00C00919">
              <w:rPr>
                <w:rFonts w:eastAsia="Times New Roman" w:cs="Times New Roman"/>
                <w:i/>
                <w:iCs/>
                <w:color w:val="000000"/>
                <w:sz w:val="18"/>
                <w:szCs w:val="18"/>
              </w:rPr>
              <w:t>6,20%</w:t>
            </w:r>
          </w:p>
        </w:tc>
        <w:tc>
          <w:tcPr>
            <w:tcW w:w="588" w:type="pct"/>
            <w:tcBorders>
              <w:top w:val="nil"/>
              <w:left w:val="nil"/>
              <w:bottom w:val="single" w:sz="4" w:space="0" w:color="auto"/>
              <w:right w:val="nil"/>
            </w:tcBorders>
            <w:noWrap/>
            <w:vAlign w:val="center"/>
            <w:hideMark/>
          </w:tcPr>
          <w:p w14:paraId="4F5390C1" w14:textId="77777777" w:rsidR="00A57F2D" w:rsidRPr="00C00919" w:rsidRDefault="00A57F2D" w:rsidP="000A21AD">
            <w:pPr>
              <w:spacing w:line="240" w:lineRule="auto"/>
              <w:jc w:val="right"/>
              <w:rPr>
                <w:rFonts w:eastAsia="Times New Roman" w:cs="Times New Roman"/>
                <w:i/>
                <w:iCs/>
                <w:color w:val="000000"/>
                <w:sz w:val="18"/>
                <w:szCs w:val="18"/>
                <w:lang w:eastAsia="sk-SK"/>
              </w:rPr>
            </w:pPr>
            <w:r w:rsidRPr="00C00919">
              <w:rPr>
                <w:rFonts w:eastAsia="Times New Roman" w:cs="Times New Roman"/>
                <w:i/>
                <w:iCs/>
                <w:color w:val="000000"/>
                <w:sz w:val="18"/>
                <w:szCs w:val="18"/>
              </w:rPr>
              <w:t>10,30%</w:t>
            </w:r>
          </w:p>
        </w:tc>
      </w:tr>
    </w:tbl>
    <w:p w14:paraId="273F1BF6" w14:textId="2761DBC3" w:rsidR="0021264E" w:rsidRDefault="000A21AD" w:rsidP="000A21AD">
      <w:pPr>
        <w:tabs>
          <w:tab w:val="right" w:pos="9070"/>
        </w:tabs>
        <w:spacing w:line="240" w:lineRule="auto"/>
        <w:jc w:val="both"/>
        <w:rPr>
          <w:sz w:val="18"/>
          <w:szCs w:val="18"/>
        </w:rPr>
      </w:pPr>
      <w:r w:rsidRPr="00C00919">
        <w:rPr>
          <w:sz w:val="18"/>
          <w:szCs w:val="18"/>
        </w:rPr>
        <w:tab/>
        <w:t>Zdroj: MF SR</w:t>
      </w:r>
    </w:p>
    <w:p w14:paraId="70389B88" w14:textId="77777777" w:rsidR="0021264E" w:rsidRDefault="0021264E">
      <w:pPr>
        <w:rPr>
          <w:sz w:val="18"/>
          <w:szCs w:val="18"/>
        </w:rPr>
      </w:pPr>
      <w:r>
        <w:rPr>
          <w:sz w:val="18"/>
          <w:szCs w:val="18"/>
        </w:rPr>
        <w:br w:type="page"/>
      </w:r>
    </w:p>
    <w:p w14:paraId="1EC4EEAC" w14:textId="23BE530B" w:rsidR="009A05C7" w:rsidRDefault="009A05C7" w:rsidP="00A972FB">
      <w:pPr>
        <w:pStyle w:val="Nadpis2"/>
      </w:pPr>
      <w:bookmarkStart w:id="86" w:name="_Toc227758901"/>
      <w:r w:rsidRPr="00042F5E">
        <w:lastRenderedPageBreak/>
        <w:t>Porovnanie salda a dlhu verejnej správy v Európskej únii</w:t>
      </w:r>
      <w:bookmarkEnd w:id="83"/>
      <w:bookmarkEnd w:id="84"/>
      <w:bookmarkEnd w:id="86"/>
    </w:p>
    <w:p w14:paraId="0404FDD3" w14:textId="23CF351F" w:rsidR="009A05C7" w:rsidRDefault="009A05C7" w:rsidP="00574DFB">
      <w:pPr>
        <w:spacing w:line="240" w:lineRule="auto"/>
        <w:jc w:val="both"/>
        <w:rPr>
          <w:rFonts w:cs="Times New Roman"/>
          <w:szCs w:val="24"/>
        </w:rPr>
      </w:pPr>
      <w:r w:rsidRPr="00822A7D">
        <w:rPr>
          <w:szCs w:val="24"/>
        </w:rPr>
        <w:t>V rámci Európskej únie (27 krajín) v roku 202</w:t>
      </w:r>
      <w:r w:rsidR="00822A7D" w:rsidRPr="00822A7D">
        <w:rPr>
          <w:szCs w:val="24"/>
        </w:rPr>
        <w:t>5</w:t>
      </w:r>
      <w:r w:rsidRPr="00822A7D">
        <w:rPr>
          <w:szCs w:val="24"/>
        </w:rPr>
        <w:t xml:space="preserve"> </w:t>
      </w:r>
      <w:r w:rsidRPr="00822A7D">
        <w:rPr>
          <w:b/>
          <w:szCs w:val="24"/>
        </w:rPr>
        <w:t>priemerný schodok EÚ 27 bol 3,</w:t>
      </w:r>
      <w:r w:rsidR="00822A7D" w:rsidRPr="00822A7D">
        <w:rPr>
          <w:b/>
          <w:szCs w:val="24"/>
        </w:rPr>
        <w:t>1</w:t>
      </w:r>
      <w:r w:rsidRPr="00822A7D">
        <w:rPr>
          <w:b/>
          <w:szCs w:val="24"/>
        </w:rPr>
        <w:t> % HDP a priemerný dlh verejnej správy EÚ 27 bol 81,</w:t>
      </w:r>
      <w:r w:rsidR="00822A7D" w:rsidRPr="00822A7D">
        <w:rPr>
          <w:b/>
          <w:szCs w:val="24"/>
        </w:rPr>
        <w:t>7</w:t>
      </w:r>
      <w:r w:rsidRPr="00822A7D">
        <w:rPr>
          <w:b/>
          <w:szCs w:val="24"/>
        </w:rPr>
        <w:t> % HDP.</w:t>
      </w:r>
      <w:r w:rsidR="0021264E">
        <w:rPr>
          <w:b/>
          <w:szCs w:val="24"/>
        </w:rPr>
        <w:t xml:space="preserve"> </w:t>
      </w:r>
      <w:r w:rsidR="0021264E" w:rsidRPr="00822A7D">
        <w:rPr>
          <w:rFonts w:cs="Times New Roman"/>
          <w:szCs w:val="24"/>
        </w:rPr>
        <w:t>V rámci krajín EÚ</w:t>
      </w:r>
      <w:r w:rsidR="0021264E">
        <w:rPr>
          <w:rFonts w:cs="Times New Roman"/>
          <w:szCs w:val="24"/>
        </w:rPr>
        <w:t> </w:t>
      </w:r>
      <w:r w:rsidR="0021264E" w:rsidRPr="00822A7D">
        <w:rPr>
          <w:rFonts w:cs="Times New Roman"/>
          <w:szCs w:val="24"/>
        </w:rPr>
        <w:t xml:space="preserve">27 došlo k nárastu HDP o 789 055 mil. eur (o 4,4 %) a nárastu dlhu o 825 697 mil. eur (o 5,7 %). </w:t>
      </w:r>
    </w:p>
    <w:p w14:paraId="2B3FE0D1" w14:textId="77777777" w:rsidR="00574DFB" w:rsidRDefault="00574DFB" w:rsidP="00574DFB">
      <w:pPr>
        <w:spacing w:line="240" w:lineRule="auto"/>
        <w:jc w:val="both"/>
        <w:rPr>
          <w:szCs w:val="24"/>
        </w:rPr>
      </w:pPr>
    </w:p>
    <w:p w14:paraId="7520522A" w14:textId="463BC36C" w:rsidR="00CC68FA" w:rsidRDefault="00CC68FA" w:rsidP="0021264E">
      <w:pPr>
        <w:pStyle w:val="Popis"/>
        <w:jc w:val="both"/>
        <w:rPr>
          <w:lang w:eastAsia="sk-SK"/>
        </w:rPr>
      </w:pPr>
      <w:bookmarkStart w:id="87" w:name="_Toc196313647"/>
      <w:bookmarkStart w:id="88" w:name="_Toc227670157"/>
      <w:r w:rsidRPr="00674C20">
        <w:rPr>
          <w:lang w:eastAsia="sk-SK"/>
        </w:rPr>
        <w:t xml:space="preserve">Tabuľka </w:t>
      </w:r>
      <w:r w:rsidRPr="00674C20">
        <w:rPr>
          <w:i/>
          <w:lang w:eastAsia="sk-SK"/>
        </w:rPr>
        <w:fldChar w:fldCharType="begin"/>
      </w:r>
      <w:r w:rsidRPr="00674C20">
        <w:rPr>
          <w:lang w:eastAsia="sk-SK"/>
        </w:rPr>
        <w:instrText xml:space="preserve"> SEQ Tabuľka \* ARABIC </w:instrText>
      </w:r>
      <w:r w:rsidRPr="00674C20">
        <w:rPr>
          <w:i/>
          <w:lang w:eastAsia="sk-SK"/>
        </w:rPr>
        <w:fldChar w:fldCharType="separate"/>
      </w:r>
      <w:r w:rsidR="00396BE8">
        <w:rPr>
          <w:noProof/>
          <w:lang w:eastAsia="sk-SK"/>
        </w:rPr>
        <w:t>21</w:t>
      </w:r>
      <w:r w:rsidRPr="00674C20">
        <w:rPr>
          <w:i/>
          <w:lang w:eastAsia="sk-SK"/>
        </w:rPr>
        <w:fldChar w:fldCharType="end"/>
      </w:r>
      <w:r w:rsidRPr="00674C20">
        <w:rPr>
          <w:lang w:eastAsia="sk-SK"/>
        </w:rPr>
        <w:t xml:space="preserve"> - Saldo a dlh v EÚ 27 (% HDP)</w:t>
      </w:r>
      <w:r w:rsidRPr="00674C20">
        <w:rPr>
          <w:vertAlign w:val="superscript"/>
          <w:lang w:eastAsia="sk-SK"/>
        </w:rPr>
        <w:t>1)</w:t>
      </w:r>
      <w:bookmarkEnd w:id="87"/>
      <w:bookmarkEnd w:id="88"/>
    </w:p>
    <w:tbl>
      <w:tblPr>
        <w:tblW w:w="5000" w:type="pct"/>
        <w:tblCellMar>
          <w:left w:w="70" w:type="dxa"/>
          <w:right w:w="70" w:type="dxa"/>
        </w:tblCellMar>
        <w:tblLook w:val="04A0" w:firstRow="1" w:lastRow="0" w:firstColumn="1" w:lastColumn="0" w:noHBand="0" w:noVBand="1"/>
      </w:tblPr>
      <w:tblGrid>
        <w:gridCol w:w="1385"/>
        <w:gridCol w:w="746"/>
        <w:gridCol w:w="747"/>
        <w:gridCol w:w="747"/>
        <w:gridCol w:w="745"/>
        <w:gridCol w:w="1306"/>
        <w:gridCol w:w="879"/>
        <w:gridCol w:w="879"/>
        <w:gridCol w:w="879"/>
        <w:gridCol w:w="747"/>
      </w:tblGrid>
      <w:tr w:rsidR="006C3577" w:rsidRPr="0021264E" w14:paraId="5C05AC4E" w14:textId="77777777" w:rsidTr="006C3577">
        <w:trPr>
          <w:trHeight w:val="280"/>
          <w:tblHeader/>
        </w:trPr>
        <w:tc>
          <w:tcPr>
            <w:tcW w:w="2412" w:type="pct"/>
            <w:gridSpan w:val="5"/>
            <w:tcBorders>
              <w:top w:val="single" w:sz="4" w:space="0" w:color="auto"/>
              <w:left w:val="single" w:sz="4" w:space="0" w:color="auto"/>
              <w:bottom w:val="single" w:sz="4" w:space="0" w:color="auto"/>
              <w:right w:val="single" w:sz="4" w:space="0" w:color="000000"/>
            </w:tcBorders>
            <w:vAlign w:val="center"/>
            <w:hideMark/>
          </w:tcPr>
          <w:p w14:paraId="3C3F7373"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 xml:space="preserve">Saldo verejnej správy </w:t>
            </w:r>
          </w:p>
        </w:tc>
        <w:tc>
          <w:tcPr>
            <w:tcW w:w="2588" w:type="pct"/>
            <w:gridSpan w:val="5"/>
            <w:tcBorders>
              <w:top w:val="single" w:sz="4" w:space="0" w:color="auto"/>
              <w:left w:val="nil"/>
              <w:bottom w:val="single" w:sz="4" w:space="0" w:color="auto"/>
              <w:right w:val="single" w:sz="4" w:space="0" w:color="auto"/>
            </w:tcBorders>
            <w:vAlign w:val="center"/>
            <w:hideMark/>
          </w:tcPr>
          <w:p w14:paraId="693CC95C"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 xml:space="preserve">Hrubý dlh verejnej správy </w:t>
            </w:r>
          </w:p>
        </w:tc>
      </w:tr>
      <w:tr w:rsidR="006C3577" w:rsidRPr="0021264E" w14:paraId="2497952B" w14:textId="77777777" w:rsidTr="002C6030">
        <w:trPr>
          <w:trHeight w:val="492"/>
          <w:tblHeader/>
        </w:trPr>
        <w:tc>
          <w:tcPr>
            <w:tcW w:w="765" w:type="pct"/>
            <w:tcBorders>
              <w:top w:val="nil"/>
              <w:left w:val="single" w:sz="4" w:space="0" w:color="auto"/>
              <w:bottom w:val="single" w:sz="4" w:space="0" w:color="auto"/>
              <w:right w:val="nil"/>
            </w:tcBorders>
            <w:vAlign w:val="center"/>
            <w:hideMark/>
          </w:tcPr>
          <w:p w14:paraId="60B01D07"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 </w:t>
            </w:r>
          </w:p>
        </w:tc>
        <w:tc>
          <w:tcPr>
            <w:tcW w:w="412" w:type="pct"/>
            <w:tcBorders>
              <w:top w:val="nil"/>
              <w:left w:val="nil"/>
              <w:bottom w:val="single" w:sz="4" w:space="0" w:color="auto"/>
              <w:right w:val="nil"/>
            </w:tcBorders>
            <w:vAlign w:val="center"/>
            <w:hideMark/>
          </w:tcPr>
          <w:p w14:paraId="5F567693"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2023</w:t>
            </w:r>
          </w:p>
        </w:tc>
        <w:tc>
          <w:tcPr>
            <w:tcW w:w="412" w:type="pct"/>
            <w:tcBorders>
              <w:top w:val="nil"/>
              <w:left w:val="nil"/>
              <w:bottom w:val="single" w:sz="4" w:space="0" w:color="auto"/>
              <w:right w:val="nil"/>
            </w:tcBorders>
            <w:vAlign w:val="center"/>
            <w:hideMark/>
          </w:tcPr>
          <w:p w14:paraId="130FC7DC"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2024</w:t>
            </w:r>
          </w:p>
        </w:tc>
        <w:tc>
          <w:tcPr>
            <w:tcW w:w="412" w:type="pct"/>
            <w:tcBorders>
              <w:top w:val="nil"/>
              <w:left w:val="nil"/>
              <w:bottom w:val="single" w:sz="4" w:space="0" w:color="auto"/>
              <w:right w:val="nil"/>
            </w:tcBorders>
            <w:vAlign w:val="center"/>
            <w:hideMark/>
          </w:tcPr>
          <w:p w14:paraId="5F731052"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2025</w:t>
            </w:r>
          </w:p>
        </w:tc>
        <w:tc>
          <w:tcPr>
            <w:tcW w:w="411" w:type="pct"/>
            <w:tcBorders>
              <w:top w:val="nil"/>
              <w:left w:val="nil"/>
              <w:bottom w:val="single" w:sz="4" w:space="0" w:color="auto"/>
              <w:right w:val="nil"/>
            </w:tcBorders>
            <w:vAlign w:val="center"/>
            <w:hideMark/>
          </w:tcPr>
          <w:p w14:paraId="5C460BFA"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Δ 2025-2024</w:t>
            </w:r>
          </w:p>
        </w:tc>
        <w:tc>
          <w:tcPr>
            <w:tcW w:w="721" w:type="pct"/>
            <w:tcBorders>
              <w:top w:val="nil"/>
              <w:left w:val="single" w:sz="4" w:space="0" w:color="auto"/>
              <w:bottom w:val="single" w:sz="4" w:space="0" w:color="auto"/>
              <w:right w:val="nil"/>
            </w:tcBorders>
            <w:noWrap/>
            <w:vAlign w:val="center"/>
            <w:hideMark/>
          </w:tcPr>
          <w:p w14:paraId="06466F22"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 </w:t>
            </w:r>
          </w:p>
        </w:tc>
        <w:tc>
          <w:tcPr>
            <w:tcW w:w="485" w:type="pct"/>
            <w:tcBorders>
              <w:top w:val="nil"/>
              <w:left w:val="nil"/>
              <w:bottom w:val="single" w:sz="4" w:space="0" w:color="auto"/>
              <w:right w:val="nil"/>
            </w:tcBorders>
            <w:vAlign w:val="center"/>
            <w:hideMark/>
          </w:tcPr>
          <w:p w14:paraId="572221C0"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2023</w:t>
            </w:r>
          </w:p>
        </w:tc>
        <w:tc>
          <w:tcPr>
            <w:tcW w:w="485" w:type="pct"/>
            <w:tcBorders>
              <w:top w:val="nil"/>
              <w:left w:val="nil"/>
              <w:bottom w:val="single" w:sz="4" w:space="0" w:color="auto"/>
              <w:right w:val="nil"/>
            </w:tcBorders>
            <w:vAlign w:val="center"/>
            <w:hideMark/>
          </w:tcPr>
          <w:p w14:paraId="537597A5"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2024</w:t>
            </w:r>
          </w:p>
        </w:tc>
        <w:tc>
          <w:tcPr>
            <w:tcW w:w="485" w:type="pct"/>
            <w:tcBorders>
              <w:top w:val="nil"/>
              <w:left w:val="nil"/>
              <w:bottom w:val="single" w:sz="4" w:space="0" w:color="auto"/>
              <w:right w:val="nil"/>
            </w:tcBorders>
            <w:vAlign w:val="center"/>
            <w:hideMark/>
          </w:tcPr>
          <w:p w14:paraId="61476710"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2025</w:t>
            </w:r>
          </w:p>
        </w:tc>
        <w:tc>
          <w:tcPr>
            <w:tcW w:w="411" w:type="pct"/>
            <w:tcBorders>
              <w:top w:val="single" w:sz="4" w:space="0" w:color="auto"/>
              <w:left w:val="nil"/>
              <w:bottom w:val="single" w:sz="4" w:space="0" w:color="auto"/>
              <w:right w:val="single" w:sz="4" w:space="0" w:color="auto"/>
            </w:tcBorders>
            <w:vAlign w:val="center"/>
            <w:hideMark/>
          </w:tcPr>
          <w:p w14:paraId="0B49ADA7" w14:textId="77777777" w:rsidR="006C3577" w:rsidRPr="0021264E" w:rsidRDefault="006C3577" w:rsidP="006C3577">
            <w:pPr>
              <w:spacing w:line="240" w:lineRule="auto"/>
              <w:jc w:val="center"/>
              <w:rPr>
                <w:rFonts w:eastAsia="Times New Roman" w:cs="Times New Roman"/>
                <w:b/>
                <w:bCs/>
                <w:sz w:val="18"/>
                <w:szCs w:val="18"/>
                <w:lang w:eastAsia="sk-SK"/>
              </w:rPr>
            </w:pPr>
            <w:r w:rsidRPr="0021264E">
              <w:rPr>
                <w:rFonts w:eastAsia="Times New Roman" w:cs="Times New Roman"/>
                <w:b/>
                <w:bCs/>
                <w:sz w:val="18"/>
                <w:szCs w:val="18"/>
                <w:lang w:eastAsia="sk-SK"/>
              </w:rPr>
              <w:t>Δ 2025-2024</w:t>
            </w:r>
          </w:p>
        </w:tc>
      </w:tr>
      <w:tr w:rsidR="006C3577" w:rsidRPr="0021264E" w14:paraId="6934DA43" w14:textId="77777777" w:rsidTr="006C3577">
        <w:trPr>
          <w:trHeight w:val="280"/>
        </w:trPr>
        <w:tc>
          <w:tcPr>
            <w:tcW w:w="765" w:type="pct"/>
            <w:tcBorders>
              <w:top w:val="nil"/>
              <w:left w:val="single" w:sz="4" w:space="0" w:color="auto"/>
              <w:bottom w:val="nil"/>
              <w:right w:val="nil"/>
            </w:tcBorders>
            <w:noWrap/>
            <w:vAlign w:val="center"/>
            <w:hideMark/>
          </w:tcPr>
          <w:p w14:paraId="6642609F"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EÚ (27 krajín)</w:t>
            </w:r>
          </w:p>
        </w:tc>
        <w:tc>
          <w:tcPr>
            <w:tcW w:w="412" w:type="pct"/>
            <w:tcBorders>
              <w:top w:val="nil"/>
              <w:left w:val="nil"/>
              <w:bottom w:val="nil"/>
              <w:right w:val="nil"/>
            </w:tcBorders>
            <w:noWrap/>
            <w:vAlign w:val="center"/>
            <w:hideMark/>
          </w:tcPr>
          <w:p w14:paraId="1B8190FA"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-3,4</w:t>
            </w:r>
          </w:p>
        </w:tc>
        <w:tc>
          <w:tcPr>
            <w:tcW w:w="412" w:type="pct"/>
            <w:tcBorders>
              <w:top w:val="nil"/>
              <w:left w:val="nil"/>
              <w:bottom w:val="nil"/>
              <w:right w:val="nil"/>
            </w:tcBorders>
            <w:noWrap/>
            <w:vAlign w:val="center"/>
            <w:hideMark/>
          </w:tcPr>
          <w:p w14:paraId="54A378CC"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-3,1</w:t>
            </w:r>
          </w:p>
        </w:tc>
        <w:tc>
          <w:tcPr>
            <w:tcW w:w="412" w:type="pct"/>
            <w:tcBorders>
              <w:top w:val="nil"/>
              <w:left w:val="nil"/>
              <w:bottom w:val="nil"/>
              <w:right w:val="nil"/>
            </w:tcBorders>
            <w:noWrap/>
            <w:vAlign w:val="center"/>
            <w:hideMark/>
          </w:tcPr>
          <w:p w14:paraId="1E5E09DF"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-3,1</w:t>
            </w:r>
          </w:p>
        </w:tc>
        <w:tc>
          <w:tcPr>
            <w:tcW w:w="411" w:type="pct"/>
            <w:tcBorders>
              <w:top w:val="nil"/>
              <w:left w:val="nil"/>
              <w:bottom w:val="nil"/>
              <w:right w:val="nil"/>
            </w:tcBorders>
            <w:noWrap/>
            <w:vAlign w:val="center"/>
            <w:hideMark/>
          </w:tcPr>
          <w:p w14:paraId="18AD68BC"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0,0</w:t>
            </w:r>
          </w:p>
        </w:tc>
        <w:tc>
          <w:tcPr>
            <w:tcW w:w="721" w:type="pct"/>
            <w:tcBorders>
              <w:top w:val="nil"/>
              <w:left w:val="single" w:sz="4" w:space="0" w:color="auto"/>
              <w:bottom w:val="nil"/>
              <w:right w:val="nil"/>
            </w:tcBorders>
            <w:noWrap/>
            <w:vAlign w:val="center"/>
            <w:hideMark/>
          </w:tcPr>
          <w:p w14:paraId="4F97BB07"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EÚ (27 krajín)</w:t>
            </w:r>
          </w:p>
        </w:tc>
        <w:tc>
          <w:tcPr>
            <w:tcW w:w="485" w:type="pct"/>
            <w:tcBorders>
              <w:top w:val="nil"/>
              <w:left w:val="nil"/>
              <w:bottom w:val="nil"/>
              <w:right w:val="nil"/>
            </w:tcBorders>
            <w:noWrap/>
            <w:vAlign w:val="center"/>
            <w:hideMark/>
          </w:tcPr>
          <w:p w14:paraId="0AEEE75E"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80,5</w:t>
            </w:r>
          </w:p>
        </w:tc>
        <w:tc>
          <w:tcPr>
            <w:tcW w:w="485" w:type="pct"/>
            <w:tcBorders>
              <w:top w:val="nil"/>
              <w:left w:val="nil"/>
              <w:bottom w:val="nil"/>
              <w:right w:val="nil"/>
            </w:tcBorders>
            <w:noWrap/>
            <w:vAlign w:val="center"/>
            <w:hideMark/>
          </w:tcPr>
          <w:p w14:paraId="0A2EC33D"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80,7</w:t>
            </w:r>
          </w:p>
        </w:tc>
        <w:tc>
          <w:tcPr>
            <w:tcW w:w="485" w:type="pct"/>
            <w:tcBorders>
              <w:top w:val="single" w:sz="4" w:space="0" w:color="auto"/>
              <w:left w:val="nil"/>
              <w:bottom w:val="nil"/>
            </w:tcBorders>
            <w:noWrap/>
            <w:vAlign w:val="center"/>
            <w:hideMark/>
          </w:tcPr>
          <w:p w14:paraId="3F04B694"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81,7</w:t>
            </w:r>
          </w:p>
        </w:tc>
        <w:tc>
          <w:tcPr>
            <w:tcW w:w="411" w:type="pct"/>
            <w:tcBorders>
              <w:top w:val="nil"/>
              <w:left w:val="nil"/>
              <w:bottom w:val="nil"/>
              <w:right w:val="single" w:sz="4" w:space="0" w:color="auto"/>
            </w:tcBorders>
            <w:noWrap/>
            <w:vAlign w:val="center"/>
            <w:hideMark/>
          </w:tcPr>
          <w:p w14:paraId="32DD272E"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1,0</w:t>
            </w:r>
          </w:p>
        </w:tc>
      </w:tr>
      <w:tr w:rsidR="006C3577" w:rsidRPr="0021264E" w14:paraId="6AF84660" w14:textId="77777777" w:rsidTr="006C3577">
        <w:trPr>
          <w:trHeight w:val="280"/>
        </w:trPr>
        <w:tc>
          <w:tcPr>
            <w:tcW w:w="765" w:type="pct"/>
            <w:tcBorders>
              <w:top w:val="nil"/>
              <w:left w:val="single" w:sz="4" w:space="0" w:color="auto"/>
              <w:bottom w:val="nil"/>
              <w:right w:val="nil"/>
            </w:tcBorders>
            <w:noWrap/>
            <w:vAlign w:val="center"/>
            <w:hideMark/>
          </w:tcPr>
          <w:p w14:paraId="2BA63247"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Euro zóna (20)</w:t>
            </w:r>
          </w:p>
        </w:tc>
        <w:tc>
          <w:tcPr>
            <w:tcW w:w="412" w:type="pct"/>
            <w:tcBorders>
              <w:top w:val="nil"/>
              <w:left w:val="nil"/>
              <w:bottom w:val="nil"/>
              <w:right w:val="nil"/>
            </w:tcBorders>
            <w:noWrap/>
            <w:vAlign w:val="center"/>
            <w:hideMark/>
          </w:tcPr>
          <w:p w14:paraId="21E3A3E3"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-3,5</w:t>
            </w:r>
          </w:p>
        </w:tc>
        <w:tc>
          <w:tcPr>
            <w:tcW w:w="412" w:type="pct"/>
            <w:tcBorders>
              <w:top w:val="nil"/>
              <w:left w:val="nil"/>
              <w:bottom w:val="nil"/>
              <w:right w:val="nil"/>
            </w:tcBorders>
            <w:noWrap/>
            <w:vAlign w:val="center"/>
            <w:hideMark/>
          </w:tcPr>
          <w:p w14:paraId="351309FE"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-3,0</w:t>
            </w:r>
          </w:p>
        </w:tc>
        <w:tc>
          <w:tcPr>
            <w:tcW w:w="412" w:type="pct"/>
            <w:tcBorders>
              <w:top w:val="nil"/>
              <w:left w:val="nil"/>
              <w:bottom w:val="nil"/>
              <w:right w:val="nil"/>
            </w:tcBorders>
            <w:noWrap/>
            <w:vAlign w:val="center"/>
            <w:hideMark/>
          </w:tcPr>
          <w:p w14:paraId="36731689"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-2,9</w:t>
            </w:r>
          </w:p>
        </w:tc>
        <w:tc>
          <w:tcPr>
            <w:tcW w:w="411" w:type="pct"/>
            <w:tcBorders>
              <w:top w:val="nil"/>
              <w:left w:val="nil"/>
              <w:bottom w:val="nil"/>
              <w:right w:val="nil"/>
            </w:tcBorders>
            <w:noWrap/>
            <w:vAlign w:val="center"/>
            <w:hideMark/>
          </w:tcPr>
          <w:p w14:paraId="7834679F"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0,1</w:t>
            </w:r>
          </w:p>
        </w:tc>
        <w:tc>
          <w:tcPr>
            <w:tcW w:w="721" w:type="pct"/>
            <w:tcBorders>
              <w:top w:val="nil"/>
              <w:left w:val="single" w:sz="4" w:space="0" w:color="auto"/>
              <w:bottom w:val="nil"/>
              <w:right w:val="nil"/>
            </w:tcBorders>
            <w:noWrap/>
            <w:vAlign w:val="center"/>
            <w:hideMark/>
          </w:tcPr>
          <w:p w14:paraId="0D784782"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Euro zóna (20)</w:t>
            </w:r>
          </w:p>
        </w:tc>
        <w:tc>
          <w:tcPr>
            <w:tcW w:w="485" w:type="pct"/>
            <w:tcBorders>
              <w:top w:val="nil"/>
              <w:left w:val="nil"/>
              <w:bottom w:val="nil"/>
              <w:right w:val="nil"/>
            </w:tcBorders>
            <w:noWrap/>
            <w:vAlign w:val="center"/>
            <w:hideMark/>
          </w:tcPr>
          <w:p w14:paraId="5A5C0CBC"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86,9</w:t>
            </w:r>
          </w:p>
        </w:tc>
        <w:tc>
          <w:tcPr>
            <w:tcW w:w="485" w:type="pct"/>
            <w:tcBorders>
              <w:top w:val="nil"/>
              <w:left w:val="nil"/>
              <w:bottom w:val="nil"/>
              <w:right w:val="nil"/>
            </w:tcBorders>
            <w:noWrap/>
            <w:vAlign w:val="center"/>
            <w:hideMark/>
          </w:tcPr>
          <w:p w14:paraId="18615F37"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87,0</w:t>
            </w:r>
          </w:p>
        </w:tc>
        <w:tc>
          <w:tcPr>
            <w:tcW w:w="485" w:type="pct"/>
            <w:tcBorders>
              <w:top w:val="nil"/>
              <w:left w:val="nil"/>
              <w:bottom w:val="nil"/>
            </w:tcBorders>
            <w:noWrap/>
            <w:vAlign w:val="center"/>
            <w:hideMark/>
          </w:tcPr>
          <w:p w14:paraId="6A8E8F6E"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87,8</w:t>
            </w:r>
          </w:p>
        </w:tc>
        <w:tc>
          <w:tcPr>
            <w:tcW w:w="411" w:type="pct"/>
            <w:tcBorders>
              <w:top w:val="nil"/>
              <w:left w:val="nil"/>
              <w:bottom w:val="nil"/>
              <w:right w:val="single" w:sz="4" w:space="0" w:color="auto"/>
            </w:tcBorders>
            <w:noWrap/>
            <w:vAlign w:val="center"/>
            <w:hideMark/>
          </w:tcPr>
          <w:p w14:paraId="7A214F9D"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0,8</w:t>
            </w:r>
          </w:p>
        </w:tc>
      </w:tr>
      <w:tr w:rsidR="006C3577" w:rsidRPr="0021264E" w14:paraId="539E5F56" w14:textId="77777777" w:rsidTr="006C3577">
        <w:trPr>
          <w:trHeight w:val="300"/>
        </w:trPr>
        <w:tc>
          <w:tcPr>
            <w:tcW w:w="765" w:type="pct"/>
            <w:tcBorders>
              <w:top w:val="nil"/>
              <w:left w:val="single" w:sz="4" w:space="0" w:color="auto"/>
              <w:bottom w:val="nil"/>
              <w:right w:val="nil"/>
            </w:tcBorders>
            <w:noWrap/>
            <w:vAlign w:val="center"/>
            <w:hideMark/>
          </w:tcPr>
          <w:p w14:paraId="51B0B2F5"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Euro zóna (21)</w:t>
            </w:r>
            <w:r w:rsidRPr="0021264E">
              <w:rPr>
                <w:rFonts w:eastAsia="Times New Roman" w:cs="Times New Roman"/>
                <w:b/>
                <w:bCs/>
                <w:sz w:val="18"/>
                <w:szCs w:val="18"/>
                <w:vertAlign w:val="superscript"/>
                <w:lang w:eastAsia="sk-SK"/>
              </w:rPr>
              <w:t>2)</w:t>
            </w:r>
          </w:p>
        </w:tc>
        <w:tc>
          <w:tcPr>
            <w:tcW w:w="412" w:type="pct"/>
            <w:tcBorders>
              <w:top w:val="nil"/>
              <w:left w:val="nil"/>
              <w:bottom w:val="nil"/>
              <w:right w:val="nil"/>
            </w:tcBorders>
            <w:noWrap/>
            <w:vAlign w:val="center"/>
            <w:hideMark/>
          </w:tcPr>
          <w:p w14:paraId="02CE3201"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-3,5</w:t>
            </w:r>
          </w:p>
        </w:tc>
        <w:tc>
          <w:tcPr>
            <w:tcW w:w="412" w:type="pct"/>
            <w:tcBorders>
              <w:top w:val="nil"/>
              <w:left w:val="nil"/>
              <w:bottom w:val="nil"/>
              <w:right w:val="nil"/>
            </w:tcBorders>
            <w:noWrap/>
            <w:vAlign w:val="center"/>
            <w:hideMark/>
          </w:tcPr>
          <w:p w14:paraId="3B611167"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-3,0</w:t>
            </w:r>
          </w:p>
        </w:tc>
        <w:tc>
          <w:tcPr>
            <w:tcW w:w="412" w:type="pct"/>
            <w:tcBorders>
              <w:top w:val="nil"/>
              <w:left w:val="nil"/>
              <w:bottom w:val="nil"/>
              <w:right w:val="nil"/>
            </w:tcBorders>
            <w:noWrap/>
            <w:vAlign w:val="center"/>
            <w:hideMark/>
          </w:tcPr>
          <w:p w14:paraId="15E56960"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-2,9</w:t>
            </w:r>
          </w:p>
        </w:tc>
        <w:tc>
          <w:tcPr>
            <w:tcW w:w="411" w:type="pct"/>
            <w:tcBorders>
              <w:top w:val="nil"/>
              <w:left w:val="nil"/>
              <w:bottom w:val="nil"/>
              <w:right w:val="nil"/>
            </w:tcBorders>
            <w:noWrap/>
            <w:vAlign w:val="center"/>
            <w:hideMark/>
          </w:tcPr>
          <w:p w14:paraId="1D0840E6"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0,1</w:t>
            </w:r>
          </w:p>
        </w:tc>
        <w:tc>
          <w:tcPr>
            <w:tcW w:w="721" w:type="pct"/>
            <w:tcBorders>
              <w:top w:val="nil"/>
              <w:left w:val="single" w:sz="4" w:space="0" w:color="auto"/>
              <w:bottom w:val="nil"/>
              <w:right w:val="nil"/>
            </w:tcBorders>
            <w:noWrap/>
            <w:vAlign w:val="center"/>
            <w:hideMark/>
          </w:tcPr>
          <w:p w14:paraId="60AE73CC"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Euro zóna (21)</w:t>
            </w:r>
          </w:p>
        </w:tc>
        <w:tc>
          <w:tcPr>
            <w:tcW w:w="485" w:type="pct"/>
            <w:tcBorders>
              <w:top w:val="nil"/>
              <w:left w:val="nil"/>
              <w:bottom w:val="nil"/>
              <w:right w:val="nil"/>
            </w:tcBorders>
            <w:noWrap/>
            <w:vAlign w:val="center"/>
            <w:hideMark/>
          </w:tcPr>
          <w:p w14:paraId="1F9D3473"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86,5</w:t>
            </w:r>
          </w:p>
        </w:tc>
        <w:tc>
          <w:tcPr>
            <w:tcW w:w="485" w:type="pct"/>
            <w:tcBorders>
              <w:top w:val="nil"/>
              <w:left w:val="nil"/>
              <w:bottom w:val="nil"/>
              <w:right w:val="nil"/>
            </w:tcBorders>
            <w:noWrap/>
            <w:vAlign w:val="center"/>
            <w:hideMark/>
          </w:tcPr>
          <w:p w14:paraId="6CF1E35C"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86,6</w:t>
            </w:r>
          </w:p>
        </w:tc>
        <w:tc>
          <w:tcPr>
            <w:tcW w:w="485" w:type="pct"/>
            <w:tcBorders>
              <w:top w:val="nil"/>
              <w:left w:val="nil"/>
              <w:bottom w:val="nil"/>
            </w:tcBorders>
            <w:noWrap/>
            <w:vAlign w:val="center"/>
            <w:hideMark/>
          </w:tcPr>
          <w:p w14:paraId="16AC3A7C"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87,4</w:t>
            </w:r>
          </w:p>
        </w:tc>
        <w:tc>
          <w:tcPr>
            <w:tcW w:w="411" w:type="pct"/>
            <w:tcBorders>
              <w:top w:val="nil"/>
              <w:left w:val="nil"/>
              <w:bottom w:val="nil"/>
              <w:right w:val="single" w:sz="4" w:space="0" w:color="auto"/>
            </w:tcBorders>
            <w:noWrap/>
            <w:vAlign w:val="center"/>
            <w:hideMark/>
          </w:tcPr>
          <w:p w14:paraId="684C5679"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0,8</w:t>
            </w:r>
          </w:p>
        </w:tc>
      </w:tr>
      <w:tr w:rsidR="006C3577" w:rsidRPr="0021264E" w14:paraId="5635C162" w14:textId="77777777" w:rsidTr="006C3577">
        <w:trPr>
          <w:trHeight w:val="280"/>
        </w:trPr>
        <w:tc>
          <w:tcPr>
            <w:tcW w:w="765" w:type="pct"/>
            <w:tcBorders>
              <w:top w:val="nil"/>
              <w:left w:val="single" w:sz="4" w:space="0" w:color="auto"/>
              <w:bottom w:val="nil"/>
              <w:right w:val="nil"/>
            </w:tcBorders>
            <w:noWrap/>
            <w:vAlign w:val="center"/>
            <w:hideMark/>
          </w:tcPr>
          <w:p w14:paraId="7DBC37FC"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Rumunsko</w:t>
            </w:r>
          </w:p>
        </w:tc>
        <w:tc>
          <w:tcPr>
            <w:tcW w:w="412" w:type="pct"/>
            <w:tcBorders>
              <w:top w:val="nil"/>
              <w:left w:val="nil"/>
              <w:bottom w:val="nil"/>
              <w:right w:val="nil"/>
            </w:tcBorders>
            <w:noWrap/>
            <w:vAlign w:val="center"/>
            <w:hideMark/>
          </w:tcPr>
          <w:p w14:paraId="38BCC54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-6,6</w:t>
            </w:r>
          </w:p>
        </w:tc>
        <w:tc>
          <w:tcPr>
            <w:tcW w:w="412" w:type="pct"/>
            <w:tcBorders>
              <w:top w:val="nil"/>
              <w:left w:val="nil"/>
              <w:bottom w:val="nil"/>
              <w:right w:val="nil"/>
            </w:tcBorders>
            <w:noWrap/>
            <w:vAlign w:val="center"/>
            <w:hideMark/>
          </w:tcPr>
          <w:p w14:paraId="3CE8B252"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-9,3</w:t>
            </w:r>
          </w:p>
        </w:tc>
        <w:tc>
          <w:tcPr>
            <w:tcW w:w="412" w:type="pct"/>
            <w:tcBorders>
              <w:top w:val="nil"/>
              <w:left w:val="nil"/>
              <w:bottom w:val="nil"/>
              <w:right w:val="nil"/>
            </w:tcBorders>
            <w:noWrap/>
            <w:vAlign w:val="center"/>
            <w:hideMark/>
          </w:tcPr>
          <w:p w14:paraId="460DCDD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-7,9</w:t>
            </w:r>
          </w:p>
        </w:tc>
        <w:tc>
          <w:tcPr>
            <w:tcW w:w="411" w:type="pct"/>
            <w:tcBorders>
              <w:top w:val="nil"/>
              <w:left w:val="nil"/>
              <w:bottom w:val="nil"/>
              <w:right w:val="nil"/>
            </w:tcBorders>
            <w:noWrap/>
            <w:vAlign w:val="center"/>
            <w:hideMark/>
          </w:tcPr>
          <w:p w14:paraId="1A9F0AC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1,4</w:t>
            </w:r>
          </w:p>
        </w:tc>
        <w:tc>
          <w:tcPr>
            <w:tcW w:w="721" w:type="pct"/>
            <w:tcBorders>
              <w:top w:val="nil"/>
              <w:left w:val="single" w:sz="4" w:space="0" w:color="auto"/>
              <w:bottom w:val="nil"/>
              <w:right w:val="nil"/>
            </w:tcBorders>
            <w:noWrap/>
            <w:vAlign w:val="center"/>
            <w:hideMark/>
          </w:tcPr>
          <w:p w14:paraId="626D1AF4"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Grécko</w:t>
            </w:r>
          </w:p>
        </w:tc>
        <w:tc>
          <w:tcPr>
            <w:tcW w:w="485" w:type="pct"/>
            <w:tcBorders>
              <w:top w:val="nil"/>
              <w:left w:val="nil"/>
              <w:bottom w:val="nil"/>
              <w:right w:val="nil"/>
            </w:tcBorders>
            <w:noWrap/>
            <w:vAlign w:val="center"/>
            <w:hideMark/>
          </w:tcPr>
          <w:p w14:paraId="0EAFF85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164,3</w:t>
            </w:r>
          </w:p>
        </w:tc>
        <w:tc>
          <w:tcPr>
            <w:tcW w:w="485" w:type="pct"/>
            <w:tcBorders>
              <w:top w:val="nil"/>
              <w:left w:val="nil"/>
              <w:bottom w:val="nil"/>
              <w:right w:val="nil"/>
            </w:tcBorders>
            <w:noWrap/>
            <w:vAlign w:val="center"/>
            <w:hideMark/>
          </w:tcPr>
          <w:p w14:paraId="0FD77C4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154,2</w:t>
            </w:r>
          </w:p>
        </w:tc>
        <w:tc>
          <w:tcPr>
            <w:tcW w:w="485" w:type="pct"/>
            <w:tcBorders>
              <w:top w:val="nil"/>
              <w:left w:val="nil"/>
              <w:bottom w:val="nil"/>
            </w:tcBorders>
            <w:noWrap/>
            <w:vAlign w:val="center"/>
            <w:hideMark/>
          </w:tcPr>
          <w:p w14:paraId="58C657C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146,1</w:t>
            </w:r>
          </w:p>
        </w:tc>
        <w:tc>
          <w:tcPr>
            <w:tcW w:w="411" w:type="pct"/>
            <w:tcBorders>
              <w:top w:val="nil"/>
              <w:left w:val="nil"/>
              <w:bottom w:val="nil"/>
              <w:right w:val="single" w:sz="4" w:space="0" w:color="auto"/>
            </w:tcBorders>
            <w:noWrap/>
            <w:vAlign w:val="center"/>
            <w:hideMark/>
          </w:tcPr>
          <w:p w14:paraId="4C222D6E"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-8,1</w:t>
            </w:r>
          </w:p>
        </w:tc>
      </w:tr>
      <w:tr w:rsidR="006C3577" w:rsidRPr="0021264E" w14:paraId="448B42C1" w14:textId="77777777" w:rsidTr="006C3577">
        <w:trPr>
          <w:trHeight w:val="280"/>
        </w:trPr>
        <w:tc>
          <w:tcPr>
            <w:tcW w:w="765" w:type="pct"/>
            <w:tcBorders>
              <w:top w:val="nil"/>
              <w:left w:val="single" w:sz="4" w:space="0" w:color="auto"/>
              <w:bottom w:val="nil"/>
              <w:right w:val="nil"/>
            </w:tcBorders>
            <w:noWrap/>
            <w:vAlign w:val="center"/>
            <w:hideMark/>
          </w:tcPr>
          <w:p w14:paraId="6748A012"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Poľsko</w:t>
            </w:r>
          </w:p>
        </w:tc>
        <w:tc>
          <w:tcPr>
            <w:tcW w:w="412" w:type="pct"/>
            <w:tcBorders>
              <w:top w:val="nil"/>
              <w:left w:val="nil"/>
              <w:bottom w:val="nil"/>
              <w:right w:val="nil"/>
            </w:tcBorders>
            <w:noWrap/>
            <w:vAlign w:val="center"/>
            <w:hideMark/>
          </w:tcPr>
          <w:p w14:paraId="6831B9B7"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-5,2</w:t>
            </w:r>
          </w:p>
        </w:tc>
        <w:tc>
          <w:tcPr>
            <w:tcW w:w="412" w:type="pct"/>
            <w:tcBorders>
              <w:top w:val="nil"/>
              <w:left w:val="nil"/>
              <w:bottom w:val="nil"/>
              <w:right w:val="nil"/>
            </w:tcBorders>
            <w:noWrap/>
            <w:vAlign w:val="center"/>
            <w:hideMark/>
          </w:tcPr>
          <w:p w14:paraId="56AE7FE4"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-6,4</w:t>
            </w:r>
          </w:p>
        </w:tc>
        <w:tc>
          <w:tcPr>
            <w:tcW w:w="412" w:type="pct"/>
            <w:tcBorders>
              <w:top w:val="nil"/>
              <w:left w:val="nil"/>
              <w:bottom w:val="nil"/>
              <w:right w:val="nil"/>
            </w:tcBorders>
            <w:noWrap/>
            <w:vAlign w:val="center"/>
            <w:hideMark/>
          </w:tcPr>
          <w:p w14:paraId="7F6D2292"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-7,3</w:t>
            </w:r>
          </w:p>
        </w:tc>
        <w:tc>
          <w:tcPr>
            <w:tcW w:w="411" w:type="pct"/>
            <w:tcBorders>
              <w:top w:val="nil"/>
              <w:left w:val="nil"/>
              <w:bottom w:val="nil"/>
              <w:right w:val="nil"/>
            </w:tcBorders>
            <w:noWrap/>
            <w:vAlign w:val="center"/>
            <w:hideMark/>
          </w:tcPr>
          <w:p w14:paraId="18D4259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-0,9</w:t>
            </w:r>
          </w:p>
        </w:tc>
        <w:tc>
          <w:tcPr>
            <w:tcW w:w="721" w:type="pct"/>
            <w:tcBorders>
              <w:top w:val="nil"/>
              <w:left w:val="single" w:sz="4" w:space="0" w:color="auto"/>
              <w:bottom w:val="nil"/>
              <w:right w:val="nil"/>
            </w:tcBorders>
            <w:noWrap/>
            <w:vAlign w:val="center"/>
            <w:hideMark/>
          </w:tcPr>
          <w:p w14:paraId="1DB2D0B9"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Taliansko</w:t>
            </w:r>
          </w:p>
        </w:tc>
        <w:tc>
          <w:tcPr>
            <w:tcW w:w="485" w:type="pct"/>
            <w:tcBorders>
              <w:top w:val="nil"/>
              <w:left w:val="nil"/>
              <w:bottom w:val="nil"/>
              <w:right w:val="nil"/>
            </w:tcBorders>
            <w:noWrap/>
            <w:vAlign w:val="center"/>
            <w:hideMark/>
          </w:tcPr>
          <w:p w14:paraId="6FFE0BE4"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133,9</w:t>
            </w:r>
          </w:p>
        </w:tc>
        <w:tc>
          <w:tcPr>
            <w:tcW w:w="485" w:type="pct"/>
            <w:tcBorders>
              <w:top w:val="nil"/>
              <w:left w:val="nil"/>
              <w:bottom w:val="nil"/>
              <w:right w:val="nil"/>
            </w:tcBorders>
            <w:noWrap/>
            <w:vAlign w:val="center"/>
            <w:hideMark/>
          </w:tcPr>
          <w:p w14:paraId="001B1CF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134,7</w:t>
            </w:r>
          </w:p>
        </w:tc>
        <w:tc>
          <w:tcPr>
            <w:tcW w:w="485" w:type="pct"/>
            <w:tcBorders>
              <w:top w:val="nil"/>
              <w:left w:val="nil"/>
              <w:bottom w:val="nil"/>
            </w:tcBorders>
            <w:noWrap/>
            <w:vAlign w:val="center"/>
            <w:hideMark/>
          </w:tcPr>
          <w:p w14:paraId="2B341D2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137,1</w:t>
            </w:r>
          </w:p>
        </w:tc>
        <w:tc>
          <w:tcPr>
            <w:tcW w:w="411" w:type="pct"/>
            <w:tcBorders>
              <w:top w:val="nil"/>
              <w:left w:val="nil"/>
              <w:bottom w:val="nil"/>
              <w:right w:val="single" w:sz="4" w:space="0" w:color="auto"/>
            </w:tcBorders>
            <w:noWrap/>
            <w:vAlign w:val="center"/>
            <w:hideMark/>
          </w:tcPr>
          <w:p w14:paraId="094F5C0E"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2,4</w:t>
            </w:r>
          </w:p>
        </w:tc>
      </w:tr>
      <w:tr w:rsidR="006C3577" w:rsidRPr="0021264E" w14:paraId="431C7768" w14:textId="77777777" w:rsidTr="006C3577">
        <w:trPr>
          <w:trHeight w:val="280"/>
        </w:trPr>
        <w:tc>
          <w:tcPr>
            <w:tcW w:w="765" w:type="pct"/>
            <w:tcBorders>
              <w:top w:val="nil"/>
              <w:left w:val="single" w:sz="4" w:space="0" w:color="auto"/>
              <w:bottom w:val="nil"/>
              <w:right w:val="nil"/>
            </w:tcBorders>
            <w:noWrap/>
            <w:vAlign w:val="center"/>
            <w:hideMark/>
          </w:tcPr>
          <w:p w14:paraId="2D8CAC66"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Belgicko</w:t>
            </w:r>
          </w:p>
        </w:tc>
        <w:tc>
          <w:tcPr>
            <w:tcW w:w="412" w:type="pct"/>
            <w:tcBorders>
              <w:top w:val="nil"/>
              <w:left w:val="nil"/>
              <w:bottom w:val="nil"/>
              <w:right w:val="nil"/>
            </w:tcBorders>
            <w:noWrap/>
            <w:vAlign w:val="center"/>
            <w:hideMark/>
          </w:tcPr>
          <w:p w14:paraId="08BE8712"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-4,1</w:t>
            </w:r>
          </w:p>
        </w:tc>
        <w:tc>
          <w:tcPr>
            <w:tcW w:w="412" w:type="pct"/>
            <w:tcBorders>
              <w:top w:val="nil"/>
              <w:left w:val="nil"/>
              <w:bottom w:val="nil"/>
              <w:right w:val="nil"/>
            </w:tcBorders>
            <w:noWrap/>
            <w:vAlign w:val="center"/>
            <w:hideMark/>
          </w:tcPr>
          <w:p w14:paraId="105071FE"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-4,4</w:t>
            </w:r>
          </w:p>
        </w:tc>
        <w:tc>
          <w:tcPr>
            <w:tcW w:w="412" w:type="pct"/>
            <w:tcBorders>
              <w:top w:val="nil"/>
              <w:left w:val="nil"/>
              <w:bottom w:val="nil"/>
              <w:right w:val="nil"/>
            </w:tcBorders>
            <w:noWrap/>
            <w:vAlign w:val="center"/>
            <w:hideMark/>
          </w:tcPr>
          <w:p w14:paraId="7931D671"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-5,2</w:t>
            </w:r>
          </w:p>
        </w:tc>
        <w:tc>
          <w:tcPr>
            <w:tcW w:w="411" w:type="pct"/>
            <w:tcBorders>
              <w:top w:val="nil"/>
              <w:left w:val="nil"/>
              <w:bottom w:val="nil"/>
              <w:right w:val="nil"/>
            </w:tcBorders>
            <w:noWrap/>
            <w:vAlign w:val="center"/>
            <w:hideMark/>
          </w:tcPr>
          <w:p w14:paraId="07FC9D9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-0,8</w:t>
            </w:r>
          </w:p>
        </w:tc>
        <w:tc>
          <w:tcPr>
            <w:tcW w:w="721" w:type="pct"/>
            <w:tcBorders>
              <w:top w:val="nil"/>
              <w:left w:val="single" w:sz="4" w:space="0" w:color="auto"/>
              <w:bottom w:val="nil"/>
              <w:right w:val="nil"/>
            </w:tcBorders>
            <w:noWrap/>
            <w:vAlign w:val="center"/>
            <w:hideMark/>
          </w:tcPr>
          <w:p w14:paraId="0136A378"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Francúzsko</w:t>
            </w:r>
          </w:p>
        </w:tc>
        <w:tc>
          <w:tcPr>
            <w:tcW w:w="485" w:type="pct"/>
            <w:tcBorders>
              <w:top w:val="nil"/>
              <w:left w:val="nil"/>
              <w:bottom w:val="nil"/>
              <w:right w:val="nil"/>
            </w:tcBorders>
            <w:noWrap/>
            <w:vAlign w:val="center"/>
            <w:hideMark/>
          </w:tcPr>
          <w:p w14:paraId="2829DE81"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109,5</w:t>
            </w:r>
          </w:p>
        </w:tc>
        <w:tc>
          <w:tcPr>
            <w:tcW w:w="485" w:type="pct"/>
            <w:tcBorders>
              <w:top w:val="nil"/>
              <w:left w:val="nil"/>
              <w:bottom w:val="nil"/>
              <w:right w:val="nil"/>
            </w:tcBorders>
            <w:noWrap/>
            <w:vAlign w:val="center"/>
            <w:hideMark/>
          </w:tcPr>
          <w:p w14:paraId="6949BF4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112,6</w:t>
            </w:r>
          </w:p>
        </w:tc>
        <w:tc>
          <w:tcPr>
            <w:tcW w:w="485" w:type="pct"/>
            <w:tcBorders>
              <w:top w:val="nil"/>
              <w:left w:val="nil"/>
              <w:bottom w:val="nil"/>
            </w:tcBorders>
            <w:noWrap/>
            <w:vAlign w:val="center"/>
            <w:hideMark/>
          </w:tcPr>
          <w:p w14:paraId="4D3BBF8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115,6</w:t>
            </w:r>
          </w:p>
        </w:tc>
        <w:tc>
          <w:tcPr>
            <w:tcW w:w="411" w:type="pct"/>
            <w:tcBorders>
              <w:top w:val="nil"/>
              <w:left w:val="nil"/>
              <w:bottom w:val="nil"/>
              <w:right w:val="single" w:sz="4" w:space="0" w:color="auto"/>
            </w:tcBorders>
            <w:noWrap/>
            <w:vAlign w:val="center"/>
            <w:hideMark/>
          </w:tcPr>
          <w:p w14:paraId="0830619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3,0</w:t>
            </w:r>
          </w:p>
        </w:tc>
      </w:tr>
      <w:tr w:rsidR="006C3577" w:rsidRPr="0021264E" w14:paraId="784D7F60" w14:textId="77777777" w:rsidTr="006C3577">
        <w:trPr>
          <w:trHeight w:val="280"/>
        </w:trPr>
        <w:tc>
          <w:tcPr>
            <w:tcW w:w="765" w:type="pct"/>
            <w:tcBorders>
              <w:top w:val="nil"/>
              <w:left w:val="single" w:sz="4" w:space="0" w:color="auto"/>
              <w:bottom w:val="nil"/>
              <w:right w:val="nil"/>
            </w:tcBorders>
            <w:noWrap/>
            <w:vAlign w:val="center"/>
            <w:hideMark/>
          </w:tcPr>
          <w:p w14:paraId="361DA84C"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Francúzsko</w:t>
            </w:r>
          </w:p>
        </w:tc>
        <w:tc>
          <w:tcPr>
            <w:tcW w:w="412" w:type="pct"/>
            <w:tcBorders>
              <w:top w:val="nil"/>
              <w:left w:val="nil"/>
              <w:bottom w:val="nil"/>
              <w:right w:val="nil"/>
            </w:tcBorders>
            <w:noWrap/>
            <w:vAlign w:val="center"/>
            <w:hideMark/>
          </w:tcPr>
          <w:p w14:paraId="2ACE4B72"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-5,4</w:t>
            </w:r>
          </w:p>
        </w:tc>
        <w:tc>
          <w:tcPr>
            <w:tcW w:w="412" w:type="pct"/>
            <w:tcBorders>
              <w:top w:val="nil"/>
              <w:left w:val="nil"/>
              <w:bottom w:val="nil"/>
              <w:right w:val="nil"/>
            </w:tcBorders>
            <w:noWrap/>
            <w:vAlign w:val="center"/>
            <w:hideMark/>
          </w:tcPr>
          <w:p w14:paraId="4731141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-5,8</w:t>
            </w:r>
          </w:p>
        </w:tc>
        <w:tc>
          <w:tcPr>
            <w:tcW w:w="412" w:type="pct"/>
            <w:tcBorders>
              <w:top w:val="nil"/>
              <w:left w:val="nil"/>
              <w:bottom w:val="nil"/>
              <w:right w:val="nil"/>
            </w:tcBorders>
            <w:noWrap/>
            <w:vAlign w:val="center"/>
            <w:hideMark/>
          </w:tcPr>
          <w:p w14:paraId="40DD126C"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-5,1</w:t>
            </w:r>
          </w:p>
        </w:tc>
        <w:tc>
          <w:tcPr>
            <w:tcW w:w="411" w:type="pct"/>
            <w:tcBorders>
              <w:top w:val="nil"/>
              <w:left w:val="nil"/>
              <w:bottom w:val="nil"/>
              <w:right w:val="nil"/>
            </w:tcBorders>
            <w:noWrap/>
            <w:vAlign w:val="center"/>
            <w:hideMark/>
          </w:tcPr>
          <w:p w14:paraId="7C187F1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0,7</w:t>
            </w:r>
          </w:p>
        </w:tc>
        <w:tc>
          <w:tcPr>
            <w:tcW w:w="721" w:type="pct"/>
            <w:tcBorders>
              <w:top w:val="nil"/>
              <w:left w:val="single" w:sz="4" w:space="0" w:color="auto"/>
              <w:bottom w:val="nil"/>
              <w:right w:val="nil"/>
            </w:tcBorders>
            <w:noWrap/>
            <w:vAlign w:val="center"/>
            <w:hideMark/>
          </w:tcPr>
          <w:p w14:paraId="52CF941A"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Belgicko</w:t>
            </w:r>
          </w:p>
        </w:tc>
        <w:tc>
          <w:tcPr>
            <w:tcW w:w="485" w:type="pct"/>
            <w:tcBorders>
              <w:top w:val="nil"/>
              <w:left w:val="nil"/>
              <w:bottom w:val="nil"/>
              <w:right w:val="nil"/>
            </w:tcBorders>
            <w:noWrap/>
            <w:vAlign w:val="center"/>
            <w:hideMark/>
          </w:tcPr>
          <w:p w14:paraId="00719D1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102,5</w:t>
            </w:r>
          </w:p>
        </w:tc>
        <w:tc>
          <w:tcPr>
            <w:tcW w:w="485" w:type="pct"/>
            <w:tcBorders>
              <w:top w:val="nil"/>
              <w:left w:val="nil"/>
              <w:bottom w:val="nil"/>
              <w:right w:val="nil"/>
            </w:tcBorders>
            <w:noWrap/>
            <w:vAlign w:val="center"/>
            <w:hideMark/>
          </w:tcPr>
          <w:p w14:paraId="21A32CB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103,9</w:t>
            </w:r>
          </w:p>
        </w:tc>
        <w:tc>
          <w:tcPr>
            <w:tcW w:w="485" w:type="pct"/>
            <w:tcBorders>
              <w:top w:val="nil"/>
              <w:left w:val="nil"/>
              <w:bottom w:val="nil"/>
            </w:tcBorders>
            <w:noWrap/>
            <w:vAlign w:val="center"/>
            <w:hideMark/>
          </w:tcPr>
          <w:p w14:paraId="0BF6D09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107,9</w:t>
            </w:r>
          </w:p>
        </w:tc>
        <w:tc>
          <w:tcPr>
            <w:tcW w:w="411" w:type="pct"/>
            <w:tcBorders>
              <w:top w:val="nil"/>
              <w:left w:val="nil"/>
              <w:bottom w:val="nil"/>
              <w:right w:val="single" w:sz="4" w:space="0" w:color="auto"/>
            </w:tcBorders>
            <w:noWrap/>
            <w:vAlign w:val="center"/>
            <w:hideMark/>
          </w:tcPr>
          <w:p w14:paraId="16ACA54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4,0</w:t>
            </w:r>
          </w:p>
        </w:tc>
      </w:tr>
      <w:tr w:rsidR="006C3577" w:rsidRPr="0021264E" w14:paraId="68FA126A" w14:textId="77777777" w:rsidTr="006C3577">
        <w:trPr>
          <w:trHeight w:val="280"/>
        </w:trPr>
        <w:tc>
          <w:tcPr>
            <w:tcW w:w="765" w:type="pct"/>
            <w:tcBorders>
              <w:top w:val="nil"/>
              <w:left w:val="single" w:sz="4" w:space="0" w:color="auto"/>
              <w:bottom w:val="nil"/>
              <w:right w:val="nil"/>
            </w:tcBorders>
            <w:noWrap/>
            <w:vAlign w:val="center"/>
            <w:hideMark/>
          </w:tcPr>
          <w:p w14:paraId="501C819E"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Maďarsko</w:t>
            </w:r>
          </w:p>
        </w:tc>
        <w:tc>
          <w:tcPr>
            <w:tcW w:w="412" w:type="pct"/>
            <w:tcBorders>
              <w:top w:val="nil"/>
              <w:left w:val="nil"/>
              <w:bottom w:val="nil"/>
              <w:right w:val="nil"/>
            </w:tcBorders>
            <w:noWrap/>
            <w:vAlign w:val="center"/>
            <w:hideMark/>
          </w:tcPr>
          <w:p w14:paraId="70A576A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-7,0</w:t>
            </w:r>
          </w:p>
        </w:tc>
        <w:tc>
          <w:tcPr>
            <w:tcW w:w="412" w:type="pct"/>
            <w:tcBorders>
              <w:top w:val="nil"/>
              <w:left w:val="nil"/>
              <w:bottom w:val="nil"/>
              <w:right w:val="nil"/>
            </w:tcBorders>
            <w:noWrap/>
            <w:vAlign w:val="center"/>
            <w:hideMark/>
          </w:tcPr>
          <w:p w14:paraId="16C66A0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-5,1</w:t>
            </w:r>
          </w:p>
        </w:tc>
        <w:tc>
          <w:tcPr>
            <w:tcW w:w="412" w:type="pct"/>
            <w:tcBorders>
              <w:top w:val="nil"/>
              <w:left w:val="nil"/>
              <w:bottom w:val="nil"/>
              <w:right w:val="nil"/>
            </w:tcBorders>
            <w:noWrap/>
            <w:vAlign w:val="center"/>
            <w:hideMark/>
          </w:tcPr>
          <w:p w14:paraId="54DE0ADF"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-4,7</w:t>
            </w:r>
          </w:p>
        </w:tc>
        <w:tc>
          <w:tcPr>
            <w:tcW w:w="411" w:type="pct"/>
            <w:tcBorders>
              <w:top w:val="nil"/>
              <w:left w:val="nil"/>
              <w:bottom w:val="nil"/>
              <w:right w:val="nil"/>
            </w:tcBorders>
            <w:noWrap/>
            <w:vAlign w:val="center"/>
            <w:hideMark/>
          </w:tcPr>
          <w:p w14:paraId="6553EAA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0,4</w:t>
            </w:r>
          </w:p>
        </w:tc>
        <w:tc>
          <w:tcPr>
            <w:tcW w:w="721" w:type="pct"/>
            <w:tcBorders>
              <w:top w:val="nil"/>
              <w:left w:val="single" w:sz="4" w:space="0" w:color="auto"/>
              <w:bottom w:val="nil"/>
              <w:right w:val="nil"/>
            </w:tcBorders>
            <w:noWrap/>
            <w:vAlign w:val="center"/>
            <w:hideMark/>
          </w:tcPr>
          <w:p w14:paraId="5F5EA445"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Španielsko</w:t>
            </w:r>
          </w:p>
        </w:tc>
        <w:tc>
          <w:tcPr>
            <w:tcW w:w="485" w:type="pct"/>
            <w:tcBorders>
              <w:top w:val="nil"/>
              <w:left w:val="nil"/>
              <w:bottom w:val="nil"/>
              <w:right w:val="nil"/>
            </w:tcBorders>
            <w:noWrap/>
            <w:vAlign w:val="center"/>
            <w:hideMark/>
          </w:tcPr>
          <w:p w14:paraId="4CD0D87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105,2</w:t>
            </w:r>
          </w:p>
        </w:tc>
        <w:tc>
          <w:tcPr>
            <w:tcW w:w="485" w:type="pct"/>
            <w:tcBorders>
              <w:top w:val="nil"/>
              <w:left w:val="nil"/>
              <w:bottom w:val="nil"/>
              <w:right w:val="nil"/>
            </w:tcBorders>
            <w:noWrap/>
            <w:vAlign w:val="center"/>
            <w:hideMark/>
          </w:tcPr>
          <w:p w14:paraId="030D0834"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101,6</w:t>
            </w:r>
          </w:p>
        </w:tc>
        <w:tc>
          <w:tcPr>
            <w:tcW w:w="485" w:type="pct"/>
            <w:tcBorders>
              <w:top w:val="nil"/>
              <w:left w:val="nil"/>
              <w:bottom w:val="nil"/>
            </w:tcBorders>
            <w:noWrap/>
            <w:vAlign w:val="center"/>
            <w:hideMark/>
          </w:tcPr>
          <w:p w14:paraId="2600647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100,7</w:t>
            </w:r>
          </w:p>
        </w:tc>
        <w:tc>
          <w:tcPr>
            <w:tcW w:w="411" w:type="pct"/>
            <w:tcBorders>
              <w:top w:val="nil"/>
              <w:left w:val="nil"/>
              <w:bottom w:val="nil"/>
              <w:right w:val="single" w:sz="4" w:space="0" w:color="auto"/>
            </w:tcBorders>
            <w:noWrap/>
            <w:vAlign w:val="center"/>
            <w:hideMark/>
          </w:tcPr>
          <w:p w14:paraId="781C190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-0,9</w:t>
            </w:r>
          </w:p>
        </w:tc>
      </w:tr>
      <w:tr w:rsidR="006C3577" w:rsidRPr="0021264E" w14:paraId="7AE170E5" w14:textId="77777777" w:rsidTr="006C3577">
        <w:trPr>
          <w:trHeight w:val="280"/>
        </w:trPr>
        <w:tc>
          <w:tcPr>
            <w:tcW w:w="765" w:type="pct"/>
            <w:tcBorders>
              <w:top w:val="nil"/>
              <w:left w:val="single" w:sz="4" w:space="0" w:color="auto"/>
              <w:bottom w:val="nil"/>
              <w:right w:val="nil"/>
            </w:tcBorders>
            <w:noWrap/>
            <w:vAlign w:val="center"/>
            <w:hideMark/>
          </w:tcPr>
          <w:p w14:paraId="5CA14EBD"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Slovensko</w:t>
            </w:r>
          </w:p>
        </w:tc>
        <w:tc>
          <w:tcPr>
            <w:tcW w:w="412" w:type="pct"/>
            <w:tcBorders>
              <w:top w:val="nil"/>
              <w:left w:val="nil"/>
              <w:bottom w:val="nil"/>
              <w:right w:val="nil"/>
            </w:tcBorders>
            <w:noWrap/>
            <w:vAlign w:val="center"/>
            <w:hideMark/>
          </w:tcPr>
          <w:p w14:paraId="33568785"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-5,3</w:t>
            </w:r>
          </w:p>
        </w:tc>
        <w:tc>
          <w:tcPr>
            <w:tcW w:w="412" w:type="pct"/>
            <w:tcBorders>
              <w:top w:val="nil"/>
              <w:left w:val="nil"/>
              <w:bottom w:val="nil"/>
              <w:right w:val="nil"/>
            </w:tcBorders>
            <w:noWrap/>
            <w:vAlign w:val="center"/>
            <w:hideMark/>
          </w:tcPr>
          <w:p w14:paraId="1999D182"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-5,3</w:t>
            </w:r>
          </w:p>
        </w:tc>
        <w:tc>
          <w:tcPr>
            <w:tcW w:w="412" w:type="pct"/>
            <w:tcBorders>
              <w:top w:val="nil"/>
              <w:left w:val="nil"/>
              <w:bottom w:val="nil"/>
              <w:right w:val="nil"/>
            </w:tcBorders>
            <w:noWrap/>
            <w:vAlign w:val="center"/>
            <w:hideMark/>
          </w:tcPr>
          <w:p w14:paraId="3D073A0C" w14:textId="77777777" w:rsidR="006C3577" w:rsidRPr="0021264E" w:rsidRDefault="006C3577" w:rsidP="006C3577">
            <w:pPr>
              <w:spacing w:line="240" w:lineRule="auto"/>
              <w:ind w:firstLineChars="100" w:firstLine="181"/>
              <w:jc w:val="right"/>
              <w:rPr>
                <w:rFonts w:eastAsia="Times New Roman" w:cs="Times New Roman"/>
                <w:b/>
                <w:bCs/>
                <w:color w:val="000000"/>
                <w:sz w:val="18"/>
                <w:szCs w:val="18"/>
                <w:lang w:eastAsia="sk-SK"/>
              </w:rPr>
            </w:pPr>
            <w:r w:rsidRPr="0021264E">
              <w:rPr>
                <w:rFonts w:eastAsia="Times New Roman" w:cs="Times New Roman"/>
                <w:b/>
                <w:bCs/>
                <w:color w:val="000000"/>
                <w:sz w:val="18"/>
                <w:szCs w:val="18"/>
                <w:lang w:eastAsia="sk-SK"/>
              </w:rPr>
              <w:t>-4,5</w:t>
            </w:r>
          </w:p>
        </w:tc>
        <w:tc>
          <w:tcPr>
            <w:tcW w:w="411" w:type="pct"/>
            <w:tcBorders>
              <w:top w:val="nil"/>
              <w:left w:val="nil"/>
              <w:bottom w:val="nil"/>
              <w:right w:val="nil"/>
            </w:tcBorders>
            <w:noWrap/>
            <w:vAlign w:val="center"/>
            <w:hideMark/>
          </w:tcPr>
          <w:p w14:paraId="594AC5AF"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0,8</w:t>
            </w:r>
          </w:p>
        </w:tc>
        <w:tc>
          <w:tcPr>
            <w:tcW w:w="721" w:type="pct"/>
            <w:tcBorders>
              <w:top w:val="nil"/>
              <w:left w:val="single" w:sz="4" w:space="0" w:color="auto"/>
              <w:bottom w:val="nil"/>
              <w:right w:val="nil"/>
            </w:tcBorders>
            <w:noWrap/>
            <w:vAlign w:val="center"/>
            <w:hideMark/>
          </w:tcPr>
          <w:p w14:paraId="248EB6EC"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Portugalsko</w:t>
            </w:r>
          </w:p>
        </w:tc>
        <w:tc>
          <w:tcPr>
            <w:tcW w:w="485" w:type="pct"/>
            <w:tcBorders>
              <w:top w:val="nil"/>
              <w:left w:val="nil"/>
              <w:bottom w:val="nil"/>
              <w:right w:val="nil"/>
            </w:tcBorders>
            <w:noWrap/>
            <w:vAlign w:val="center"/>
            <w:hideMark/>
          </w:tcPr>
          <w:p w14:paraId="120C483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96,9</w:t>
            </w:r>
          </w:p>
        </w:tc>
        <w:tc>
          <w:tcPr>
            <w:tcW w:w="485" w:type="pct"/>
            <w:tcBorders>
              <w:top w:val="nil"/>
              <w:left w:val="nil"/>
              <w:bottom w:val="nil"/>
              <w:right w:val="nil"/>
            </w:tcBorders>
            <w:noWrap/>
            <w:vAlign w:val="center"/>
            <w:hideMark/>
          </w:tcPr>
          <w:p w14:paraId="7C3C111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93,5</w:t>
            </w:r>
          </w:p>
        </w:tc>
        <w:tc>
          <w:tcPr>
            <w:tcW w:w="485" w:type="pct"/>
            <w:tcBorders>
              <w:top w:val="nil"/>
              <w:left w:val="nil"/>
              <w:bottom w:val="nil"/>
            </w:tcBorders>
            <w:noWrap/>
            <w:vAlign w:val="center"/>
            <w:hideMark/>
          </w:tcPr>
          <w:p w14:paraId="2768A3C1"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89,7</w:t>
            </w:r>
          </w:p>
        </w:tc>
        <w:tc>
          <w:tcPr>
            <w:tcW w:w="411" w:type="pct"/>
            <w:tcBorders>
              <w:top w:val="nil"/>
              <w:left w:val="nil"/>
              <w:bottom w:val="nil"/>
              <w:right w:val="single" w:sz="4" w:space="0" w:color="auto"/>
            </w:tcBorders>
            <w:noWrap/>
            <w:vAlign w:val="center"/>
            <w:hideMark/>
          </w:tcPr>
          <w:p w14:paraId="745EFB73"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-3,8</w:t>
            </w:r>
          </w:p>
        </w:tc>
      </w:tr>
      <w:tr w:rsidR="006C3577" w:rsidRPr="0021264E" w14:paraId="7B97EB06" w14:textId="77777777" w:rsidTr="006C3577">
        <w:trPr>
          <w:trHeight w:val="280"/>
        </w:trPr>
        <w:tc>
          <w:tcPr>
            <w:tcW w:w="765" w:type="pct"/>
            <w:tcBorders>
              <w:top w:val="nil"/>
              <w:left w:val="single" w:sz="4" w:space="0" w:color="auto"/>
              <w:bottom w:val="nil"/>
              <w:right w:val="nil"/>
            </w:tcBorders>
            <w:noWrap/>
            <w:vAlign w:val="center"/>
            <w:hideMark/>
          </w:tcPr>
          <w:p w14:paraId="35B506CA"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Rakúsko</w:t>
            </w:r>
          </w:p>
        </w:tc>
        <w:tc>
          <w:tcPr>
            <w:tcW w:w="412" w:type="pct"/>
            <w:tcBorders>
              <w:top w:val="nil"/>
              <w:left w:val="nil"/>
              <w:bottom w:val="nil"/>
              <w:right w:val="nil"/>
            </w:tcBorders>
            <w:noWrap/>
            <w:vAlign w:val="center"/>
            <w:hideMark/>
          </w:tcPr>
          <w:p w14:paraId="7CD24820"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-2,6</w:t>
            </w:r>
          </w:p>
        </w:tc>
        <w:tc>
          <w:tcPr>
            <w:tcW w:w="412" w:type="pct"/>
            <w:tcBorders>
              <w:top w:val="nil"/>
              <w:left w:val="nil"/>
              <w:bottom w:val="nil"/>
              <w:right w:val="nil"/>
            </w:tcBorders>
            <w:noWrap/>
            <w:vAlign w:val="center"/>
            <w:hideMark/>
          </w:tcPr>
          <w:p w14:paraId="2A25DE2D"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-4,6</w:t>
            </w:r>
          </w:p>
        </w:tc>
        <w:tc>
          <w:tcPr>
            <w:tcW w:w="412" w:type="pct"/>
            <w:tcBorders>
              <w:top w:val="nil"/>
              <w:left w:val="nil"/>
              <w:bottom w:val="nil"/>
              <w:right w:val="nil"/>
            </w:tcBorders>
            <w:noWrap/>
            <w:vAlign w:val="center"/>
            <w:hideMark/>
          </w:tcPr>
          <w:p w14:paraId="09C92337"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-4,2</w:t>
            </w:r>
          </w:p>
        </w:tc>
        <w:tc>
          <w:tcPr>
            <w:tcW w:w="411" w:type="pct"/>
            <w:tcBorders>
              <w:top w:val="nil"/>
              <w:left w:val="nil"/>
              <w:bottom w:val="nil"/>
              <w:right w:val="nil"/>
            </w:tcBorders>
            <w:noWrap/>
            <w:vAlign w:val="center"/>
            <w:hideMark/>
          </w:tcPr>
          <w:p w14:paraId="0458B7A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0,4</w:t>
            </w:r>
          </w:p>
        </w:tc>
        <w:tc>
          <w:tcPr>
            <w:tcW w:w="721" w:type="pct"/>
            <w:tcBorders>
              <w:top w:val="nil"/>
              <w:left w:val="single" w:sz="4" w:space="0" w:color="auto"/>
              <w:bottom w:val="nil"/>
              <w:right w:val="nil"/>
            </w:tcBorders>
            <w:noWrap/>
            <w:vAlign w:val="center"/>
            <w:hideMark/>
          </w:tcPr>
          <w:p w14:paraId="5A8AE7EC"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Fínsko</w:t>
            </w:r>
          </w:p>
        </w:tc>
        <w:tc>
          <w:tcPr>
            <w:tcW w:w="485" w:type="pct"/>
            <w:tcBorders>
              <w:top w:val="nil"/>
              <w:left w:val="nil"/>
              <w:bottom w:val="nil"/>
              <w:right w:val="nil"/>
            </w:tcBorders>
            <w:noWrap/>
            <w:vAlign w:val="center"/>
            <w:hideMark/>
          </w:tcPr>
          <w:p w14:paraId="1DF0298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77,0</w:t>
            </w:r>
          </w:p>
        </w:tc>
        <w:tc>
          <w:tcPr>
            <w:tcW w:w="485" w:type="pct"/>
            <w:tcBorders>
              <w:top w:val="nil"/>
              <w:left w:val="nil"/>
              <w:bottom w:val="nil"/>
              <w:right w:val="nil"/>
            </w:tcBorders>
            <w:noWrap/>
            <w:vAlign w:val="center"/>
            <w:hideMark/>
          </w:tcPr>
          <w:p w14:paraId="2176870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82,4</w:t>
            </w:r>
          </w:p>
        </w:tc>
        <w:tc>
          <w:tcPr>
            <w:tcW w:w="485" w:type="pct"/>
            <w:tcBorders>
              <w:top w:val="nil"/>
              <w:left w:val="nil"/>
              <w:bottom w:val="nil"/>
            </w:tcBorders>
            <w:noWrap/>
            <w:vAlign w:val="center"/>
            <w:hideMark/>
          </w:tcPr>
          <w:p w14:paraId="5B27B11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88,5</w:t>
            </w:r>
          </w:p>
        </w:tc>
        <w:tc>
          <w:tcPr>
            <w:tcW w:w="411" w:type="pct"/>
            <w:tcBorders>
              <w:top w:val="nil"/>
              <w:left w:val="nil"/>
              <w:bottom w:val="nil"/>
              <w:right w:val="single" w:sz="4" w:space="0" w:color="auto"/>
            </w:tcBorders>
            <w:noWrap/>
            <w:vAlign w:val="center"/>
            <w:hideMark/>
          </w:tcPr>
          <w:p w14:paraId="1CC2E35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6,1</w:t>
            </w:r>
          </w:p>
        </w:tc>
      </w:tr>
      <w:tr w:rsidR="006C3577" w:rsidRPr="0021264E" w14:paraId="4F51111D" w14:textId="77777777" w:rsidTr="006C3577">
        <w:trPr>
          <w:trHeight w:val="280"/>
        </w:trPr>
        <w:tc>
          <w:tcPr>
            <w:tcW w:w="765" w:type="pct"/>
            <w:tcBorders>
              <w:top w:val="nil"/>
              <w:left w:val="single" w:sz="4" w:space="0" w:color="auto"/>
              <w:bottom w:val="nil"/>
              <w:right w:val="nil"/>
            </w:tcBorders>
            <w:noWrap/>
            <w:vAlign w:val="center"/>
            <w:hideMark/>
          </w:tcPr>
          <w:p w14:paraId="0E203966"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Bulharsko</w:t>
            </w:r>
          </w:p>
        </w:tc>
        <w:tc>
          <w:tcPr>
            <w:tcW w:w="412" w:type="pct"/>
            <w:tcBorders>
              <w:top w:val="nil"/>
              <w:left w:val="nil"/>
              <w:bottom w:val="nil"/>
              <w:right w:val="nil"/>
            </w:tcBorders>
            <w:noWrap/>
            <w:vAlign w:val="center"/>
            <w:hideMark/>
          </w:tcPr>
          <w:p w14:paraId="0546A70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-2,0</w:t>
            </w:r>
          </w:p>
        </w:tc>
        <w:tc>
          <w:tcPr>
            <w:tcW w:w="412" w:type="pct"/>
            <w:tcBorders>
              <w:top w:val="nil"/>
              <w:left w:val="nil"/>
              <w:bottom w:val="nil"/>
              <w:right w:val="nil"/>
            </w:tcBorders>
            <w:noWrap/>
            <w:vAlign w:val="center"/>
            <w:hideMark/>
          </w:tcPr>
          <w:p w14:paraId="02831230"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-3,0</w:t>
            </w:r>
          </w:p>
        </w:tc>
        <w:tc>
          <w:tcPr>
            <w:tcW w:w="412" w:type="pct"/>
            <w:tcBorders>
              <w:top w:val="nil"/>
              <w:left w:val="nil"/>
              <w:bottom w:val="nil"/>
              <w:right w:val="nil"/>
            </w:tcBorders>
            <w:noWrap/>
            <w:vAlign w:val="center"/>
            <w:hideMark/>
          </w:tcPr>
          <w:p w14:paraId="795D6FF6"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-3,5</w:t>
            </w:r>
          </w:p>
        </w:tc>
        <w:tc>
          <w:tcPr>
            <w:tcW w:w="411" w:type="pct"/>
            <w:tcBorders>
              <w:top w:val="nil"/>
              <w:left w:val="nil"/>
              <w:bottom w:val="nil"/>
              <w:right w:val="nil"/>
            </w:tcBorders>
            <w:noWrap/>
            <w:vAlign w:val="center"/>
            <w:hideMark/>
          </w:tcPr>
          <w:p w14:paraId="109D16E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-0,5</w:t>
            </w:r>
          </w:p>
        </w:tc>
        <w:tc>
          <w:tcPr>
            <w:tcW w:w="721" w:type="pct"/>
            <w:tcBorders>
              <w:top w:val="nil"/>
              <w:left w:val="single" w:sz="4" w:space="0" w:color="auto"/>
              <w:bottom w:val="nil"/>
              <w:right w:val="nil"/>
            </w:tcBorders>
            <w:noWrap/>
            <w:vAlign w:val="center"/>
            <w:hideMark/>
          </w:tcPr>
          <w:p w14:paraId="75834625"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Rakúsko</w:t>
            </w:r>
          </w:p>
        </w:tc>
        <w:tc>
          <w:tcPr>
            <w:tcW w:w="485" w:type="pct"/>
            <w:tcBorders>
              <w:top w:val="nil"/>
              <w:left w:val="nil"/>
              <w:bottom w:val="nil"/>
              <w:right w:val="nil"/>
            </w:tcBorders>
            <w:noWrap/>
            <w:vAlign w:val="center"/>
            <w:hideMark/>
          </w:tcPr>
          <w:p w14:paraId="4826F12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77,8</w:t>
            </w:r>
          </w:p>
        </w:tc>
        <w:tc>
          <w:tcPr>
            <w:tcW w:w="485" w:type="pct"/>
            <w:tcBorders>
              <w:top w:val="nil"/>
              <w:left w:val="nil"/>
              <w:bottom w:val="nil"/>
              <w:right w:val="nil"/>
            </w:tcBorders>
            <w:noWrap/>
            <w:vAlign w:val="center"/>
            <w:hideMark/>
          </w:tcPr>
          <w:p w14:paraId="18FF2F61"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80,0</w:t>
            </w:r>
          </w:p>
        </w:tc>
        <w:tc>
          <w:tcPr>
            <w:tcW w:w="485" w:type="pct"/>
            <w:tcBorders>
              <w:top w:val="nil"/>
              <w:left w:val="nil"/>
              <w:bottom w:val="nil"/>
            </w:tcBorders>
            <w:noWrap/>
            <w:vAlign w:val="center"/>
            <w:hideMark/>
          </w:tcPr>
          <w:p w14:paraId="10C9628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81,5</w:t>
            </w:r>
          </w:p>
        </w:tc>
        <w:tc>
          <w:tcPr>
            <w:tcW w:w="411" w:type="pct"/>
            <w:tcBorders>
              <w:top w:val="nil"/>
              <w:left w:val="nil"/>
              <w:bottom w:val="nil"/>
              <w:right w:val="single" w:sz="4" w:space="0" w:color="auto"/>
            </w:tcBorders>
            <w:noWrap/>
            <w:vAlign w:val="center"/>
            <w:hideMark/>
          </w:tcPr>
          <w:p w14:paraId="18D570B2"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1,5</w:t>
            </w:r>
          </w:p>
        </w:tc>
      </w:tr>
      <w:tr w:rsidR="006C3577" w:rsidRPr="0021264E" w14:paraId="6267A125" w14:textId="77777777" w:rsidTr="006C3577">
        <w:trPr>
          <w:trHeight w:val="280"/>
        </w:trPr>
        <w:tc>
          <w:tcPr>
            <w:tcW w:w="765" w:type="pct"/>
            <w:tcBorders>
              <w:top w:val="nil"/>
              <w:left w:val="single" w:sz="4" w:space="0" w:color="auto"/>
              <w:bottom w:val="nil"/>
              <w:right w:val="nil"/>
            </w:tcBorders>
            <w:noWrap/>
            <w:vAlign w:val="center"/>
            <w:hideMark/>
          </w:tcPr>
          <w:p w14:paraId="740A6511"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Fínsko</w:t>
            </w:r>
          </w:p>
        </w:tc>
        <w:tc>
          <w:tcPr>
            <w:tcW w:w="412" w:type="pct"/>
            <w:tcBorders>
              <w:top w:val="nil"/>
              <w:left w:val="nil"/>
              <w:bottom w:val="nil"/>
              <w:right w:val="nil"/>
            </w:tcBorders>
            <w:noWrap/>
            <w:vAlign w:val="center"/>
            <w:hideMark/>
          </w:tcPr>
          <w:p w14:paraId="4DD42DB8"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-2,9</w:t>
            </w:r>
          </w:p>
        </w:tc>
        <w:tc>
          <w:tcPr>
            <w:tcW w:w="412" w:type="pct"/>
            <w:tcBorders>
              <w:top w:val="nil"/>
              <w:left w:val="nil"/>
              <w:bottom w:val="nil"/>
              <w:right w:val="nil"/>
            </w:tcBorders>
            <w:noWrap/>
            <w:vAlign w:val="center"/>
            <w:hideMark/>
          </w:tcPr>
          <w:p w14:paraId="5FEABF16"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-4,4</w:t>
            </w:r>
          </w:p>
        </w:tc>
        <w:tc>
          <w:tcPr>
            <w:tcW w:w="412" w:type="pct"/>
            <w:tcBorders>
              <w:top w:val="nil"/>
              <w:left w:val="nil"/>
              <w:bottom w:val="nil"/>
              <w:right w:val="nil"/>
            </w:tcBorders>
            <w:noWrap/>
            <w:vAlign w:val="center"/>
            <w:hideMark/>
          </w:tcPr>
          <w:p w14:paraId="4BB1A7A0"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-3,4</w:t>
            </w:r>
          </w:p>
        </w:tc>
        <w:tc>
          <w:tcPr>
            <w:tcW w:w="411" w:type="pct"/>
            <w:tcBorders>
              <w:top w:val="nil"/>
              <w:left w:val="nil"/>
              <w:bottom w:val="nil"/>
              <w:right w:val="nil"/>
            </w:tcBorders>
            <w:noWrap/>
            <w:vAlign w:val="center"/>
            <w:hideMark/>
          </w:tcPr>
          <w:p w14:paraId="79788FE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w:t>
            </w:r>
          </w:p>
        </w:tc>
        <w:tc>
          <w:tcPr>
            <w:tcW w:w="721" w:type="pct"/>
            <w:tcBorders>
              <w:top w:val="nil"/>
              <w:left w:val="single" w:sz="4" w:space="0" w:color="auto"/>
              <w:bottom w:val="nil"/>
              <w:right w:val="nil"/>
            </w:tcBorders>
            <w:noWrap/>
            <w:vAlign w:val="center"/>
            <w:hideMark/>
          </w:tcPr>
          <w:p w14:paraId="21353E2D"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Maďarsko</w:t>
            </w:r>
          </w:p>
        </w:tc>
        <w:tc>
          <w:tcPr>
            <w:tcW w:w="485" w:type="pct"/>
            <w:tcBorders>
              <w:top w:val="nil"/>
              <w:left w:val="nil"/>
              <w:bottom w:val="nil"/>
              <w:right w:val="nil"/>
            </w:tcBorders>
            <w:noWrap/>
            <w:vAlign w:val="center"/>
            <w:hideMark/>
          </w:tcPr>
          <w:p w14:paraId="129F131A"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73,3</w:t>
            </w:r>
          </w:p>
        </w:tc>
        <w:tc>
          <w:tcPr>
            <w:tcW w:w="485" w:type="pct"/>
            <w:tcBorders>
              <w:top w:val="nil"/>
              <w:left w:val="nil"/>
              <w:bottom w:val="nil"/>
              <w:right w:val="nil"/>
            </w:tcBorders>
            <w:noWrap/>
            <w:vAlign w:val="center"/>
            <w:hideMark/>
          </w:tcPr>
          <w:p w14:paraId="7BAC7C3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73,5</w:t>
            </w:r>
          </w:p>
        </w:tc>
        <w:tc>
          <w:tcPr>
            <w:tcW w:w="485" w:type="pct"/>
            <w:tcBorders>
              <w:top w:val="nil"/>
              <w:left w:val="nil"/>
              <w:bottom w:val="nil"/>
            </w:tcBorders>
            <w:noWrap/>
            <w:vAlign w:val="center"/>
            <w:hideMark/>
          </w:tcPr>
          <w:p w14:paraId="232778B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74,6</w:t>
            </w:r>
          </w:p>
        </w:tc>
        <w:tc>
          <w:tcPr>
            <w:tcW w:w="411" w:type="pct"/>
            <w:tcBorders>
              <w:top w:val="nil"/>
              <w:left w:val="nil"/>
              <w:bottom w:val="nil"/>
              <w:right w:val="single" w:sz="4" w:space="0" w:color="auto"/>
            </w:tcBorders>
            <w:noWrap/>
            <w:vAlign w:val="center"/>
            <w:hideMark/>
          </w:tcPr>
          <w:p w14:paraId="3C4FF49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1,1</w:t>
            </w:r>
          </w:p>
        </w:tc>
      </w:tr>
      <w:tr w:rsidR="006C3577" w:rsidRPr="0021264E" w14:paraId="40579E71" w14:textId="77777777" w:rsidTr="006C3577">
        <w:trPr>
          <w:trHeight w:val="280"/>
        </w:trPr>
        <w:tc>
          <w:tcPr>
            <w:tcW w:w="765" w:type="pct"/>
            <w:tcBorders>
              <w:top w:val="nil"/>
              <w:left w:val="single" w:sz="4" w:space="0" w:color="auto"/>
              <w:bottom w:val="nil"/>
              <w:right w:val="nil"/>
            </w:tcBorders>
            <w:noWrap/>
            <w:vAlign w:val="center"/>
            <w:hideMark/>
          </w:tcPr>
          <w:p w14:paraId="3C9DE32E"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Taliansko</w:t>
            </w:r>
          </w:p>
        </w:tc>
        <w:tc>
          <w:tcPr>
            <w:tcW w:w="412" w:type="pct"/>
            <w:tcBorders>
              <w:top w:val="nil"/>
              <w:left w:val="nil"/>
              <w:bottom w:val="nil"/>
              <w:right w:val="nil"/>
            </w:tcBorders>
            <w:noWrap/>
            <w:vAlign w:val="center"/>
            <w:hideMark/>
          </w:tcPr>
          <w:p w14:paraId="10213448"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-7,1</w:t>
            </w:r>
          </w:p>
        </w:tc>
        <w:tc>
          <w:tcPr>
            <w:tcW w:w="412" w:type="pct"/>
            <w:tcBorders>
              <w:top w:val="nil"/>
              <w:left w:val="nil"/>
              <w:bottom w:val="nil"/>
              <w:right w:val="nil"/>
            </w:tcBorders>
            <w:noWrap/>
            <w:vAlign w:val="center"/>
            <w:hideMark/>
          </w:tcPr>
          <w:p w14:paraId="64DF5617"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-3,4</w:t>
            </w:r>
          </w:p>
        </w:tc>
        <w:tc>
          <w:tcPr>
            <w:tcW w:w="412" w:type="pct"/>
            <w:tcBorders>
              <w:top w:val="nil"/>
              <w:left w:val="nil"/>
              <w:bottom w:val="nil"/>
              <w:right w:val="nil"/>
            </w:tcBorders>
            <w:noWrap/>
            <w:vAlign w:val="center"/>
            <w:hideMark/>
          </w:tcPr>
          <w:p w14:paraId="66F6A970"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-3,1</w:t>
            </w:r>
          </w:p>
        </w:tc>
        <w:tc>
          <w:tcPr>
            <w:tcW w:w="411" w:type="pct"/>
            <w:tcBorders>
              <w:top w:val="nil"/>
              <w:left w:val="nil"/>
              <w:bottom w:val="nil"/>
              <w:right w:val="nil"/>
            </w:tcBorders>
            <w:noWrap/>
            <w:vAlign w:val="center"/>
            <w:hideMark/>
          </w:tcPr>
          <w:p w14:paraId="1FCF1BE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0,3</w:t>
            </w:r>
          </w:p>
        </w:tc>
        <w:tc>
          <w:tcPr>
            <w:tcW w:w="721" w:type="pct"/>
            <w:tcBorders>
              <w:top w:val="nil"/>
              <w:left w:val="single" w:sz="4" w:space="0" w:color="auto"/>
              <w:bottom w:val="nil"/>
              <w:right w:val="nil"/>
            </w:tcBorders>
            <w:noWrap/>
            <w:vAlign w:val="center"/>
            <w:hideMark/>
          </w:tcPr>
          <w:p w14:paraId="676E7489"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Slovinsko</w:t>
            </w:r>
          </w:p>
        </w:tc>
        <w:tc>
          <w:tcPr>
            <w:tcW w:w="485" w:type="pct"/>
            <w:tcBorders>
              <w:top w:val="nil"/>
              <w:left w:val="nil"/>
              <w:bottom w:val="nil"/>
              <w:right w:val="nil"/>
            </w:tcBorders>
            <w:noWrap/>
            <w:vAlign w:val="center"/>
            <w:hideMark/>
          </w:tcPr>
          <w:p w14:paraId="1379A322"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68,3</w:t>
            </w:r>
          </w:p>
        </w:tc>
        <w:tc>
          <w:tcPr>
            <w:tcW w:w="485" w:type="pct"/>
            <w:tcBorders>
              <w:top w:val="nil"/>
              <w:left w:val="nil"/>
              <w:bottom w:val="nil"/>
              <w:right w:val="nil"/>
            </w:tcBorders>
            <w:noWrap/>
            <w:vAlign w:val="center"/>
            <w:hideMark/>
          </w:tcPr>
          <w:p w14:paraId="3C741064"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66,4</w:t>
            </w:r>
          </w:p>
        </w:tc>
        <w:tc>
          <w:tcPr>
            <w:tcW w:w="485" w:type="pct"/>
            <w:tcBorders>
              <w:top w:val="nil"/>
              <w:left w:val="nil"/>
              <w:bottom w:val="nil"/>
            </w:tcBorders>
            <w:noWrap/>
            <w:vAlign w:val="center"/>
            <w:hideMark/>
          </w:tcPr>
          <w:p w14:paraId="4BA5994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65,7</w:t>
            </w:r>
          </w:p>
        </w:tc>
        <w:tc>
          <w:tcPr>
            <w:tcW w:w="411" w:type="pct"/>
            <w:tcBorders>
              <w:top w:val="nil"/>
              <w:left w:val="nil"/>
              <w:bottom w:val="nil"/>
              <w:right w:val="single" w:sz="4" w:space="0" w:color="auto"/>
            </w:tcBorders>
            <w:noWrap/>
            <w:vAlign w:val="center"/>
            <w:hideMark/>
          </w:tcPr>
          <w:p w14:paraId="2AF6278A"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-0,7</w:t>
            </w:r>
          </w:p>
        </w:tc>
      </w:tr>
      <w:tr w:rsidR="006C3577" w:rsidRPr="0021264E" w14:paraId="78AF65DE" w14:textId="77777777" w:rsidTr="006C3577">
        <w:trPr>
          <w:trHeight w:val="280"/>
        </w:trPr>
        <w:tc>
          <w:tcPr>
            <w:tcW w:w="765" w:type="pct"/>
            <w:tcBorders>
              <w:top w:val="nil"/>
              <w:left w:val="single" w:sz="4" w:space="0" w:color="auto"/>
              <w:bottom w:val="nil"/>
              <w:right w:val="nil"/>
            </w:tcBorders>
            <w:noWrap/>
            <w:vAlign w:val="center"/>
            <w:hideMark/>
          </w:tcPr>
          <w:p w14:paraId="7C662F90"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Chorvátsko</w:t>
            </w:r>
          </w:p>
        </w:tc>
        <w:tc>
          <w:tcPr>
            <w:tcW w:w="412" w:type="pct"/>
            <w:tcBorders>
              <w:top w:val="nil"/>
              <w:left w:val="nil"/>
              <w:bottom w:val="nil"/>
              <w:right w:val="nil"/>
            </w:tcBorders>
            <w:noWrap/>
            <w:vAlign w:val="center"/>
            <w:hideMark/>
          </w:tcPr>
          <w:p w14:paraId="773B915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-1,1</w:t>
            </w:r>
          </w:p>
        </w:tc>
        <w:tc>
          <w:tcPr>
            <w:tcW w:w="412" w:type="pct"/>
            <w:tcBorders>
              <w:top w:val="nil"/>
              <w:left w:val="nil"/>
              <w:bottom w:val="nil"/>
              <w:right w:val="nil"/>
            </w:tcBorders>
            <w:noWrap/>
            <w:vAlign w:val="center"/>
            <w:hideMark/>
          </w:tcPr>
          <w:p w14:paraId="43436AF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-2,3</w:t>
            </w:r>
          </w:p>
        </w:tc>
        <w:tc>
          <w:tcPr>
            <w:tcW w:w="412" w:type="pct"/>
            <w:tcBorders>
              <w:top w:val="nil"/>
              <w:left w:val="nil"/>
              <w:bottom w:val="nil"/>
              <w:right w:val="nil"/>
            </w:tcBorders>
            <w:noWrap/>
            <w:vAlign w:val="center"/>
            <w:hideMark/>
          </w:tcPr>
          <w:p w14:paraId="0C6BF7D4"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-3,0</w:t>
            </w:r>
          </w:p>
        </w:tc>
        <w:tc>
          <w:tcPr>
            <w:tcW w:w="411" w:type="pct"/>
            <w:tcBorders>
              <w:top w:val="nil"/>
              <w:left w:val="nil"/>
              <w:bottom w:val="nil"/>
              <w:right w:val="nil"/>
            </w:tcBorders>
            <w:noWrap/>
            <w:vAlign w:val="center"/>
            <w:hideMark/>
          </w:tcPr>
          <w:p w14:paraId="250F2EE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-0,7</w:t>
            </w:r>
          </w:p>
        </w:tc>
        <w:tc>
          <w:tcPr>
            <w:tcW w:w="721" w:type="pct"/>
            <w:tcBorders>
              <w:top w:val="nil"/>
              <w:left w:val="single" w:sz="4" w:space="0" w:color="auto"/>
              <w:bottom w:val="nil"/>
              <w:right w:val="nil"/>
            </w:tcBorders>
            <w:noWrap/>
            <w:vAlign w:val="center"/>
            <w:hideMark/>
          </w:tcPr>
          <w:p w14:paraId="5287E255"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Nemecko</w:t>
            </w:r>
          </w:p>
        </w:tc>
        <w:tc>
          <w:tcPr>
            <w:tcW w:w="485" w:type="pct"/>
            <w:tcBorders>
              <w:top w:val="nil"/>
              <w:left w:val="nil"/>
              <w:bottom w:val="nil"/>
              <w:right w:val="nil"/>
            </w:tcBorders>
            <w:noWrap/>
            <w:vAlign w:val="center"/>
            <w:hideMark/>
          </w:tcPr>
          <w:p w14:paraId="4202C57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62,3</w:t>
            </w:r>
          </w:p>
        </w:tc>
        <w:tc>
          <w:tcPr>
            <w:tcW w:w="485" w:type="pct"/>
            <w:tcBorders>
              <w:top w:val="nil"/>
              <w:left w:val="nil"/>
              <w:bottom w:val="nil"/>
              <w:right w:val="nil"/>
            </w:tcBorders>
            <w:noWrap/>
            <w:vAlign w:val="center"/>
            <w:hideMark/>
          </w:tcPr>
          <w:p w14:paraId="7F5E90B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62,2</w:t>
            </w:r>
          </w:p>
        </w:tc>
        <w:tc>
          <w:tcPr>
            <w:tcW w:w="485" w:type="pct"/>
            <w:tcBorders>
              <w:top w:val="nil"/>
              <w:left w:val="nil"/>
              <w:bottom w:val="nil"/>
            </w:tcBorders>
            <w:noWrap/>
            <w:vAlign w:val="center"/>
            <w:hideMark/>
          </w:tcPr>
          <w:p w14:paraId="69E1B90E"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63,5</w:t>
            </w:r>
          </w:p>
        </w:tc>
        <w:tc>
          <w:tcPr>
            <w:tcW w:w="411" w:type="pct"/>
            <w:tcBorders>
              <w:top w:val="nil"/>
              <w:left w:val="nil"/>
              <w:bottom w:val="nil"/>
              <w:right w:val="single" w:sz="4" w:space="0" w:color="auto"/>
            </w:tcBorders>
            <w:noWrap/>
            <w:vAlign w:val="center"/>
            <w:hideMark/>
          </w:tcPr>
          <w:p w14:paraId="13853783"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1,3</w:t>
            </w:r>
          </w:p>
        </w:tc>
      </w:tr>
      <w:tr w:rsidR="006C3577" w:rsidRPr="0021264E" w14:paraId="0E50C7BD" w14:textId="77777777" w:rsidTr="006C3577">
        <w:trPr>
          <w:trHeight w:val="280"/>
        </w:trPr>
        <w:tc>
          <w:tcPr>
            <w:tcW w:w="765" w:type="pct"/>
            <w:tcBorders>
              <w:top w:val="nil"/>
              <w:left w:val="single" w:sz="4" w:space="0" w:color="auto"/>
              <w:bottom w:val="nil"/>
              <w:right w:val="nil"/>
            </w:tcBorders>
            <w:noWrap/>
            <w:vAlign w:val="center"/>
            <w:hideMark/>
          </w:tcPr>
          <w:p w14:paraId="7BE3E836"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Nemecko</w:t>
            </w:r>
          </w:p>
        </w:tc>
        <w:tc>
          <w:tcPr>
            <w:tcW w:w="412" w:type="pct"/>
            <w:tcBorders>
              <w:top w:val="nil"/>
              <w:left w:val="nil"/>
              <w:bottom w:val="nil"/>
              <w:right w:val="nil"/>
            </w:tcBorders>
            <w:noWrap/>
            <w:vAlign w:val="center"/>
            <w:hideMark/>
          </w:tcPr>
          <w:p w14:paraId="7150557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-2,5</w:t>
            </w:r>
          </w:p>
        </w:tc>
        <w:tc>
          <w:tcPr>
            <w:tcW w:w="412" w:type="pct"/>
            <w:tcBorders>
              <w:top w:val="nil"/>
              <w:left w:val="nil"/>
              <w:bottom w:val="nil"/>
              <w:right w:val="nil"/>
            </w:tcBorders>
            <w:noWrap/>
            <w:vAlign w:val="center"/>
            <w:hideMark/>
          </w:tcPr>
          <w:p w14:paraId="31EC1EE2"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-2,7</w:t>
            </w:r>
          </w:p>
        </w:tc>
        <w:tc>
          <w:tcPr>
            <w:tcW w:w="412" w:type="pct"/>
            <w:tcBorders>
              <w:top w:val="nil"/>
              <w:left w:val="nil"/>
              <w:bottom w:val="nil"/>
              <w:right w:val="nil"/>
            </w:tcBorders>
            <w:noWrap/>
            <w:vAlign w:val="center"/>
            <w:hideMark/>
          </w:tcPr>
          <w:p w14:paraId="4A699DC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-2,7</w:t>
            </w:r>
          </w:p>
        </w:tc>
        <w:tc>
          <w:tcPr>
            <w:tcW w:w="411" w:type="pct"/>
            <w:tcBorders>
              <w:top w:val="nil"/>
              <w:left w:val="nil"/>
              <w:bottom w:val="nil"/>
              <w:right w:val="nil"/>
            </w:tcBorders>
            <w:noWrap/>
            <w:vAlign w:val="center"/>
            <w:hideMark/>
          </w:tcPr>
          <w:p w14:paraId="50D7387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0,0</w:t>
            </w:r>
          </w:p>
        </w:tc>
        <w:tc>
          <w:tcPr>
            <w:tcW w:w="721" w:type="pct"/>
            <w:tcBorders>
              <w:top w:val="nil"/>
              <w:left w:val="single" w:sz="4" w:space="0" w:color="auto"/>
              <w:bottom w:val="nil"/>
              <w:right w:val="nil"/>
            </w:tcBorders>
            <w:noWrap/>
            <w:vAlign w:val="center"/>
            <w:hideMark/>
          </w:tcPr>
          <w:p w14:paraId="6B9EA850" w14:textId="77777777" w:rsidR="006C3577" w:rsidRPr="0021264E" w:rsidRDefault="006C3577" w:rsidP="006C3577">
            <w:pPr>
              <w:spacing w:line="240" w:lineRule="auto"/>
              <w:rPr>
                <w:rFonts w:eastAsia="Times New Roman" w:cs="Times New Roman"/>
                <w:b/>
                <w:bCs/>
                <w:sz w:val="18"/>
                <w:szCs w:val="18"/>
                <w:lang w:eastAsia="sk-SK"/>
              </w:rPr>
            </w:pPr>
            <w:r w:rsidRPr="0021264E">
              <w:rPr>
                <w:rFonts w:eastAsia="Times New Roman" w:cs="Times New Roman"/>
                <w:b/>
                <w:bCs/>
                <w:sz w:val="18"/>
                <w:szCs w:val="18"/>
                <w:lang w:eastAsia="sk-SK"/>
              </w:rPr>
              <w:t>Slovensko</w:t>
            </w:r>
          </w:p>
        </w:tc>
        <w:tc>
          <w:tcPr>
            <w:tcW w:w="485" w:type="pct"/>
            <w:tcBorders>
              <w:top w:val="nil"/>
              <w:left w:val="nil"/>
              <w:bottom w:val="nil"/>
              <w:right w:val="nil"/>
            </w:tcBorders>
            <w:noWrap/>
            <w:vAlign w:val="center"/>
            <w:hideMark/>
          </w:tcPr>
          <w:p w14:paraId="40ABF8E7"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55,8</w:t>
            </w:r>
          </w:p>
        </w:tc>
        <w:tc>
          <w:tcPr>
            <w:tcW w:w="485" w:type="pct"/>
            <w:tcBorders>
              <w:top w:val="nil"/>
              <w:left w:val="nil"/>
              <w:bottom w:val="nil"/>
              <w:right w:val="nil"/>
            </w:tcBorders>
            <w:noWrap/>
            <w:vAlign w:val="center"/>
            <w:hideMark/>
          </w:tcPr>
          <w:p w14:paraId="207888DE"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59,7</w:t>
            </w:r>
          </w:p>
        </w:tc>
        <w:tc>
          <w:tcPr>
            <w:tcW w:w="485" w:type="pct"/>
            <w:tcBorders>
              <w:top w:val="nil"/>
              <w:left w:val="nil"/>
              <w:bottom w:val="nil"/>
            </w:tcBorders>
            <w:noWrap/>
            <w:vAlign w:val="center"/>
            <w:hideMark/>
          </w:tcPr>
          <w:p w14:paraId="4B27630C"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61,4</w:t>
            </w:r>
          </w:p>
        </w:tc>
        <w:tc>
          <w:tcPr>
            <w:tcW w:w="411" w:type="pct"/>
            <w:tcBorders>
              <w:top w:val="nil"/>
              <w:left w:val="nil"/>
              <w:bottom w:val="nil"/>
              <w:right w:val="single" w:sz="4" w:space="0" w:color="auto"/>
            </w:tcBorders>
            <w:noWrap/>
            <w:vAlign w:val="center"/>
            <w:hideMark/>
          </w:tcPr>
          <w:p w14:paraId="410F9841" w14:textId="77777777" w:rsidR="006C3577" w:rsidRPr="0021264E" w:rsidRDefault="006C3577" w:rsidP="006C3577">
            <w:pPr>
              <w:spacing w:line="240" w:lineRule="auto"/>
              <w:ind w:firstLineChars="100" w:firstLine="181"/>
              <w:jc w:val="right"/>
              <w:rPr>
                <w:rFonts w:eastAsia="Times New Roman" w:cs="Times New Roman"/>
                <w:b/>
                <w:bCs/>
                <w:sz w:val="18"/>
                <w:szCs w:val="18"/>
                <w:lang w:eastAsia="sk-SK"/>
              </w:rPr>
            </w:pPr>
            <w:r w:rsidRPr="0021264E">
              <w:rPr>
                <w:rFonts w:eastAsia="Times New Roman" w:cs="Times New Roman"/>
                <w:b/>
                <w:bCs/>
                <w:sz w:val="18"/>
                <w:szCs w:val="18"/>
                <w:lang w:eastAsia="sk-SK"/>
              </w:rPr>
              <w:t>1,7</w:t>
            </w:r>
          </w:p>
        </w:tc>
      </w:tr>
      <w:tr w:rsidR="006C3577" w:rsidRPr="0021264E" w14:paraId="206603A5" w14:textId="77777777" w:rsidTr="006C3577">
        <w:trPr>
          <w:trHeight w:val="280"/>
        </w:trPr>
        <w:tc>
          <w:tcPr>
            <w:tcW w:w="765" w:type="pct"/>
            <w:tcBorders>
              <w:top w:val="nil"/>
              <w:left w:val="single" w:sz="4" w:space="0" w:color="auto"/>
              <w:bottom w:val="nil"/>
              <w:right w:val="nil"/>
            </w:tcBorders>
            <w:noWrap/>
            <w:vAlign w:val="center"/>
            <w:hideMark/>
          </w:tcPr>
          <w:p w14:paraId="4C0B5422"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Lotyšsko</w:t>
            </w:r>
          </w:p>
        </w:tc>
        <w:tc>
          <w:tcPr>
            <w:tcW w:w="412" w:type="pct"/>
            <w:tcBorders>
              <w:top w:val="nil"/>
              <w:left w:val="nil"/>
              <w:bottom w:val="nil"/>
              <w:right w:val="nil"/>
            </w:tcBorders>
            <w:noWrap/>
            <w:vAlign w:val="center"/>
            <w:hideMark/>
          </w:tcPr>
          <w:p w14:paraId="69A77836"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-2,3</w:t>
            </w:r>
          </w:p>
        </w:tc>
        <w:tc>
          <w:tcPr>
            <w:tcW w:w="412" w:type="pct"/>
            <w:tcBorders>
              <w:top w:val="nil"/>
              <w:left w:val="nil"/>
              <w:bottom w:val="nil"/>
              <w:right w:val="nil"/>
            </w:tcBorders>
            <w:noWrap/>
            <w:vAlign w:val="center"/>
            <w:hideMark/>
          </w:tcPr>
          <w:p w14:paraId="58BBA3F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-1,8</w:t>
            </w:r>
          </w:p>
        </w:tc>
        <w:tc>
          <w:tcPr>
            <w:tcW w:w="412" w:type="pct"/>
            <w:tcBorders>
              <w:top w:val="nil"/>
              <w:left w:val="nil"/>
              <w:bottom w:val="nil"/>
              <w:right w:val="nil"/>
            </w:tcBorders>
            <w:noWrap/>
            <w:vAlign w:val="center"/>
            <w:hideMark/>
          </w:tcPr>
          <w:p w14:paraId="318EB16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-2,5</w:t>
            </w:r>
          </w:p>
        </w:tc>
        <w:tc>
          <w:tcPr>
            <w:tcW w:w="411" w:type="pct"/>
            <w:tcBorders>
              <w:top w:val="nil"/>
              <w:left w:val="nil"/>
              <w:bottom w:val="nil"/>
              <w:right w:val="nil"/>
            </w:tcBorders>
            <w:noWrap/>
            <w:vAlign w:val="center"/>
            <w:hideMark/>
          </w:tcPr>
          <w:p w14:paraId="4A38480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-0,7</w:t>
            </w:r>
          </w:p>
        </w:tc>
        <w:tc>
          <w:tcPr>
            <w:tcW w:w="721" w:type="pct"/>
            <w:tcBorders>
              <w:top w:val="nil"/>
              <w:left w:val="single" w:sz="4" w:space="0" w:color="auto"/>
              <w:bottom w:val="nil"/>
              <w:right w:val="nil"/>
            </w:tcBorders>
            <w:noWrap/>
            <w:vAlign w:val="center"/>
            <w:hideMark/>
          </w:tcPr>
          <w:p w14:paraId="6C303AAA"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Poľsko</w:t>
            </w:r>
          </w:p>
        </w:tc>
        <w:tc>
          <w:tcPr>
            <w:tcW w:w="485" w:type="pct"/>
            <w:tcBorders>
              <w:top w:val="nil"/>
              <w:left w:val="nil"/>
              <w:bottom w:val="nil"/>
              <w:right w:val="nil"/>
            </w:tcBorders>
            <w:noWrap/>
            <w:vAlign w:val="center"/>
            <w:hideMark/>
          </w:tcPr>
          <w:p w14:paraId="11476AD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49,5</w:t>
            </w:r>
          </w:p>
        </w:tc>
        <w:tc>
          <w:tcPr>
            <w:tcW w:w="485" w:type="pct"/>
            <w:tcBorders>
              <w:top w:val="nil"/>
              <w:left w:val="nil"/>
              <w:bottom w:val="nil"/>
              <w:right w:val="nil"/>
            </w:tcBorders>
            <w:noWrap/>
            <w:vAlign w:val="center"/>
            <w:hideMark/>
          </w:tcPr>
          <w:p w14:paraId="7BDAA74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54,8</w:t>
            </w:r>
          </w:p>
        </w:tc>
        <w:tc>
          <w:tcPr>
            <w:tcW w:w="485" w:type="pct"/>
            <w:tcBorders>
              <w:top w:val="nil"/>
              <w:left w:val="nil"/>
              <w:bottom w:val="nil"/>
            </w:tcBorders>
            <w:noWrap/>
            <w:vAlign w:val="center"/>
            <w:hideMark/>
          </w:tcPr>
          <w:p w14:paraId="0E501B3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59,7</w:t>
            </w:r>
          </w:p>
        </w:tc>
        <w:tc>
          <w:tcPr>
            <w:tcW w:w="411" w:type="pct"/>
            <w:tcBorders>
              <w:top w:val="nil"/>
              <w:left w:val="nil"/>
              <w:bottom w:val="nil"/>
              <w:right w:val="single" w:sz="4" w:space="0" w:color="auto"/>
            </w:tcBorders>
            <w:noWrap/>
            <w:vAlign w:val="center"/>
            <w:hideMark/>
          </w:tcPr>
          <w:p w14:paraId="323117A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4,9</w:t>
            </w:r>
          </w:p>
        </w:tc>
      </w:tr>
      <w:tr w:rsidR="006C3577" w:rsidRPr="0021264E" w14:paraId="0FD490FC" w14:textId="77777777" w:rsidTr="006C3577">
        <w:trPr>
          <w:trHeight w:val="280"/>
        </w:trPr>
        <w:tc>
          <w:tcPr>
            <w:tcW w:w="765" w:type="pct"/>
            <w:tcBorders>
              <w:top w:val="nil"/>
              <w:left w:val="single" w:sz="4" w:space="0" w:color="auto"/>
              <w:bottom w:val="nil"/>
              <w:right w:val="nil"/>
            </w:tcBorders>
            <w:noWrap/>
            <w:vAlign w:val="center"/>
            <w:hideMark/>
          </w:tcPr>
          <w:p w14:paraId="04A68279"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Slovinsko</w:t>
            </w:r>
          </w:p>
        </w:tc>
        <w:tc>
          <w:tcPr>
            <w:tcW w:w="412" w:type="pct"/>
            <w:tcBorders>
              <w:top w:val="nil"/>
              <w:left w:val="nil"/>
              <w:bottom w:val="nil"/>
              <w:right w:val="nil"/>
            </w:tcBorders>
            <w:noWrap/>
            <w:vAlign w:val="center"/>
            <w:hideMark/>
          </w:tcPr>
          <w:p w14:paraId="02E811E9"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-2,6</w:t>
            </w:r>
          </w:p>
        </w:tc>
        <w:tc>
          <w:tcPr>
            <w:tcW w:w="412" w:type="pct"/>
            <w:tcBorders>
              <w:top w:val="nil"/>
              <w:left w:val="nil"/>
              <w:bottom w:val="nil"/>
              <w:right w:val="nil"/>
            </w:tcBorders>
            <w:noWrap/>
            <w:vAlign w:val="center"/>
            <w:hideMark/>
          </w:tcPr>
          <w:p w14:paraId="1C03C2B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-0,9</w:t>
            </w:r>
          </w:p>
        </w:tc>
        <w:tc>
          <w:tcPr>
            <w:tcW w:w="412" w:type="pct"/>
            <w:tcBorders>
              <w:top w:val="nil"/>
              <w:left w:val="nil"/>
              <w:bottom w:val="nil"/>
              <w:right w:val="nil"/>
            </w:tcBorders>
            <w:noWrap/>
            <w:vAlign w:val="center"/>
            <w:hideMark/>
          </w:tcPr>
          <w:p w14:paraId="5752446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-2,5</w:t>
            </w:r>
          </w:p>
        </w:tc>
        <w:tc>
          <w:tcPr>
            <w:tcW w:w="411" w:type="pct"/>
            <w:tcBorders>
              <w:top w:val="nil"/>
              <w:left w:val="nil"/>
              <w:bottom w:val="nil"/>
              <w:right w:val="nil"/>
            </w:tcBorders>
            <w:noWrap/>
            <w:vAlign w:val="center"/>
            <w:hideMark/>
          </w:tcPr>
          <w:p w14:paraId="0A17AE7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-1,6</w:t>
            </w:r>
          </w:p>
        </w:tc>
        <w:tc>
          <w:tcPr>
            <w:tcW w:w="721" w:type="pct"/>
            <w:tcBorders>
              <w:top w:val="nil"/>
              <w:left w:val="single" w:sz="4" w:space="0" w:color="auto"/>
              <w:bottom w:val="nil"/>
              <w:right w:val="nil"/>
            </w:tcBorders>
            <w:noWrap/>
            <w:vAlign w:val="center"/>
            <w:hideMark/>
          </w:tcPr>
          <w:p w14:paraId="498CCCCB"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Rumunsko</w:t>
            </w:r>
          </w:p>
        </w:tc>
        <w:tc>
          <w:tcPr>
            <w:tcW w:w="485" w:type="pct"/>
            <w:tcBorders>
              <w:top w:val="nil"/>
              <w:left w:val="nil"/>
              <w:bottom w:val="nil"/>
              <w:right w:val="nil"/>
            </w:tcBorders>
            <w:noWrap/>
            <w:vAlign w:val="center"/>
            <w:hideMark/>
          </w:tcPr>
          <w:p w14:paraId="39995F1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49,3</w:t>
            </w:r>
          </w:p>
        </w:tc>
        <w:tc>
          <w:tcPr>
            <w:tcW w:w="485" w:type="pct"/>
            <w:tcBorders>
              <w:top w:val="nil"/>
              <w:left w:val="nil"/>
              <w:bottom w:val="nil"/>
              <w:right w:val="nil"/>
            </w:tcBorders>
            <w:noWrap/>
            <w:vAlign w:val="center"/>
            <w:hideMark/>
          </w:tcPr>
          <w:p w14:paraId="4BE2AD6E"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54,8</w:t>
            </w:r>
          </w:p>
        </w:tc>
        <w:tc>
          <w:tcPr>
            <w:tcW w:w="485" w:type="pct"/>
            <w:tcBorders>
              <w:top w:val="nil"/>
              <w:left w:val="nil"/>
              <w:bottom w:val="nil"/>
            </w:tcBorders>
            <w:noWrap/>
            <w:vAlign w:val="center"/>
            <w:hideMark/>
          </w:tcPr>
          <w:p w14:paraId="52244341"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59,3</w:t>
            </w:r>
          </w:p>
        </w:tc>
        <w:tc>
          <w:tcPr>
            <w:tcW w:w="411" w:type="pct"/>
            <w:tcBorders>
              <w:top w:val="nil"/>
              <w:left w:val="nil"/>
              <w:bottom w:val="nil"/>
              <w:right w:val="single" w:sz="4" w:space="0" w:color="auto"/>
            </w:tcBorders>
            <w:noWrap/>
            <w:vAlign w:val="center"/>
            <w:hideMark/>
          </w:tcPr>
          <w:p w14:paraId="5434FCD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4,5</w:t>
            </w:r>
          </w:p>
        </w:tc>
      </w:tr>
      <w:tr w:rsidR="006C3577" w:rsidRPr="0021264E" w14:paraId="43984971" w14:textId="77777777" w:rsidTr="006C3577">
        <w:trPr>
          <w:trHeight w:val="280"/>
        </w:trPr>
        <w:tc>
          <w:tcPr>
            <w:tcW w:w="765" w:type="pct"/>
            <w:tcBorders>
              <w:top w:val="nil"/>
              <w:left w:val="single" w:sz="4" w:space="0" w:color="auto"/>
              <w:bottom w:val="nil"/>
              <w:right w:val="nil"/>
            </w:tcBorders>
            <w:noWrap/>
            <w:vAlign w:val="center"/>
            <w:hideMark/>
          </w:tcPr>
          <w:p w14:paraId="68CAD4F5"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Španielsko</w:t>
            </w:r>
          </w:p>
        </w:tc>
        <w:tc>
          <w:tcPr>
            <w:tcW w:w="412" w:type="pct"/>
            <w:tcBorders>
              <w:top w:val="nil"/>
              <w:left w:val="nil"/>
              <w:bottom w:val="nil"/>
              <w:right w:val="nil"/>
            </w:tcBorders>
            <w:noWrap/>
            <w:vAlign w:val="center"/>
            <w:hideMark/>
          </w:tcPr>
          <w:p w14:paraId="4858AACC"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-3,3</w:t>
            </w:r>
          </w:p>
        </w:tc>
        <w:tc>
          <w:tcPr>
            <w:tcW w:w="412" w:type="pct"/>
            <w:tcBorders>
              <w:top w:val="nil"/>
              <w:left w:val="nil"/>
              <w:bottom w:val="nil"/>
              <w:right w:val="nil"/>
            </w:tcBorders>
            <w:noWrap/>
            <w:vAlign w:val="center"/>
            <w:hideMark/>
          </w:tcPr>
          <w:p w14:paraId="0C9D2E40"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-3,2</w:t>
            </w:r>
          </w:p>
        </w:tc>
        <w:tc>
          <w:tcPr>
            <w:tcW w:w="412" w:type="pct"/>
            <w:tcBorders>
              <w:top w:val="nil"/>
              <w:left w:val="nil"/>
              <w:bottom w:val="nil"/>
              <w:right w:val="nil"/>
            </w:tcBorders>
            <w:noWrap/>
            <w:vAlign w:val="center"/>
            <w:hideMark/>
          </w:tcPr>
          <w:p w14:paraId="05041470"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-2,4</w:t>
            </w:r>
          </w:p>
        </w:tc>
        <w:tc>
          <w:tcPr>
            <w:tcW w:w="411" w:type="pct"/>
            <w:tcBorders>
              <w:top w:val="nil"/>
              <w:left w:val="nil"/>
              <w:bottom w:val="nil"/>
              <w:right w:val="nil"/>
            </w:tcBorders>
            <w:noWrap/>
            <w:vAlign w:val="center"/>
            <w:hideMark/>
          </w:tcPr>
          <w:p w14:paraId="0890AF3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0,8</w:t>
            </w:r>
          </w:p>
        </w:tc>
        <w:tc>
          <w:tcPr>
            <w:tcW w:w="721" w:type="pct"/>
            <w:tcBorders>
              <w:top w:val="nil"/>
              <w:left w:val="single" w:sz="4" w:space="0" w:color="auto"/>
              <w:bottom w:val="nil"/>
              <w:right w:val="nil"/>
            </w:tcBorders>
            <w:noWrap/>
            <w:vAlign w:val="center"/>
            <w:hideMark/>
          </w:tcPr>
          <w:p w14:paraId="319F3A29"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Chorvátsko</w:t>
            </w:r>
          </w:p>
        </w:tc>
        <w:tc>
          <w:tcPr>
            <w:tcW w:w="485" w:type="pct"/>
            <w:tcBorders>
              <w:top w:val="nil"/>
              <w:left w:val="nil"/>
              <w:bottom w:val="nil"/>
              <w:right w:val="nil"/>
            </w:tcBorders>
            <w:noWrap/>
            <w:vAlign w:val="center"/>
            <w:hideMark/>
          </w:tcPr>
          <w:p w14:paraId="4486F49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60,9</w:t>
            </w:r>
          </w:p>
        </w:tc>
        <w:tc>
          <w:tcPr>
            <w:tcW w:w="485" w:type="pct"/>
            <w:tcBorders>
              <w:top w:val="nil"/>
              <w:left w:val="nil"/>
              <w:bottom w:val="nil"/>
              <w:right w:val="nil"/>
            </w:tcBorders>
            <w:noWrap/>
            <w:vAlign w:val="center"/>
            <w:hideMark/>
          </w:tcPr>
          <w:p w14:paraId="0860FE9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57,4</w:t>
            </w:r>
          </w:p>
        </w:tc>
        <w:tc>
          <w:tcPr>
            <w:tcW w:w="485" w:type="pct"/>
            <w:tcBorders>
              <w:top w:val="nil"/>
              <w:left w:val="nil"/>
              <w:bottom w:val="nil"/>
            </w:tcBorders>
            <w:noWrap/>
            <w:vAlign w:val="center"/>
            <w:hideMark/>
          </w:tcPr>
          <w:p w14:paraId="0C13F59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56,3</w:t>
            </w:r>
          </w:p>
        </w:tc>
        <w:tc>
          <w:tcPr>
            <w:tcW w:w="411" w:type="pct"/>
            <w:tcBorders>
              <w:top w:val="nil"/>
              <w:left w:val="nil"/>
              <w:bottom w:val="nil"/>
              <w:right w:val="single" w:sz="4" w:space="0" w:color="auto"/>
            </w:tcBorders>
            <w:noWrap/>
            <w:vAlign w:val="center"/>
            <w:hideMark/>
          </w:tcPr>
          <w:p w14:paraId="74C1A30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-1,1</w:t>
            </w:r>
          </w:p>
        </w:tc>
      </w:tr>
      <w:tr w:rsidR="006C3577" w:rsidRPr="0021264E" w14:paraId="7B105812" w14:textId="77777777" w:rsidTr="006C3577">
        <w:trPr>
          <w:trHeight w:val="280"/>
        </w:trPr>
        <w:tc>
          <w:tcPr>
            <w:tcW w:w="765" w:type="pct"/>
            <w:tcBorders>
              <w:top w:val="nil"/>
              <w:left w:val="single" w:sz="4" w:space="0" w:color="auto"/>
              <w:bottom w:val="nil"/>
              <w:right w:val="nil"/>
            </w:tcBorders>
            <w:noWrap/>
            <w:vAlign w:val="center"/>
            <w:hideMark/>
          </w:tcPr>
          <w:p w14:paraId="44463E4E"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Malta</w:t>
            </w:r>
          </w:p>
        </w:tc>
        <w:tc>
          <w:tcPr>
            <w:tcW w:w="412" w:type="pct"/>
            <w:tcBorders>
              <w:top w:val="nil"/>
              <w:left w:val="nil"/>
              <w:bottom w:val="nil"/>
              <w:right w:val="nil"/>
            </w:tcBorders>
            <w:noWrap/>
            <w:vAlign w:val="center"/>
            <w:hideMark/>
          </w:tcPr>
          <w:p w14:paraId="55D11066"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-4,4</w:t>
            </w:r>
          </w:p>
        </w:tc>
        <w:tc>
          <w:tcPr>
            <w:tcW w:w="412" w:type="pct"/>
            <w:tcBorders>
              <w:top w:val="nil"/>
              <w:left w:val="nil"/>
              <w:bottom w:val="nil"/>
              <w:right w:val="nil"/>
            </w:tcBorders>
            <w:noWrap/>
            <w:vAlign w:val="center"/>
            <w:hideMark/>
          </w:tcPr>
          <w:p w14:paraId="506EFFA1"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-3,4</w:t>
            </w:r>
          </w:p>
        </w:tc>
        <w:tc>
          <w:tcPr>
            <w:tcW w:w="412" w:type="pct"/>
            <w:tcBorders>
              <w:top w:val="nil"/>
              <w:left w:val="nil"/>
              <w:bottom w:val="nil"/>
              <w:right w:val="nil"/>
            </w:tcBorders>
            <w:noWrap/>
            <w:vAlign w:val="center"/>
            <w:hideMark/>
          </w:tcPr>
          <w:p w14:paraId="4D51B6E1"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-2,2</w:t>
            </w:r>
          </w:p>
        </w:tc>
        <w:tc>
          <w:tcPr>
            <w:tcW w:w="411" w:type="pct"/>
            <w:tcBorders>
              <w:top w:val="nil"/>
              <w:left w:val="nil"/>
              <w:bottom w:val="nil"/>
              <w:right w:val="nil"/>
            </w:tcBorders>
            <w:noWrap/>
            <w:vAlign w:val="center"/>
            <w:hideMark/>
          </w:tcPr>
          <w:p w14:paraId="52E1A51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1,2</w:t>
            </w:r>
          </w:p>
        </w:tc>
        <w:tc>
          <w:tcPr>
            <w:tcW w:w="721" w:type="pct"/>
            <w:tcBorders>
              <w:top w:val="nil"/>
              <w:left w:val="single" w:sz="4" w:space="0" w:color="auto"/>
              <w:bottom w:val="nil"/>
              <w:right w:val="nil"/>
            </w:tcBorders>
            <w:noWrap/>
            <w:vAlign w:val="center"/>
            <w:hideMark/>
          </w:tcPr>
          <w:p w14:paraId="3587248B"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Cyprus</w:t>
            </w:r>
          </w:p>
        </w:tc>
        <w:tc>
          <w:tcPr>
            <w:tcW w:w="485" w:type="pct"/>
            <w:tcBorders>
              <w:top w:val="nil"/>
              <w:left w:val="nil"/>
              <w:bottom w:val="nil"/>
              <w:right w:val="nil"/>
            </w:tcBorders>
            <w:noWrap/>
            <w:vAlign w:val="center"/>
            <w:hideMark/>
          </w:tcPr>
          <w:p w14:paraId="1C91C363"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71,1</w:t>
            </w:r>
          </w:p>
        </w:tc>
        <w:tc>
          <w:tcPr>
            <w:tcW w:w="485" w:type="pct"/>
            <w:tcBorders>
              <w:top w:val="nil"/>
              <w:left w:val="nil"/>
              <w:bottom w:val="nil"/>
              <w:right w:val="nil"/>
            </w:tcBorders>
            <w:noWrap/>
            <w:vAlign w:val="center"/>
            <w:hideMark/>
          </w:tcPr>
          <w:p w14:paraId="1F016D1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62,7</w:t>
            </w:r>
          </w:p>
        </w:tc>
        <w:tc>
          <w:tcPr>
            <w:tcW w:w="485" w:type="pct"/>
            <w:tcBorders>
              <w:top w:val="nil"/>
              <w:left w:val="nil"/>
              <w:bottom w:val="nil"/>
            </w:tcBorders>
            <w:noWrap/>
            <w:vAlign w:val="center"/>
            <w:hideMark/>
          </w:tcPr>
          <w:p w14:paraId="14C36AD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55,0</w:t>
            </w:r>
          </w:p>
        </w:tc>
        <w:tc>
          <w:tcPr>
            <w:tcW w:w="411" w:type="pct"/>
            <w:tcBorders>
              <w:top w:val="nil"/>
              <w:left w:val="nil"/>
              <w:bottom w:val="nil"/>
              <w:right w:val="single" w:sz="4" w:space="0" w:color="auto"/>
            </w:tcBorders>
            <w:noWrap/>
            <w:vAlign w:val="center"/>
            <w:hideMark/>
          </w:tcPr>
          <w:p w14:paraId="27E79A1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-7,7</w:t>
            </w:r>
          </w:p>
        </w:tc>
      </w:tr>
      <w:tr w:rsidR="006C3577" w:rsidRPr="0021264E" w14:paraId="57C7828C" w14:textId="77777777" w:rsidTr="006C3577">
        <w:trPr>
          <w:trHeight w:val="280"/>
        </w:trPr>
        <w:tc>
          <w:tcPr>
            <w:tcW w:w="765" w:type="pct"/>
            <w:tcBorders>
              <w:top w:val="nil"/>
              <w:left w:val="single" w:sz="4" w:space="0" w:color="auto"/>
              <w:bottom w:val="nil"/>
              <w:right w:val="nil"/>
            </w:tcBorders>
            <w:noWrap/>
            <w:vAlign w:val="center"/>
            <w:hideMark/>
          </w:tcPr>
          <w:p w14:paraId="3D0FAF50"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Česká republika</w:t>
            </w:r>
          </w:p>
        </w:tc>
        <w:tc>
          <w:tcPr>
            <w:tcW w:w="412" w:type="pct"/>
            <w:tcBorders>
              <w:top w:val="nil"/>
              <w:left w:val="nil"/>
              <w:bottom w:val="nil"/>
              <w:right w:val="nil"/>
            </w:tcBorders>
            <w:noWrap/>
            <w:vAlign w:val="center"/>
            <w:hideMark/>
          </w:tcPr>
          <w:p w14:paraId="1DC564CF"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-3,7</w:t>
            </w:r>
          </w:p>
        </w:tc>
        <w:tc>
          <w:tcPr>
            <w:tcW w:w="412" w:type="pct"/>
            <w:tcBorders>
              <w:top w:val="nil"/>
              <w:left w:val="nil"/>
              <w:bottom w:val="nil"/>
              <w:right w:val="nil"/>
            </w:tcBorders>
            <w:noWrap/>
            <w:vAlign w:val="center"/>
            <w:hideMark/>
          </w:tcPr>
          <w:p w14:paraId="38B91D62"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-2,0</w:t>
            </w:r>
          </w:p>
        </w:tc>
        <w:tc>
          <w:tcPr>
            <w:tcW w:w="412" w:type="pct"/>
            <w:tcBorders>
              <w:top w:val="nil"/>
              <w:left w:val="nil"/>
              <w:bottom w:val="nil"/>
              <w:right w:val="nil"/>
            </w:tcBorders>
            <w:noWrap/>
            <w:vAlign w:val="center"/>
            <w:hideMark/>
          </w:tcPr>
          <w:p w14:paraId="30A91DAE"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-2,1</w:t>
            </w:r>
          </w:p>
        </w:tc>
        <w:tc>
          <w:tcPr>
            <w:tcW w:w="411" w:type="pct"/>
            <w:tcBorders>
              <w:top w:val="nil"/>
              <w:left w:val="nil"/>
              <w:bottom w:val="nil"/>
              <w:right w:val="nil"/>
            </w:tcBorders>
            <w:noWrap/>
            <w:vAlign w:val="center"/>
            <w:hideMark/>
          </w:tcPr>
          <w:p w14:paraId="62E47752"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-0,1</w:t>
            </w:r>
          </w:p>
        </w:tc>
        <w:tc>
          <w:tcPr>
            <w:tcW w:w="721" w:type="pct"/>
            <w:tcBorders>
              <w:top w:val="nil"/>
              <w:left w:val="single" w:sz="4" w:space="0" w:color="auto"/>
              <w:bottom w:val="nil"/>
              <w:right w:val="nil"/>
            </w:tcBorders>
            <w:noWrap/>
            <w:vAlign w:val="center"/>
            <w:hideMark/>
          </w:tcPr>
          <w:p w14:paraId="71C28031"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Lotyšsko</w:t>
            </w:r>
          </w:p>
        </w:tc>
        <w:tc>
          <w:tcPr>
            <w:tcW w:w="485" w:type="pct"/>
            <w:tcBorders>
              <w:top w:val="nil"/>
              <w:left w:val="nil"/>
              <w:bottom w:val="nil"/>
              <w:right w:val="nil"/>
            </w:tcBorders>
            <w:noWrap/>
            <w:vAlign w:val="center"/>
            <w:hideMark/>
          </w:tcPr>
          <w:p w14:paraId="4DBCDE3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44,4</w:t>
            </w:r>
          </w:p>
        </w:tc>
        <w:tc>
          <w:tcPr>
            <w:tcW w:w="485" w:type="pct"/>
            <w:tcBorders>
              <w:top w:val="nil"/>
              <w:left w:val="nil"/>
              <w:bottom w:val="nil"/>
              <w:right w:val="nil"/>
            </w:tcBorders>
            <w:noWrap/>
            <w:vAlign w:val="center"/>
            <w:hideMark/>
          </w:tcPr>
          <w:p w14:paraId="61A60573"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46,2</w:t>
            </w:r>
          </w:p>
        </w:tc>
        <w:tc>
          <w:tcPr>
            <w:tcW w:w="485" w:type="pct"/>
            <w:tcBorders>
              <w:top w:val="nil"/>
              <w:left w:val="nil"/>
              <w:bottom w:val="nil"/>
            </w:tcBorders>
            <w:noWrap/>
            <w:vAlign w:val="center"/>
            <w:hideMark/>
          </w:tcPr>
          <w:p w14:paraId="392BF753"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46,9</w:t>
            </w:r>
          </w:p>
        </w:tc>
        <w:tc>
          <w:tcPr>
            <w:tcW w:w="411" w:type="pct"/>
            <w:tcBorders>
              <w:top w:val="nil"/>
              <w:left w:val="nil"/>
              <w:bottom w:val="nil"/>
              <w:right w:val="single" w:sz="4" w:space="0" w:color="auto"/>
            </w:tcBorders>
            <w:noWrap/>
            <w:vAlign w:val="center"/>
            <w:hideMark/>
          </w:tcPr>
          <w:p w14:paraId="66BC103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0,7</w:t>
            </w:r>
          </w:p>
        </w:tc>
      </w:tr>
      <w:tr w:rsidR="006C3577" w:rsidRPr="0021264E" w14:paraId="68C9C07E" w14:textId="77777777" w:rsidTr="006C3577">
        <w:trPr>
          <w:trHeight w:val="280"/>
        </w:trPr>
        <w:tc>
          <w:tcPr>
            <w:tcW w:w="765" w:type="pct"/>
            <w:tcBorders>
              <w:top w:val="nil"/>
              <w:left w:val="single" w:sz="4" w:space="0" w:color="auto"/>
              <w:bottom w:val="nil"/>
              <w:right w:val="nil"/>
            </w:tcBorders>
            <w:noWrap/>
            <w:vAlign w:val="center"/>
            <w:hideMark/>
          </w:tcPr>
          <w:p w14:paraId="1BE809E8"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Estónsko</w:t>
            </w:r>
          </w:p>
        </w:tc>
        <w:tc>
          <w:tcPr>
            <w:tcW w:w="412" w:type="pct"/>
            <w:tcBorders>
              <w:top w:val="nil"/>
              <w:left w:val="nil"/>
              <w:bottom w:val="nil"/>
              <w:right w:val="nil"/>
            </w:tcBorders>
            <w:noWrap/>
            <w:vAlign w:val="center"/>
            <w:hideMark/>
          </w:tcPr>
          <w:p w14:paraId="2FD0C2F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-2,7</w:t>
            </w:r>
          </w:p>
        </w:tc>
        <w:tc>
          <w:tcPr>
            <w:tcW w:w="412" w:type="pct"/>
            <w:tcBorders>
              <w:top w:val="nil"/>
              <w:left w:val="nil"/>
              <w:bottom w:val="nil"/>
              <w:right w:val="nil"/>
            </w:tcBorders>
            <w:noWrap/>
            <w:vAlign w:val="center"/>
            <w:hideMark/>
          </w:tcPr>
          <w:p w14:paraId="76D4C569"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-1,1</w:t>
            </w:r>
          </w:p>
        </w:tc>
        <w:tc>
          <w:tcPr>
            <w:tcW w:w="412" w:type="pct"/>
            <w:tcBorders>
              <w:top w:val="nil"/>
              <w:left w:val="nil"/>
              <w:bottom w:val="nil"/>
              <w:right w:val="nil"/>
            </w:tcBorders>
            <w:noWrap/>
            <w:vAlign w:val="center"/>
            <w:hideMark/>
          </w:tcPr>
          <w:p w14:paraId="5BA6501E"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-2,0</w:t>
            </w:r>
          </w:p>
        </w:tc>
        <w:tc>
          <w:tcPr>
            <w:tcW w:w="411" w:type="pct"/>
            <w:tcBorders>
              <w:top w:val="nil"/>
              <w:left w:val="nil"/>
              <w:bottom w:val="nil"/>
              <w:right w:val="nil"/>
            </w:tcBorders>
            <w:noWrap/>
            <w:vAlign w:val="center"/>
            <w:hideMark/>
          </w:tcPr>
          <w:p w14:paraId="165C7C3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-0,9</w:t>
            </w:r>
          </w:p>
        </w:tc>
        <w:tc>
          <w:tcPr>
            <w:tcW w:w="721" w:type="pct"/>
            <w:tcBorders>
              <w:top w:val="nil"/>
              <w:left w:val="single" w:sz="4" w:space="0" w:color="auto"/>
              <w:bottom w:val="nil"/>
              <w:right w:val="nil"/>
            </w:tcBorders>
            <w:noWrap/>
            <w:vAlign w:val="center"/>
            <w:hideMark/>
          </w:tcPr>
          <w:p w14:paraId="75164AB4"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Malta</w:t>
            </w:r>
          </w:p>
        </w:tc>
        <w:tc>
          <w:tcPr>
            <w:tcW w:w="485" w:type="pct"/>
            <w:tcBorders>
              <w:top w:val="nil"/>
              <w:left w:val="nil"/>
              <w:bottom w:val="nil"/>
              <w:right w:val="nil"/>
            </w:tcBorders>
            <w:noWrap/>
            <w:vAlign w:val="center"/>
            <w:hideMark/>
          </w:tcPr>
          <w:p w14:paraId="733CDDD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46,9</w:t>
            </w:r>
          </w:p>
        </w:tc>
        <w:tc>
          <w:tcPr>
            <w:tcW w:w="485" w:type="pct"/>
            <w:tcBorders>
              <w:top w:val="nil"/>
              <w:left w:val="nil"/>
              <w:bottom w:val="nil"/>
              <w:right w:val="nil"/>
            </w:tcBorders>
            <w:noWrap/>
            <w:vAlign w:val="center"/>
            <w:hideMark/>
          </w:tcPr>
          <w:p w14:paraId="0117641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45,9</w:t>
            </w:r>
          </w:p>
        </w:tc>
        <w:tc>
          <w:tcPr>
            <w:tcW w:w="485" w:type="pct"/>
            <w:tcBorders>
              <w:top w:val="nil"/>
              <w:left w:val="nil"/>
              <w:bottom w:val="nil"/>
            </w:tcBorders>
            <w:noWrap/>
            <w:vAlign w:val="center"/>
            <w:hideMark/>
          </w:tcPr>
          <w:p w14:paraId="796777E1"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46,4</w:t>
            </w:r>
          </w:p>
        </w:tc>
        <w:tc>
          <w:tcPr>
            <w:tcW w:w="411" w:type="pct"/>
            <w:tcBorders>
              <w:top w:val="nil"/>
              <w:left w:val="nil"/>
              <w:bottom w:val="nil"/>
              <w:right w:val="single" w:sz="4" w:space="0" w:color="auto"/>
            </w:tcBorders>
            <w:noWrap/>
            <w:vAlign w:val="center"/>
            <w:hideMark/>
          </w:tcPr>
          <w:p w14:paraId="116EF56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0,5</w:t>
            </w:r>
          </w:p>
        </w:tc>
      </w:tr>
      <w:tr w:rsidR="006C3577" w:rsidRPr="0021264E" w14:paraId="4A5D7D6E" w14:textId="77777777" w:rsidTr="006C3577">
        <w:trPr>
          <w:trHeight w:val="280"/>
        </w:trPr>
        <w:tc>
          <w:tcPr>
            <w:tcW w:w="765" w:type="pct"/>
            <w:tcBorders>
              <w:top w:val="nil"/>
              <w:left w:val="single" w:sz="4" w:space="0" w:color="auto"/>
              <w:bottom w:val="nil"/>
              <w:right w:val="nil"/>
            </w:tcBorders>
            <w:noWrap/>
            <w:vAlign w:val="center"/>
            <w:hideMark/>
          </w:tcPr>
          <w:p w14:paraId="1EEA8B93"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Luxembursko</w:t>
            </w:r>
          </w:p>
        </w:tc>
        <w:tc>
          <w:tcPr>
            <w:tcW w:w="412" w:type="pct"/>
            <w:tcBorders>
              <w:top w:val="nil"/>
              <w:left w:val="nil"/>
              <w:bottom w:val="nil"/>
              <w:right w:val="nil"/>
            </w:tcBorders>
            <w:noWrap/>
            <w:vAlign w:val="center"/>
            <w:hideMark/>
          </w:tcPr>
          <w:p w14:paraId="26F94C2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-0,7</w:t>
            </w:r>
          </w:p>
        </w:tc>
        <w:tc>
          <w:tcPr>
            <w:tcW w:w="412" w:type="pct"/>
            <w:tcBorders>
              <w:top w:val="nil"/>
              <w:left w:val="nil"/>
              <w:bottom w:val="nil"/>
              <w:right w:val="nil"/>
            </w:tcBorders>
            <w:noWrap/>
            <w:vAlign w:val="center"/>
            <w:hideMark/>
          </w:tcPr>
          <w:p w14:paraId="44EB9ED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0,9</w:t>
            </w:r>
          </w:p>
        </w:tc>
        <w:tc>
          <w:tcPr>
            <w:tcW w:w="412" w:type="pct"/>
            <w:tcBorders>
              <w:top w:val="nil"/>
              <w:left w:val="nil"/>
              <w:bottom w:val="nil"/>
              <w:right w:val="nil"/>
            </w:tcBorders>
            <w:noWrap/>
            <w:vAlign w:val="center"/>
            <w:hideMark/>
          </w:tcPr>
          <w:p w14:paraId="1E3A08DC"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-2,0</w:t>
            </w:r>
          </w:p>
        </w:tc>
        <w:tc>
          <w:tcPr>
            <w:tcW w:w="411" w:type="pct"/>
            <w:tcBorders>
              <w:top w:val="nil"/>
              <w:left w:val="nil"/>
              <w:bottom w:val="nil"/>
              <w:right w:val="nil"/>
            </w:tcBorders>
            <w:noWrap/>
            <w:vAlign w:val="center"/>
            <w:hideMark/>
          </w:tcPr>
          <w:p w14:paraId="3372967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-2,9</w:t>
            </w:r>
          </w:p>
        </w:tc>
        <w:tc>
          <w:tcPr>
            <w:tcW w:w="721" w:type="pct"/>
            <w:tcBorders>
              <w:top w:val="nil"/>
              <w:left w:val="single" w:sz="4" w:space="0" w:color="auto"/>
              <w:bottom w:val="nil"/>
              <w:right w:val="nil"/>
            </w:tcBorders>
            <w:noWrap/>
            <w:vAlign w:val="center"/>
            <w:hideMark/>
          </w:tcPr>
          <w:p w14:paraId="4E035C6C"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Holandsko</w:t>
            </w:r>
          </w:p>
        </w:tc>
        <w:tc>
          <w:tcPr>
            <w:tcW w:w="485" w:type="pct"/>
            <w:tcBorders>
              <w:top w:val="nil"/>
              <w:left w:val="nil"/>
              <w:bottom w:val="nil"/>
              <w:right w:val="nil"/>
            </w:tcBorders>
            <w:noWrap/>
            <w:vAlign w:val="center"/>
            <w:hideMark/>
          </w:tcPr>
          <w:p w14:paraId="71FD8B7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45,8</w:t>
            </w:r>
          </w:p>
        </w:tc>
        <w:tc>
          <w:tcPr>
            <w:tcW w:w="485" w:type="pct"/>
            <w:tcBorders>
              <w:top w:val="nil"/>
              <w:left w:val="nil"/>
              <w:bottom w:val="nil"/>
              <w:right w:val="nil"/>
            </w:tcBorders>
            <w:noWrap/>
            <w:vAlign w:val="center"/>
            <w:hideMark/>
          </w:tcPr>
          <w:p w14:paraId="26DCA4E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43,8</w:t>
            </w:r>
          </w:p>
        </w:tc>
        <w:tc>
          <w:tcPr>
            <w:tcW w:w="485" w:type="pct"/>
            <w:tcBorders>
              <w:top w:val="nil"/>
              <w:left w:val="nil"/>
              <w:bottom w:val="nil"/>
            </w:tcBorders>
            <w:noWrap/>
            <w:vAlign w:val="center"/>
            <w:hideMark/>
          </w:tcPr>
          <w:p w14:paraId="79AF2D2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44,4</w:t>
            </w:r>
          </w:p>
        </w:tc>
        <w:tc>
          <w:tcPr>
            <w:tcW w:w="411" w:type="pct"/>
            <w:tcBorders>
              <w:top w:val="nil"/>
              <w:left w:val="nil"/>
              <w:bottom w:val="nil"/>
              <w:right w:val="single" w:sz="4" w:space="0" w:color="auto"/>
            </w:tcBorders>
            <w:noWrap/>
            <w:vAlign w:val="center"/>
            <w:hideMark/>
          </w:tcPr>
          <w:p w14:paraId="5064E97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0,6</w:t>
            </w:r>
          </w:p>
        </w:tc>
      </w:tr>
      <w:tr w:rsidR="006C3577" w:rsidRPr="0021264E" w14:paraId="05202609" w14:textId="77777777" w:rsidTr="006C3577">
        <w:trPr>
          <w:trHeight w:val="280"/>
        </w:trPr>
        <w:tc>
          <w:tcPr>
            <w:tcW w:w="765" w:type="pct"/>
            <w:tcBorders>
              <w:top w:val="nil"/>
              <w:left w:val="single" w:sz="4" w:space="0" w:color="auto"/>
              <w:bottom w:val="nil"/>
              <w:right w:val="nil"/>
            </w:tcBorders>
            <w:noWrap/>
            <w:vAlign w:val="center"/>
            <w:hideMark/>
          </w:tcPr>
          <w:p w14:paraId="7FA1C0D2"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Litva</w:t>
            </w:r>
          </w:p>
        </w:tc>
        <w:tc>
          <w:tcPr>
            <w:tcW w:w="412" w:type="pct"/>
            <w:tcBorders>
              <w:top w:val="nil"/>
              <w:left w:val="nil"/>
              <w:bottom w:val="nil"/>
              <w:right w:val="nil"/>
            </w:tcBorders>
            <w:noWrap/>
            <w:vAlign w:val="center"/>
            <w:hideMark/>
          </w:tcPr>
          <w:p w14:paraId="7B6F2CA6"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-0,7</w:t>
            </w:r>
          </w:p>
        </w:tc>
        <w:tc>
          <w:tcPr>
            <w:tcW w:w="412" w:type="pct"/>
            <w:tcBorders>
              <w:top w:val="nil"/>
              <w:left w:val="nil"/>
              <w:bottom w:val="nil"/>
              <w:right w:val="nil"/>
            </w:tcBorders>
            <w:noWrap/>
            <w:vAlign w:val="center"/>
            <w:hideMark/>
          </w:tcPr>
          <w:p w14:paraId="7310DFF3"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-1,3</w:t>
            </w:r>
          </w:p>
        </w:tc>
        <w:tc>
          <w:tcPr>
            <w:tcW w:w="412" w:type="pct"/>
            <w:tcBorders>
              <w:top w:val="nil"/>
              <w:left w:val="nil"/>
              <w:bottom w:val="nil"/>
              <w:right w:val="nil"/>
            </w:tcBorders>
            <w:noWrap/>
            <w:vAlign w:val="center"/>
            <w:hideMark/>
          </w:tcPr>
          <w:p w14:paraId="696C7306"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-1,8</w:t>
            </w:r>
          </w:p>
        </w:tc>
        <w:tc>
          <w:tcPr>
            <w:tcW w:w="411" w:type="pct"/>
            <w:tcBorders>
              <w:top w:val="nil"/>
              <w:left w:val="nil"/>
              <w:bottom w:val="nil"/>
              <w:right w:val="nil"/>
            </w:tcBorders>
            <w:noWrap/>
            <w:vAlign w:val="center"/>
            <w:hideMark/>
          </w:tcPr>
          <w:p w14:paraId="00858FD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-0,5</w:t>
            </w:r>
          </w:p>
        </w:tc>
        <w:tc>
          <w:tcPr>
            <w:tcW w:w="721" w:type="pct"/>
            <w:tcBorders>
              <w:top w:val="nil"/>
              <w:left w:val="single" w:sz="4" w:space="0" w:color="auto"/>
              <w:bottom w:val="nil"/>
              <w:right w:val="nil"/>
            </w:tcBorders>
            <w:noWrap/>
            <w:vAlign w:val="center"/>
            <w:hideMark/>
          </w:tcPr>
          <w:p w14:paraId="1EECCD3B"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Česká republika</w:t>
            </w:r>
          </w:p>
        </w:tc>
        <w:tc>
          <w:tcPr>
            <w:tcW w:w="485" w:type="pct"/>
            <w:tcBorders>
              <w:top w:val="nil"/>
              <w:left w:val="nil"/>
              <w:bottom w:val="nil"/>
              <w:right w:val="nil"/>
            </w:tcBorders>
            <w:noWrap/>
            <w:vAlign w:val="center"/>
            <w:hideMark/>
          </w:tcPr>
          <w:p w14:paraId="7D8A0FE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42,2</w:t>
            </w:r>
          </w:p>
        </w:tc>
        <w:tc>
          <w:tcPr>
            <w:tcW w:w="485" w:type="pct"/>
            <w:tcBorders>
              <w:top w:val="nil"/>
              <w:left w:val="nil"/>
              <w:bottom w:val="nil"/>
              <w:right w:val="nil"/>
            </w:tcBorders>
            <w:noWrap/>
            <w:vAlign w:val="center"/>
            <w:hideMark/>
          </w:tcPr>
          <w:p w14:paraId="3490CA2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43,3</w:t>
            </w:r>
          </w:p>
        </w:tc>
        <w:tc>
          <w:tcPr>
            <w:tcW w:w="485" w:type="pct"/>
            <w:tcBorders>
              <w:top w:val="nil"/>
              <w:left w:val="nil"/>
              <w:bottom w:val="nil"/>
            </w:tcBorders>
            <w:noWrap/>
            <w:vAlign w:val="center"/>
            <w:hideMark/>
          </w:tcPr>
          <w:p w14:paraId="31A70E82"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44,3</w:t>
            </w:r>
          </w:p>
        </w:tc>
        <w:tc>
          <w:tcPr>
            <w:tcW w:w="411" w:type="pct"/>
            <w:tcBorders>
              <w:top w:val="nil"/>
              <w:left w:val="nil"/>
              <w:bottom w:val="nil"/>
              <w:right w:val="single" w:sz="4" w:space="0" w:color="auto"/>
            </w:tcBorders>
            <w:noWrap/>
            <w:vAlign w:val="center"/>
            <w:hideMark/>
          </w:tcPr>
          <w:p w14:paraId="70E465BE"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1,0</w:t>
            </w:r>
          </w:p>
        </w:tc>
      </w:tr>
      <w:tr w:rsidR="006C3577" w:rsidRPr="0021264E" w14:paraId="6CB20AEA" w14:textId="77777777" w:rsidTr="006C3577">
        <w:trPr>
          <w:trHeight w:val="280"/>
        </w:trPr>
        <w:tc>
          <w:tcPr>
            <w:tcW w:w="765" w:type="pct"/>
            <w:tcBorders>
              <w:top w:val="nil"/>
              <w:left w:val="single" w:sz="4" w:space="0" w:color="auto"/>
              <w:bottom w:val="nil"/>
              <w:right w:val="nil"/>
            </w:tcBorders>
            <w:noWrap/>
            <w:vAlign w:val="center"/>
            <w:hideMark/>
          </w:tcPr>
          <w:p w14:paraId="3D5FCC0F"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Holandsko</w:t>
            </w:r>
          </w:p>
        </w:tc>
        <w:tc>
          <w:tcPr>
            <w:tcW w:w="412" w:type="pct"/>
            <w:tcBorders>
              <w:top w:val="nil"/>
              <w:left w:val="nil"/>
              <w:bottom w:val="nil"/>
              <w:right w:val="nil"/>
            </w:tcBorders>
            <w:noWrap/>
            <w:vAlign w:val="center"/>
            <w:hideMark/>
          </w:tcPr>
          <w:p w14:paraId="1F243C69"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-0,4</w:t>
            </w:r>
          </w:p>
        </w:tc>
        <w:tc>
          <w:tcPr>
            <w:tcW w:w="412" w:type="pct"/>
            <w:tcBorders>
              <w:top w:val="nil"/>
              <w:left w:val="nil"/>
              <w:bottom w:val="nil"/>
              <w:right w:val="nil"/>
            </w:tcBorders>
            <w:noWrap/>
            <w:vAlign w:val="center"/>
            <w:hideMark/>
          </w:tcPr>
          <w:p w14:paraId="4C2E3D4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-0,7</w:t>
            </w:r>
          </w:p>
        </w:tc>
        <w:tc>
          <w:tcPr>
            <w:tcW w:w="412" w:type="pct"/>
            <w:tcBorders>
              <w:top w:val="nil"/>
              <w:left w:val="nil"/>
              <w:bottom w:val="nil"/>
              <w:right w:val="nil"/>
            </w:tcBorders>
            <w:noWrap/>
            <w:vAlign w:val="center"/>
            <w:hideMark/>
          </w:tcPr>
          <w:p w14:paraId="24F15197"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-1,6</w:t>
            </w:r>
          </w:p>
        </w:tc>
        <w:tc>
          <w:tcPr>
            <w:tcW w:w="411" w:type="pct"/>
            <w:tcBorders>
              <w:top w:val="nil"/>
              <w:left w:val="nil"/>
              <w:bottom w:val="nil"/>
              <w:right w:val="nil"/>
            </w:tcBorders>
            <w:noWrap/>
            <w:vAlign w:val="center"/>
            <w:hideMark/>
          </w:tcPr>
          <w:p w14:paraId="58D3D94F"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-0,9</w:t>
            </w:r>
          </w:p>
        </w:tc>
        <w:tc>
          <w:tcPr>
            <w:tcW w:w="721" w:type="pct"/>
            <w:tcBorders>
              <w:top w:val="nil"/>
              <w:left w:val="single" w:sz="4" w:space="0" w:color="auto"/>
              <w:bottom w:val="nil"/>
              <w:right w:val="nil"/>
            </w:tcBorders>
            <w:noWrap/>
            <w:vAlign w:val="center"/>
            <w:hideMark/>
          </w:tcPr>
          <w:p w14:paraId="5244822A"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Litva</w:t>
            </w:r>
          </w:p>
        </w:tc>
        <w:tc>
          <w:tcPr>
            <w:tcW w:w="485" w:type="pct"/>
            <w:tcBorders>
              <w:top w:val="nil"/>
              <w:left w:val="nil"/>
              <w:bottom w:val="nil"/>
              <w:right w:val="nil"/>
            </w:tcBorders>
            <w:noWrap/>
            <w:vAlign w:val="center"/>
            <w:hideMark/>
          </w:tcPr>
          <w:p w14:paraId="294276A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37,1</w:t>
            </w:r>
          </w:p>
        </w:tc>
        <w:tc>
          <w:tcPr>
            <w:tcW w:w="485" w:type="pct"/>
            <w:tcBorders>
              <w:top w:val="nil"/>
              <w:left w:val="nil"/>
              <w:bottom w:val="nil"/>
              <w:right w:val="nil"/>
            </w:tcBorders>
            <w:noWrap/>
            <w:vAlign w:val="center"/>
            <w:hideMark/>
          </w:tcPr>
          <w:p w14:paraId="75CDAB2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38,0</w:t>
            </w:r>
          </w:p>
        </w:tc>
        <w:tc>
          <w:tcPr>
            <w:tcW w:w="485" w:type="pct"/>
            <w:tcBorders>
              <w:top w:val="nil"/>
              <w:left w:val="nil"/>
              <w:bottom w:val="nil"/>
            </w:tcBorders>
            <w:noWrap/>
            <w:vAlign w:val="center"/>
            <w:hideMark/>
          </w:tcPr>
          <w:p w14:paraId="6E2B8E2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39,5</w:t>
            </w:r>
          </w:p>
        </w:tc>
        <w:tc>
          <w:tcPr>
            <w:tcW w:w="411" w:type="pct"/>
            <w:tcBorders>
              <w:top w:val="nil"/>
              <w:left w:val="nil"/>
              <w:bottom w:val="nil"/>
              <w:right w:val="single" w:sz="4" w:space="0" w:color="auto"/>
            </w:tcBorders>
            <w:noWrap/>
            <w:vAlign w:val="center"/>
            <w:hideMark/>
          </w:tcPr>
          <w:p w14:paraId="17F9FED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1,5</w:t>
            </w:r>
          </w:p>
        </w:tc>
      </w:tr>
      <w:tr w:rsidR="006C3577" w:rsidRPr="0021264E" w14:paraId="432A457F" w14:textId="77777777" w:rsidTr="006C3577">
        <w:trPr>
          <w:trHeight w:val="280"/>
        </w:trPr>
        <w:tc>
          <w:tcPr>
            <w:tcW w:w="765" w:type="pct"/>
            <w:tcBorders>
              <w:top w:val="nil"/>
              <w:left w:val="single" w:sz="4" w:space="0" w:color="auto"/>
              <w:bottom w:val="nil"/>
              <w:right w:val="nil"/>
            </w:tcBorders>
            <w:noWrap/>
            <w:vAlign w:val="center"/>
            <w:hideMark/>
          </w:tcPr>
          <w:p w14:paraId="0559B589"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Švédsko</w:t>
            </w:r>
          </w:p>
        </w:tc>
        <w:tc>
          <w:tcPr>
            <w:tcW w:w="412" w:type="pct"/>
            <w:tcBorders>
              <w:top w:val="nil"/>
              <w:left w:val="nil"/>
              <w:bottom w:val="nil"/>
              <w:right w:val="nil"/>
            </w:tcBorders>
            <w:noWrap/>
            <w:vAlign w:val="center"/>
            <w:hideMark/>
          </w:tcPr>
          <w:p w14:paraId="5D960C6E"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-0,9</w:t>
            </w:r>
          </w:p>
        </w:tc>
        <w:tc>
          <w:tcPr>
            <w:tcW w:w="412" w:type="pct"/>
            <w:tcBorders>
              <w:top w:val="nil"/>
              <w:left w:val="nil"/>
              <w:bottom w:val="nil"/>
              <w:right w:val="nil"/>
            </w:tcBorders>
            <w:noWrap/>
            <w:vAlign w:val="center"/>
            <w:hideMark/>
          </w:tcPr>
          <w:p w14:paraId="6067B29F"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-1,5</w:t>
            </w:r>
          </w:p>
        </w:tc>
        <w:tc>
          <w:tcPr>
            <w:tcW w:w="412" w:type="pct"/>
            <w:tcBorders>
              <w:top w:val="nil"/>
              <w:left w:val="nil"/>
              <w:bottom w:val="nil"/>
              <w:right w:val="nil"/>
            </w:tcBorders>
            <w:noWrap/>
            <w:vAlign w:val="center"/>
            <w:hideMark/>
          </w:tcPr>
          <w:p w14:paraId="053C75B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-1,3</w:t>
            </w:r>
          </w:p>
        </w:tc>
        <w:tc>
          <w:tcPr>
            <w:tcW w:w="411" w:type="pct"/>
            <w:tcBorders>
              <w:top w:val="nil"/>
              <w:left w:val="nil"/>
              <w:bottom w:val="nil"/>
              <w:right w:val="nil"/>
            </w:tcBorders>
            <w:noWrap/>
            <w:vAlign w:val="center"/>
            <w:hideMark/>
          </w:tcPr>
          <w:p w14:paraId="7B7D0CA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0,2</w:t>
            </w:r>
          </w:p>
        </w:tc>
        <w:tc>
          <w:tcPr>
            <w:tcW w:w="721" w:type="pct"/>
            <w:tcBorders>
              <w:top w:val="nil"/>
              <w:left w:val="single" w:sz="4" w:space="0" w:color="auto"/>
              <w:bottom w:val="nil"/>
              <w:right w:val="nil"/>
            </w:tcBorders>
            <w:noWrap/>
            <w:vAlign w:val="center"/>
            <w:hideMark/>
          </w:tcPr>
          <w:p w14:paraId="075A4ED7"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Švédsko</w:t>
            </w:r>
          </w:p>
        </w:tc>
        <w:tc>
          <w:tcPr>
            <w:tcW w:w="485" w:type="pct"/>
            <w:tcBorders>
              <w:top w:val="nil"/>
              <w:left w:val="nil"/>
              <w:bottom w:val="nil"/>
              <w:right w:val="nil"/>
            </w:tcBorders>
            <w:noWrap/>
            <w:vAlign w:val="center"/>
            <w:hideMark/>
          </w:tcPr>
          <w:p w14:paraId="2E8F3332"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32,2</w:t>
            </w:r>
          </w:p>
        </w:tc>
        <w:tc>
          <w:tcPr>
            <w:tcW w:w="485" w:type="pct"/>
            <w:tcBorders>
              <w:top w:val="nil"/>
              <w:left w:val="nil"/>
              <w:bottom w:val="nil"/>
              <w:right w:val="nil"/>
            </w:tcBorders>
            <w:noWrap/>
            <w:vAlign w:val="center"/>
            <w:hideMark/>
          </w:tcPr>
          <w:p w14:paraId="46ABDBA2"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34,2</w:t>
            </w:r>
          </w:p>
        </w:tc>
        <w:tc>
          <w:tcPr>
            <w:tcW w:w="485" w:type="pct"/>
            <w:tcBorders>
              <w:top w:val="nil"/>
              <w:left w:val="nil"/>
              <w:bottom w:val="nil"/>
            </w:tcBorders>
            <w:noWrap/>
            <w:vAlign w:val="center"/>
            <w:hideMark/>
          </w:tcPr>
          <w:p w14:paraId="4A15A0D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35,1</w:t>
            </w:r>
          </w:p>
        </w:tc>
        <w:tc>
          <w:tcPr>
            <w:tcW w:w="411" w:type="pct"/>
            <w:tcBorders>
              <w:top w:val="nil"/>
              <w:left w:val="nil"/>
              <w:bottom w:val="nil"/>
              <w:right w:val="single" w:sz="4" w:space="0" w:color="auto"/>
            </w:tcBorders>
            <w:noWrap/>
            <w:vAlign w:val="center"/>
            <w:hideMark/>
          </w:tcPr>
          <w:p w14:paraId="3AC8C494"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0,9</w:t>
            </w:r>
          </w:p>
        </w:tc>
      </w:tr>
      <w:tr w:rsidR="006C3577" w:rsidRPr="0021264E" w14:paraId="494D2FA2" w14:textId="77777777" w:rsidTr="006C3577">
        <w:trPr>
          <w:trHeight w:val="280"/>
        </w:trPr>
        <w:tc>
          <w:tcPr>
            <w:tcW w:w="765" w:type="pct"/>
            <w:tcBorders>
              <w:top w:val="nil"/>
              <w:left w:val="single" w:sz="4" w:space="0" w:color="auto"/>
              <w:bottom w:val="nil"/>
              <w:right w:val="nil"/>
            </w:tcBorders>
            <w:noWrap/>
            <w:vAlign w:val="center"/>
            <w:hideMark/>
          </w:tcPr>
          <w:p w14:paraId="47B8E9E9"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Portugalsko</w:t>
            </w:r>
          </w:p>
        </w:tc>
        <w:tc>
          <w:tcPr>
            <w:tcW w:w="412" w:type="pct"/>
            <w:tcBorders>
              <w:top w:val="nil"/>
              <w:left w:val="nil"/>
              <w:bottom w:val="nil"/>
              <w:right w:val="nil"/>
            </w:tcBorders>
            <w:noWrap/>
            <w:vAlign w:val="center"/>
            <w:hideMark/>
          </w:tcPr>
          <w:p w14:paraId="1BF2622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1,1</w:t>
            </w:r>
          </w:p>
        </w:tc>
        <w:tc>
          <w:tcPr>
            <w:tcW w:w="412" w:type="pct"/>
            <w:tcBorders>
              <w:top w:val="nil"/>
              <w:left w:val="nil"/>
              <w:bottom w:val="nil"/>
              <w:right w:val="nil"/>
            </w:tcBorders>
            <w:noWrap/>
            <w:vAlign w:val="center"/>
            <w:hideMark/>
          </w:tcPr>
          <w:p w14:paraId="3CABD86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0,6</w:t>
            </w:r>
          </w:p>
        </w:tc>
        <w:tc>
          <w:tcPr>
            <w:tcW w:w="412" w:type="pct"/>
            <w:tcBorders>
              <w:top w:val="nil"/>
              <w:left w:val="nil"/>
              <w:bottom w:val="nil"/>
              <w:right w:val="nil"/>
            </w:tcBorders>
            <w:noWrap/>
            <w:vAlign w:val="center"/>
            <w:hideMark/>
          </w:tcPr>
          <w:p w14:paraId="279961F3"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0,7</w:t>
            </w:r>
          </w:p>
        </w:tc>
        <w:tc>
          <w:tcPr>
            <w:tcW w:w="411" w:type="pct"/>
            <w:tcBorders>
              <w:top w:val="nil"/>
              <w:left w:val="nil"/>
              <w:bottom w:val="nil"/>
              <w:right w:val="nil"/>
            </w:tcBorders>
            <w:noWrap/>
            <w:vAlign w:val="center"/>
            <w:hideMark/>
          </w:tcPr>
          <w:p w14:paraId="424F772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0,1</w:t>
            </w:r>
          </w:p>
        </w:tc>
        <w:tc>
          <w:tcPr>
            <w:tcW w:w="721" w:type="pct"/>
            <w:tcBorders>
              <w:top w:val="nil"/>
              <w:left w:val="single" w:sz="4" w:space="0" w:color="auto"/>
              <w:bottom w:val="nil"/>
              <w:right w:val="nil"/>
            </w:tcBorders>
            <w:noWrap/>
            <w:vAlign w:val="center"/>
            <w:hideMark/>
          </w:tcPr>
          <w:p w14:paraId="7D9ADEC4"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Írsko</w:t>
            </w:r>
          </w:p>
        </w:tc>
        <w:tc>
          <w:tcPr>
            <w:tcW w:w="485" w:type="pct"/>
            <w:tcBorders>
              <w:top w:val="nil"/>
              <w:left w:val="nil"/>
              <w:bottom w:val="nil"/>
              <w:right w:val="nil"/>
            </w:tcBorders>
            <w:noWrap/>
            <w:vAlign w:val="center"/>
            <w:hideMark/>
          </w:tcPr>
          <w:p w14:paraId="39610FF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41,8</w:t>
            </w:r>
          </w:p>
        </w:tc>
        <w:tc>
          <w:tcPr>
            <w:tcW w:w="485" w:type="pct"/>
            <w:tcBorders>
              <w:top w:val="nil"/>
              <w:left w:val="nil"/>
              <w:bottom w:val="nil"/>
              <w:right w:val="nil"/>
            </w:tcBorders>
            <w:noWrap/>
            <w:vAlign w:val="center"/>
            <w:hideMark/>
          </w:tcPr>
          <w:p w14:paraId="5BAE8637"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38,3</w:t>
            </w:r>
          </w:p>
        </w:tc>
        <w:tc>
          <w:tcPr>
            <w:tcW w:w="485" w:type="pct"/>
            <w:tcBorders>
              <w:top w:val="nil"/>
              <w:left w:val="nil"/>
              <w:bottom w:val="nil"/>
            </w:tcBorders>
            <w:noWrap/>
            <w:vAlign w:val="center"/>
            <w:hideMark/>
          </w:tcPr>
          <w:p w14:paraId="515FE61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32,9</w:t>
            </w:r>
          </w:p>
        </w:tc>
        <w:tc>
          <w:tcPr>
            <w:tcW w:w="411" w:type="pct"/>
            <w:tcBorders>
              <w:top w:val="nil"/>
              <w:left w:val="nil"/>
              <w:bottom w:val="nil"/>
              <w:right w:val="single" w:sz="4" w:space="0" w:color="auto"/>
            </w:tcBorders>
            <w:noWrap/>
            <w:vAlign w:val="center"/>
            <w:hideMark/>
          </w:tcPr>
          <w:p w14:paraId="670BC33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-5,4</w:t>
            </w:r>
          </w:p>
        </w:tc>
      </w:tr>
      <w:tr w:rsidR="006C3577" w:rsidRPr="0021264E" w14:paraId="0E537FE1" w14:textId="77777777" w:rsidTr="006C3577">
        <w:trPr>
          <w:trHeight w:val="280"/>
        </w:trPr>
        <w:tc>
          <w:tcPr>
            <w:tcW w:w="765" w:type="pct"/>
            <w:tcBorders>
              <w:top w:val="nil"/>
              <w:left w:val="single" w:sz="4" w:space="0" w:color="auto"/>
              <w:bottom w:val="nil"/>
              <w:right w:val="nil"/>
            </w:tcBorders>
            <w:noWrap/>
            <w:vAlign w:val="center"/>
            <w:hideMark/>
          </w:tcPr>
          <w:p w14:paraId="31293018"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Grécko</w:t>
            </w:r>
          </w:p>
        </w:tc>
        <w:tc>
          <w:tcPr>
            <w:tcW w:w="412" w:type="pct"/>
            <w:tcBorders>
              <w:top w:val="nil"/>
              <w:left w:val="nil"/>
              <w:bottom w:val="nil"/>
              <w:right w:val="nil"/>
            </w:tcBorders>
            <w:noWrap/>
            <w:vAlign w:val="center"/>
            <w:hideMark/>
          </w:tcPr>
          <w:p w14:paraId="1426E52F"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-1,4</w:t>
            </w:r>
          </w:p>
        </w:tc>
        <w:tc>
          <w:tcPr>
            <w:tcW w:w="412" w:type="pct"/>
            <w:tcBorders>
              <w:top w:val="nil"/>
              <w:left w:val="nil"/>
              <w:bottom w:val="nil"/>
              <w:right w:val="nil"/>
            </w:tcBorders>
            <w:noWrap/>
            <w:vAlign w:val="center"/>
            <w:hideMark/>
          </w:tcPr>
          <w:p w14:paraId="3332F519"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1,3</w:t>
            </w:r>
          </w:p>
        </w:tc>
        <w:tc>
          <w:tcPr>
            <w:tcW w:w="412" w:type="pct"/>
            <w:tcBorders>
              <w:top w:val="nil"/>
              <w:left w:val="nil"/>
              <w:bottom w:val="nil"/>
              <w:right w:val="nil"/>
            </w:tcBorders>
            <w:noWrap/>
            <w:vAlign w:val="center"/>
            <w:hideMark/>
          </w:tcPr>
          <w:p w14:paraId="44F17C53"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1,7</w:t>
            </w:r>
          </w:p>
        </w:tc>
        <w:tc>
          <w:tcPr>
            <w:tcW w:w="411" w:type="pct"/>
            <w:tcBorders>
              <w:top w:val="nil"/>
              <w:left w:val="nil"/>
              <w:bottom w:val="nil"/>
              <w:right w:val="nil"/>
            </w:tcBorders>
            <w:noWrap/>
            <w:vAlign w:val="center"/>
            <w:hideMark/>
          </w:tcPr>
          <w:p w14:paraId="7F3B577D"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0,4</w:t>
            </w:r>
          </w:p>
        </w:tc>
        <w:tc>
          <w:tcPr>
            <w:tcW w:w="721" w:type="pct"/>
            <w:tcBorders>
              <w:top w:val="nil"/>
              <w:left w:val="single" w:sz="4" w:space="0" w:color="auto"/>
              <w:bottom w:val="nil"/>
              <w:right w:val="nil"/>
            </w:tcBorders>
            <w:noWrap/>
            <w:vAlign w:val="center"/>
            <w:hideMark/>
          </w:tcPr>
          <w:p w14:paraId="2298405C"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Bulharsko</w:t>
            </w:r>
          </w:p>
        </w:tc>
        <w:tc>
          <w:tcPr>
            <w:tcW w:w="485" w:type="pct"/>
            <w:tcBorders>
              <w:top w:val="nil"/>
              <w:left w:val="nil"/>
              <w:bottom w:val="nil"/>
              <w:right w:val="nil"/>
            </w:tcBorders>
            <w:noWrap/>
            <w:vAlign w:val="center"/>
            <w:hideMark/>
          </w:tcPr>
          <w:p w14:paraId="45E9DD44"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22,9</w:t>
            </w:r>
          </w:p>
        </w:tc>
        <w:tc>
          <w:tcPr>
            <w:tcW w:w="485" w:type="pct"/>
            <w:tcBorders>
              <w:top w:val="nil"/>
              <w:left w:val="nil"/>
              <w:bottom w:val="nil"/>
              <w:right w:val="nil"/>
            </w:tcBorders>
            <w:noWrap/>
            <w:vAlign w:val="center"/>
            <w:hideMark/>
          </w:tcPr>
          <w:p w14:paraId="37DA5D5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23,8</w:t>
            </w:r>
          </w:p>
        </w:tc>
        <w:tc>
          <w:tcPr>
            <w:tcW w:w="485" w:type="pct"/>
            <w:tcBorders>
              <w:top w:val="nil"/>
              <w:left w:val="nil"/>
              <w:bottom w:val="nil"/>
            </w:tcBorders>
            <w:noWrap/>
            <w:vAlign w:val="center"/>
            <w:hideMark/>
          </w:tcPr>
          <w:p w14:paraId="4F3C5C3A"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29,9</w:t>
            </w:r>
          </w:p>
        </w:tc>
        <w:tc>
          <w:tcPr>
            <w:tcW w:w="411" w:type="pct"/>
            <w:tcBorders>
              <w:top w:val="nil"/>
              <w:left w:val="nil"/>
              <w:bottom w:val="nil"/>
              <w:right w:val="single" w:sz="4" w:space="0" w:color="auto"/>
            </w:tcBorders>
            <w:noWrap/>
            <w:vAlign w:val="center"/>
            <w:hideMark/>
          </w:tcPr>
          <w:p w14:paraId="59AAF3B0"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6,1</w:t>
            </w:r>
          </w:p>
        </w:tc>
      </w:tr>
      <w:tr w:rsidR="006C3577" w:rsidRPr="0021264E" w14:paraId="0609F562" w14:textId="77777777" w:rsidTr="006C3577">
        <w:trPr>
          <w:trHeight w:val="280"/>
        </w:trPr>
        <w:tc>
          <w:tcPr>
            <w:tcW w:w="765" w:type="pct"/>
            <w:tcBorders>
              <w:top w:val="nil"/>
              <w:left w:val="single" w:sz="4" w:space="0" w:color="auto"/>
              <w:bottom w:val="nil"/>
              <w:right w:val="nil"/>
            </w:tcBorders>
            <w:noWrap/>
            <w:vAlign w:val="center"/>
            <w:hideMark/>
          </w:tcPr>
          <w:p w14:paraId="345DA585"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Írsko</w:t>
            </w:r>
          </w:p>
        </w:tc>
        <w:tc>
          <w:tcPr>
            <w:tcW w:w="412" w:type="pct"/>
            <w:tcBorders>
              <w:top w:val="nil"/>
              <w:left w:val="nil"/>
              <w:bottom w:val="nil"/>
              <w:right w:val="nil"/>
            </w:tcBorders>
            <w:noWrap/>
            <w:vAlign w:val="center"/>
            <w:hideMark/>
          </w:tcPr>
          <w:p w14:paraId="07A39D70"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1,4</w:t>
            </w:r>
          </w:p>
        </w:tc>
        <w:tc>
          <w:tcPr>
            <w:tcW w:w="412" w:type="pct"/>
            <w:tcBorders>
              <w:top w:val="nil"/>
              <w:left w:val="nil"/>
              <w:bottom w:val="nil"/>
              <w:right w:val="nil"/>
            </w:tcBorders>
            <w:noWrap/>
            <w:vAlign w:val="center"/>
            <w:hideMark/>
          </w:tcPr>
          <w:p w14:paraId="2ADB750E"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4,1</w:t>
            </w:r>
          </w:p>
        </w:tc>
        <w:tc>
          <w:tcPr>
            <w:tcW w:w="412" w:type="pct"/>
            <w:tcBorders>
              <w:top w:val="nil"/>
              <w:left w:val="nil"/>
              <w:bottom w:val="nil"/>
              <w:right w:val="nil"/>
            </w:tcBorders>
            <w:noWrap/>
            <w:vAlign w:val="center"/>
            <w:hideMark/>
          </w:tcPr>
          <w:p w14:paraId="402669BC"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1,8</w:t>
            </w:r>
          </w:p>
        </w:tc>
        <w:tc>
          <w:tcPr>
            <w:tcW w:w="411" w:type="pct"/>
            <w:tcBorders>
              <w:top w:val="nil"/>
              <w:left w:val="nil"/>
              <w:bottom w:val="nil"/>
              <w:right w:val="nil"/>
            </w:tcBorders>
            <w:noWrap/>
            <w:vAlign w:val="center"/>
            <w:hideMark/>
          </w:tcPr>
          <w:p w14:paraId="1CB32E5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-2,3</w:t>
            </w:r>
          </w:p>
        </w:tc>
        <w:tc>
          <w:tcPr>
            <w:tcW w:w="721" w:type="pct"/>
            <w:tcBorders>
              <w:top w:val="nil"/>
              <w:left w:val="single" w:sz="4" w:space="0" w:color="auto"/>
              <w:bottom w:val="nil"/>
              <w:right w:val="nil"/>
            </w:tcBorders>
            <w:noWrap/>
            <w:vAlign w:val="center"/>
            <w:hideMark/>
          </w:tcPr>
          <w:p w14:paraId="210649D4"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Dánsko</w:t>
            </w:r>
          </w:p>
        </w:tc>
        <w:tc>
          <w:tcPr>
            <w:tcW w:w="485" w:type="pct"/>
            <w:tcBorders>
              <w:top w:val="nil"/>
              <w:left w:val="nil"/>
              <w:bottom w:val="nil"/>
              <w:right w:val="nil"/>
            </w:tcBorders>
            <w:noWrap/>
            <w:vAlign w:val="center"/>
            <w:hideMark/>
          </w:tcPr>
          <w:p w14:paraId="094B0BA8"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33,0</w:t>
            </w:r>
          </w:p>
        </w:tc>
        <w:tc>
          <w:tcPr>
            <w:tcW w:w="485" w:type="pct"/>
            <w:tcBorders>
              <w:top w:val="nil"/>
              <w:left w:val="nil"/>
              <w:bottom w:val="nil"/>
              <w:right w:val="nil"/>
            </w:tcBorders>
            <w:noWrap/>
            <w:vAlign w:val="center"/>
            <w:hideMark/>
          </w:tcPr>
          <w:p w14:paraId="1F0AE401"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30,5</w:t>
            </w:r>
          </w:p>
        </w:tc>
        <w:tc>
          <w:tcPr>
            <w:tcW w:w="485" w:type="pct"/>
            <w:tcBorders>
              <w:top w:val="nil"/>
              <w:left w:val="nil"/>
              <w:bottom w:val="nil"/>
            </w:tcBorders>
            <w:noWrap/>
            <w:vAlign w:val="center"/>
            <w:hideMark/>
          </w:tcPr>
          <w:p w14:paraId="7FD9C823"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27,9</w:t>
            </w:r>
          </w:p>
        </w:tc>
        <w:tc>
          <w:tcPr>
            <w:tcW w:w="411" w:type="pct"/>
            <w:tcBorders>
              <w:top w:val="nil"/>
              <w:left w:val="nil"/>
              <w:bottom w:val="nil"/>
              <w:right w:val="single" w:sz="4" w:space="0" w:color="auto"/>
            </w:tcBorders>
            <w:noWrap/>
            <w:vAlign w:val="center"/>
            <w:hideMark/>
          </w:tcPr>
          <w:p w14:paraId="60DFD562"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-2,6</w:t>
            </w:r>
          </w:p>
        </w:tc>
      </w:tr>
      <w:tr w:rsidR="006C3577" w:rsidRPr="0021264E" w14:paraId="7B97E900" w14:textId="77777777" w:rsidTr="006C3577">
        <w:trPr>
          <w:trHeight w:val="280"/>
        </w:trPr>
        <w:tc>
          <w:tcPr>
            <w:tcW w:w="765" w:type="pct"/>
            <w:tcBorders>
              <w:top w:val="nil"/>
              <w:left w:val="single" w:sz="4" w:space="0" w:color="auto"/>
              <w:bottom w:val="nil"/>
              <w:right w:val="nil"/>
            </w:tcBorders>
            <w:noWrap/>
            <w:vAlign w:val="center"/>
            <w:hideMark/>
          </w:tcPr>
          <w:p w14:paraId="47176FD7"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Dánsko</w:t>
            </w:r>
          </w:p>
        </w:tc>
        <w:tc>
          <w:tcPr>
            <w:tcW w:w="412" w:type="pct"/>
            <w:tcBorders>
              <w:top w:val="nil"/>
              <w:left w:val="nil"/>
              <w:bottom w:val="nil"/>
              <w:right w:val="nil"/>
            </w:tcBorders>
            <w:noWrap/>
            <w:vAlign w:val="center"/>
            <w:hideMark/>
          </w:tcPr>
          <w:p w14:paraId="692A70A2"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3,4</w:t>
            </w:r>
          </w:p>
        </w:tc>
        <w:tc>
          <w:tcPr>
            <w:tcW w:w="412" w:type="pct"/>
            <w:tcBorders>
              <w:top w:val="nil"/>
              <w:left w:val="nil"/>
              <w:bottom w:val="nil"/>
              <w:right w:val="nil"/>
            </w:tcBorders>
            <w:noWrap/>
            <w:vAlign w:val="center"/>
            <w:hideMark/>
          </w:tcPr>
          <w:p w14:paraId="1C2FD56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4,5</w:t>
            </w:r>
          </w:p>
        </w:tc>
        <w:tc>
          <w:tcPr>
            <w:tcW w:w="412" w:type="pct"/>
            <w:tcBorders>
              <w:top w:val="nil"/>
              <w:left w:val="nil"/>
              <w:bottom w:val="nil"/>
              <w:right w:val="nil"/>
            </w:tcBorders>
            <w:noWrap/>
            <w:vAlign w:val="center"/>
            <w:hideMark/>
          </w:tcPr>
          <w:p w14:paraId="721AFFD3"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2,9</w:t>
            </w:r>
          </w:p>
        </w:tc>
        <w:tc>
          <w:tcPr>
            <w:tcW w:w="411" w:type="pct"/>
            <w:tcBorders>
              <w:top w:val="nil"/>
              <w:left w:val="nil"/>
              <w:bottom w:val="nil"/>
              <w:right w:val="nil"/>
            </w:tcBorders>
            <w:noWrap/>
            <w:vAlign w:val="center"/>
            <w:hideMark/>
          </w:tcPr>
          <w:p w14:paraId="10D523F6"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-1,6</w:t>
            </w:r>
          </w:p>
        </w:tc>
        <w:tc>
          <w:tcPr>
            <w:tcW w:w="721" w:type="pct"/>
            <w:tcBorders>
              <w:top w:val="nil"/>
              <w:left w:val="single" w:sz="4" w:space="0" w:color="auto"/>
              <w:bottom w:val="nil"/>
              <w:right w:val="nil"/>
            </w:tcBorders>
            <w:noWrap/>
            <w:vAlign w:val="center"/>
            <w:hideMark/>
          </w:tcPr>
          <w:p w14:paraId="5BD153D5"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Luxembursko</w:t>
            </w:r>
          </w:p>
        </w:tc>
        <w:tc>
          <w:tcPr>
            <w:tcW w:w="485" w:type="pct"/>
            <w:tcBorders>
              <w:top w:val="nil"/>
              <w:left w:val="nil"/>
              <w:bottom w:val="nil"/>
              <w:right w:val="nil"/>
            </w:tcBorders>
            <w:noWrap/>
            <w:vAlign w:val="center"/>
            <w:hideMark/>
          </w:tcPr>
          <w:p w14:paraId="0889E674"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24,7</w:t>
            </w:r>
          </w:p>
        </w:tc>
        <w:tc>
          <w:tcPr>
            <w:tcW w:w="485" w:type="pct"/>
            <w:tcBorders>
              <w:top w:val="nil"/>
              <w:left w:val="nil"/>
              <w:bottom w:val="nil"/>
              <w:right w:val="nil"/>
            </w:tcBorders>
            <w:noWrap/>
            <w:vAlign w:val="center"/>
            <w:hideMark/>
          </w:tcPr>
          <w:p w14:paraId="2D5A9BFA"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26,3</w:t>
            </w:r>
          </w:p>
        </w:tc>
        <w:tc>
          <w:tcPr>
            <w:tcW w:w="485" w:type="pct"/>
            <w:tcBorders>
              <w:top w:val="nil"/>
              <w:left w:val="nil"/>
            </w:tcBorders>
            <w:noWrap/>
            <w:vAlign w:val="center"/>
            <w:hideMark/>
          </w:tcPr>
          <w:p w14:paraId="081E8344"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26,5</w:t>
            </w:r>
          </w:p>
        </w:tc>
        <w:tc>
          <w:tcPr>
            <w:tcW w:w="411" w:type="pct"/>
            <w:tcBorders>
              <w:top w:val="nil"/>
              <w:left w:val="nil"/>
              <w:right w:val="single" w:sz="4" w:space="0" w:color="auto"/>
            </w:tcBorders>
            <w:noWrap/>
            <w:vAlign w:val="center"/>
            <w:hideMark/>
          </w:tcPr>
          <w:p w14:paraId="159E791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0,2</w:t>
            </w:r>
          </w:p>
        </w:tc>
      </w:tr>
      <w:tr w:rsidR="006C3577" w:rsidRPr="0021264E" w14:paraId="132E83A1" w14:textId="77777777" w:rsidTr="006C3577">
        <w:trPr>
          <w:trHeight w:val="280"/>
        </w:trPr>
        <w:tc>
          <w:tcPr>
            <w:tcW w:w="765" w:type="pct"/>
            <w:tcBorders>
              <w:top w:val="nil"/>
              <w:left w:val="single" w:sz="4" w:space="0" w:color="auto"/>
              <w:bottom w:val="single" w:sz="4" w:space="0" w:color="auto"/>
              <w:right w:val="nil"/>
            </w:tcBorders>
            <w:noWrap/>
            <w:vAlign w:val="center"/>
            <w:hideMark/>
          </w:tcPr>
          <w:p w14:paraId="0DD2A50E"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Cyprus</w:t>
            </w:r>
          </w:p>
        </w:tc>
        <w:tc>
          <w:tcPr>
            <w:tcW w:w="412" w:type="pct"/>
            <w:tcBorders>
              <w:top w:val="nil"/>
              <w:left w:val="nil"/>
              <w:bottom w:val="single" w:sz="4" w:space="0" w:color="auto"/>
              <w:right w:val="nil"/>
            </w:tcBorders>
            <w:noWrap/>
            <w:vAlign w:val="center"/>
            <w:hideMark/>
          </w:tcPr>
          <w:p w14:paraId="6512CDE5"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1,7</w:t>
            </w:r>
          </w:p>
        </w:tc>
        <w:tc>
          <w:tcPr>
            <w:tcW w:w="412" w:type="pct"/>
            <w:tcBorders>
              <w:top w:val="nil"/>
              <w:left w:val="nil"/>
              <w:bottom w:val="single" w:sz="4" w:space="0" w:color="auto"/>
              <w:right w:val="nil"/>
            </w:tcBorders>
            <w:noWrap/>
            <w:vAlign w:val="center"/>
            <w:hideMark/>
          </w:tcPr>
          <w:p w14:paraId="1D71B2CB"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4,1</w:t>
            </w:r>
          </w:p>
        </w:tc>
        <w:tc>
          <w:tcPr>
            <w:tcW w:w="412" w:type="pct"/>
            <w:tcBorders>
              <w:top w:val="nil"/>
              <w:left w:val="nil"/>
              <w:bottom w:val="single" w:sz="4" w:space="0" w:color="auto"/>
              <w:right w:val="nil"/>
            </w:tcBorders>
            <w:noWrap/>
            <w:vAlign w:val="center"/>
            <w:hideMark/>
          </w:tcPr>
          <w:p w14:paraId="2DE4DF1A" w14:textId="77777777" w:rsidR="006C3577" w:rsidRPr="0021264E" w:rsidRDefault="006C3577" w:rsidP="006C3577">
            <w:pPr>
              <w:spacing w:line="240" w:lineRule="auto"/>
              <w:ind w:firstLineChars="100" w:firstLine="180"/>
              <w:jc w:val="right"/>
              <w:rPr>
                <w:rFonts w:eastAsia="Times New Roman" w:cs="Times New Roman"/>
                <w:color w:val="000000"/>
                <w:sz w:val="18"/>
                <w:szCs w:val="18"/>
                <w:lang w:eastAsia="sk-SK"/>
              </w:rPr>
            </w:pPr>
            <w:r w:rsidRPr="0021264E">
              <w:rPr>
                <w:rFonts w:eastAsia="Times New Roman" w:cs="Times New Roman"/>
                <w:color w:val="000000"/>
                <w:sz w:val="18"/>
                <w:szCs w:val="18"/>
                <w:lang w:eastAsia="sk-SK"/>
              </w:rPr>
              <w:t>3,4</w:t>
            </w:r>
          </w:p>
        </w:tc>
        <w:tc>
          <w:tcPr>
            <w:tcW w:w="411" w:type="pct"/>
            <w:tcBorders>
              <w:top w:val="nil"/>
              <w:left w:val="nil"/>
              <w:bottom w:val="single" w:sz="4" w:space="0" w:color="auto"/>
              <w:right w:val="single" w:sz="4" w:space="0" w:color="auto"/>
            </w:tcBorders>
            <w:noWrap/>
            <w:vAlign w:val="center"/>
            <w:hideMark/>
          </w:tcPr>
          <w:p w14:paraId="404FBB9E"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-0,7</w:t>
            </w:r>
          </w:p>
        </w:tc>
        <w:tc>
          <w:tcPr>
            <w:tcW w:w="721" w:type="pct"/>
            <w:tcBorders>
              <w:top w:val="nil"/>
              <w:left w:val="nil"/>
              <w:bottom w:val="single" w:sz="4" w:space="0" w:color="auto"/>
              <w:right w:val="nil"/>
            </w:tcBorders>
            <w:noWrap/>
            <w:vAlign w:val="center"/>
            <w:hideMark/>
          </w:tcPr>
          <w:p w14:paraId="4DDD67B3" w14:textId="77777777" w:rsidR="006C3577" w:rsidRPr="0021264E" w:rsidRDefault="006C3577" w:rsidP="006C3577">
            <w:pPr>
              <w:spacing w:line="240" w:lineRule="auto"/>
              <w:rPr>
                <w:rFonts w:eastAsia="Times New Roman" w:cs="Times New Roman"/>
                <w:sz w:val="18"/>
                <w:szCs w:val="18"/>
                <w:lang w:eastAsia="sk-SK"/>
              </w:rPr>
            </w:pPr>
            <w:r w:rsidRPr="0021264E">
              <w:rPr>
                <w:rFonts w:eastAsia="Times New Roman" w:cs="Times New Roman"/>
                <w:sz w:val="18"/>
                <w:szCs w:val="18"/>
                <w:lang w:eastAsia="sk-SK"/>
              </w:rPr>
              <w:t>Estónsko</w:t>
            </w:r>
          </w:p>
        </w:tc>
        <w:tc>
          <w:tcPr>
            <w:tcW w:w="485" w:type="pct"/>
            <w:tcBorders>
              <w:top w:val="nil"/>
              <w:left w:val="nil"/>
              <w:bottom w:val="single" w:sz="4" w:space="0" w:color="auto"/>
              <w:right w:val="nil"/>
            </w:tcBorders>
            <w:noWrap/>
            <w:vAlign w:val="center"/>
            <w:hideMark/>
          </w:tcPr>
          <w:p w14:paraId="41E02CEC"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20,2</w:t>
            </w:r>
          </w:p>
        </w:tc>
        <w:tc>
          <w:tcPr>
            <w:tcW w:w="485" w:type="pct"/>
            <w:tcBorders>
              <w:top w:val="nil"/>
              <w:left w:val="nil"/>
              <w:bottom w:val="single" w:sz="4" w:space="0" w:color="auto"/>
              <w:right w:val="nil"/>
            </w:tcBorders>
            <w:noWrap/>
            <w:vAlign w:val="center"/>
            <w:hideMark/>
          </w:tcPr>
          <w:p w14:paraId="50282CFB"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23,5</w:t>
            </w:r>
          </w:p>
        </w:tc>
        <w:tc>
          <w:tcPr>
            <w:tcW w:w="485" w:type="pct"/>
            <w:tcBorders>
              <w:top w:val="nil"/>
              <w:left w:val="nil"/>
              <w:bottom w:val="single" w:sz="4" w:space="0" w:color="auto"/>
            </w:tcBorders>
            <w:noWrap/>
            <w:vAlign w:val="center"/>
            <w:hideMark/>
          </w:tcPr>
          <w:p w14:paraId="30526B75"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24,1</w:t>
            </w:r>
          </w:p>
        </w:tc>
        <w:tc>
          <w:tcPr>
            <w:tcW w:w="411" w:type="pct"/>
            <w:tcBorders>
              <w:top w:val="nil"/>
              <w:left w:val="nil"/>
              <w:bottom w:val="single" w:sz="4" w:space="0" w:color="auto"/>
              <w:right w:val="single" w:sz="4" w:space="0" w:color="auto"/>
            </w:tcBorders>
            <w:noWrap/>
            <w:vAlign w:val="center"/>
            <w:hideMark/>
          </w:tcPr>
          <w:p w14:paraId="64F12BE9" w14:textId="77777777" w:rsidR="006C3577" w:rsidRPr="0021264E" w:rsidRDefault="006C3577" w:rsidP="006C3577">
            <w:pPr>
              <w:spacing w:line="240" w:lineRule="auto"/>
              <w:ind w:firstLineChars="100" w:firstLine="180"/>
              <w:jc w:val="right"/>
              <w:rPr>
                <w:rFonts w:eastAsia="Times New Roman" w:cs="Times New Roman"/>
                <w:sz w:val="18"/>
                <w:szCs w:val="18"/>
                <w:lang w:eastAsia="sk-SK"/>
              </w:rPr>
            </w:pPr>
            <w:r w:rsidRPr="0021264E">
              <w:rPr>
                <w:rFonts w:eastAsia="Times New Roman" w:cs="Times New Roman"/>
                <w:sz w:val="18"/>
                <w:szCs w:val="18"/>
                <w:lang w:eastAsia="sk-SK"/>
              </w:rPr>
              <w:t>0,6</w:t>
            </w:r>
          </w:p>
        </w:tc>
      </w:tr>
    </w:tbl>
    <w:p w14:paraId="5BB10B60" w14:textId="0EB36A9A" w:rsidR="00387C63" w:rsidRPr="0021264E" w:rsidRDefault="00387C63" w:rsidP="00387C63">
      <w:pPr>
        <w:pStyle w:val="Odsekzoznamu"/>
        <w:tabs>
          <w:tab w:val="right" w:pos="9070"/>
        </w:tabs>
        <w:ind w:left="0"/>
        <w:jc w:val="both"/>
        <w:rPr>
          <w:sz w:val="18"/>
          <w:szCs w:val="18"/>
        </w:rPr>
      </w:pPr>
      <w:r w:rsidRPr="0021264E">
        <w:rPr>
          <w:rFonts w:ascii="Times New Roman" w:eastAsia="Times New Roman" w:hAnsi="Times New Roman"/>
          <w:iCs/>
          <w:color w:val="000000"/>
          <w:sz w:val="18"/>
          <w:szCs w:val="18"/>
          <w:vertAlign w:val="superscript"/>
          <w:lang w:eastAsia="sk-SK"/>
        </w:rPr>
        <w:t>1)</w:t>
      </w:r>
      <w:r w:rsidR="0021264E">
        <w:rPr>
          <w:rFonts w:ascii="Times New Roman" w:eastAsia="Times New Roman" w:hAnsi="Times New Roman"/>
          <w:iCs/>
          <w:color w:val="000000"/>
          <w:sz w:val="18"/>
          <w:szCs w:val="18"/>
          <w:vertAlign w:val="superscript"/>
          <w:lang w:eastAsia="sk-SK"/>
        </w:rPr>
        <w:t xml:space="preserve"> </w:t>
      </w:r>
      <w:r w:rsidR="009A05C7" w:rsidRPr="0021264E">
        <w:rPr>
          <w:rFonts w:ascii="Times New Roman" w:eastAsia="Times New Roman" w:hAnsi="Times New Roman"/>
          <w:iCs/>
          <w:color w:val="000000"/>
          <w:sz w:val="18"/>
          <w:szCs w:val="18"/>
          <w:lang w:eastAsia="sk-SK"/>
        </w:rPr>
        <w:t>Predchádzajúce obdobia sú zrevidované podľa aktuálneho press release (22.4.202</w:t>
      </w:r>
      <w:r w:rsidR="00D569E5" w:rsidRPr="0021264E">
        <w:rPr>
          <w:rFonts w:ascii="Times New Roman" w:eastAsia="Times New Roman" w:hAnsi="Times New Roman"/>
          <w:iCs/>
          <w:color w:val="000000"/>
          <w:sz w:val="18"/>
          <w:szCs w:val="18"/>
          <w:lang w:eastAsia="sk-SK"/>
        </w:rPr>
        <w:t>6</w:t>
      </w:r>
      <w:r w:rsidR="009A05C7" w:rsidRPr="0021264E">
        <w:rPr>
          <w:rFonts w:ascii="Times New Roman" w:eastAsia="Times New Roman" w:hAnsi="Times New Roman"/>
          <w:iCs/>
          <w:color w:val="000000"/>
          <w:sz w:val="18"/>
          <w:szCs w:val="18"/>
          <w:lang w:eastAsia="sk-SK"/>
        </w:rPr>
        <w:t xml:space="preserve">). Údaje sú </w:t>
      </w:r>
      <w:r w:rsidRPr="0021264E">
        <w:rPr>
          <w:rFonts w:ascii="Times New Roman" w:eastAsia="Times New Roman" w:hAnsi="Times New Roman"/>
          <w:iCs/>
          <w:color w:val="000000"/>
          <w:sz w:val="18"/>
          <w:szCs w:val="18"/>
          <w:lang w:eastAsia="sk-SK"/>
        </w:rPr>
        <w:tab/>
        <w:t>Zdroj: Eurostat</w:t>
      </w:r>
    </w:p>
    <w:p w14:paraId="7A58C51A" w14:textId="6570751F" w:rsidR="009A05C7" w:rsidRPr="0021264E" w:rsidRDefault="009A05C7" w:rsidP="00387C63">
      <w:pPr>
        <w:pStyle w:val="Odsekzoznamu"/>
        <w:ind w:left="0"/>
        <w:jc w:val="both"/>
        <w:rPr>
          <w:rFonts w:ascii="Times New Roman" w:eastAsia="Times New Roman" w:hAnsi="Times New Roman"/>
          <w:iCs/>
          <w:color w:val="000000"/>
          <w:sz w:val="18"/>
          <w:szCs w:val="18"/>
          <w:lang w:eastAsia="sk-SK"/>
        </w:rPr>
      </w:pPr>
      <w:r w:rsidRPr="0021264E">
        <w:rPr>
          <w:rFonts w:ascii="Times New Roman" w:eastAsia="Times New Roman" w:hAnsi="Times New Roman"/>
          <w:iCs/>
          <w:color w:val="000000"/>
          <w:sz w:val="18"/>
          <w:szCs w:val="18"/>
          <w:lang w:eastAsia="sk-SK"/>
        </w:rPr>
        <w:t>usporiadané podľa poradia deficitu/dlhu v poslednom sledovanom období od najvyššieho (vzostupne).</w:t>
      </w:r>
    </w:p>
    <w:p w14:paraId="115FDB82" w14:textId="20AF6E9B" w:rsidR="002C6030" w:rsidRPr="0021264E" w:rsidRDefault="004D4C21" w:rsidP="00387C63">
      <w:pPr>
        <w:pStyle w:val="Odsekzoznamu"/>
        <w:ind w:left="0"/>
        <w:jc w:val="both"/>
        <w:rPr>
          <w:rFonts w:ascii="Times New Roman" w:eastAsia="Times New Roman" w:hAnsi="Times New Roman"/>
          <w:iCs/>
          <w:color w:val="000000"/>
          <w:sz w:val="18"/>
          <w:szCs w:val="18"/>
          <w:lang w:eastAsia="sk-SK"/>
        </w:rPr>
      </w:pPr>
      <w:r w:rsidRPr="0021264E">
        <w:rPr>
          <w:rFonts w:ascii="Times New Roman" w:hAnsi="Times New Roman"/>
          <w:sz w:val="18"/>
          <w:szCs w:val="18"/>
          <w:vertAlign w:val="superscript"/>
        </w:rPr>
        <w:t>2)</w:t>
      </w:r>
      <w:r w:rsidR="0021264E">
        <w:rPr>
          <w:rFonts w:ascii="Times New Roman" w:hAnsi="Times New Roman"/>
          <w:sz w:val="18"/>
          <w:szCs w:val="18"/>
          <w:vertAlign w:val="superscript"/>
        </w:rPr>
        <w:t xml:space="preserve"> </w:t>
      </w:r>
      <w:r w:rsidRPr="0021264E">
        <w:rPr>
          <w:rFonts w:ascii="Times New Roman" w:eastAsia="Times New Roman" w:hAnsi="Times New Roman"/>
          <w:iCs/>
          <w:color w:val="000000"/>
          <w:sz w:val="18"/>
          <w:szCs w:val="18"/>
          <w:lang w:eastAsia="sk-SK"/>
        </w:rPr>
        <w:t xml:space="preserve">Eurozóna (21) zahŕňa aj krajinu Bulharsko, ktorá je súčasťou Eurozóny od 1.1.2026. V tabuľke sú </w:t>
      </w:r>
    </w:p>
    <w:p w14:paraId="601594CE" w14:textId="2456FF53" w:rsidR="00F72725" w:rsidRPr="0050710A" w:rsidRDefault="004D4C21" w:rsidP="0021264E">
      <w:pPr>
        <w:pStyle w:val="Odsekzoznamu"/>
        <w:ind w:left="0"/>
        <w:jc w:val="both"/>
        <w:rPr>
          <w:szCs w:val="24"/>
          <w:highlight w:val="yellow"/>
        </w:rPr>
      </w:pPr>
      <w:r w:rsidRPr="0021264E">
        <w:rPr>
          <w:rFonts w:ascii="Times New Roman" w:eastAsia="Times New Roman" w:hAnsi="Times New Roman"/>
          <w:iCs/>
          <w:color w:val="000000"/>
          <w:sz w:val="18"/>
          <w:szCs w:val="18"/>
          <w:lang w:eastAsia="sk-SK"/>
        </w:rPr>
        <w:t>hodnoty uvedené prvýkrát pre porovnanie.</w:t>
      </w:r>
      <w:r w:rsidR="00F72725" w:rsidRPr="0050710A">
        <w:rPr>
          <w:szCs w:val="24"/>
          <w:highlight w:val="yellow"/>
        </w:rPr>
        <w:br w:type="page"/>
      </w:r>
    </w:p>
    <w:p w14:paraId="25C934C7" w14:textId="24986CE5" w:rsidR="008254BE" w:rsidRPr="00042F5E" w:rsidRDefault="008254BE" w:rsidP="008B1431">
      <w:pPr>
        <w:pStyle w:val="Nadpis1"/>
      </w:pPr>
      <w:bookmarkStart w:id="89" w:name="_Toc227758902"/>
      <w:r w:rsidRPr="00042F5E">
        <w:lastRenderedPageBreak/>
        <w:t>Hospodárenie štátneho rozpočtu na hotovostn</w:t>
      </w:r>
      <w:r w:rsidR="00476126" w:rsidRPr="00042F5E">
        <w:t>om</w:t>
      </w:r>
      <w:r w:rsidRPr="00042F5E">
        <w:t xml:space="preserve"> </w:t>
      </w:r>
      <w:r w:rsidR="00476126" w:rsidRPr="00042F5E">
        <w:t>princípe</w:t>
      </w:r>
      <w:bookmarkEnd w:id="37"/>
      <w:bookmarkEnd w:id="89"/>
    </w:p>
    <w:p w14:paraId="7E4D12F5" w14:textId="77777777" w:rsidR="00415273" w:rsidRPr="0050710A" w:rsidRDefault="00415273" w:rsidP="00532D85">
      <w:pPr>
        <w:spacing w:line="240" w:lineRule="auto"/>
        <w:jc w:val="both"/>
        <w:rPr>
          <w:szCs w:val="24"/>
          <w:highlight w:val="yellow"/>
        </w:rPr>
      </w:pPr>
    </w:p>
    <w:p w14:paraId="376703E4" w14:textId="77777777" w:rsidR="00BC6C68" w:rsidRDefault="00BC6C68" w:rsidP="00BC6C68">
      <w:pPr>
        <w:spacing w:line="240" w:lineRule="auto"/>
        <w:jc w:val="both"/>
        <w:rPr>
          <w:szCs w:val="24"/>
        </w:rPr>
      </w:pPr>
      <w:r w:rsidRPr="00F00311">
        <w:rPr>
          <w:szCs w:val="24"/>
        </w:rPr>
        <w:t>Štátny rozpočet je základnou súčasťou rozpočtu verejnej správy a zabezpečuje sa ním financovanie hlavných funkcií štátu v príslušnom rozpočtovom roku. Štátny rozpočet schvaľuje parlament zákonom o štátnom rozpočte, ktorým sa určuje najmä výška príjmov štátneho rozpočtu, limit výdavkov štátneho rozpočtu, maximálna výška rozpočtovaného schodku alebo minimálna výška rozpočtovaného prebytku štátne</w:t>
      </w:r>
      <w:r>
        <w:rPr>
          <w:szCs w:val="24"/>
        </w:rPr>
        <w:t>ho rozpočtu, ak nie sú príjmy a </w:t>
      </w:r>
      <w:r w:rsidRPr="00F00311">
        <w:rPr>
          <w:szCs w:val="24"/>
        </w:rPr>
        <w:t>výdavky vyrovnané.</w:t>
      </w:r>
    </w:p>
    <w:p w14:paraId="71E3E808" w14:textId="77777777" w:rsidR="00BC6C68" w:rsidRPr="00F00311" w:rsidRDefault="00BC6C68" w:rsidP="00BC6C68">
      <w:pPr>
        <w:spacing w:line="240" w:lineRule="auto"/>
        <w:jc w:val="both"/>
        <w:rPr>
          <w:szCs w:val="24"/>
        </w:rPr>
      </w:pPr>
    </w:p>
    <w:p w14:paraId="060D10BB" w14:textId="6B3B9759" w:rsidR="00BC6C68" w:rsidRPr="00F00311" w:rsidRDefault="00BC6C68" w:rsidP="00BC6C68">
      <w:pPr>
        <w:spacing w:line="240" w:lineRule="auto"/>
        <w:jc w:val="both"/>
        <w:rPr>
          <w:szCs w:val="24"/>
        </w:rPr>
      </w:pPr>
      <w:r w:rsidRPr="00F00311">
        <w:rPr>
          <w:szCs w:val="24"/>
        </w:rPr>
        <w:t xml:space="preserve">Plnenie </w:t>
      </w:r>
      <w:r>
        <w:rPr>
          <w:szCs w:val="24"/>
        </w:rPr>
        <w:t xml:space="preserve">hotovostných </w:t>
      </w:r>
      <w:r w:rsidRPr="00F00311">
        <w:rPr>
          <w:szCs w:val="24"/>
        </w:rPr>
        <w:t xml:space="preserve">príjmov štátneho rozpočtu, ako aj realizácia </w:t>
      </w:r>
      <w:r>
        <w:rPr>
          <w:szCs w:val="24"/>
        </w:rPr>
        <w:t xml:space="preserve">hotovostných </w:t>
      </w:r>
      <w:r w:rsidRPr="00F00311">
        <w:rPr>
          <w:szCs w:val="24"/>
        </w:rPr>
        <w:t>výdavkov štátneho rozpočtu významne ovplyvňuje hospodárenie celej verejnej správy v</w:t>
      </w:r>
      <w:r>
        <w:rPr>
          <w:szCs w:val="24"/>
        </w:rPr>
        <w:t> </w:t>
      </w:r>
      <w:r w:rsidRPr="00F00311">
        <w:rPr>
          <w:szCs w:val="24"/>
        </w:rPr>
        <w:t>metodike ESA</w:t>
      </w:r>
      <w:r>
        <w:rPr>
          <w:szCs w:val="24"/>
        </w:rPr>
        <w:t> </w:t>
      </w:r>
      <w:r w:rsidRPr="00F00311">
        <w:rPr>
          <w:szCs w:val="24"/>
        </w:rPr>
        <w:t>2010. Legislatívne zmeny, prijaté opatrenia a zámery vlády</w:t>
      </w:r>
      <w:r>
        <w:rPr>
          <w:szCs w:val="24"/>
        </w:rPr>
        <w:t xml:space="preserve"> SR uvedené v úvode kapitoly 2, sa vo </w:t>
      </w:r>
      <w:r w:rsidRPr="00F00311">
        <w:rPr>
          <w:szCs w:val="24"/>
        </w:rPr>
        <w:t>väčšine prípadov realizujú práve cez príjmy a výdavky štátneho rozpočtu (napr. financovanie podporných schém</w:t>
      </w:r>
      <w:r>
        <w:rPr>
          <w:szCs w:val="24"/>
        </w:rPr>
        <w:t xml:space="preserve">, mimoriadne odmeňovanie vo verejnej správe, poskytovanie stabilizačných príspevkov, čerpanie grantov a transferov </w:t>
      </w:r>
      <w:r w:rsidRPr="00F00311">
        <w:rPr>
          <w:szCs w:val="24"/>
        </w:rPr>
        <w:t>a podobne).</w:t>
      </w:r>
    </w:p>
    <w:p w14:paraId="3E4793AD" w14:textId="77777777" w:rsidR="00BC6C68" w:rsidRDefault="00BC6C68" w:rsidP="00BC6C68">
      <w:pPr>
        <w:spacing w:line="240" w:lineRule="auto"/>
        <w:jc w:val="both"/>
        <w:rPr>
          <w:szCs w:val="24"/>
        </w:rPr>
      </w:pPr>
      <w:r w:rsidRPr="00F00311">
        <w:rPr>
          <w:szCs w:val="24"/>
        </w:rPr>
        <w:t>Schválený rozpo</w:t>
      </w:r>
      <w:r>
        <w:rPr>
          <w:szCs w:val="24"/>
        </w:rPr>
        <w:t>čet je uvádzaný podľa zákona č. 345</w:t>
      </w:r>
      <w:r w:rsidRPr="00F00311">
        <w:rPr>
          <w:szCs w:val="24"/>
        </w:rPr>
        <w:t>/202</w:t>
      </w:r>
      <w:r>
        <w:rPr>
          <w:szCs w:val="24"/>
        </w:rPr>
        <w:t>4 </w:t>
      </w:r>
      <w:r w:rsidRPr="00F00311">
        <w:rPr>
          <w:szCs w:val="24"/>
        </w:rPr>
        <w:t>Z.</w:t>
      </w:r>
      <w:r>
        <w:rPr>
          <w:szCs w:val="24"/>
        </w:rPr>
        <w:t> </w:t>
      </w:r>
      <w:r w:rsidRPr="00F00311">
        <w:rPr>
          <w:szCs w:val="24"/>
        </w:rPr>
        <w:t>z. o štátnom rozpočte na</w:t>
      </w:r>
      <w:r>
        <w:rPr>
          <w:szCs w:val="24"/>
        </w:rPr>
        <w:t> </w:t>
      </w:r>
      <w:r w:rsidRPr="00F00311">
        <w:rPr>
          <w:szCs w:val="24"/>
        </w:rPr>
        <w:t>rok 202</w:t>
      </w:r>
      <w:r>
        <w:rPr>
          <w:szCs w:val="24"/>
        </w:rPr>
        <w:t>5</w:t>
      </w:r>
      <w:r w:rsidRPr="00F00311">
        <w:rPr>
          <w:szCs w:val="24"/>
        </w:rPr>
        <w:t xml:space="preserve"> (ďalej len „zákon o štátnom rozpočte“)</w:t>
      </w:r>
      <w:r>
        <w:rPr>
          <w:szCs w:val="24"/>
        </w:rPr>
        <w:t>, schváleným Národnou radou SR 3. decembra 2024.</w:t>
      </w:r>
    </w:p>
    <w:p w14:paraId="44A00F96" w14:textId="77777777" w:rsidR="00BC6C68" w:rsidRPr="00F00311" w:rsidRDefault="00BC6C68" w:rsidP="00BC6C68">
      <w:pPr>
        <w:spacing w:line="240" w:lineRule="auto"/>
        <w:jc w:val="both"/>
        <w:rPr>
          <w:szCs w:val="24"/>
        </w:rPr>
      </w:pPr>
    </w:p>
    <w:p w14:paraId="5AF92119" w14:textId="69705CE6" w:rsidR="00BC6C68" w:rsidRDefault="00BC6C68" w:rsidP="00BC6C68">
      <w:pPr>
        <w:spacing w:line="240" w:lineRule="auto"/>
        <w:jc w:val="both"/>
        <w:rPr>
          <w:szCs w:val="24"/>
        </w:rPr>
      </w:pPr>
      <w:r w:rsidRPr="00E21F53">
        <w:rPr>
          <w:b/>
          <w:bCs/>
          <w:szCs w:val="24"/>
        </w:rPr>
        <w:t>Schodok štátneho rozpočtu na hotovostnej báze bol r</w:t>
      </w:r>
      <w:r>
        <w:rPr>
          <w:b/>
          <w:bCs/>
          <w:szCs w:val="24"/>
        </w:rPr>
        <w:t xml:space="preserve">ozpočtovaný na úrovni 6 278 711 tis. eur (rok </w:t>
      </w:r>
      <w:r w:rsidRPr="003256B5">
        <w:rPr>
          <w:b/>
          <w:bCs/>
          <w:szCs w:val="24"/>
        </w:rPr>
        <w:t>2024: 7 615 931 tis. eur) a v skutočnosti dosiahol 6 108</w:t>
      </w:r>
      <w:r>
        <w:rPr>
          <w:b/>
          <w:bCs/>
          <w:szCs w:val="24"/>
        </w:rPr>
        <w:t> </w:t>
      </w:r>
      <w:r w:rsidRPr="003256B5">
        <w:rPr>
          <w:b/>
          <w:bCs/>
          <w:szCs w:val="24"/>
        </w:rPr>
        <w:t>623</w:t>
      </w:r>
      <w:r>
        <w:rPr>
          <w:b/>
          <w:bCs/>
          <w:szCs w:val="24"/>
        </w:rPr>
        <w:t> </w:t>
      </w:r>
      <w:r w:rsidRPr="003256B5">
        <w:rPr>
          <w:b/>
          <w:bCs/>
          <w:szCs w:val="24"/>
        </w:rPr>
        <w:t>tis.</w:t>
      </w:r>
      <w:r>
        <w:rPr>
          <w:b/>
          <w:bCs/>
          <w:szCs w:val="24"/>
        </w:rPr>
        <w:t> </w:t>
      </w:r>
      <w:r w:rsidRPr="003256B5">
        <w:rPr>
          <w:b/>
          <w:bCs/>
          <w:szCs w:val="24"/>
        </w:rPr>
        <w:t>eur (rok 2024:</w:t>
      </w:r>
      <w:r>
        <w:rPr>
          <w:b/>
          <w:bCs/>
          <w:szCs w:val="24"/>
        </w:rPr>
        <w:t> </w:t>
      </w:r>
      <w:r w:rsidRPr="003256B5">
        <w:rPr>
          <w:b/>
          <w:bCs/>
          <w:szCs w:val="24"/>
        </w:rPr>
        <w:t>6 366 120 tis. eur).</w:t>
      </w:r>
      <w:r>
        <w:rPr>
          <w:b/>
          <w:bCs/>
          <w:szCs w:val="24"/>
        </w:rPr>
        <w:t xml:space="preserve"> </w:t>
      </w:r>
      <w:r w:rsidRPr="003256B5">
        <w:rPr>
          <w:szCs w:val="24"/>
        </w:rPr>
        <w:t>Dosiahnutý</w:t>
      </w:r>
      <w:r>
        <w:rPr>
          <w:szCs w:val="24"/>
        </w:rPr>
        <w:t xml:space="preserve"> schodok </w:t>
      </w:r>
      <w:r w:rsidRPr="00F00311">
        <w:rPr>
          <w:szCs w:val="24"/>
        </w:rPr>
        <w:t>je vo</w:t>
      </w:r>
      <w:r>
        <w:rPr>
          <w:szCs w:val="24"/>
        </w:rPr>
        <w:t> </w:t>
      </w:r>
      <w:r w:rsidRPr="00F00311">
        <w:rPr>
          <w:szCs w:val="24"/>
        </w:rPr>
        <w:t>vzťahu k schválenému rozpočtu nižší o</w:t>
      </w:r>
      <w:r>
        <w:rPr>
          <w:szCs w:val="24"/>
        </w:rPr>
        <w:t> 170 088 tis. eur</w:t>
      </w:r>
      <w:r w:rsidRPr="00F00311">
        <w:rPr>
          <w:szCs w:val="24"/>
        </w:rPr>
        <w:t>.</w:t>
      </w:r>
    </w:p>
    <w:p w14:paraId="3B81C56C" w14:textId="77777777" w:rsidR="00BC6C68" w:rsidRPr="00F00311" w:rsidRDefault="00BC6C68" w:rsidP="00BC6C68">
      <w:pPr>
        <w:spacing w:line="240" w:lineRule="auto"/>
        <w:jc w:val="both"/>
        <w:rPr>
          <w:szCs w:val="24"/>
        </w:rPr>
      </w:pPr>
    </w:p>
    <w:p w14:paraId="2277A057" w14:textId="1A833605" w:rsidR="00BC6C68" w:rsidRDefault="00BC6C68" w:rsidP="00BC6C68">
      <w:pPr>
        <w:spacing w:line="240" w:lineRule="auto"/>
        <w:jc w:val="both"/>
        <w:rPr>
          <w:szCs w:val="24"/>
        </w:rPr>
      </w:pPr>
      <w:r>
        <w:rPr>
          <w:szCs w:val="24"/>
        </w:rPr>
        <w:t>Tak ako návrh rozpočtu celej verejnej správy v metodike ESA tak aj nastavenie príjmov a výdavkov štátneho rozpočtu na hotovostnej báze vychádzalo z potreby pokračujúcej konsolidácie verejných financií v odhadovanom ekonomickom rámci, ktorý sa prognózoval na údajoch dostupných na jeseň 2024. Napriek nutnej konsolidácii a zložitým geopolitickým podmienkam boli v štátnom rozpočte vytvorené podmienky pre zachovanie dôležitých výdavkových titulov v sociálnej oblasti (13. dôchodok) resp. ich zvýšenie (opatrovateľský príspevok, príspevkov na osobnú asistenciu, na poskytovanie sociálnej služby), v oblasti vzdelávania (zabezpečenie pedagogických asistentov, výdavky na predprimárne vzdelávanie), životného prostredia (vodné hospodárstvo, adaptácia na zmenu klímy), dopravnú infraštruktúru, zdravotníctvo a ďalšie.</w:t>
      </w:r>
    </w:p>
    <w:p w14:paraId="6B2C16AB" w14:textId="77777777" w:rsidR="00BC6C68" w:rsidRDefault="00BC6C68" w:rsidP="00BC6C68">
      <w:pPr>
        <w:spacing w:line="240" w:lineRule="auto"/>
        <w:jc w:val="both"/>
        <w:rPr>
          <w:szCs w:val="24"/>
        </w:rPr>
      </w:pPr>
    </w:p>
    <w:p w14:paraId="624EDE6E" w14:textId="77E135D7" w:rsidR="00BC6C68" w:rsidRDefault="00BC6C68" w:rsidP="00BC6C68">
      <w:pPr>
        <w:spacing w:line="240" w:lineRule="auto"/>
        <w:jc w:val="both"/>
        <w:rPr>
          <w:szCs w:val="24"/>
        </w:rPr>
      </w:pPr>
      <w:r w:rsidRPr="00F00311">
        <w:rPr>
          <w:szCs w:val="24"/>
        </w:rPr>
        <w:t>Schválené príjmy štátneho rozpočtu na rok 202</w:t>
      </w:r>
      <w:r>
        <w:rPr>
          <w:szCs w:val="24"/>
        </w:rPr>
        <w:t>5</w:t>
      </w:r>
      <w:r w:rsidRPr="00F00311">
        <w:rPr>
          <w:szCs w:val="24"/>
        </w:rPr>
        <w:t xml:space="preserve"> boli oproti schváleným príjmom na</w:t>
      </w:r>
      <w:r>
        <w:rPr>
          <w:szCs w:val="24"/>
        </w:rPr>
        <w:t> </w:t>
      </w:r>
      <w:r w:rsidRPr="00F00311">
        <w:rPr>
          <w:szCs w:val="24"/>
        </w:rPr>
        <w:t>rok 202</w:t>
      </w:r>
      <w:r>
        <w:rPr>
          <w:szCs w:val="24"/>
        </w:rPr>
        <w:t>4</w:t>
      </w:r>
      <w:r w:rsidRPr="00F00311">
        <w:rPr>
          <w:szCs w:val="24"/>
        </w:rPr>
        <w:t xml:space="preserve"> </w:t>
      </w:r>
      <w:r>
        <w:rPr>
          <w:szCs w:val="24"/>
        </w:rPr>
        <w:t xml:space="preserve">vyššie </w:t>
      </w:r>
      <w:r w:rsidRPr="00F00311">
        <w:rPr>
          <w:szCs w:val="24"/>
        </w:rPr>
        <w:t>úhrnom o</w:t>
      </w:r>
      <w:r>
        <w:rPr>
          <w:szCs w:val="24"/>
        </w:rPr>
        <w:t> 4 918 865 tis. eur</w:t>
      </w:r>
      <w:r w:rsidRPr="00F00311">
        <w:rPr>
          <w:szCs w:val="24"/>
        </w:rPr>
        <w:t xml:space="preserve">, pričom </w:t>
      </w:r>
      <w:r>
        <w:rPr>
          <w:szCs w:val="24"/>
        </w:rPr>
        <w:t>rast bol prioritne očakávaný v daňových príjmoch o 3 818 </w:t>
      </w:r>
      <w:r w:rsidRPr="00BC6C68">
        <w:t>626</w:t>
      </w:r>
      <w:r>
        <w:t> </w:t>
      </w:r>
      <w:r w:rsidRPr="00BC6C68">
        <w:t>tis</w:t>
      </w:r>
      <w:r>
        <w:rPr>
          <w:szCs w:val="24"/>
        </w:rPr>
        <w:t>. eur a grantoch a transferoch 889 291 tis. eur (najmä prostriedky rozpočtu EÚ). Nedaňové príjmy boli rozpočtované medziročne vyššie o 210</w:t>
      </w:r>
      <w:r w:rsidR="000200DC">
        <w:rPr>
          <w:szCs w:val="24"/>
        </w:rPr>
        <w:t> </w:t>
      </w:r>
      <w:r>
        <w:rPr>
          <w:szCs w:val="24"/>
        </w:rPr>
        <w:t>949</w:t>
      </w:r>
      <w:r w:rsidR="000200DC">
        <w:rPr>
          <w:szCs w:val="24"/>
        </w:rPr>
        <w:t> </w:t>
      </w:r>
      <w:r>
        <w:rPr>
          <w:szCs w:val="24"/>
        </w:rPr>
        <w:t>tis.</w:t>
      </w:r>
      <w:r w:rsidR="000200DC">
        <w:rPr>
          <w:szCs w:val="24"/>
        </w:rPr>
        <w:t> </w:t>
      </w:r>
      <w:r>
        <w:rPr>
          <w:szCs w:val="24"/>
        </w:rPr>
        <w:t>eur.</w:t>
      </w:r>
    </w:p>
    <w:p w14:paraId="06B7FDFA" w14:textId="3061A3EA" w:rsidR="00BC6C68" w:rsidRDefault="00BC6C68" w:rsidP="00BC6C68">
      <w:pPr>
        <w:spacing w:line="240" w:lineRule="auto"/>
        <w:jc w:val="both"/>
        <w:rPr>
          <w:szCs w:val="24"/>
        </w:rPr>
      </w:pPr>
      <w:r>
        <w:rPr>
          <w:szCs w:val="24"/>
        </w:rPr>
        <w:t>Schválené výdavky štátneho rozpočtu na rok 2025 boli oproti schváleným výdavkom na</w:t>
      </w:r>
      <w:r w:rsidR="000200DC">
        <w:rPr>
          <w:szCs w:val="24"/>
        </w:rPr>
        <w:t> </w:t>
      </w:r>
      <w:r>
        <w:rPr>
          <w:szCs w:val="24"/>
        </w:rPr>
        <w:t>rok 2024 vyššie o 3 581</w:t>
      </w:r>
      <w:r w:rsidR="000200DC">
        <w:rPr>
          <w:szCs w:val="24"/>
        </w:rPr>
        <w:t> </w:t>
      </w:r>
      <w:r>
        <w:rPr>
          <w:szCs w:val="24"/>
        </w:rPr>
        <w:t>646</w:t>
      </w:r>
      <w:r w:rsidR="000200DC">
        <w:rPr>
          <w:szCs w:val="24"/>
        </w:rPr>
        <w:t> </w:t>
      </w:r>
      <w:r>
        <w:rPr>
          <w:szCs w:val="24"/>
        </w:rPr>
        <w:t>tis.</w:t>
      </w:r>
      <w:r w:rsidR="000200DC">
        <w:rPr>
          <w:szCs w:val="24"/>
        </w:rPr>
        <w:t> </w:t>
      </w:r>
      <w:r>
        <w:rPr>
          <w:szCs w:val="24"/>
        </w:rPr>
        <w:t>eur, z toho bežné výdavky vrátane bežných transferov vyššie o 2 991</w:t>
      </w:r>
      <w:r w:rsidR="000200DC">
        <w:rPr>
          <w:szCs w:val="24"/>
        </w:rPr>
        <w:t> </w:t>
      </w:r>
      <w:r>
        <w:rPr>
          <w:szCs w:val="24"/>
        </w:rPr>
        <w:t>761</w:t>
      </w:r>
      <w:r w:rsidR="000200DC">
        <w:rPr>
          <w:szCs w:val="24"/>
        </w:rPr>
        <w:t> </w:t>
      </w:r>
      <w:r>
        <w:rPr>
          <w:szCs w:val="24"/>
        </w:rPr>
        <w:t>tis.</w:t>
      </w:r>
      <w:r w:rsidR="000200DC">
        <w:rPr>
          <w:szCs w:val="24"/>
        </w:rPr>
        <w:t> </w:t>
      </w:r>
      <w:r>
        <w:rPr>
          <w:szCs w:val="24"/>
        </w:rPr>
        <w:t>eur a kapitálové výdavky vyššie o 589</w:t>
      </w:r>
      <w:r w:rsidR="000200DC">
        <w:rPr>
          <w:szCs w:val="24"/>
        </w:rPr>
        <w:t> </w:t>
      </w:r>
      <w:r>
        <w:rPr>
          <w:szCs w:val="24"/>
        </w:rPr>
        <w:t>885</w:t>
      </w:r>
      <w:r w:rsidR="000200DC">
        <w:rPr>
          <w:szCs w:val="24"/>
        </w:rPr>
        <w:t> </w:t>
      </w:r>
      <w:r>
        <w:rPr>
          <w:szCs w:val="24"/>
        </w:rPr>
        <w:t>tis.</w:t>
      </w:r>
      <w:r w:rsidR="000200DC">
        <w:rPr>
          <w:szCs w:val="24"/>
        </w:rPr>
        <w:t> </w:t>
      </w:r>
      <w:r>
        <w:rPr>
          <w:szCs w:val="24"/>
        </w:rPr>
        <w:t>eur.</w:t>
      </w:r>
    </w:p>
    <w:p w14:paraId="44887394" w14:textId="77777777" w:rsidR="000200DC" w:rsidRDefault="000200DC" w:rsidP="00BC6C68">
      <w:pPr>
        <w:spacing w:line="240" w:lineRule="auto"/>
        <w:jc w:val="both"/>
        <w:rPr>
          <w:szCs w:val="24"/>
        </w:rPr>
      </w:pPr>
    </w:p>
    <w:p w14:paraId="5B971565" w14:textId="5050A26D" w:rsidR="00BC6C68" w:rsidRDefault="00BC6C68" w:rsidP="00BC6C68">
      <w:pPr>
        <w:spacing w:line="240" w:lineRule="auto"/>
        <w:jc w:val="both"/>
        <w:rPr>
          <w:b/>
          <w:bCs/>
          <w:szCs w:val="24"/>
        </w:rPr>
      </w:pPr>
      <w:r w:rsidRPr="00D8022F">
        <w:rPr>
          <w:b/>
          <w:bCs/>
          <w:szCs w:val="24"/>
        </w:rPr>
        <w:t>Výsledné saldo štátneho rozpočtu sa medziročne rozpočtovalo nižšie o 1 337</w:t>
      </w:r>
      <w:r w:rsidR="000200DC">
        <w:rPr>
          <w:b/>
          <w:bCs/>
          <w:szCs w:val="24"/>
        </w:rPr>
        <w:t> </w:t>
      </w:r>
      <w:r w:rsidRPr="00D8022F">
        <w:rPr>
          <w:b/>
          <w:bCs/>
          <w:szCs w:val="24"/>
        </w:rPr>
        <w:t>220</w:t>
      </w:r>
      <w:r w:rsidR="000200DC">
        <w:rPr>
          <w:b/>
          <w:bCs/>
          <w:szCs w:val="24"/>
        </w:rPr>
        <w:t> </w:t>
      </w:r>
      <w:r w:rsidRPr="00D8022F">
        <w:rPr>
          <w:b/>
          <w:bCs/>
          <w:szCs w:val="24"/>
        </w:rPr>
        <w:t>tis.</w:t>
      </w:r>
      <w:r w:rsidR="000200DC">
        <w:rPr>
          <w:b/>
          <w:bCs/>
          <w:szCs w:val="24"/>
        </w:rPr>
        <w:t> </w:t>
      </w:r>
      <w:r w:rsidRPr="00D8022F">
        <w:rPr>
          <w:b/>
          <w:bCs/>
          <w:szCs w:val="24"/>
        </w:rPr>
        <w:t>eur.</w:t>
      </w:r>
    </w:p>
    <w:p w14:paraId="59EA8897" w14:textId="77777777" w:rsidR="00607784" w:rsidRPr="00D8022F" w:rsidRDefault="00607784" w:rsidP="00BC6C68">
      <w:pPr>
        <w:spacing w:line="240" w:lineRule="auto"/>
        <w:jc w:val="both"/>
        <w:rPr>
          <w:b/>
          <w:bCs/>
          <w:szCs w:val="24"/>
        </w:rPr>
      </w:pPr>
    </w:p>
    <w:p w14:paraId="4E1C98A9" w14:textId="7728C4FE" w:rsidR="00BC6C68" w:rsidRDefault="00BC6C68" w:rsidP="00BC6C68">
      <w:pPr>
        <w:spacing w:line="240" w:lineRule="auto"/>
        <w:jc w:val="both"/>
        <w:rPr>
          <w:szCs w:val="24"/>
        </w:rPr>
      </w:pPr>
      <w:r w:rsidRPr="00F00311">
        <w:rPr>
          <w:szCs w:val="24"/>
        </w:rPr>
        <w:t xml:space="preserve">Súhrnný prehľad o rozpočtovaných a skutočne dosiahnutých </w:t>
      </w:r>
      <w:r>
        <w:rPr>
          <w:szCs w:val="24"/>
        </w:rPr>
        <w:t xml:space="preserve">príjmov a výdavkov (na hotovostnej báze) v členení na </w:t>
      </w:r>
      <w:r w:rsidRPr="00F00311">
        <w:rPr>
          <w:szCs w:val="24"/>
        </w:rPr>
        <w:t>základn</w:t>
      </w:r>
      <w:r>
        <w:rPr>
          <w:szCs w:val="24"/>
        </w:rPr>
        <w:t>é</w:t>
      </w:r>
      <w:r w:rsidRPr="00F00311">
        <w:rPr>
          <w:szCs w:val="24"/>
        </w:rPr>
        <w:t xml:space="preserve"> </w:t>
      </w:r>
      <w:r>
        <w:rPr>
          <w:szCs w:val="24"/>
        </w:rPr>
        <w:t>ekonomické kategórie</w:t>
      </w:r>
      <w:r w:rsidRPr="00F00311">
        <w:rPr>
          <w:szCs w:val="24"/>
        </w:rPr>
        <w:t xml:space="preserve"> </w:t>
      </w:r>
      <w:r>
        <w:rPr>
          <w:szCs w:val="24"/>
        </w:rPr>
        <w:t>za</w:t>
      </w:r>
      <w:r w:rsidR="00607784">
        <w:rPr>
          <w:szCs w:val="24"/>
        </w:rPr>
        <w:t> </w:t>
      </w:r>
      <w:r>
        <w:rPr>
          <w:szCs w:val="24"/>
        </w:rPr>
        <w:t xml:space="preserve">rok 2025 </w:t>
      </w:r>
      <w:r w:rsidRPr="00F00311">
        <w:rPr>
          <w:szCs w:val="24"/>
        </w:rPr>
        <w:t>a</w:t>
      </w:r>
      <w:r>
        <w:rPr>
          <w:szCs w:val="24"/>
        </w:rPr>
        <w:t> </w:t>
      </w:r>
      <w:r w:rsidRPr="00F00311">
        <w:rPr>
          <w:szCs w:val="24"/>
        </w:rPr>
        <w:t>za</w:t>
      </w:r>
      <w:r>
        <w:rPr>
          <w:szCs w:val="24"/>
        </w:rPr>
        <w:t> </w:t>
      </w:r>
      <w:r w:rsidRPr="00F00311">
        <w:rPr>
          <w:szCs w:val="24"/>
        </w:rPr>
        <w:t>predchádzajúce dva roky poskytuj</w:t>
      </w:r>
      <w:r>
        <w:rPr>
          <w:szCs w:val="24"/>
        </w:rPr>
        <w:t>e</w:t>
      </w:r>
      <w:r w:rsidRPr="00F00311">
        <w:rPr>
          <w:szCs w:val="24"/>
        </w:rPr>
        <w:t xml:space="preserve"> nasledovn</w:t>
      </w:r>
      <w:r>
        <w:rPr>
          <w:szCs w:val="24"/>
        </w:rPr>
        <w:t>á tabuľka</w:t>
      </w:r>
      <w:r w:rsidRPr="00F00311">
        <w:rPr>
          <w:szCs w:val="24"/>
        </w:rPr>
        <w:t>:</w:t>
      </w:r>
    </w:p>
    <w:p w14:paraId="5D54B1D4" w14:textId="77777777" w:rsidR="00415273" w:rsidRDefault="00415273" w:rsidP="00532D85">
      <w:pPr>
        <w:spacing w:line="240" w:lineRule="auto"/>
        <w:jc w:val="both"/>
        <w:rPr>
          <w:szCs w:val="24"/>
        </w:rPr>
      </w:pPr>
    </w:p>
    <w:p w14:paraId="5F6852D0" w14:textId="77777777" w:rsidR="00B25A31" w:rsidRPr="00607784" w:rsidRDefault="00B25A31" w:rsidP="00532D85">
      <w:pPr>
        <w:spacing w:line="240" w:lineRule="auto"/>
        <w:jc w:val="both"/>
        <w:rPr>
          <w:szCs w:val="24"/>
        </w:rPr>
      </w:pPr>
    </w:p>
    <w:tbl>
      <w:tblPr>
        <w:tblW w:w="9214" w:type="dxa"/>
        <w:tblCellMar>
          <w:left w:w="70" w:type="dxa"/>
          <w:right w:w="70" w:type="dxa"/>
        </w:tblCellMar>
        <w:tblLook w:val="04A0" w:firstRow="1" w:lastRow="0" w:firstColumn="1" w:lastColumn="0" w:noHBand="0" w:noVBand="1"/>
      </w:tblPr>
      <w:tblGrid>
        <w:gridCol w:w="9214"/>
      </w:tblGrid>
      <w:tr w:rsidR="004D69BF" w:rsidRPr="00607784" w14:paraId="1C5D2C80" w14:textId="77777777" w:rsidTr="000240DA">
        <w:trPr>
          <w:trHeight w:val="259"/>
        </w:trPr>
        <w:tc>
          <w:tcPr>
            <w:tcW w:w="9214" w:type="dxa"/>
          </w:tcPr>
          <w:p w14:paraId="5743C025" w14:textId="54E66666" w:rsidR="00D96E6C" w:rsidRPr="00607784" w:rsidRDefault="00D96E6C" w:rsidP="00532D85">
            <w:pPr>
              <w:pStyle w:val="Popis"/>
              <w:jc w:val="both"/>
              <w:rPr>
                <w:lang w:eastAsia="sk-SK"/>
              </w:rPr>
            </w:pPr>
            <w:bookmarkStart w:id="90" w:name="_Toc196313648"/>
            <w:bookmarkStart w:id="91" w:name="_Toc227670158"/>
            <w:r w:rsidRPr="00607784">
              <w:rPr>
                <w:lang w:eastAsia="sk-SK"/>
              </w:rPr>
              <w:lastRenderedPageBreak/>
              <w:t xml:space="preserve">Tabuľka </w:t>
            </w:r>
            <w:r w:rsidR="003B7AF0" w:rsidRPr="00607784">
              <w:rPr>
                <w:i/>
                <w:lang w:eastAsia="sk-SK"/>
              </w:rPr>
              <w:fldChar w:fldCharType="begin"/>
            </w:r>
            <w:r w:rsidR="003B7AF0" w:rsidRPr="00607784">
              <w:rPr>
                <w:lang w:eastAsia="sk-SK"/>
              </w:rPr>
              <w:instrText xml:space="preserve"> SEQ Tabuľka \* ARABIC </w:instrText>
            </w:r>
            <w:r w:rsidR="003B7AF0" w:rsidRPr="00607784">
              <w:rPr>
                <w:i/>
                <w:lang w:eastAsia="sk-SK"/>
              </w:rPr>
              <w:fldChar w:fldCharType="separate"/>
            </w:r>
            <w:r w:rsidR="00396BE8">
              <w:rPr>
                <w:noProof/>
                <w:lang w:eastAsia="sk-SK"/>
              </w:rPr>
              <w:t>22</w:t>
            </w:r>
            <w:r w:rsidR="003B7AF0" w:rsidRPr="00607784">
              <w:rPr>
                <w:i/>
                <w:lang w:eastAsia="sk-SK"/>
              </w:rPr>
              <w:fldChar w:fldCharType="end"/>
            </w:r>
            <w:r w:rsidRPr="00607784">
              <w:rPr>
                <w:lang w:eastAsia="sk-SK"/>
              </w:rPr>
              <w:t xml:space="preserve"> - Štátny rozpočet na hotovostnej báze</w:t>
            </w:r>
            <w:bookmarkEnd w:id="90"/>
            <w:bookmarkEnd w:id="91"/>
          </w:p>
          <w:tbl>
            <w:tblPr>
              <w:tblW w:w="5000" w:type="pct"/>
              <w:tblCellMar>
                <w:left w:w="70" w:type="dxa"/>
                <w:right w:w="70" w:type="dxa"/>
              </w:tblCellMar>
              <w:tblLook w:val="04A0" w:firstRow="1" w:lastRow="0" w:firstColumn="1" w:lastColumn="0" w:noHBand="0" w:noVBand="1"/>
            </w:tblPr>
            <w:tblGrid>
              <w:gridCol w:w="2455"/>
              <w:gridCol w:w="1119"/>
              <w:gridCol w:w="1116"/>
              <w:gridCol w:w="1116"/>
              <w:gridCol w:w="1116"/>
              <w:gridCol w:w="1116"/>
              <w:gridCol w:w="1036"/>
            </w:tblGrid>
            <w:tr w:rsidR="00607784" w:rsidRPr="00607784" w14:paraId="7D1C8900" w14:textId="77777777" w:rsidTr="00607784">
              <w:trPr>
                <w:trHeight w:val="289"/>
                <w:tblHeader/>
              </w:trPr>
              <w:tc>
                <w:tcPr>
                  <w:tcW w:w="1352" w:type="pct"/>
                  <w:vMerge w:val="restart"/>
                  <w:tcBorders>
                    <w:top w:val="single" w:sz="4" w:space="0" w:color="auto"/>
                    <w:left w:val="nil"/>
                    <w:bottom w:val="single" w:sz="8" w:space="0" w:color="000000"/>
                    <w:right w:val="nil"/>
                  </w:tcBorders>
                  <w:vAlign w:val="center"/>
                  <w:hideMark/>
                </w:tcPr>
                <w:p w14:paraId="69124813" w14:textId="77777777" w:rsidR="00607784" w:rsidRPr="00607784" w:rsidRDefault="00607784" w:rsidP="00607784">
                  <w:pPr>
                    <w:spacing w:line="240" w:lineRule="auto"/>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v tis. eur</w:t>
                  </w:r>
                </w:p>
              </w:tc>
              <w:tc>
                <w:tcPr>
                  <w:tcW w:w="616" w:type="pct"/>
                  <w:tcBorders>
                    <w:top w:val="single" w:sz="4" w:space="0" w:color="auto"/>
                    <w:left w:val="nil"/>
                    <w:bottom w:val="nil"/>
                    <w:right w:val="nil"/>
                  </w:tcBorders>
                  <w:vAlign w:val="center"/>
                  <w:hideMark/>
                </w:tcPr>
                <w:p w14:paraId="7D63FEDA"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2023 S</w:t>
                  </w:r>
                </w:p>
              </w:tc>
              <w:tc>
                <w:tcPr>
                  <w:tcW w:w="615" w:type="pct"/>
                  <w:tcBorders>
                    <w:top w:val="single" w:sz="4" w:space="0" w:color="auto"/>
                    <w:left w:val="nil"/>
                    <w:bottom w:val="nil"/>
                    <w:right w:val="nil"/>
                  </w:tcBorders>
                  <w:vAlign w:val="center"/>
                  <w:hideMark/>
                </w:tcPr>
                <w:p w14:paraId="0034FE5D"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2024 S</w:t>
                  </w:r>
                </w:p>
              </w:tc>
              <w:tc>
                <w:tcPr>
                  <w:tcW w:w="615" w:type="pct"/>
                  <w:tcBorders>
                    <w:top w:val="single" w:sz="4" w:space="0" w:color="auto"/>
                    <w:left w:val="nil"/>
                    <w:bottom w:val="nil"/>
                    <w:right w:val="nil"/>
                  </w:tcBorders>
                  <w:vAlign w:val="center"/>
                  <w:hideMark/>
                </w:tcPr>
                <w:p w14:paraId="0C0EF15B"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2025 R</w:t>
                  </w:r>
                </w:p>
              </w:tc>
              <w:tc>
                <w:tcPr>
                  <w:tcW w:w="615" w:type="pct"/>
                  <w:tcBorders>
                    <w:top w:val="single" w:sz="4" w:space="0" w:color="auto"/>
                    <w:left w:val="nil"/>
                    <w:bottom w:val="nil"/>
                    <w:right w:val="nil"/>
                  </w:tcBorders>
                  <w:vAlign w:val="center"/>
                  <w:hideMark/>
                </w:tcPr>
                <w:p w14:paraId="344DF30C"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2025 UR</w:t>
                  </w:r>
                </w:p>
              </w:tc>
              <w:tc>
                <w:tcPr>
                  <w:tcW w:w="615" w:type="pct"/>
                  <w:tcBorders>
                    <w:top w:val="single" w:sz="4" w:space="0" w:color="auto"/>
                    <w:left w:val="nil"/>
                    <w:bottom w:val="nil"/>
                    <w:right w:val="nil"/>
                  </w:tcBorders>
                  <w:vAlign w:val="center"/>
                  <w:hideMark/>
                </w:tcPr>
                <w:p w14:paraId="2D71E40D"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2025 S</w:t>
                  </w:r>
                </w:p>
              </w:tc>
              <w:tc>
                <w:tcPr>
                  <w:tcW w:w="571" w:type="pct"/>
                  <w:tcBorders>
                    <w:top w:val="single" w:sz="4" w:space="0" w:color="auto"/>
                    <w:left w:val="nil"/>
                    <w:bottom w:val="nil"/>
                    <w:right w:val="nil"/>
                  </w:tcBorders>
                  <w:vAlign w:val="center"/>
                  <w:hideMark/>
                </w:tcPr>
                <w:p w14:paraId="05468302"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Rozdiel</w:t>
                  </w:r>
                </w:p>
              </w:tc>
            </w:tr>
            <w:tr w:rsidR="00607784" w:rsidRPr="00607784" w14:paraId="4CD511DF" w14:textId="77777777" w:rsidTr="00607784">
              <w:trPr>
                <w:trHeight w:val="345"/>
                <w:tblHeader/>
              </w:trPr>
              <w:tc>
                <w:tcPr>
                  <w:tcW w:w="1352" w:type="pct"/>
                  <w:vMerge/>
                  <w:tcBorders>
                    <w:top w:val="single" w:sz="8" w:space="0" w:color="auto"/>
                    <w:left w:val="nil"/>
                    <w:bottom w:val="single" w:sz="4" w:space="0" w:color="auto"/>
                    <w:right w:val="nil"/>
                  </w:tcBorders>
                  <w:vAlign w:val="center"/>
                  <w:hideMark/>
                </w:tcPr>
                <w:p w14:paraId="4AC0C012" w14:textId="77777777" w:rsidR="00607784" w:rsidRPr="00607784" w:rsidRDefault="00607784" w:rsidP="00607784">
                  <w:pPr>
                    <w:spacing w:line="240" w:lineRule="auto"/>
                    <w:rPr>
                      <w:rFonts w:eastAsia="Times New Roman" w:cs="Times New Roman"/>
                      <w:b/>
                      <w:bCs/>
                      <w:color w:val="000000"/>
                      <w:sz w:val="18"/>
                      <w:szCs w:val="18"/>
                      <w:lang w:eastAsia="sk-SK"/>
                    </w:rPr>
                  </w:pPr>
                </w:p>
              </w:tc>
              <w:tc>
                <w:tcPr>
                  <w:tcW w:w="616" w:type="pct"/>
                  <w:tcBorders>
                    <w:top w:val="nil"/>
                    <w:left w:val="nil"/>
                    <w:bottom w:val="single" w:sz="4" w:space="0" w:color="auto"/>
                    <w:right w:val="nil"/>
                  </w:tcBorders>
                  <w:vAlign w:val="center"/>
                  <w:hideMark/>
                </w:tcPr>
                <w:p w14:paraId="5F954688"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1</w:t>
                  </w:r>
                </w:p>
              </w:tc>
              <w:tc>
                <w:tcPr>
                  <w:tcW w:w="615" w:type="pct"/>
                  <w:tcBorders>
                    <w:top w:val="nil"/>
                    <w:left w:val="nil"/>
                    <w:bottom w:val="single" w:sz="4" w:space="0" w:color="auto"/>
                    <w:right w:val="nil"/>
                  </w:tcBorders>
                  <w:vAlign w:val="center"/>
                  <w:hideMark/>
                </w:tcPr>
                <w:p w14:paraId="7CBFC0FF"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w:t>
                  </w:r>
                </w:p>
              </w:tc>
              <w:tc>
                <w:tcPr>
                  <w:tcW w:w="615" w:type="pct"/>
                  <w:tcBorders>
                    <w:top w:val="nil"/>
                    <w:left w:val="nil"/>
                    <w:bottom w:val="single" w:sz="4" w:space="0" w:color="auto"/>
                    <w:right w:val="nil"/>
                  </w:tcBorders>
                  <w:vAlign w:val="center"/>
                  <w:hideMark/>
                </w:tcPr>
                <w:p w14:paraId="635BDE8F"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3</w:t>
                  </w:r>
                </w:p>
              </w:tc>
              <w:tc>
                <w:tcPr>
                  <w:tcW w:w="615" w:type="pct"/>
                  <w:tcBorders>
                    <w:top w:val="nil"/>
                    <w:left w:val="nil"/>
                    <w:bottom w:val="single" w:sz="4" w:space="0" w:color="auto"/>
                    <w:right w:val="nil"/>
                  </w:tcBorders>
                  <w:vAlign w:val="center"/>
                  <w:hideMark/>
                </w:tcPr>
                <w:p w14:paraId="567611C1"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4</w:t>
                  </w:r>
                </w:p>
              </w:tc>
              <w:tc>
                <w:tcPr>
                  <w:tcW w:w="615" w:type="pct"/>
                  <w:tcBorders>
                    <w:top w:val="nil"/>
                    <w:left w:val="nil"/>
                    <w:bottom w:val="single" w:sz="4" w:space="0" w:color="auto"/>
                    <w:right w:val="nil"/>
                  </w:tcBorders>
                  <w:vAlign w:val="center"/>
                  <w:hideMark/>
                </w:tcPr>
                <w:p w14:paraId="0A93F1FB"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5</w:t>
                  </w:r>
                </w:p>
              </w:tc>
              <w:tc>
                <w:tcPr>
                  <w:tcW w:w="571" w:type="pct"/>
                  <w:tcBorders>
                    <w:top w:val="nil"/>
                    <w:left w:val="nil"/>
                    <w:bottom w:val="single" w:sz="4" w:space="0" w:color="auto"/>
                    <w:right w:val="nil"/>
                  </w:tcBorders>
                  <w:vAlign w:val="center"/>
                  <w:hideMark/>
                </w:tcPr>
                <w:p w14:paraId="68B6EDFE" w14:textId="77777777" w:rsidR="00607784" w:rsidRPr="00607784" w:rsidRDefault="00607784" w:rsidP="00607784">
                  <w:pPr>
                    <w:spacing w:line="240" w:lineRule="auto"/>
                    <w:jc w:val="center"/>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6=5-3</w:t>
                  </w:r>
                </w:p>
              </w:tc>
            </w:tr>
            <w:tr w:rsidR="00607784" w:rsidRPr="00607784" w14:paraId="523407D6" w14:textId="77777777" w:rsidTr="00607784">
              <w:trPr>
                <w:trHeight w:val="330"/>
              </w:trPr>
              <w:tc>
                <w:tcPr>
                  <w:tcW w:w="1352" w:type="pct"/>
                  <w:tcBorders>
                    <w:top w:val="single" w:sz="4" w:space="0" w:color="auto"/>
                    <w:left w:val="nil"/>
                    <w:bottom w:val="nil"/>
                    <w:right w:val="nil"/>
                  </w:tcBorders>
                  <w:noWrap/>
                  <w:vAlign w:val="center"/>
                  <w:hideMark/>
                </w:tcPr>
                <w:p w14:paraId="251B87BB" w14:textId="77777777" w:rsidR="00607784" w:rsidRPr="00607784" w:rsidRDefault="00607784" w:rsidP="00607784">
                  <w:pPr>
                    <w:spacing w:line="240" w:lineRule="auto"/>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Príjmy spolu</w:t>
                  </w:r>
                </w:p>
              </w:tc>
              <w:tc>
                <w:tcPr>
                  <w:tcW w:w="616" w:type="pct"/>
                  <w:tcBorders>
                    <w:top w:val="single" w:sz="4" w:space="0" w:color="auto"/>
                    <w:left w:val="nil"/>
                    <w:bottom w:val="nil"/>
                    <w:right w:val="nil"/>
                  </w:tcBorders>
                  <w:noWrap/>
                  <w:vAlign w:val="center"/>
                  <w:hideMark/>
                </w:tcPr>
                <w:p w14:paraId="2C32E41B"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23 688 646</w:t>
                  </w:r>
                </w:p>
              </w:tc>
              <w:tc>
                <w:tcPr>
                  <w:tcW w:w="615" w:type="pct"/>
                  <w:tcBorders>
                    <w:top w:val="single" w:sz="4" w:space="0" w:color="auto"/>
                    <w:left w:val="nil"/>
                    <w:bottom w:val="nil"/>
                    <w:right w:val="nil"/>
                  </w:tcBorders>
                  <w:noWrap/>
                  <w:vAlign w:val="center"/>
                </w:tcPr>
                <w:p w14:paraId="3765AB1D"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24 457 784</w:t>
                  </w:r>
                </w:p>
              </w:tc>
              <w:tc>
                <w:tcPr>
                  <w:tcW w:w="615" w:type="pct"/>
                  <w:tcBorders>
                    <w:top w:val="single" w:sz="4" w:space="0" w:color="auto"/>
                    <w:left w:val="nil"/>
                    <w:bottom w:val="nil"/>
                    <w:right w:val="nil"/>
                  </w:tcBorders>
                  <w:noWrap/>
                  <w:vAlign w:val="center"/>
                </w:tcPr>
                <w:p w14:paraId="52624011"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27 620 827</w:t>
                  </w:r>
                </w:p>
              </w:tc>
              <w:tc>
                <w:tcPr>
                  <w:tcW w:w="615" w:type="pct"/>
                  <w:tcBorders>
                    <w:top w:val="single" w:sz="4" w:space="0" w:color="auto"/>
                    <w:left w:val="nil"/>
                    <w:bottom w:val="nil"/>
                    <w:right w:val="nil"/>
                  </w:tcBorders>
                  <w:noWrap/>
                  <w:vAlign w:val="center"/>
                </w:tcPr>
                <w:p w14:paraId="1E409F6C"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29 121 219</w:t>
                  </w:r>
                </w:p>
              </w:tc>
              <w:tc>
                <w:tcPr>
                  <w:tcW w:w="615" w:type="pct"/>
                  <w:tcBorders>
                    <w:top w:val="single" w:sz="4" w:space="0" w:color="auto"/>
                    <w:left w:val="nil"/>
                    <w:bottom w:val="nil"/>
                    <w:right w:val="nil"/>
                  </w:tcBorders>
                  <w:noWrap/>
                  <w:vAlign w:val="center"/>
                </w:tcPr>
                <w:p w14:paraId="3030C482"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27 254 244</w:t>
                  </w:r>
                </w:p>
              </w:tc>
              <w:tc>
                <w:tcPr>
                  <w:tcW w:w="571" w:type="pct"/>
                  <w:tcBorders>
                    <w:top w:val="single" w:sz="4" w:space="0" w:color="auto"/>
                    <w:left w:val="nil"/>
                    <w:bottom w:val="nil"/>
                    <w:right w:val="nil"/>
                  </w:tcBorders>
                  <w:noWrap/>
                  <w:vAlign w:val="center"/>
                </w:tcPr>
                <w:p w14:paraId="59EF73A3"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-366 583</w:t>
                  </w:r>
                </w:p>
              </w:tc>
            </w:tr>
            <w:tr w:rsidR="00607784" w:rsidRPr="00607784" w14:paraId="3B62EA03" w14:textId="77777777" w:rsidTr="00607784">
              <w:trPr>
                <w:trHeight w:val="330"/>
              </w:trPr>
              <w:tc>
                <w:tcPr>
                  <w:tcW w:w="1352" w:type="pct"/>
                  <w:tcBorders>
                    <w:top w:val="nil"/>
                    <w:left w:val="nil"/>
                    <w:bottom w:val="nil"/>
                    <w:right w:val="nil"/>
                  </w:tcBorders>
                  <w:noWrap/>
                  <w:vAlign w:val="center"/>
                  <w:hideMark/>
                </w:tcPr>
                <w:p w14:paraId="311D6B7E" w14:textId="77777777" w:rsidR="00607784" w:rsidRPr="00607784" w:rsidRDefault="00607784" w:rsidP="00607784">
                  <w:pPr>
                    <w:spacing w:line="240" w:lineRule="auto"/>
                    <w:rPr>
                      <w:rFonts w:eastAsia="Times New Roman" w:cs="Times New Roman"/>
                      <w:color w:val="000000"/>
                      <w:sz w:val="18"/>
                      <w:szCs w:val="18"/>
                      <w:lang w:eastAsia="sk-SK"/>
                    </w:rPr>
                  </w:pPr>
                  <w:r w:rsidRPr="00607784">
                    <w:rPr>
                      <w:rFonts w:eastAsia="Times New Roman" w:cs="Times New Roman"/>
                      <w:color w:val="000000"/>
                      <w:sz w:val="18"/>
                      <w:szCs w:val="18"/>
                      <w:lang w:eastAsia="sk-SK"/>
                    </w:rPr>
                    <w:t>v tom: daňové príjmy</w:t>
                  </w:r>
                </w:p>
              </w:tc>
              <w:tc>
                <w:tcPr>
                  <w:tcW w:w="616" w:type="pct"/>
                  <w:tcBorders>
                    <w:top w:val="nil"/>
                    <w:left w:val="nil"/>
                    <w:bottom w:val="nil"/>
                    <w:right w:val="nil"/>
                  </w:tcBorders>
                  <w:noWrap/>
                  <w:vAlign w:val="center"/>
                  <w:hideMark/>
                </w:tcPr>
                <w:p w14:paraId="50B196F1"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17 440 976</w:t>
                  </w:r>
                </w:p>
              </w:tc>
              <w:tc>
                <w:tcPr>
                  <w:tcW w:w="615" w:type="pct"/>
                  <w:tcBorders>
                    <w:top w:val="nil"/>
                    <w:left w:val="nil"/>
                    <w:bottom w:val="nil"/>
                    <w:right w:val="nil"/>
                  </w:tcBorders>
                  <w:noWrap/>
                  <w:vAlign w:val="center"/>
                </w:tcPr>
                <w:p w14:paraId="47F8710B"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18 350 788</w:t>
                  </w:r>
                </w:p>
              </w:tc>
              <w:tc>
                <w:tcPr>
                  <w:tcW w:w="615" w:type="pct"/>
                  <w:tcBorders>
                    <w:top w:val="nil"/>
                    <w:left w:val="nil"/>
                    <w:bottom w:val="nil"/>
                    <w:right w:val="nil"/>
                  </w:tcBorders>
                  <w:noWrap/>
                  <w:vAlign w:val="center"/>
                </w:tcPr>
                <w:p w14:paraId="21159681"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22 452 482</w:t>
                  </w:r>
                </w:p>
              </w:tc>
              <w:tc>
                <w:tcPr>
                  <w:tcW w:w="615" w:type="pct"/>
                  <w:tcBorders>
                    <w:top w:val="nil"/>
                    <w:left w:val="nil"/>
                    <w:bottom w:val="nil"/>
                    <w:right w:val="nil"/>
                  </w:tcBorders>
                  <w:noWrap/>
                  <w:vAlign w:val="center"/>
                </w:tcPr>
                <w:p w14:paraId="543B8EBB"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22 452 482</w:t>
                  </w:r>
                </w:p>
              </w:tc>
              <w:tc>
                <w:tcPr>
                  <w:tcW w:w="615" w:type="pct"/>
                  <w:tcBorders>
                    <w:top w:val="nil"/>
                    <w:left w:val="nil"/>
                    <w:bottom w:val="nil"/>
                    <w:right w:val="nil"/>
                  </w:tcBorders>
                  <w:noWrap/>
                  <w:vAlign w:val="center"/>
                </w:tcPr>
                <w:p w14:paraId="0BDF7ACC"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20 653 206</w:t>
                  </w:r>
                </w:p>
              </w:tc>
              <w:tc>
                <w:tcPr>
                  <w:tcW w:w="571" w:type="pct"/>
                  <w:tcBorders>
                    <w:top w:val="nil"/>
                    <w:left w:val="nil"/>
                    <w:bottom w:val="nil"/>
                    <w:right w:val="nil"/>
                  </w:tcBorders>
                  <w:noWrap/>
                  <w:vAlign w:val="center"/>
                </w:tcPr>
                <w:p w14:paraId="177695F1"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-1 799 276</w:t>
                  </w:r>
                </w:p>
              </w:tc>
            </w:tr>
            <w:tr w:rsidR="00607784" w:rsidRPr="00607784" w14:paraId="1215D676" w14:textId="77777777" w:rsidTr="00607784">
              <w:trPr>
                <w:trHeight w:val="330"/>
              </w:trPr>
              <w:tc>
                <w:tcPr>
                  <w:tcW w:w="1352" w:type="pct"/>
                  <w:tcBorders>
                    <w:top w:val="nil"/>
                    <w:left w:val="nil"/>
                    <w:bottom w:val="nil"/>
                    <w:right w:val="nil"/>
                  </w:tcBorders>
                  <w:noWrap/>
                  <w:vAlign w:val="center"/>
                  <w:hideMark/>
                </w:tcPr>
                <w:p w14:paraId="5CB8360D" w14:textId="77777777" w:rsidR="00607784" w:rsidRPr="00607784" w:rsidRDefault="00607784" w:rsidP="00607784">
                  <w:pPr>
                    <w:spacing w:line="240" w:lineRule="auto"/>
                    <w:rPr>
                      <w:rFonts w:eastAsia="Times New Roman" w:cs="Times New Roman"/>
                      <w:color w:val="000000"/>
                      <w:sz w:val="18"/>
                      <w:szCs w:val="18"/>
                      <w:lang w:eastAsia="sk-SK"/>
                    </w:rPr>
                  </w:pPr>
                  <w:r w:rsidRPr="00607784">
                    <w:rPr>
                      <w:rFonts w:eastAsia="Times New Roman" w:cs="Times New Roman"/>
                      <w:color w:val="000000"/>
                      <w:sz w:val="18"/>
                      <w:szCs w:val="18"/>
                      <w:lang w:eastAsia="sk-SK"/>
                    </w:rPr>
                    <w:t xml:space="preserve">            nedaňové príjmy</w:t>
                  </w:r>
                </w:p>
              </w:tc>
              <w:tc>
                <w:tcPr>
                  <w:tcW w:w="616" w:type="pct"/>
                  <w:tcBorders>
                    <w:top w:val="nil"/>
                    <w:left w:val="nil"/>
                    <w:bottom w:val="nil"/>
                    <w:right w:val="nil"/>
                  </w:tcBorders>
                  <w:noWrap/>
                  <w:vAlign w:val="center"/>
                  <w:hideMark/>
                </w:tcPr>
                <w:p w14:paraId="21FE7D12"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1 738 326</w:t>
                  </w:r>
                </w:p>
              </w:tc>
              <w:tc>
                <w:tcPr>
                  <w:tcW w:w="615" w:type="pct"/>
                  <w:tcBorders>
                    <w:top w:val="nil"/>
                    <w:left w:val="nil"/>
                    <w:bottom w:val="nil"/>
                    <w:right w:val="nil"/>
                  </w:tcBorders>
                  <w:noWrap/>
                  <w:vAlign w:val="center"/>
                </w:tcPr>
                <w:p w14:paraId="3B10E80B"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1 909 893</w:t>
                  </w:r>
                </w:p>
              </w:tc>
              <w:tc>
                <w:tcPr>
                  <w:tcW w:w="615" w:type="pct"/>
                  <w:tcBorders>
                    <w:top w:val="nil"/>
                    <w:left w:val="nil"/>
                    <w:bottom w:val="nil"/>
                    <w:right w:val="nil"/>
                  </w:tcBorders>
                  <w:noWrap/>
                  <w:vAlign w:val="center"/>
                </w:tcPr>
                <w:p w14:paraId="12A2B2EF"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1 760 515</w:t>
                  </w:r>
                </w:p>
              </w:tc>
              <w:tc>
                <w:tcPr>
                  <w:tcW w:w="615" w:type="pct"/>
                  <w:tcBorders>
                    <w:top w:val="nil"/>
                    <w:left w:val="nil"/>
                    <w:bottom w:val="nil"/>
                    <w:right w:val="nil"/>
                  </w:tcBorders>
                  <w:noWrap/>
                  <w:vAlign w:val="center"/>
                </w:tcPr>
                <w:p w14:paraId="06B73280"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1 754 141</w:t>
                  </w:r>
                </w:p>
              </w:tc>
              <w:tc>
                <w:tcPr>
                  <w:tcW w:w="615" w:type="pct"/>
                  <w:tcBorders>
                    <w:top w:val="nil"/>
                    <w:left w:val="nil"/>
                    <w:bottom w:val="nil"/>
                    <w:right w:val="nil"/>
                  </w:tcBorders>
                  <w:noWrap/>
                  <w:vAlign w:val="center"/>
                </w:tcPr>
                <w:p w14:paraId="3D190A67"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2 164 992</w:t>
                  </w:r>
                </w:p>
              </w:tc>
              <w:tc>
                <w:tcPr>
                  <w:tcW w:w="571" w:type="pct"/>
                  <w:tcBorders>
                    <w:top w:val="nil"/>
                    <w:left w:val="nil"/>
                    <w:bottom w:val="nil"/>
                    <w:right w:val="nil"/>
                  </w:tcBorders>
                  <w:noWrap/>
                  <w:vAlign w:val="center"/>
                </w:tcPr>
                <w:p w14:paraId="04B0EA36"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404 477</w:t>
                  </w:r>
                </w:p>
              </w:tc>
            </w:tr>
            <w:tr w:rsidR="00607784" w:rsidRPr="00607784" w14:paraId="683AE2A1" w14:textId="77777777" w:rsidTr="00607784">
              <w:trPr>
                <w:trHeight w:val="330"/>
              </w:trPr>
              <w:tc>
                <w:tcPr>
                  <w:tcW w:w="1352" w:type="pct"/>
                  <w:tcBorders>
                    <w:top w:val="nil"/>
                    <w:left w:val="nil"/>
                    <w:bottom w:val="nil"/>
                    <w:right w:val="nil"/>
                  </w:tcBorders>
                  <w:noWrap/>
                  <w:vAlign w:val="center"/>
                  <w:hideMark/>
                </w:tcPr>
                <w:p w14:paraId="6AD13339" w14:textId="77777777" w:rsidR="00607784" w:rsidRPr="00607784" w:rsidRDefault="00607784" w:rsidP="00607784">
                  <w:pPr>
                    <w:spacing w:line="240" w:lineRule="auto"/>
                    <w:rPr>
                      <w:rFonts w:eastAsia="Times New Roman" w:cs="Times New Roman"/>
                      <w:color w:val="000000"/>
                      <w:sz w:val="18"/>
                      <w:szCs w:val="18"/>
                      <w:lang w:eastAsia="sk-SK"/>
                    </w:rPr>
                  </w:pPr>
                  <w:r w:rsidRPr="00607784">
                    <w:rPr>
                      <w:rFonts w:eastAsia="Times New Roman" w:cs="Times New Roman"/>
                      <w:color w:val="000000"/>
                      <w:sz w:val="18"/>
                      <w:szCs w:val="18"/>
                      <w:lang w:eastAsia="sk-SK"/>
                    </w:rPr>
                    <w:t xml:space="preserve">            granty a transfery</w:t>
                  </w:r>
                </w:p>
              </w:tc>
              <w:tc>
                <w:tcPr>
                  <w:tcW w:w="616" w:type="pct"/>
                  <w:tcBorders>
                    <w:top w:val="nil"/>
                    <w:left w:val="nil"/>
                    <w:bottom w:val="nil"/>
                    <w:right w:val="nil"/>
                  </w:tcBorders>
                  <w:noWrap/>
                  <w:vAlign w:val="center"/>
                  <w:hideMark/>
                </w:tcPr>
                <w:p w14:paraId="76A7010C"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4 509 344</w:t>
                  </w:r>
                </w:p>
              </w:tc>
              <w:tc>
                <w:tcPr>
                  <w:tcW w:w="615" w:type="pct"/>
                  <w:tcBorders>
                    <w:top w:val="nil"/>
                    <w:left w:val="nil"/>
                    <w:bottom w:val="nil"/>
                    <w:right w:val="nil"/>
                  </w:tcBorders>
                  <w:noWrap/>
                  <w:vAlign w:val="center"/>
                </w:tcPr>
                <w:p w14:paraId="7FE02690"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4 197 103</w:t>
                  </w:r>
                </w:p>
              </w:tc>
              <w:tc>
                <w:tcPr>
                  <w:tcW w:w="615" w:type="pct"/>
                  <w:tcBorders>
                    <w:top w:val="nil"/>
                    <w:left w:val="nil"/>
                    <w:bottom w:val="nil"/>
                    <w:right w:val="nil"/>
                  </w:tcBorders>
                  <w:noWrap/>
                  <w:vAlign w:val="center"/>
                </w:tcPr>
                <w:p w14:paraId="5534503B"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3 407 830</w:t>
                  </w:r>
                </w:p>
              </w:tc>
              <w:tc>
                <w:tcPr>
                  <w:tcW w:w="615" w:type="pct"/>
                  <w:tcBorders>
                    <w:top w:val="nil"/>
                    <w:left w:val="nil"/>
                    <w:bottom w:val="nil"/>
                    <w:right w:val="nil"/>
                  </w:tcBorders>
                  <w:noWrap/>
                  <w:vAlign w:val="center"/>
                </w:tcPr>
                <w:p w14:paraId="52F6D341"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4 914 596</w:t>
                  </w:r>
                </w:p>
              </w:tc>
              <w:tc>
                <w:tcPr>
                  <w:tcW w:w="615" w:type="pct"/>
                  <w:tcBorders>
                    <w:top w:val="nil"/>
                    <w:left w:val="nil"/>
                    <w:bottom w:val="nil"/>
                    <w:right w:val="nil"/>
                  </w:tcBorders>
                  <w:noWrap/>
                  <w:vAlign w:val="center"/>
                </w:tcPr>
                <w:p w14:paraId="62134D10"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4 436 046</w:t>
                  </w:r>
                </w:p>
              </w:tc>
              <w:tc>
                <w:tcPr>
                  <w:tcW w:w="571" w:type="pct"/>
                  <w:tcBorders>
                    <w:top w:val="nil"/>
                    <w:left w:val="nil"/>
                    <w:bottom w:val="nil"/>
                    <w:right w:val="nil"/>
                  </w:tcBorders>
                  <w:noWrap/>
                  <w:vAlign w:val="center"/>
                </w:tcPr>
                <w:p w14:paraId="19804099"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1 028 216</w:t>
                  </w:r>
                </w:p>
              </w:tc>
            </w:tr>
            <w:tr w:rsidR="00607784" w:rsidRPr="00607784" w14:paraId="37CCD09D" w14:textId="77777777" w:rsidTr="00607784">
              <w:trPr>
                <w:trHeight w:val="330"/>
              </w:trPr>
              <w:tc>
                <w:tcPr>
                  <w:tcW w:w="1352" w:type="pct"/>
                  <w:tcBorders>
                    <w:top w:val="nil"/>
                    <w:left w:val="nil"/>
                    <w:bottom w:val="nil"/>
                    <w:right w:val="nil"/>
                  </w:tcBorders>
                  <w:noWrap/>
                  <w:vAlign w:val="center"/>
                  <w:hideMark/>
                </w:tcPr>
                <w:p w14:paraId="36152B68" w14:textId="77777777" w:rsidR="00607784" w:rsidRPr="00607784" w:rsidRDefault="00607784" w:rsidP="00607784">
                  <w:pPr>
                    <w:spacing w:line="240" w:lineRule="auto"/>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Výdavky spolu</w:t>
                  </w:r>
                </w:p>
              </w:tc>
              <w:tc>
                <w:tcPr>
                  <w:tcW w:w="616" w:type="pct"/>
                  <w:tcBorders>
                    <w:top w:val="nil"/>
                    <w:left w:val="nil"/>
                    <w:bottom w:val="nil"/>
                    <w:right w:val="nil"/>
                  </w:tcBorders>
                  <w:noWrap/>
                  <w:vAlign w:val="center"/>
                  <w:hideMark/>
                </w:tcPr>
                <w:p w14:paraId="652F045A"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31 363 983</w:t>
                  </w:r>
                </w:p>
              </w:tc>
              <w:tc>
                <w:tcPr>
                  <w:tcW w:w="615" w:type="pct"/>
                  <w:tcBorders>
                    <w:top w:val="nil"/>
                    <w:left w:val="nil"/>
                    <w:bottom w:val="nil"/>
                    <w:right w:val="nil"/>
                  </w:tcBorders>
                  <w:noWrap/>
                  <w:vAlign w:val="center"/>
                </w:tcPr>
                <w:p w14:paraId="57C6ED26"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30 823 904</w:t>
                  </w:r>
                </w:p>
              </w:tc>
              <w:tc>
                <w:tcPr>
                  <w:tcW w:w="615" w:type="pct"/>
                  <w:tcBorders>
                    <w:top w:val="nil"/>
                    <w:left w:val="nil"/>
                    <w:bottom w:val="nil"/>
                    <w:right w:val="nil"/>
                  </w:tcBorders>
                  <w:noWrap/>
                  <w:vAlign w:val="center"/>
                </w:tcPr>
                <w:p w14:paraId="0584BFB2"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33 899 538</w:t>
                  </w:r>
                </w:p>
              </w:tc>
              <w:tc>
                <w:tcPr>
                  <w:tcW w:w="615" w:type="pct"/>
                  <w:tcBorders>
                    <w:top w:val="nil"/>
                    <w:left w:val="nil"/>
                    <w:bottom w:val="nil"/>
                    <w:right w:val="nil"/>
                  </w:tcBorders>
                  <w:noWrap/>
                  <w:vAlign w:val="center"/>
                </w:tcPr>
                <w:p w14:paraId="50BAD0ED"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34 454 586</w:t>
                  </w:r>
                </w:p>
              </w:tc>
              <w:tc>
                <w:tcPr>
                  <w:tcW w:w="615" w:type="pct"/>
                  <w:tcBorders>
                    <w:top w:val="nil"/>
                    <w:left w:val="nil"/>
                    <w:bottom w:val="nil"/>
                    <w:right w:val="nil"/>
                  </w:tcBorders>
                  <w:noWrap/>
                  <w:vAlign w:val="center"/>
                </w:tcPr>
                <w:p w14:paraId="29EDF5F5"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33 362 867</w:t>
                  </w:r>
                </w:p>
              </w:tc>
              <w:tc>
                <w:tcPr>
                  <w:tcW w:w="571" w:type="pct"/>
                  <w:tcBorders>
                    <w:top w:val="nil"/>
                    <w:left w:val="nil"/>
                    <w:bottom w:val="nil"/>
                    <w:right w:val="nil"/>
                  </w:tcBorders>
                  <w:noWrap/>
                  <w:vAlign w:val="center"/>
                </w:tcPr>
                <w:p w14:paraId="29017406"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-536 671</w:t>
                  </w:r>
                </w:p>
              </w:tc>
            </w:tr>
            <w:tr w:rsidR="00607784" w:rsidRPr="00607784" w14:paraId="2110A5AD" w14:textId="77777777" w:rsidTr="00607784">
              <w:trPr>
                <w:trHeight w:val="330"/>
              </w:trPr>
              <w:tc>
                <w:tcPr>
                  <w:tcW w:w="1352" w:type="pct"/>
                  <w:tcBorders>
                    <w:top w:val="nil"/>
                    <w:left w:val="nil"/>
                    <w:bottom w:val="nil"/>
                    <w:right w:val="nil"/>
                  </w:tcBorders>
                  <w:noWrap/>
                  <w:vAlign w:val="center"/>
                  <w:hideMark/>
                </w:tcPr>
                <w:p w14:paraId="476BE6FC" w14:textId="77777777" w:rsidR="00607784" w:rsidRPr="00607784" w:rsidRDefault="00607784" w:rsidP="00607784">
                  <w:pPr>
                    <w:spacing w:line="240" w:lineRule="auto"/>
                    <w:rPr>
                      <w:rFonts w:eastAsia="Times New Roman" w:cs="Times New Roman"/>
                      <w:color w:val="000000"/>
                      <w:sz w:val="18"/>
                      <w:szCs w:val="18"/>
                      <w:lang w:eastAsia="sk-SK"/>
                    </w:rPr>
                  </w:pPr>
                  <w:r w:rsidRPr="00607784">
                    <w:rPr>
                      <w:rFonts w:eastAsia="Times New Roman" w:cs="Times New Roman"/>
                      <w:color w:val="000000"/>
                      <w:sz w:val="18"/>
                      <w:szCs w:val="18"/>
                      <w:lang w:eastAsia="sk-SK"/>
                    </w:rPr>
                    <w:t>v tom: bežné výdavky</w:t>
                  </w:r>
                </w:p>
              </w:tc>
              <w:tc>
                <w:tcPr>
                  <w:tcW w:w="616" w:type="pct"/>
                  <w:tcBorders>
                    <w:top w:val="nil"/>
                    <w:left w:val="nil"/>
                    <w:bottom w:val="nil"/>
                    <w:right w:val="nil"/>
                  </w:tcBorders>
                  <w:noWrap/>
                  <w:vAlign w:val="center"/>
                  <w:hideMark/>
                </w:tcPr>
                <w:p w14:paraId="1189241F"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26 649 828</w:t>
                  </w:r>
                </w:p>
              </w:tc>
              <w:tc>
                <w:tcPr>
                  <w:tcW w:w="615" w:type="pct"/>
                  <w:tcBorders>
                    <w:top w:val="nil"/>
                    <w:left w:val="nil"/>
                    <w:bottom w:val="nil"/>
                    <w:right w:val="nil"/>
                  </w:tcBorders>
                  <w:noWrap/>
                  <w:vAlign w:val="center"/>
                </w:tcPr>
                <w:p w14:paraId="553B732E"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26 985 766</w:t>
                  </w:r>
                </w:p>
              </w:tc>
              <w:tc>
                <w:tcPr>
                  <w:tcW w:w="615" w:type="pct"/>
                  <w:tcBorders>
                    <w:top w:val="nil"/>
                    <w:left w:val="nil"/>
                    <w:bottom w:val="nil"/>
                    <w:right w:val="nil"/>
                  </w:tcBorders>
                  <w:noWrap/>
                  <w:vAlign w:val="center"/>
                </w:tcPr>
                <w:p w14:paraId="64BE9535"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30 182 420</w:t>
                  </w:r>
                </w:p>
              </w:tc>
              <w:tc>
                <w:tcPr>
                  <w:tcW w:w="615" w:type="pct"/>
                  <w:tcBorders>
                    <w:top w:val="nil"/>
                    <w:left w:val="nil"/>
                    <w:bottom w:val="nil"/>
                    <w:right w:val="nil"/>
                  </w:tcBorders>
                  <w:noWrap/>
                  <w:vAlign w:val="center"/>
                </w:tcPr>
                <w:p w14:paraId="7E6F08DD"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29 374 146</w:t>
                  </w:r>
                </w:p>
              </w:tc>
              <w:tc>
                <w:tcPr>
                  <w:tcW w:w="615" w:type="pct"/>
                  <w:tcBorders>
                    <w:top w:val="nil"/>
                    <w:left w:val="nil"/>
                    <w:bottom w:val="nil"/>
                    <w:right w:val="nil"/>
                  </w:tcBorders>
                  <w:noWrap/>
                  <w:vAlign w:val="center"/>
                </w:tcPr>
                <w:p w14:paraId="04B3F4BC"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28 455 594</w:t>
                  </w:r>
                </w:p>
              </w:tc>
              <w:tc>
                <w:tcPr>
                  <w:tcW w:w="571" w:type="pct"/>
                  <w:tcBorders>
                    <w:top w:val="nil"/>
                    <w:left w:val="nil"/>
                    <w:bottom w:val="nil"/>
                    <w:right w:val="nil"/>
                  </w:tcBorders>
                  <w:noWrap/>
                  <w:vAlign w:val="center"/>
                </w:tcPr>
                <w:p w14:paraId="06C079E3"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-1 726 826</w:t>
                  </w:r>
                </w:p>
              </w:tc>
            </w:tr>
            <w:tr w:rsidR="00607784" w:rsidRPr="00607784" w14:paraId="613058CB" w14:textId="77777777" w:rsidTr="00607784">
              <w:trPr>
                <w:trHeight w:val="345"/>
              </w:trPr>
              <w:tc>
                <w:tcPr>
                  <w:tcW w:w="1352" w:type="pct"/>
                  <w:tcBorders>
                    <w:top w:val="nil"/>
                    <w:left w:val="nil"/>
                    <w:bottom w:val="single" w:sz="4" w:space="0" w:color="auto"/>
                    <w:right w:val="nil"/>
                  </w:tcBorders>
                  <w:noWrap/>
                  <w:vAlign w:val="center"/>
                  <w:hideMark/>
                </w:tcPr>
                <w:p w14:paraId="16B097C5" w14:textId="77777777" w:rsidR="00607784" w:rsidRPr="00607784" w:rsidRDefault="00607784" w:rsidP="00607784">
                  <w:pPr>
                    <w:spacing w:line="240" w:lineRule="auto"/>
                    <w:rPr>
                      <w:rFonts w:eastAsia="Times New Roman" w:cs="Times New Roman"/>
                      <w:color w:val="000000"/>
                      <w:sz w:val="18"/>
                      <w:szCs w:val="18"/>
                      <w:lang w:eastAsia="sk-SK"/>
                    </w:rPr>
                  </w:pPr>
                  <w:r w:rsidRPr="00607784">
                    <w:rPr>
                      <w:rFonts w:eastAsia="Times New Roman" w:cs="Times New Roman"/>
                      <w:color w:val="000000"/>
                      <w:sz w:val="18"/>
                      <w:szCs w:val="18"/>
                      <w:lang w:eastAsia="sk-SK"/>
                    </w:rPr>
                    <w:t xml:space="preserve">            kapitálové výdavky</w:t>
                  </w:r>
                </w:p>
              </w:tc>
              <w:tc>
                <w:tcPr>
                  <w:tcW w:w="616" w:type="pct"/>
                  <w:tcBorders>
                    <w:top w:val="nil"/>
                    <w:left w:val="nil"/>
                    <w:bottom w:val="single" w:sz="4" w:space="0" w:color="auto"/>
                    <w:right w:val="nil"/>
                  </w:tcBorders>
                  <w:noWrap/>
                  <w:vAlign w:val="center"/>
                  <w:hideMark/>
                </w:tcPr>
                <w:p w14:paraId="0FBB23B5"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4 714 155</w:t>
                  </w:r>
                </w:p>
              </w:tc>
              <w:tc>
                <w:tcPr>
                  <w:tcW w:w="615" w:type="pct"/>
                  <w:tcBorders>
                    <w:top w:val="nil"/>
                    <w:left w:val="nil"/>
                    <w:bottom w:val="single" w:sz="4" w:space="0" w:color="auto"/>
                    <w:right w:val="nil"/>
                  </w:tcBorders>
                  <w:noWrap/>
                  <w:vAlign w:val="center"/>
                </w:tcPr>
                <w:p w14:paraId="195580A4"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3 838 138</w:t>
                  </w:r>
                </w:p>
              </w:tc>
              <w:tc>
                <w:tcPr>
                  <w:tcW w:w="615" w:type="pct"/>
                  <w:tcBorders>
                    <w:top w:val="nil"/>
                    <w:left w:val="nil"/>
                    <w:bottom w:val="single" w:sz="4" w:space="0" w:color="auto"/>
                    <w:right w:val="nil"/>
                  </w:tcBorders>
                  <w:noWrap/>
                  <w:vAlign w:val="center"/>
                </w:tcPr>
                <w:p w14:paraId="0034DBAA"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 xml:space="preserve">3 717 118 </w:t>
                  </w:r>
                </w:p>
              </w:tc>
              <w:tc>
                <w:tcPr>
                  <w:tcW w:w="615" w:type="pct"/>
                  <w:tcBorders>
                    <w:top w:val="nil"/>
                    <w:left w:val="nil"/>
                    <w:bottom w:val="single" w:sz="4" w:space="0" w:color="auto"/>
                    <w:right w:val="nil"/>
                  </w:tcBorders>
                  <w:noWrap/>
                  <w:vAlign w:val="center"/>
                </w:tcPr>
                <w:p w14:paraId="06DBB232"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5 080 440</w:t>
                  </w:r>
                </w:p>
              </w:tc>
              <w:tc>
                <w:tcPr>
                  <w:tcW w:w="615" w:type="pct"/>
                  <w:tcBorders>
                    <w:top w:val="nil"/>
                    <w:left w:val="nil"/>
                    <w:bottom w:val="single" w:sz="4" w:space="0" w:color="auto"/>
                    <w:right w:val="nil"/>
                  </w:tcBorders>
                  <w:noWrap/>
                  <w:vAlign w:val="center"/>
                </w:tcPr>
                <w:p w14:paraId="354FECCD" w14:textId="77777777"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4 907 273</w:t>
                  </w:r>
                </w:p>
              </w:tc>
              <w:tc>
                <w:tcPr>
                  <w:tcW w:w="571" w:type="pct"/>
                  <w:tcBorders>
                    <w:top w:val="nil"/>
                    <w:left w:val="nil"/>
                    <w:bottom w:val="single" w:sz="4" w:space="0" w:color="auto"/>
                    <w:right w:val="nil"/>
                  </w:tcBorders>
                  <w:noWrap/>
                  <w:vAlign w:val="center"/>
                </w:tcPr>
                <w:p w14:paraId="563C4503" w14:textId="2EC8EF81" w:rsidR="00607784" w:rsidRPr="00607784" w:rsidRDefault="00607784" w:rsidP="00607784">
                  <w:pPr>
                    <w:spacing w:line="240" w:lineRule="auto"/>
                    <w:jc w:val="right"/>
                    <w:rPr>
                      <w:rFonts w:eastAsia="Times New Roman" w:cs="Times New Roman"/>
                      <w:color w:val="000000"/>
                      <w:sz w:val="18"/>
                      <w:szCs w:val="18"/>
                      <w:lang w:eastAsia="sk-SK"/>
                    </w:rPr>
                  </w:pPr>
                  <w:r w:rsidRPr="00607784">
                    <w:rPr>
                      <w:rFonts w:eastAsia="Times New Roman" w:cs="Times New Roman"/>
                      <w:color w:val="000000"/>
                      <w:sz w:val="18"/>
                      <w:szCs w:val="18"/>
                      <w:lang w:eastAsia="sk-SK"/>
                    </w:rPr>
                    <w:t xml:space="preserve">1 190 </w:t>
                  </w:r>
                  <w:r w:rsidR="00D90A0C" w:rsidRPr="00607784">
                    <w:rPr>
                      <w:rFonts w:eastAsia="Times New Roman" w:cs="Times New Roman"/>
                      <w:color w:val="000000"/>
                      <w:sz w:val="18"/>
                      <w:szCs w:val="18"/>
                      <w:lang w:eastAsia="sk-SK"/>
                    </w:rPr>
                    <w:t>15</w:t>
                  </w:r>
                  <w:r w:rsidR="00D90A0C">
                    <w:rPr>
                      <w:rFonts w:eastAsia="Times New Roman" w:cs="Times New Roman"/>
                      <w:color w:val="000000"/>
                      <w:sz w:val="18"/>
                      <w:szCs w:val="18"/>
                      <w:lang w:eastAsia="sk-SK"/>
                    </w:rPr>
                    <w:t>5</w:t>
                  </w:r>
                </w:p>
              </w:tc>
            </w:tr>
            <w:tr w:rsidR="00607784" w:rsidRPr="00607784" w14:paraId="3721006A" w14:textId="77777777" w:rsidTr="00607784">
              <w:trPr>
                <w:trHeight w:val="345"/>
              </w:trPr>
              <w:tc>
                <w:tcPr>
                  <w:tcW w:w="1352" w:type="pct"/>
                  <w:tcBorders>
                    <w:top w:val="single" w:sz="4" w:space="0" w:color="auto"/>
                    <w:left w:val="nil"/>
                    <w:bottom w:val="single" w:sz="4" w:space="0" w:color="auto"/>
                    <w:right w:val="nil"/>
                  </w:tcBorders>
                  <w:noWrap/>
                  <w:vAlign w:val="center"/>
                  <w:hideMark/>
                </w:tcPr>
                <w:p w14:paraId="16CB5E08" w14:textId="77777777" w:rsidR="00607784" w:rsidRPr="00607784" w:rsidRDefault="00607784" w:rsidP="00607784">
                  <w:pPr>
                    <w:spacing w:line="240" w:lineRule="auto"/>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Schodok (-)</w:t>
                  </w:r>
                </w:p>
              </w:tc>
              <w:tc>
                <w:tcPr>
                  <w:tcW w:w="616" w:type="pct"/>
                  <w:tcBorders>
                    <w:top w:val="single" w:sz="4" w:space="0" w:color="auto"/>
                    <w:left w:val="nil"/>
                    <w:bottom w:val="single" w:sz="4" w:space="0" w:color="auto"/>
                    <w:right w:val="nil"/>
                  </w:tcBorders>
                  <w:noWrap/>
                  <w:vAlign w:val="center"/>
                  <w:hideMark/>
                </w:tcPr>
                <w:p w14:paraId="12E31D2B"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-7 675 337</w:t>
                  </w:r>
                </w:p>
              </w:tc>
              <w:tc>
                <w:tcPr>
                  <w:tcW w:w="615" w:type="pct"/>
                  <w:tcBorders>
                    <w:top w:val="single" w:sz="4" w:space="0" w:color="auto"/>
                    <w:left w:val="nil"/>
                    <w:bottom w:val="single" w:sz="4" w:space="0" w:color="auto"/>
                    <w:right w:val="nil"/>
                  </w:tcBorders>
                  <w:noWrap/>
                  <w:vAlign w:val="center"/>
                </w:tcPr>
                <w:p w14:paraId="2DE2C04E"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-6 366 120</w:t>
                  </w:r>
                </w:p>
              </w:tc>
              <w:tc>
                <w:tcPr>
                  <w:tcW w:w="615" w:type="pct"/>
                  <w:tcBorders>
                    <w:top w:val="single" w:sz="4" w:space="0" w:color="auto"/>
                    <w:left w:val="nil"/>
                    <w:bottom w:val="single" w:sz="4" w:space="0" w:color="auto"/>
                    <w:right w:val="nil"/>
                  </w:tcBorders>
                  <w:noWrap/>
                  <w:vAlign w:val="center"/>
                </w:tcPr>
                <w:p w14:paraId="6EF84753"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-6 278 711</w:t>
                  </w:r>
                </w:p>
              </w:tc>
              <w:tc>
                <w:tcPr>
                  <w:tcW w:w="615" w:type="pct"/>
                  <w:tcBorders>
                    <w:top w:val="single" w:sz="4" w:space="0" w:color="auto"/>
                    <w:left w:val="nil"/>
                    <w:bottom w:val="single" w:sz="4" w:space="0" w:color="auto"/>
                    <w:right w:val="nil"/>
                  </w:tcBorders>
                  <w:noWrap/>
                  <w:vAlign w:val="center"/>
                </w:tcPr>
                <w:p w14:paraId="45D536EF"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-5 333 367</w:t>
                  </w:r>
                </w:p>
              </w:tc>
              <w:tc>
                <w:tcPr>
                  <w:tcW w:w="615" w:type="pct"/>
                  <w:tcBorders>
                    <w:top w:val="single" w:sz="4" w:space="0" w:color="auto"/>
                    <w:left w:val="nil"/>
                    <w:bottom w:val="single" w:sz="4" w:space="0" w:color="auto"/>
                    <w:right w:val="nil"/>
                  </w:tcBorders>
                  <w:noWrap/>
                  <w:vAlign w:val="center"/>
                </w:tcPr>
                <w:p w14:paraId="1FA94B5D"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-6 108 623</w:t>
                  </w:r>
                </w:p>
              </w:tc>
              <w:tc>
                <w:tcPr>
                  <w:tcW w:w="571" w:type="pct"/>
                  <w:tcBorders>
                    <w:top w:val="single" w:sz="4" w:space="0" w:color="auto"/>
                    <w:left w:val="nil"/>
                    <w:bottom w:val="single" w:sz="4" w:space="0" w:color="auto"/>
                    <w:right w:val="nil"/>
                  </w:tcBorders>
                  <w:noWrap/>
                  <w:vAlign w:val="center"/>
                </w:tcPr>
                <w:p w14:paraId="3CBCEEC6" w14:textId="77777777" w:rsidR="00607784" w:rsidRPr="00607784" w:rsidRDefault="00607784" w:rsidP="00607784">
                  <w:pPr>
                    <w:spacing w:line="240" w:lineRule="auto"/>
                    <w:jc w:val="right"/>
                    <w:rPr>
                      <w:rFonts w:eastAsia="Times New Roman" w:cs="Times New Roman"/>
                      <w:b/>
                      <w:bCs/>
                      <w:color w:val="000000"/>
                      <w:sz w:val="18"/>
                      <w:szCs w:val="18"/>
                      <w:lang w:eastAsia="sk-SK"/>
                    </w:rPr>
                  </w:pPr>
                  <w:r w:rsidRPr="00607784">
                    <w:rPr>
                      <w:rFonts w:eastAsia="Times New Roman" w:cs="Times New Roman"/>
                      <w:b/>
                      <w:bCs/>
                      <w:color w:val="000000"/>
                      <w:sz w:val="18"/>
                      <w:szCs w:val="18"/>
                      <w:lang w:eastAsia="sk-SK"/>
                    </w:rPr>
                    <w:t>170 088</w:t>
                  </w:r>
                </w:p>
              </w:tc>
            </w:tr>
          </w:tbl>
          <w:p w14:paraId="652A21BD" w14:textId="77777777" w:rsidR="004D69BF" w:rsidRPr="00607784" w:rsidRDefault="004D69BF" w:rsidP="00532D85">
            <w:pPr>
              <w:spacing w:line="240" w:lineRule="auto"/>
              <w:jc w:val="both"/>
              <w:rPr>
                <w:rFonts w:eastAsia="Times New Roman" w:cs="Times New Roman"/>
                <w:b/>
                <w:bCs/>
                <w:color w:val="2F75B5"/>
                <w:sz w:val="20"/>
                <w:szCs w:val="20"/>
                <w:lang w:eastAsia="sk-SK"/>
              </w:rPr>
            </w:pPr>
          </w:p>
        </w:tc>
      </w:tr>
    </w:tbl>
    <w:p w14:paraId="3D80E000" w14:textId="1C55609A" w:rsidR="004D69BF" w:rsidRPr="00607784" w:rsidRDefault="00792687" w:rsidP="004942CF">
      <w:pPr>
        <w:tabs>
          <w:tab w:val="right" w:pos="9070"/>
        </w:tabs>
        <w:spacing w:line="240" w:lineRule="auto"/>
        <w:jc w:val="both"/>
        <w:rPr>
          <w:sz w:val="18"/>
          <w:szCs w:val="18"/>
        </w:rPr>
      </w:pPr>
      <w:r w:rsidRPr="00607784">
        <w:rPr>
          <w:sz w:val="18"/>
          <w:szCs w:val="18"/>
        </w:rPr>
        <w:t xml:space="preserve">S – skutočnosť </w:t>
      </w:r>
      <w:r w:rsidR="003B03E0" w:rsidRPr="00607784">
        <w:rPr>
          <w:sz w:val="18"/>
          <w:szCs w:val="18"/>
        </w:rPr>
        <w:t>/ R – schválený rozpočet / UR – upravený rozpočet</w:t>
      </w:r>
      <w:r w:rsidR="0070263C" w:rsidRPr="00607784">
        <w:rPr>
          <w:sz w:val="18"/>
          <w:szCs w:val="18"/>
        </w:rPr>
        <w:t xml:space="preserve"> </w:t>
      </w:r>
      <w:r w:rsidR="00607784" w:rsidRPr="00607784">
        <w:rPr>
          <w:sz w:val="18"/>
          <w:szCs w:val="18"/>
        </w:rPr>
        <w:tab/>
      </w:r>
      <w:r w:rsidRPr="00607784">
        <w:rPr>
          <w:sz w:val="18"/>
          <w:szCs w:val="18"/>
        </w:rPr>
        <w:t>Zdroj: MF SR</w:t>
      </w:r>
    </w:p>
    <w:p w14:paraId="29916714" w14:textId="77777777" w:rsidR="00415273" w:rsidRPr="0050710A" w:rsidRDefault="00415273" w:rsidP="00532D85">
      <w:pPr>
        <w:spacing w:line="240" w:lineRule="auto"/>
        <w:jc w:val="both"/>
        <w:rPr>
          <w:szCs w:val="24"/>
          <w:highlight w:val="yellow"/>
        </w:rPr>
      </w:pPr>
    </w:p>
    <w:p w14:paraId="5154DDBC" w14:textId="4D380DB9" w:rsidR="0097130E" w:rsidRDefault="0097130E" w:rsidP="0097130E">
      <w:pPr>
        <w:spacing w:line="240" w:lineRule="auto"/>
        <w:jc w:val="both"/>
        <w:rPr>
          <w:szCs w:val="24"/>
        </w:rPr>
      </w:pPr>
      <w:r w:rsidRPr="00F00311">
        <w:rPr>
          <w:szCs w:val="24"/>
        </w:rPr>
        <w:t>Úpravy rozpočtu sa realizovali na základe aktualizovaných informácií o</w:t>
      </w:r>
      <w:r>
        <w:rPr>
          <w:szCs w:val="24"/>
        </w:rPr>
        <w:t> </w:t>
      </w:r>
      <w:r w:rsidRPr="00F00311">
        <w:rPr>
          <w:szCs w:val="24"/>
        </w:rPr>
        <w:t>plnení úloh a</w:t>
      </w:r>
      <w:r>
        <w:rPr>
          <w:szCs w:val="24"/>
        </w:rPr>
        <w:t> </w:t>
      </w:r>
      <w:r w:rsidRPr="00F00311">
        <w:rPr>
          <w:szCs w:val="24"/>
        </w:rPr>
        <w:t>požiadaviek jednotlivých kapitol ŠR počas rozpočtového rok</w:t>
      </w:r>
      <w:r>
        <w:rPr>
          <w:szCs w:val="24"/>
        </w:rPr>
        <w:t>a</w:t>
      </w:r>
      <w:r w:rsidRPr="00F00311">
        <w:rPr>
          <w:szCs w:val="24"/>
        </w:rPr>
        <w:t xml:space="preserve">, legislatívnych zmien, ktoré môžu priniesť zmenu v príjmoch alebo výdavkoch, ako aj na základe aktuálneho vývoja </w:t>
      </w:r>
      <w:r>
        <w:rPr>
          <w:szCs w:val="24"/>
        </w:rPr>
        <w:t xml:space="preserve">globálnej </w:t>
      </w:r>
      <w:r w:rsidRPr="00F00311">
        <w:rPr>
          <w:szCs w:val="24"/>
        </w:rPr>
        <w:t>ekonomiky a</w:t>
      </w:r>
      <w:r>
        <w:rPr>
          <w:szCs w:val="24"/>
        </w:rPr>
        <w:t> ekonomiky našej krajiny.</w:t>
      </w:r>
    </w:p>
    <w:p w14:paraId="0EF567E8" w14:textId="77777777" w:rsidR="0097130E" w:rsidRDefault="0097130E" w:rsidP="0097130E">
      <w:pPr>
        <w:spacing w:line="240" w:lineRule="auto"/>
        <w:jc w:val="both"/>
        <w:rPr>
          <w:szCs w:val="24"/>
        </w:rPr>
      </w:pPr>
    </w:p>
    <w:p w14:paraId="3FCB48C4" w14:textId="448C7684" w:rsidR="0097130E" w:rsidRDefault="0097130E" w:rsidP="0097130E">
      <w:pPr>
        <w:spacing w:line="240" w:lineRule="auto"/>
        <w:jc w:val="both"/>
        <w:rPr>
          <w:bCs/>
          <w:szCs w:val="24"/>
        </w:rPr>
      </w:pPr>
      <w:r w:rsidRPr="00B65422">
        <w:rPr>
          <w:bCs/>
          <w:szCs w:val="24"/>
        </w:rPr>
        <w:t>V priebehu rozpočtového roka 202</w:t>
      </w:r>
      <w:r>
        <w:rPr>
          <w:bCs/>
          <w:szCs w:val="24"/>
        </w:rPr>
        <w:t>5</w:t>
      </w:r>
      <w:r w:rsidRPr="00B65422">
        <w:rPr>
          <w:bCs/>
          <w:szCs w:val="24"/>
        </w:rPr>
        <w:t xml:space="preserve"> sa vykonali v súlade s rozpočtovými pravidlami rozpočtové opatrenia, ktoré </w:t>
      </w:r>
      <w:r>
        <w:rPr>
          <w:bCs/>
          <w:szCs w:val="24"/>
        </w:rPr>
        <w:t>smerovali schodok k úrovni 5 333 367 tis. eur. V tomto však nebol premietnutý očakávaný výpadok daňových príjmov (technicky cez úpravu rozpočtu v RIS-e) a ich výpadok bol kompenzovaný úpravou príjmov z grantov a následnou úpravou výdavkov. Zahraničné prostriedky z rozpočtu EÚ sa predpokladali naplniť vyššie o 1 507 943 tis. eur, z toho prostriedky POO predstavovali v úhrne 764 235 tis. eur a EŠIF 743 708 tis. eur. Išlo najmä o zapojenie prostriedkov viazaných v minulom roku. Nedaňové príjmy sa cez úpravy rozpočtu zmenili len minimálne, no nakoniec skutočnosť ich plnenia prevýšila plánovanú hodnotu o 404 477 tis. eur.</w:t>
      </w:r>
    </w:p>
    <w:p w14:paraId="5D2D0219" w14:textId="77777777" w:rsidR="0097130E" w:rsidRDefault="0097130E" w:rsidP="0097130E">
      <w:pPr>
        <w:spacing w:line="240" w:lineRule="auto"/>
        <w:jc w:val="both"/>
        <w:rPr>
          <w:bCs/>
          <w:szCs w:val="24"/>
        </w:rPr>
      </w:pPr>
    </w:p>
    <w:p w14:paraId="74B36E60" w14:textId="276C7AEE" w:rsidR="0097130E" w:rsidRDefault="0097130E" w:rsidP="0097130E">
      <w:pPr>
        <w:spacing w:line="240" w:lineRule="auto"/>
        <w:jc w:val="both"/>
        <w:rPr>
          <w:szCs w:val="24"/>
        </w:rPr>
      </w:pPr>
      <w:r>
        <w:rPr>
          <w:szCs w:val="24"/>
        </w:rPr>
        <w:t>Vývoj skutočnosti postupne počas roka 2025 prinášal nové dáta a informácie o vplyve externých ako aj domácich faktorov na dosiahnutie plnenia štátneho rozpočtu. V porovnaní s plánmi rozpočtu sa zhoršilo makroekonomické prostredie a nová prognóza odhadovala rast HDP na úrovni 1,3 % z pôvodne plánovaných 2,2 %. Hlavné dôvody boli spojené s neistotou v oblasti globálneho obchodu a zavedením amerických ciel poškodzujúcich export. Spomalenie rastu sa očakávalo aj u spotreby domácností, zamestnanosti a mzdovej úrovne v národnom hospodárstve. Uvedené makroekonomické ukazovatele sú rozhodujúce pre dosiahnutie plánovaných daňových príjmov štátneho rozpočtu, ktoré boli z uvedených dôvodov takisto očakávané nižšie ako v rozpočte na rok 2025</w:t>
      </w:r>
      <w:r w:rsidR="00952B49">
        <w:rPr>
          <w:szCs w:val="24"/>
        </w:rPr>
        <w:t>.</w:t>
      </w:r>
      <w:r>
        <w:rPr>
          <w:rStyle w:val="Odkaznapoznmkupodiarou"/>
          <w:szCs w:val="24"/>
        </w:rPr>
        <w:footnoteReference w:id="17"/>
      </w:r>
    </w:p>
    <w:p w14:paraId="229E5DA6" w14:textId="70FFB991" w:rsidR="0097130E" w:rsidRDefault="0097130E" w:rsidP="0097130E">
      <w:pPr>
        <w:spacing w:line="240" w:lineRule="auto"/>
        <w:jc w:val="both"/>
        <w:rPr>
          <w:szCs w:val="24"/>
        </w:rPr>
      </w:pPr>
      <w:r w:rsidRPr="00F00311">
        <w:rPr>
          <w:szCs w:val="24"/>
        </w:rPr>
        <w:t xml:space="preserve">Skutočné dosiahnuté hotovostné príjmy štátneho rozpočtu vo výške </w:t>
      </w:r>
      <w:r>
        <w:rPr>
          <w:szCs w:val="24"/>
        </w:rPr>
        <w:t xml:space="preserve">27 254 244 tis. eur </w:t>
      </w:r>
      <w:r w:rsidRPr="00F00311">
        <w:rPr>
          <w:szCs w:val="24"/>
        </w:rPr>
        <w:t xml:space="preserve">boli oproti schválenému rozpočtu </w:t>
      </w:r>
      <w:r>
        <w:rPr>
          <w:szCs w:val="24"/>
        </w:rPr>
        <w:t>nižšie</w:t>
      </w:r>
      <w:r w:rsidRPr="00F00311">
        <w:rPr>
          <w:szCs w:val="24"/>
        </w:rPr>
        <w:t xml:space="preserve"> o</w:t>
      </w:r>
      <w:r>
        <w:rPr>
          <w:szCs w:val="24"/>
        </w:rPr>
        <w:t> 366 583 tis. eur,</w:t>
      </w:r>
      <w:r w:rsidRPr="00F00311">
        <w:rPr>
          <w:szCs w:val="24"/>
        </w:rPr>
        <w:t xml:space="preserve"> a</w:t>
      </w:r>
      <w:r>
        <w:rPr>
          <w:szCs w:val="24"/>
        </w:rPr>
        <w:t>le</w:t>
      </w:r>
      <w:r w:rsidRPr="00F00311">
        <w:rPr>
          <w:szCs w:val="24"/>
        </w:rPr>
        <w:t xml:space="preserve"> oproti skutočnosti roku 202</w:t>
      </w:r>
      <w:r>
        <w:rPr>
          <w:szCs w:val="24"/>
        </w:rPr>
        <w:t>4</w:t>
      </w:r>
      <w:r w:rsidRPr="00F00311">
        <w:rPr>
          <w:szCs w:val="24"/>
        </w:rPr>
        <w:t xml:space="preserve"> boli vyššie o</w:t>
      </w:r>
      <w:r>
        <w:rPr>
          <w:szCs w:val="24"/>
        </w:rPr>
        <w:t> 2 796 460 tis. eur.</w:t>
      </w:r>
      <w:r w:rsidRPr="00F00311">
        <w:rPr>
          <w:szCs w:val="24"/>
        </w:rPr>
        <w:t xml:space="preserve"> Plnenie celkových príjmov štátneho rozpočtu </w:t>
      </w:r>
      <w:r>
        <w:rPr>
          <w:szCs w:val="24"/>
        </w:rPr>
        <w:t xml:space="preserve">v roku 2025 </w:t>
      </w:r>
      <w:r w:rsidRPr="00F00311">
        <w:rPr>
          <w:szCs w:val="24"/>
        </w:rPr>
        <w:t xml:space="preserve">dosiahlo </w:t>
      </w:r>
      <w:r>
        <w:rPr>
          <w:szCs w:val="24"/>
        </w:rPr>
        <w:t>98,7 %.</w:t>
      </w:r>
    </w:p>
    <w:p w14:paraId="26D71E51" w14:textId="77777777" w:rsidR="0097130E" w:rsidRPr="00F00311" w:rsidRDefault="0097130E" w:rsidP="0097130E">
      <w:pPr>
        <w:spacing w:line="240" w:lineRule="auto"/>
        <w:jc w:val="both"/>
        <w:rPr>
          <w:rFonts w:ascii="Calibri" w:eastAsia="Times New Roman" w:hAnsi="Calibri" w:cs="Calibri"/>
          <w:color w:val="000000"/>
          <w:lang w:eastAsia="sk-SK"/>
        </w:rPr>
      </w:pPr>
    </w:p>
    <w:p w14:paraId="307B7E0D" w14:textId="215548DD" w:rsidR="0097130E" w:rsidRPr="00F00311" w:rsidRDefault="0097130E" w:rsidP="0097130E">
      <w:pPr>
        <w:tabs>
          <w:tab w:val="left" w:pos="3598"/>
        </w:tabs>
        <w:spacing w:line="240" w:lineRule="auto"/>
        <w:jc w:val="both"/>
        <w:rPr>
          <w:szCs w:val="24"/>
        </w:rPr>
      </w:pPr>
      <w:r w:rsidRPr="00F00311">
        <w:rPr>
          <w:szCs w:val="24"/>
        </w:rPr>
        <w:t xml:space="preserve">Skutočné dosiahnuté hotovostné výdavky štátneho rozpočtu vo výške </w:t>
      </w:r>
      <w:r>
        <w:rPr>
          <w:szCs w:val="24"/>
        </w:rPr>
        <w:t xml:space="preserve">33 362 867 tis. eur </w:t>
      </w:r>
      <w:r w:rsidRPr="00F00311">
        <w:rPr>
          <w:szCs w:val="24"/>
        </w:rPr>
        <w:t xml:space="preserve">boli </w:t>
      </w:r>
      <w:r>
        <w:rPr>
          <w:szCs w:val="24"/>
        </w:rPr>
        <w:t xml:space="preserve">nižšie </w:t>
      </w:r>
      <w:r w:rsidRPr="00F00311">
        <w:rPr>
          <w:szCs w:val="24"/>
        </w:rPr>
        <w:t>ako v schválenom rozpočte, a to o</w:t>
      </w:r>
      <w:r>
        <w:rPr>
          <w:szCs w:val="24"/>
        </w:rPr>
        <w:t> 536 671</w:t>
      </w:r>
      <w:r w:rsidRPr="00F00311">
        <w:rPr>
          <w:szCs w:val="24"/>
        </w:rPr>
        <w:t xml:space="preserve"> tis. eur </w:t>
      </w:r>
      <w:r>
        <w:rPr>
          <w:szCs w:val="24"/>
        </w:rPr>
        <w:t xml:space="preserve">a v medziročnom porovnaní sú vyššie </w:t>
      </w:r>
      <w:r w:rsidRPr="00F00311">
        <w:rPr>
          <w:szCs w:val="24"/>
        </w:rPr>
        <w:t>o</w:t>
      </w:r>
      <w:r>
        <w:rPr>
          <w:szCs w:val="24"/>
        </w:rPr>
        <w:t> 2 538 963</w:t>
      </w:r>
      <w:r w:rsidRPr="00F00311">
        <w:rPr>
          <w:szCs w:val="24"/>
        </w:rPr>
        <w:t xml:space="preserve"> tis. eur. Plnenie celkových výdavkov štátneho rozpočtu dosiahlo </w:t>
      </w:r>
      <w:r>
        <w:rPr>
          <w:szCs w:val="24"/>
        </w:rPr>
        <w:t>98,4</w:t>
      </w:r>
      <w:r w:rsidRPr="00F00311">
        <w:rPr>
          <w:szCs w:val="24"/>
        </w:rPr>
        <w:t> % ich rozpočtovanej hodnoty.</w:t>
      </w:r>
    </w:p>
    <w:p w14:paraId="0C9F7CE9" w14:textId="77777777" w:rsidR="0097130E" w:rsidRDefault="0097130E" w:rsidP="0097130E">
      <w:pPr>
        <w:spacing w:line="240" w:lineRule="auto"/>
        <w:jc w:val="both"/>
        <w:rPr>
          <w:szCs w:val="24"/>
        </w:rPr>
      </w:pPr>
      <w:r w:rsidRPr="00F00311">
        <w:rPr>
          <w:szCs w:val="24"/>
        </w:rPr>
        <w:lastRenderedPageBreak/>
        <w:t>Prehľad o rozpočtovaných a skutočne dosiahnutých vybraných rozpočtových ukazovateľoch</w:t>
      </w:r>
      <w:r>
        <w:rPr>
          <w:szCs w:val="24"/>
        </w:rPr>
        <w:t xml:space="preserve"> v podobe tzv. základného rámca štátneho rozpočtu</w:t>
      </w:r>
      <w:r w:rsidRPr="00F00311">
        <w:rPr>
          <w:szCs w:val="24"/>
        </w:rPr>
        <w:t xml:space="preserve"> poskytuje nasledujúca tabuľka:</w:t>
      </w:r>
    </w:p>
    <w:p w14:paraId="1D6066F3" w14:textId="77777777" w:rsidR="00415273" w:rsidRPr="0050710A" w:rsidRDefault="00415273" w:rsidP="00532D85">
      <w:pPr>
        <w:spacing w:line="240" w:lineRule="auto"/>
        <w:jc w:val="both"/>
        <w:rPr>
          <w:szCs w:val="24"/>
          <w:highlight w:val="yellow"/>
        </w:rPr>
      </w:pPr>
    </w:p>
    <w:p w14:paraId="64248BE6" w14:textId="68A8FE7E" w:rsidR="00E545A8" w:rsidRDefault="00E545A8" w:rsidP="00532D85">
      <w:pPr>
        <w:pStyle w:val="Popis"/>
        <w:jc w:val="both"/>
        <w:rPr>
          <w:lang w:eastAsia="sk-SK"/>
        </w:rPr>
      </w:pPr>
      <w:bookmarkStart w:id="92" w:name="_Toc196313649"/>
      <w:bookmarkStart w:id="93" w:name="_Toc227670159"/>
      <w:r w:rsidRPr="00B25A31">
        <w:rPr>
          <w:lang w:eastAsia="sk-SK"/>
        </w:rPr>
        <w:t xml:space="preserve">Tabuľka </w:t>
      </w:r>
      <w:r w:rsidRPr="00B25A31">
        <w:rPr>
          <w:i/>
          <w:lang w:eastAsia="sk-SK"/>
        </w:rPr>
        <w:fldChar w:fldCharType="begin"/>
      </w:r>
      <w:r w:rsidRPr="00B25A31">
        <w:rPr>
          <w:lang w:eastAsia="sk-SK"/>
        </w:rPr>
        <w:instrText xml:space="preserve"> SEQ Tabuľka \* ARABIC </w:instrText>
      </w:r>
      <w:r w:rsidRPr="00B25A31">
        <w:rPr>
          <w:i/>
          <w:lang w:eastAsia="sk-SK"/>
        </w:rPr>
        <w:fldChar w:fldCharType="separate"/>
      </w:r>
      <w:r w:rsidR="00396BE8">
        <w:rPr>
          <w:noProof/>
          <w:lang w:eastAsia="sk-SK"/>
        </w:rPr>
        <w:t>23</w:t>
      </w:r>
      <w:r w:rsidRPr="00B25A31">
        <w:rPr>
          <w:i/>
          <w:lang w:eastAsia="sk-SK"/>
        </w:rPr>
        <w:fldChar w:fldCharType="end"/>
      </w:r>
      <w:r w:rsidRPr="00B25A31">
        <w:rPr>
          <w:lang w:eastAsia="sk-SK"/>
        </w:rPr>
        <w:t xml:space="preserve"> - Základný rámec štátneho rozpočtu</w:t>
      </w:r>
      <w:bookmarkEnd w:id="92"/>
      <w:bookmarkEnd w:id="93"/>
    </w:p>
    <w:tbl>
      <w:tblPr>
        <w:tblW w:w="5000" w:type="pct"/>
        <w:tblCellMar>
          <w:left w:w="70" w:type="dxa"/>
          <w:right w:w="70" w:type="dxa"/>
        </w:tblCellMar>
        <w:tblLook w:val="04A0" w:firstRow="1" w:lastRow="0" w:firstColumn="1" w:lastColumn="0" w:noHBand="0" w:noVBand="1"/>
      </w:tblPr>
      <w:tblGrid>
        <w:gridCol w:w="4071"/>
        <w:gridCol w:w="967"/>
        <w:gridCol w:w="965"/>
        <w:gridCol w:w="965"/>
        <w:gridCol w:w="1097"/>
        <w:gridCol w:w="1005"/>
      </w:tblGrid>
      <w:tr w:rsidR="00B25A31" w:rsidRPr="00D0395E" w14:paraId="077D7066" w14:textId="77777777" w:rsidTr="00B25A31">
        <w:trPr>
          <w:trHeight w:val="280"/>
          <w:tblHeader/>
        </w:trPr>
        <w:tc>
          <w:tcPr>
            <w:tcW w:w="2244" w:type="pct"/>
            <w:vMerge w:val="restart"/>
            <w:tcBorders>
              <w:top w:val="single" w:sz="4" w:space="0" w:color="auto"/>
              <w:left w:val="nil"/>
              <w:bottom w:val="single" w:sz="8" w:space="0" w:color="000000"/>
              <w:right w:val="nil"/>
            </w:tcBorders>
            <w:vAlign w:val="center"/>
            <w:hideMark/>
          </w:tcPr>
          <w:p w14:paraId="28269D22" w14:textId="77777777" w:rsidR="00B25A31" w:rsidRPr="00D0395E" w:rsidRDefault="00B25A31"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33" w:type="pct"/>
            <w:tcBorders>
              <w:top w:val="single" w:sz="4" w:space="0" w:color="auto"/>
              <w:left w:val="nil"/>
              <w:bottom w:val="nil"/>
              <w:right w:val="nil"/>
            </w:tcBorders>
            <w:vAlign w:val="center"/>
            <w:hideMark/>
          </w:tcPr>
          <w:p w14:paraId="6C66DC51"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532" w:type="pct"/>
            <w:tcBorders>
              <w:top w:val="single" w:sz="4" w:space="0" w:color="auto"/>
              <w:left w:val="nil"/>
              <w:bottom w:val="nil"/>
              <w:right w:val="nil"/>
            </w:tcBorders>
            <w:vAlign w:val="center"/>
            <w:hideMark/>
          </w:tcPr>
          <w:p w14:paraId="411F0DC1"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532" w:type="pct"/>
            <w:tcBorders>
              <w:top w:val="single" w:sz="4" w:space="0" w:color="auto"/>
              <w:left w:val="nil"/>
              <w:bottom w:val="nil"/>
              <w:right w:val="nil"/>
            </w:tcBorders>
            <w:vAlign w:val="center"/>
            <w:hideMark/>
          </w:tcPr>
          <w:p w14:paraId="5F5F888B"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R</w:t>
            </w:r>
          </w:p>
        </w:tc>
        <w:tc>
          <w:tcPr>
            <w:tcW w:w="605" w:type="pct"/>
            <w:tcBorders>
              <w:top w:val="single" w:sz="4" w:space="0" w:color="auto"/>
              <w:left w:val="nil"/>
              <w:bottom w:val="nil"/>
              <w:right w:val="nil"/>
            </w:tcBorders>
            <w:vAlign w:val="center"/>
            <w:hideMark/>
          </w:tcPr>
          <w:p w14:paraId="6F0617C2"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c>
          <w:tcPr>
            <w:tcW w:w="555" w:type="pct"/>
            <w:tcBorders>
              <w:top w:val="single" w:sz="4" w:space="0" w:color="auto"/>
              <w:left w:val="nil"/>
              <w:bottom w:val="nil"/>
              <w:right w:val="nil"/>
            </w:tcBorders>
            <w:vAlign w:val="center"/>
            <w:hideMark/>
          </w:tcPr>
          <w:p w14:paraId="57CA5075"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B25A31" w:rsidRPr="00D0395E" w14:paraId="588CFDFE" w14:textId="77777777" w:rsidTr="00B25A31">
        <w:trPr>
          <w:trHeight w:val="290"/>
          <w:tblHeader/>
        </w:trPr>
        <w:tc>
          <w:tcPr>
            <w:tcW w:w="2244" w:type="pct"/>
            <w:vMerge/>
            <w:tcBorders>
              <w:top w:val="nil"/>
              <w:left w:val="nil"/>
              <w:bottom w:val="single" w:sz="4" w:space="0" w:color="auto"/>
              <w:right w:val="nil"/>
            </w:tcBorders>
            <w:vAlign w:val="center"/>
            <w:hideMark/>
          </w:tcPr>
          <w:p w14:paraId="724DAF00" w14:textId="77777777" w:rsidR="00B25A31" w:rsidRPr="00D0395E" w:rsidRDefault="00B25A31" w:rsidP="005442D6">
            <w:pPr>
              <w:spacing w:line="240" w:lineRule="auto"/>
              <w:rPr>
                <w:rFonts w:eastAsia="Times New Roman" w:cs="Times New Roman"/>
                <w:b/>
                <w:bCs/>
                <w:color w:val="000000"/>
                <w:sz w:val="18"/>
                <w:szCs w:val="18"/>
                <w:lang w:eastAsia="sk-SK"/>
              </w:rPr>
            </w:pPr>
          </w:p>
        </w:tc>
        <w:tc>
          <w:tcPr>
            <w:tcW w:w="533" w:type="pct"/>
            <w:tcBorders>
              <w:top w:val="nil"/>
              <w:left w:val="nil"/>
              <w:bottom w:val="single" w:sz="4" w:space="0" w:color="auto"/>
              <w:right w:val="nil"/>
            </w:tcBorders>
            <w:noWrap/>
            <w:vAlign w:val="center"/>
            <w:hideMark/>
          </w:tcPr>
          <w:p w14:paraId="293F8AD0"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32" w:type="pct"/>
            <w:tcBorders>
              <w:top w:val="nil"/>
              <w:left w:val="nil"/>
              <w:bottom w:val="single" w:sz="4" w:space="0" w:color="auto"/>
              <w:right w:val="nil"/>
            </w:tcBorders>
            <w:noWrap/>
            <w:vAlign w:val="center"/>
            <w:hideMark/>
          </w:tcPr>
          <w:p w14:paraId="05BD1220"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32" w:type="pct"/>
            <w:tcBorders>
              <w:top w:val="nil"/>
              <w:left w:val="nil"/>
              <w:bottom w:val="single" w:sz="4" w:space="0" w:color="auto"/>
              <w:right w:val="nil"/>
            </w:tcBorders>
            <w:noWrap/>
            <w:vAlign w:val="center"/>
            <w:hideMark/>
          </w:tcPr>
          <w:p w14:paraId="416D10D2"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605" w:type="pct"/>
            <w:tcBorders>
              <w:top w:val="nil"/>
              <w:left w:val="nil"/>
              <w:bottom w:val="single" w:sz="4" w:space="0" w:color="auto"/>
              <w:right w:val="nil"/>
            </w:tcBorders>
            <w:noWrap/>
            <w:vAlign w:val="center"/>
            <w:hideMark/>
          </w:tcPr>
          <w:p w14:paraId="102B0ECD"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55" w:type="pct"/>
            <w:tcBorders>
              <w:top w:val="nil"/>
              <w:left w:val="nil"/>
              <w:bottom w:val="single" w:sz="4" w:space="0" w:color="auto"/>
              <w:right w:val="nil"/>
            </w:tcBorders>
            <w:noWrap/>
            <w:vAlign w:val="center"/>
            <w:hideMark/>
          </w:tcPr>
          <w:p w14:paraId="5EE37F06" w14:textId="77777777" w:rsidR="00B25A31" w:rsidRPr="00D0395E" w:rsidRDefault="00B25A31"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B25A31" w:rsidRPr="00D0395E" w14:paraId="75188421" w14:textId="77777777" w:rsidTr="00B25A31">
        <w:trPr>
          <w:trHeight w:val="280"/>
        </w:trPr>
        <w:tc>
          <w:tcPr>
            <w:tcW w:w="2244" w:type="pct"/>
            <w:tcBorders>
              <w:top w:val="single" w:sz="4" w:space="0" w:color="auto"/>
              <w:left w:val="nil"/>
              <w:bottom w:val="nil"/>
              <w:right w:val="nil"/>
            </w:tcBorders>
            <w:noWrap/>
            <w:vAlign w:val="center"/>
            <w:hideMark/>
          </w:tcPr>
          <w:p w14:paraId="33F8D9EF" w14:textId="77777777" w:rsidR="00B25A31" w:rsidRPr="00D0395E" w:rsidRDefault="00B25A31"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Príjmy štátneho rozpočtu</w:t>
            </w:r>
          </w:p>
        </w:tc>
        <w:tc>
          <w:tcPr>
            <w:tcW w:w="533" w:type="pct"/>
            <w:tcBorders>
              <w:top w:val="single" w:sz="4" w:space="0" w:color="auto"/>
              <w:left w:val="nil"/>
              <w:bottom w:val="nil"/>
              <w:right w:val="nil"/>
            </w:tcBorders>
            <w:noWrap/>
            <w:vAlign w:val="center"/>
            <w:hideMark/>
          </w:tcPr>
          <w:p w14:paraId="6CCD6570"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23 688 646</w:t>
            </w:r>
          </w:p>
        </w:tc>
        <w:tc>
          <w:tcPr>
            <w:tcW w:w="532" w:type="pct"/>
            <w:tcBorders>
              <w:top w:val="single" w:sz="4" w:space="0" w:color="auto"/>
              <w:left w:val="nil"/>
              <w:bottom w:val="nil"/>
              <w:right w:val="nil"/>
            </w:tcBorders>
            <w:noWrap/>
            <w:vAlign w:val="center"/>
          </w:tcPr>
          <w:p w14:paraId="1EB95BB2"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24 457 784</w:t>
            </w:r>
          </w:p>
        </w:tc>
        <w:tc>
          <w:tcPr>
            <w:tcW w:w="532" w:type="pct"/>
            <w:tcBorders>
              <w:top w:val="single" w:sz="4" w:space="0" w:color="auto"/>
              <w:left w:val="nil"/>
              <w:bottom w:val="nil"/>
              <w:right w:val="nil"/>
            </w:tcBorders>
            <w:noWrap/>
            <w:vAlign w:val="center"/>
          </w:tcPr>
          <w:p w14:paraId="47FF859E"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27 620 827</w:t>
            </w:r>
          </w:p>
        </w:tc>
        <w:tc>
          <w:tcPr>
            <w:tcW w:w="605" w:type="pct"/>
            <w:tcBorders>
              <w:top w:val="single" w:sz="4" w:space="0" w:color="auto"/>
              <w:left w:val="nil"/>
              <w:bottom w:val="nil"/>
              <w:right w:val="nil"/>
            </w:tcBorders>
            <w:noWrap/>
            <w:vAlign w:val="center"/>
          </w:tcPr>
          <w:p w14:paraId="30B5E2F4"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27 254 244</w:t>
            </w:r>
          </w:p>
        </w:tc>
        <w:tc>
          <w:tcPr>
            <w:tcW w:w="555" w:type="pct"/>
            <w:tcBorders>
              <w:top w:val="single" w:sz="4" w:space="0" w:color="auto"/>
              <w:left w:val="nil"/>
              <w:bottom w:val="nil"/>
              <w:right w:val="nil"/>
            </w:tcBorders>
            <w:noWrap/>
            <w:vAlign w:val="center"/>
          </w:tcPr>
          <w:p w14:paraId="4CD07B57"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-366 583</w:t>
            </w:r>
          </w:p>
        </w:tc>
      </w:tr>
      <w:tr w:rsidR="00B25A31" w:rsidRPr="00D0395E" w14:paraId="4CD99D5A" w14:textId="77777777" w:rsidTr="00B25A31">
        <w:trPr>
          <w:trHeight w:val="280"/>
        </w:trPr>
        <w:tc>
          <w:tcPr>
            <w:tcW w:w="2244" w:type="pct"/>
            <w:tcBorders>
              <w:top w:val="nil"/>
              <w:left w:val="nil"/>
              <w:bottom w:val="nil"/>
              <w:right w:val="nil"/>
            </w:tcBorders>
            <w:noWrap/>
            <w:vAlign w:val="center"/>
            <w:hideMark/>
          </w:tcPr>
          <w:p w14:paraId="4891E9C9"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Daňové príjmy</w:t>
            </w:r>
          </w:p>
        </w:tc>
        <w:tc>
          <w:tcPr>
            <w:tcW w:w="533" w:type="pct"/>
            <w:tcBorders>
              <w:top w:val="nil"/>
              <w:left w:val="nil"/>
              <w:bottom w:val="nil"/>
              <w:right w:val="nil"/>
            </w:tcBorders>
            <w:noWrap/>
            <w:vAlign w:val="center"/>
            <w:hideMark/>
          </w:tcPr>
          <w:p w14:paraId="20C2B158"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17 440 976</w:t>
            </w:r>
          </w:p>
        </w:tc>
        <w:tc>
          <w:tcPr>
            <w:tcW w:w="532" w:type="pct"/>
            <w:tcBorders>
              <w:top w:val="nil"/>
              <w:left w:val="nil"/>
              <w:bottom w:val="nil"/>
              <w:right w:val="nil"/>
            </w:tcBorders>
            <w:noWrap/>
            <w:vAlign w:val="center"/>
          </w:tcPr>
          <w:p w14:paraId="681A30F8"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18 350 788</w:t>
            </w:r>
          </w:p>
        </w:tc>
        <w:tc>
          <w:tcPr>
            <w:tcW w:w="532" w:type="pct"/>
            <w:tcBorders>
              <w:top w:val="nil"/>
              <w:left w:val="nil"/>
              <w:bottom w:val="nil"/>
              <w:right w:val="nil"/>
            </w:tcBorders>
            <w:noWrap/>
            <w:vAlign w:val="center"/>
          </w:tcPr>
          <w:p w14:paraId="4FD5762E"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22 452 482</w:t>
            </w:r>
          </w:p>
        </w:tc>
        <w:tc>
          <w:tcPr>
            <w:tcW w:w="605" w:type="pct"/>
            <w:tcBorders>
              <w:top w:val="nil"/>
              <w:left w:val="nil"/>
              <w:bottom w:val="nil"/>
              <w:right w:val="nil"/>
            </w:tcBorders>
            <w:noWrap/>
            <w:vAlign w:val="center"/>
          </w:tcPr>
          <w:p w14:paraId="4B23A59E"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20 653 206</w:t>
            </w:r>
          </w:p>
        </w:tc>
        <w:tc>
          <w:tcPr>
            <w:tcW w:w="555" w:type="pct"/>
            <w:tcBorders>
              <w:top w:val="nil"/>
              <w:left w:val="nil"/>
              <w:bottom w:val="nil"/>
              <w:right w:val="nil"/>
            </w:tcBorders>
            <w:noWrap/>
            <w:vAlign w:val="center"/>
          </w:tcPr>
          <w:p w14:paraId="31956F3F"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-1 799 276</w:t>
            </w:r>
          </w:p>
        </w:tc>
      </w:tr>
      <w:tr w:rsidR="00B25A31" w:rsidRPr="00D0395E" w14:paraId="042C3F78" w14:textId="77777777" w:rsidTr="00B25A31">
        <w:trPr>
          <w:trHeight w:val="280"/>
        </w:trPr>
        <w:tc>
          <w:tcPr>
            <w:tcW w:w="2244" w:type="pct"/>
            <w:tcBorders>
              <w:top w:val="nil"/>
              <w:left w:val="nil"/>
              <w:bottom w:val="nil"/>
              <w:right w:val="nil"/>
            </w:tcBorders>
            <w:noWrap/>
            <w:vAlign w:val="center"/>
            <w:hideMark/>
          </w:tcPr>
          <w:p w14:paraId="53765AE3"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Plán obnovy a odolnosti - príjmy</w:t>
            </w:r>
          </w:p>
        </w:tc>
        <w:tc>
          <w:tcPr>
            <w:tcW w:w="533" w:type="pct"/>
            <w:tcBorders>
              <w:top w:val="nil"/>
              <w:left w:val="nil"/>
              <w:bottom w:val="nil"/>
              <w:right w:val="nil"/>
            </w:tcBorders>
            <w:noWrap/>
            <w:vAlign w:val="center"/>
            <w:hideMark/>
          </w:tcPr>
          <w:p w14:paraId="7E89A475"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367 278</w:t>
            </w:r>
          </w:p>
        </w:tc>
        <w:tc>
          <w:tcPr>
            <w:tcW w:w="532" w:type="pct"/>
            <w:tcBorders>
              <w:top w:val="nil"/>
              <w:left w:val="nil"/>
              <w:bottom w:val="nil"/>
              <w:right w:val="nil"/>
            </w:tcBorders>
            <w:noWrap/>
            <w:vAlign w:val="center"/>
          </w:tcPr>
          <w:p w14:paraId="01770F39"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907 200</w:t>
            </w:r>
          </w:p>
        </w:tc>
        <w:tc>
          <w:tcPr>
            <w:tcW w:w="532" w:type="pct"/>
            <w:tcBorders>
              <w:top w:val="nil"/>
              <w:left w:val="nil"/>
              <w:bottom w:val="nil"/>
              <w:right w:val="nil"/>
            </w:tcBorders>
            <w:noWrap/>
            <w:vAlign w:val="center"/>
          </w:tcPr>
          <w:p w14:paraId="4F8FB4C7"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1 205 546</w:t>
            </w:r>
          </w:p>
        </w:tc>
        <w:tc>
          <w:tcPr>
            <w:tcW w:w="605" w:type="pct"/>
            <w:tcBorders>
              <w:top w:val="nil"/>
              <w:left w:val="nil"/>
              <w:bottom w:val="nil"/>
              <w:right w:val="nil"/>
            </w:tcBorders>
            <w:noWrap/>
            <w:vAlign w:val="center"/>
          </w:tcPr>
          <w:p w14:paraId="5717238A" w14:textId="11C5AC4A"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1 969 </w:t>
            </w:r>
            <w:r w:rsidR="00D90A0C">
              <w:rPr>
                <w:rFonts w:eastAsia="Times New Roman" w:cs="Times New Roman"/>
                <w:color w:val="000000"/>
                <w:sz w:val="18"/>
                <w:szCs w:val="18"/>
                <w:lang w:eastAsia="sk-SK"/>
              </w:rPr>
              <w:t>781</w:t>
            </w:r>
          </w:p>
        </w:tc>
        <w:tc>
          <w:tcPr>
            <w:tcW w:w="555" w:type="pct"/>
            <w:tcBorders>
              <w:top w:val="nil"/>
              <w:left w:val="nil"/>
              <w:bottom w:val="nil"/>
              <w:right w:val="nil"/>
            </w:tcBorders>
            <w:noWrap/>
            <w:vAlign w:val="center"/>
          </w:tcPr>
          <w:p w14:paraId="2DBB43FE" w14:textId="3079DB0C"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764 </w:t>
            </w:r>
            <w:r w:rsidR="00D90A0C">
              <w:rPr>
                <w:rFonts w:eastAsia="Times New Roman" w:cs="Times New Roman"/>
                <w:color w:val="000000"/>
                <w:sz w:val="18"/>
                <w:szCs w:val="18"/>
                <w:lang w:eastAsia="sk-SK"/>
              </w:rPr>
              <w:t>235</w:t>
            </w:r>
          </w:p>
        </w:tc>
      </w:tr>
      <w:tr w:rsidR="00B25A31" w:rsidRPr="00D0395E" w14:paraId="20693BE2" w14:textId="77777777" w:rsidTr="00B25A31">
        <w:trPr>
          <w:trHeight w:val="280"/>
        </w:trPr>
        <w:tc>
          <w:tcPr>
            <w:tcW w:w="2244" w:type="pct"/>
            <w:tcBorders>
              <w:top w:val="nil"/>
              <w:left w:val="nil"/>
              <w:bottom w:val="nil"/>
              <w:right w:val="nil"/>
            </w:tcBorders>
            <w:noWrap/>
            <w:vAlign w:val="center"/>
            <w:hideMark/>
          </w:tcPr>
          <w:p w14:paraId="308B8A0E"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EÚ príjmy*</w:t>
            </w:r>
          </w:p>
        </w:tc>
        <w:tc>
          <w:tcPr>
            <w:tcW w:w="533" w:type="pct"/>
            <w:tcBorders>
              <w:top w:val="nil"/>
              <w:left w:val="nil"/>
              <w:bottom w:val="nil"/>
              <w:right w:val="nil"/>
            </w:tcBorders>
            <w:noWrap/>
            <w:vAlign w:val="center"/>
            <w:hideMark/>
          </w:tcPr>
          <w:p w14:paraId="743BFC0C"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4 141 996</w:t>
            </w:r>
          </w:p>
        </w:tc>
        <w:tc>
          <w:tcPr>
            <w:tcW w:w="532" w:type="pct"/>
            <w:tcBorders>
              <w:top w:val="nil"/>
              <w:left w:val="nil"/>
              <w:bottom w:val="nil"/>
              <w:right w:val="nil"/>
            </w:tcBorders>
            <w:noWrap/>
            <w:vAlign w:val="center"/>
          </w:tcPr>
          <w:p w14:paraId="3C4144B5"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3 225 492</w:t>
            </w:r>
          </w:p>
        </w:tc>
        <w:tc>
          <w:tcPr>
            <w:tcW w:w="532" w:type="pct"/>
            <w:tcBorders>
              <w:top w:val="nil"/>
              <w:left w:val="nil"/>
              <w:bottom w:val="nil"/>
              <w:right w:val="nil"/>
            </w:tcBorders>
            <w:noWrap/>
            <w:vAlign w:val="center"/>
          </w:tcPr>
          <w:p w14:paraId="2EF5A068" w14:textId="6380FB4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2 142 </w:t>
            </w:r>
            <w:r w:rsidR="00D90A0C">
              <w:rPr>
                <w:rFonts w:eastAsia="Times New Roman" w:cs="Times New Roman"/>
                <w:color w:val="000000"/>
                <w:sz w:val="18"/>
                <w:szCs w:val="18"/>
                <w:lang w:eastAsia="sk-SK"/>
              </w:rPr>
              <w:t>252</w:t>
            </w:r>
          </w:p>
        </w:tc>
        <w:tc>
          <w:tcPr>
            <w:tcW w:w="605" w:type="pct"/>
            <w:tcBorders>
              <w:top w:val="nil"/>
              <w:left w:val="nil"/>
              <w:bottom w:val="nil"/>
              <w:right w:val="nil"/>
            </w:tcBorders>
            <w:noWrap/>
            <w:vAlign w:val="center"/>
          </w:tcPr>
          <w:p w14:paraId="201788A7"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2 407 529</w:t>
            </w:r>
          </w:p>
        </w:tc>
        <w:tc>
          <w:tcPr>
            <w:tcW w:w="555" w:type="pct"/>
            <w:tcBorders>
              <w:top w:val="nil"/>
              <w:left w:val="nil"/>
              <w:bottom w:val="nil"/>
              <w:right w:val="nil"/>
            </w:tcBorders>
            <w:noWrap/>
            <w:vAlign w:val="center"/>
          </w:tcPr>
          <w:p w14:paraId="41E24476" w14:textId="55B31B90"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265 </w:t>
            </w:r>
            <w:r w:rsidR="00D90A0C">
              <w:rPr>
                <w:rFonts w:eastAsia="Times New Roman" w:cs="Times New Roman"/>
                <w:color w:val="000000"/>
                <w:sz w:val="18"/>
                <w:szCs w:val="18"/>
                <w:lang w:eastAsia="sk-SK"/>
              </w:rPr>
              <w:t>277</w:t>
            </w:r>
          </w:p>
        </w:tc>
      </w:tr>
      <w:tr w:rsidR="00B25A31" w:rsidRPr="00D0395E" w14:paraId="728AA7FF" w14:textId="77777777" w:rsidTr="00B25A31">
        <w:trPr>
          <w:trHeight w:val="280"/>
        </w:trPr>
        <w:tc>
          <w:tcPr>
            <w:tcW w:w="2244" w:type="pct"/>
            <w:tcBorders>
              <w:top w:val="nil"/>
              <w:left w:val="nil"/>
              <w:bottom w:val="nil"/>
              <w:right w:val="nil"/>
            </w:tcBorders>
            <w:noWrap/>
            <w:vAlign w:val="center"/>
            <w:hideMark/>
          </w:tcPr>
          <w:p w14:paraId="002B1EDA"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Dividendy a iné príjmy z podnikania</w:t>
            </w:r>
          </w:p>
        </w:tc>
        <w:tc>
          <w:tcPr>
            <w:tcW w:w="533" w:type="pct"/>
            <w:tcBorders>
              <w:top w:val="nil"/>
              <w:left w:val="nil"/>
              <w:bottom w:val="nil"/>
              <w:right w:val="nil"/>
            </w:tcBorders>
            <w:noWrap/>
            <w:vAlign w:val="center"/>
            <w:hideMark/>
          </w:tcPr>
          <w:p w14:paraId="114B4B31"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592 612</w:t>
            </w:r>
          </w:p>
        </w:tc>
        <w:tc>
          <w:tcPr>
            <w:tcW w:w="532" w:type="pct"/>
            <w:tcBorders>
              <w:top w:val="nil"/>
              <w:left w:val="nil"/>
              <w:bottom w:val="nil"/>
              <w:right w:val="nil"/>
            </w:tcBorders>
            <w:noWrap/>
            <w:vAlign w:val="center"/>
          </w:tcPr>
          <w:p w14:paraId="109060E9"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528 522</w:t>
            </w:r>
          </w:p>
        </w:tc>
        <w:tc>
          <w:tcPr>
            <w:tcW w:w="532" w:type="pct"/>
            <w:tcBorders>
              <w:top w:val="nil"/>
              <w:left w:val="nil"/>
              <w:bottom w:val="nil"/>
              <w:right w:val="nil"/>
            </w:tcBorders>
            <w:noWrap/>
            <w:vAlign w:val="center"/>
          </w:tcPr>
          <w:p w14:paraId="0DE27EC7"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529 669</w:t>
            </w:r>
          </w:p>
        </w:tc>
        <w:tc>
          <w:tcPr>
            <w:tcW w:w="605" w:type="pct"/>
            <w:tcBorders>
              <w:top w:val="nil"/>
              <w:left w:val="nil"/>
              <w:bottom w:val="nil"/>
              <w:right w:val="nil"/>
            </w:tcBorders>
            <w:noWrap/>
            <w:vAlign w:val="center"/>
          </w:tcPr>
          <w:p w14:paraId="452663CD"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726 752</w:t>
            </w:r>
          </w:p>
        </w:tc>
        <w:tc>
          <w:tcPr>
            <w:tcW w:w="555" w:type="pct"/>
            <w:tcBorders>
              <w:top w:val="nil"/>
              <w:left w:val="nil"/>
              <w:bottom w:val="nil"/>
              <w:right w:val="nil"/>
            </w:tcBorders>
            <w:noWrap/>
            <w:vAlign w:val="center"/>
          </w:tcPr>
          <w:p w14:paraId="6CCF94C1"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197 083</w:t>
            </w:r>
          </w:p>
        </w:tc>
      </w:tr>
      <w:tr w:rsidR="00B25A31" w:rsidRPr="00D0395E" w14:paraId="706C8BE5" w14:textId="77777777" w:rsidTr="00B25A31">
        <w:trPr>
          <w:trHeight w:val="280"/>
        </w:trPr>
        <w:tc>
          <w:tcPr>
            <w:tcW w:w="2244" w:type="pct"/>
            <w:tcBorders>
              <w:top w:val="nil"/>
              <w:left w:val="nil"/>
              <w:bottom w:val="nil"/>
              <w:right w:val="nil"/>
            </w:tcBorders>
            <w:noWrap/>
            <w:vAlign w:val="center"/>
            <w:hideMark/>
          </w:tcPr>
          <w:p w14:paraId="4C5BD374"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Ostatné príjmy</w:t>
            </w:r>
          </w:p>
        </w:tc>
        <w:tc>
          <w:tcPr>
            <w:tcW w:w="533" w:type="pct"/>
            <w:tcBorders>
              <w:top w:val="nil"/>
              <w:left w:val="nil"/>
              <w:bottom w:val="nil"/>
              <w:right w:val="nil"/>
            </w:tcBorders>
            <w:noWrap/>
            <w:vAlign w:val="center"/>
            <w:hideMark/>
          </w:tcPr>
          <w:p w14:paraId="79CBDFAE"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1 143 049</w:t>
            </w:r>
          </w:p>
        </w:tc>
        <w:tc>
          <w:tcPr>
            <w:tcW w:w="532" w:type="pct"/>
            <w:tcBorders>
              <w:top w:val="nil"/>
              <w:left w:val="nil"/>
              <w:bottom w:val="nil"/>
              <w:right w:val="nil"/>
            </w:tcBorders>
            <w:noWrap/>
            <w:vAlign w:val="center"/>
          </w:tcPr>
          <w:p w14:paraId="1D510E8C"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1 441 462</w:t>
            </w:r>
          </w:p>
        </w:tc>
        <w:tc>
          <w:tcPr>
            <w:tcW w:w="532" w:type="pct"/>
            <w:tcBorders>
              <w:top w:val="nil"/>
              <w:left w:val="nil"/>
              <w:bottom w:val="nil"/>
              <w:right w:val="nil"/>
            </w:tcBorders>
            <w:noWrap/>
            <w:vAlign w:val="center"/>
          </w:tcPr>
          <w:p w14:paraId="49A7DFE9" w14:textId="49015502"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1 287 </w:t>
            </w:r>
            <w:r w:rsidR="00D90A0C">
              <w:rPr>
                <w:rFonts w:eastAsia="Times New Roman" w:cs="Times New Roman"/>
                <w:color w:val="000000"/>
                <w:sz w:val="18"/>
                <w:szCs w:val="18"/>
                <w:lang w:eastAsia="sk-SK"/>
              </w:rPr>
              <w:t>909</w:t>
            </w:r>
          </w:p>
        </w:tc>
        <w:tc>
          <w:tcPr>
            <w:tcW w:w="605" w:type="pct"/>
            <w:tcBorders>
              <w:top w:val="nil"/>
              <w:left w:val="nil"/>
              <w:bottom w:val="nil"/>
              <w:right w:val="nil"/>
            </w:tcBorders>
            <w:noWrap/>
            <w:vAlign w:val="center"/>
          </w:tcPr>
          <w:p w14:paraId="4845B952" w14:textId="4B06157E"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1 493 </w:t>
            </w:r>
            <w:r w:rsidR="00D90A0C">
              <w:rPr>
                <w:rFonts w:eastAsia="Times New Roman" w:cs="Times New Roman"/>
                <w:color w:val="000000"/>
                <w:sz w:val="18"/>
                <w:szCs w:val="18"/>
                <w:lang w:eastAsia="sk-SK"/>
              </w:rPr>
              <w:t>575</w:t>
            </w:r>
          </w:p>
        </w:tc>
        <w:tc>
          <w:tcPr>
            <w:tcW w:w="555" w:type="pct"/>
            <w:tcBorders>
              <w:top w:val="nil"/>
              <w:left w:val="nil"/>
              <w:bottom w:val="nil"/>
              <w:right w:val="nil"/>
            </w:tcBorders>
            <w:noWrap/>
            <w:vAlign w:val="center"/>
          </w:tcPr>
          <w:p w14:paraId="35E36A2A"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205 666</w:t>
            </w:r>
          </w:p>
        </w:tc>
      </w:tr>
      <w:tr w:rsidR="00B25A31" w:rsidRPr="00D0395E" w14:paraId="0116A948" w14:textId="77777777" w:rsidTr="00B25A31">
        <w:trPr>
          <w:trHeight w:val="280"/>
        </w:trPr>
        <w:tc>
          <w:tcPr>
            <w:tcW w:w="2244" w:type="pct"/>
            <w:tcBorders>
              <w:top w:val="nil"/>
              <w:left w:val="nil"/>
              <w:bottom w:val="nil"/>
              <w:right w:val="nil"/>
            </w:tcBorders>
            <w:noWrap/>
            <w:vAlign w:val="center"/>
            <w:hideMark/>
          </w:tcPr>
          <w:p w14:paraId="0F3FCAB4"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Príjmy v zmysle § 17, ods. 4</w:t>
            </w:r>
          </w:p>
        </w:tc>
        <w:tc>
          <w:tcPr>
            <w:tcW w:w="533" w:type="pct"/>
            <w:tcBorders>
              <w:top w:val="nil"/>
              <w:left w:val="nil"/>
              <w:bottom w:val="nil"/>
              <w:right w:val="nil"/>
            </w:tcBorders>
            <w:noWrap/>
            <w:vAlign w:val="center"/>
            <w:hideMark/>
          </w:tcPr>
          <w:p w14:paraId="1D500E45"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2 735</w:t>
            </w:r>
          </w:p>
        </w:tc>
        <w:tc>
          <w:tcPr>
            <w:tcW w:w="532" w:type="pct"/>
            <w:tcBorders>
              <w:top w:val="nil"/>
              <w:left w:val="nil"/>
              <w:bottom w:val="nil"/>
              <w:right w:val="nil"/>
            </w:tcBorders>
            <w:noWrap/>
            <w:vAlign w:val="center"/>
          </w:tcPr>
          <w:p w14:paraId="23402D5B"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4 320</w:t>
            </w:r>
          </w:p>
        </w:tc>
        <w:tc>
          <w:tcPr>
            <w:tcW w:w="532" w:type="pct"/>
            <w:tcBorders>
              <w:top w:val="nil"/>
              <w:left w:val="nil"/>
              <w:bottom w:val="nil"/>
              <w:right w:val="nil"/>
            </w:tcBorders>
            <w:noWrap/>
            <w:vAlign w:val="center"/>
          </w:tcPr>
          <w:p w14:paraId="7018D00D"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2 969</w:t>
            </w:r>
          </w:p>
        </w:tc>
        <w:tc>
          <w:tcPr>
            <w:tcW w:w="605" w:type="pct"/>
            <w:tcBorders>
              <w:top w:val="nil"/>
              <w:left w:val="nil"/>
              <w:bottom w:val="nil"/>
              <w:right w:val="nil"/>
            </w:tcBorders>
            <w:noWrap/>
            <w:vAlign w:val="center"/>
          </w:tcPr>
          <w:p w14:paraId="02F27451"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3 401</w:t>
            </w:r>
          </w:p>
        </w:tc>
        <w:tc>
          <w:tcPr>
            <w:tcW w:w="555" w:type="pct"/>
            <w:tcBorders>
              <w:top w:val="nil"/>
              <w:left w:val="nil"/>
              <w:bottom w:val="nil"/>
              <w:right w:val="nil"/>
            </w:tcBorders>
            <w:noWrap/>
            <w:vAlign w:val="center"/>
          </w:tcPr>
          <w:p w14:paraId="2A6508FD"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431</w:t>
            </w:r>
          </w:p>
        </w:tc>
      </w:tr>
      <w:tr w:rsidR="00B25A31" w:rsidRPr="00D0395E" w14:paraId="4F573459" w14:textId="77777777" w:rsidTr="00B25A31">
        <w:trPr>
          <w:trHeight w:val="280"/>
        </w:trPr>
        <w:tc>
          <w:tcPr>
            <w:tcW w:w="2244" w:type="pct"/>
            <w:tcBorders>
              <w:top w:val="nil"/>
              <w:left w:val="nil"/>
              <w:bottom w:val="nil"/>
              <w:right w:val="nil"/>
            </w:tcBorders>
            <w:noWrap/>
            <w:vAlign w:val="center"/>
            <w:hideMark/>
          </w:tcPr>
          <w:p w14:paraId="5D68F1B1" w14:textId="77777777" w:rsidR="00B25A31" w:rsidRPr="00D0395E" w:rsidRDefault="00B25A31"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Výdavky štátneho rozpočtu</w:t>
            </w:r>
          </w:p>
        </w:tc>
        <w:tc>
          <w:tcPr>
            <w:tcW w:w="533" w:type="pct"/>
            <w:tcBorders>
              <w:top w:val="nil"/>
              <w:left w:val="nil"/>
              <w:bottom w:val="nil"/>
              <w:right w:val="nil"/>
            </w:tcBorders>
            <w:noWrap/>
            <w:vAlign w:val="center"/>
            <w:hideMark/>
          </w:tcPr>
          <w:p w14:paraId="1E0CF888"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31 363 983</w:t>
            </w:r>
          </w:p>
        </w:tc>
        <w:tc>
          <w:tcPr>
            <w:tcW w:w="532" w:type="pct"/>
            <w:tcBorders>
              <w:top w:val="nil"/>
              <w:left w:val="nil"/>
              <w:bottom w:val="nil"/>
              <w:right w:val="nil"/>
            </w:tcBorders>
            <w:noWrap/>
            <w:vAlign w:val="center"/>
          </w:tcPr>
          <w:p w14:paraId="72A7478E"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30 823 904</w:t>
            </w:r>
          </w:p>
        </w:tc>
        <w:tc>
          <w:tcPr>
            <w:tcW w:w="532" w:type="pct"/>
            <w:tcBorders>
              <w:top w:val="nil"/>
              <w:left w:val="nil"/>
              <w:bottom w:val="nil"/>
              <w:right w:val="nil"/>
            </w:tcBorders>
            <w:noWrap/>
            <w:vAlign w:val="center"/>
          </w:tcPr>
          <w:p w14:paraId="1670FDBC"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33 899 538</w:t>
            </w:r>
          </w:p>
        </w:tc>
        <w:tc>
          <w:tcPr>
            <w:tcW w:w="605" w:type="pct"/>
            <w:tcBorders>
              <w:top w:val="nil"/>
              <w:left w:val="nil"/>
              <w:bottom w:val="nil"/>
              <w:right w:val="nil"/>
            </w:tcBorders>
            <w:noWrap/>
            <w:vAlign w:val="center"/>
          </w:tcPr>
          <w:p w14:paraId="07C2E58D"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33 362 867</w:t>
            </w:r>
          </w:p>
        </w:tc>
        <w:tc>
          <w:tcPr>
            <w:tcW w:w="555" w:type="pct"/>
            <w:tcBorders>
              <w:top w:val="nil"/>
              <w:left w:val="nil"/>
              <w:bottom w:val="nil"/>
              <w:right w:val="nil"/>
            </w:tcBorders>
            <w:noWrap/>
            <w:vAlign w:val="center"/>
          </w:tcPr>
          <w:p w14:paraId="5AECF3F0"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-536 671</w:t>
            </w:r>
          </w:p>
        </w:tc>
      </w:tr>
      <w:tr w:rsidR="00B25A31" w:rsidRPr="00D0395E" w14:paraId="226B0DCE" w14:textId="77777777" w:rsidTr="00B25A31">
        <w:trPr>
          <w:trHeight w:val="278"/>
        </w:trPr>
        <w:tc>
          <w:tcPr>
            <w:tcW w:w="2244" w:type="pct"/>
            <w:tcBorders>
              <w:top w:val="nil"/>
              <w:left w:val="nil"/>
              <w:bottom w:val="nil"/>
              <w:right w:val="nil"/>
            </w:tcBorders>
            <w:noWrap/>
            <w:vAlign w:val="center"/>
            <w:hideMark/>
          </w:tcPr>
          <w:p w14:paraId="5F802554"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Výdavky na obsluhu štátneho dlhu</w:t>
            </w:r>
          </w:p>
        </w:tc>
        <w:tc>
          <w:tcPr>
            <w:tcW w:w="533" w:type="pct"/>
            <w:tcBorders>
              <w:top w:val="nil"/>
              <w:left w:val="nil"/>
              <w:bottom w:val="nil"/>
              <w:right w:val="nil"/>
            </w:tcBorders>
            <w:noWrap/>
            <w:vAlign w:val="center"/>
            <w:hideMark/>
          </w:tcPr>
          <w:p w14:paraId="5224F00A"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1 073 190</w:t>
            </w:r>
          </w:p>
        </w:tc>
        <w:tc>
          <w:tcPr>
            <w:tcW w:w="532" w:type="pct"/>
            <w:tcBorders>
              <w:top w:val="nil"/>
              <w:left w:val="nil"/>
              <w:bottom w:val="nil"/>
              <w:right w:val="nil"/>
            </w:tcBorders>
            <w:noWrap/>
            <w:vAlign w:val="center"/>
          </w:tcPr>
          <w:p w14:paraId="6E199861"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1 189 226</w:t>
            </w:r>
          </w:p>
        </w:tc>
        <w:tc>
          <w:tcPr>
            <w:tcW w:w="532" w:type="pct"/>
            <w:tcBorders>
              <w:top w:val="nil"/>
              <w:left w:val="nil"/>
              <w:bottom w:val="nil"/>
              <w:right w:val="nil"/>
            </w:tcBorders>
            <w:noWrap/>
            <w:vAlign w:val="center"/>
          </w:tcPr>
          <w:p w14:paraId="66F7BEE4" w14:textId="78729B75"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1 646 </w:t>
            </w:r>
            <w:r w:rsidR="00D90A0C">
              <w:rPr>
                <w:rFonts w:eastAsia="Times New Roman" w:cs="Times New Roman"/>
                <w:color w:val="000000"/>
                <w:sz w:val="18"/>
                <w:szCs w:val="18"/>
                <w:lang w:eastAsia="sk-SK"/>
              </w:rPr>
              <w:t>243</w:t>
            </w:r>
          </w:p>
        </w:tc>
        <w:tc>
          <w:tcPr>
            <w:tcW w:w="605" w:type="pct"/>
            <w:tcBorders>
              <w:top w:val="nil"/>
              <w:left w:val="nil"/>
              <w:bottom w:val="nil"/>
              <w:right w:val="nil"/>
            </w:tcBorders>
            <w:noWrap/>
            <w:vAlign w:val="center"/>
          </w:tcPr>
          <w:p w14:paraId="49632232"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1 564 988</w:t>
            </w:r>
          </w:p>
        </w:tc>
        <w:tc>
          <w:tcPr>
            <w:tcW w:w="555" w:type="pct"/>
            <w:tcBorders>
              <w:top w:val="nil"/>
              <w:left w:val="nil"/>
              <w:bottom w:val="nil"/>
              <w:right w:val="nil"/>
            </w:tcBorders>
            <w:noWrap/>
            <w:vAlign w:val="center"/>
          </w:tcPr>
          <w:p w14:paraId="7B23AB2E" w14:textId="200840FA"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-81 </w:t>
            </w:r>
            <w:r w:rsidR="00D90A0C">
              <w:rPr>
                <w:rFonts w:eastAsia="Times New Roman" w:cs="Times New Roman"/>
                <w:color w:val="000000"/>
                <w:sz w:val="18"/>
                <w:szCs w:val="18"/>
                <w:lang w:eastAsia="sk-SK"/>
              </w:rPr>
              <w:t>256</w:t>
            </w:r>
          </w:p>
        </w:tc>
      </w:tr>
      <w:tr w:rsidR="00B25A31" w:rsidRPr="00D0395E" w14:paraId="3AE52220" w14:textId="77777777" w:rsidTr="00B25A31">
        <w:trPr>
          <w:trHeight w:val="280"/>
        </w:trPr>
        <w:tc>
          <w:tcPr>
            <w:tcW w:w="2244" w:type="pct"/>
            <w:tcBorders>
              <w:top w:val="nil"/>
              <w:left w:val="nil"/>
              <w:bottom w:val="nil"/>
              <w:right w:val="nil"/>
            </w:tcBorders>
            <w:noWrap/>
            <w:vAlign w:val="center"/>
            <w:hideMark/>
          </w:tcPr>
          <w:p w14:paraId="7FFD68AE"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Plán obnovy a odolnosti - výdavky</w:t>
            </w:r>
          </w:p>
        </w:tc>
        <w:tc>
          <w:tcPr>
            <w:tcW w:w="533" w:type="pct"/>
            <w:tcBorders>
              <w:top w:val="nil"/>
              <w:left w:val="nil"/>
              <w:bottom w:val="nil"/>
              <w:right w:val="nil"/>
            </w:tcBorders>
            <w:noWrap/>
            <w:vAlign w:val="center"/>
            <w:hideMark/>
          </w:tcPr>
          <w:p w14:paraId="37A5DB0A"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374 178</w:t>
            </w:r>
          </w:p>
        </w:tc>
        <w:tc>
          <w:tcPr>
            <w:tcW w:w="532" w:type="pct"/>
            <w:tcBorders>
              <w:top w:val="nil"/>
              <w:left w:val="nil"/>
              <w:bottom w:val="nil"/>
              <w:right w:val="nil"/>
            </w:tcBorders>
            <w:noWrap/>
            <w:vAlign w:val="center"/>
          </w:tcPr>
          <w:p w14:paraId="70D0E3F9"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936 294</w:t>
            </w:r>
          </w:p>
        </w:tc>
        <w:tc>
          <w:tcPr>
            <w:tcW w:w="532" w:type="pct"/>
            <w:tcBorders>
              <w:top w:val="nil"/>
              <w:left w:val="nil"/>
              <w:bottom w:val="nil"/>
              <w:right w:val="nil"/>
            </w:tcBorders>
            <w:noWrap/>
            <w:vAlign w:val="center"/>
          </w:tcPr>
          <w:p w14:paraId="18C6C364"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1 205 546</w:t>
            </w:r>
          </w:p>
        </w:tc>
        <w:tc>
          <w:tcPr>
            <w:tcW w:w="605" w:type="pct"/>
            <w:tcBorders>
              <w:top w:val="nil"/>
              <w:left w:val="nil"/>
              <w:bottom w:val="nil"/>
              <w:right w:val="nil"/>
            </w:tcBorders>
            <w:noWrap/>
            <w:vAlign w:val="center"/>
          </w:tcPr>
          <w:p w14:paraId="1C429797"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1 962 773</w:t>
            </w:r>
          </w:p>
        </w:tc>
        <w:tc>
          <w:tcPr>
            <w:tcW w:w="555" w:type="pct"/>
            <w:tcBorders>
              <w:top w:val="nil"/>
              <w:left w:val="nil"/>
              <w:bottom w:val="nil"/>
              <w:right w:val="nil"/>
            </w:tcBorders>
            <w:noWrap/>
            <w:vAlign w:val="center"/>
          </w:tcPr>
          <w:p w14:paraId="41BE418A" w14:textId="04DD2302"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757 </w:t>
            </w:r>
            <w:r w:rsidR="00D90A0C">
              <w:rPr>
                <w:rFonts w:eastAsia="Times New Roman" w:cs="Times New Roman"/>
                <w:color w:val="000000"/>
                <w:sz w:val="18"/>
                <w:szCs w:val="18"/>
                <w:lang w:eastAsia="sk-SK"/>
              </w:rPr>
              <w:t>227</w:t>
            </w:r>
          </w:p>
        </w:tc>
      </w:tr>
      <w:tr w:rsidR="00B25A31" w:rsidRPr="00D0395E" w14:paraId="1E5161C2" w14:textId="77777777" w:rsidTr="00B25A31">
        <w:trPr>
          <w:trHeight w:val="280"/>
        </w:trPr>
        <w:tc>
          <w:tcPr>
            <w:tcW w:w="2244" w:type="pct"/>
            <w:tcBorders>
              <w:top w:val="nil"/>
              <w:left w:val="nil"/>
              <w:bottom w:val="nil"/>
              <w:right w:val="nil"/>
            </w:tcBorders>
            <w:noWrap/>
            <w:vAlign w:val="center"/>
            <w:hideMark/>
          </w:tcPr>
          <w:p w14:paraId="035AFB0C"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Plán obnovy a odolnosti - výdavky na DPH</w:t>
            </w:r>
          </w:p>
        </w:tc>
        <w:tc>
          <w:tcPr>
            <w:tcW w:w="533" w:type="pct"/>
            <w:tcBorders>
              <w:top w:val="nil"/>
              <w:left w:val="nil"/>
              <w:bottom w:val="nil"/>
              <w:right w:val="nil"/>
            </w:tcBorders>
            <w:noWrap/>
            <w:vAlign w:val="center"/>
            <w:hideMark/>
          </w:tcPr>
          <w:p w14:paraId="545DB188"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15 742</w:t>
            </w:r>
          </w:p>
        </w:tc>
        <w:tc>
          <w:tcPr>
            <w:tcW w:w="532" w:type="pct"/>
            <w:tcBorders>
              <w:top w:val="nil"/>
              <w:left w:val="nil"/>
              <w:bottom w:val="nil"/>
              <w:right w:val="nil"/>
            </w:tcBorders>
            <w:noWrap/>
            <w:vAlign w:val="center"/>
          </w:tcPr>
          <w:p w14:paraId="297094C3"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133 143</w:t>
            </w:r>
          </w:p>
        </w:tc>
        <w:tc>
          <w:tcPr>
            <w:tcW w:w="532" w:type="pct"/>
            <w:tcBorders>
              <w:top w:val="nil"/>
              <w:left w:val="nil"/>
              <w:bottom w:val="nil"/>
              <w:right w:val="nil"/>
            </w:tcBorders>
            <w:noWrap/>
            <w:vAlign w:val="center"/>
          </w:tcPr>
          <w:p w14:paraId="5F07B4F6"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135 432</w:t>
            </w:r>
          </w:p>
        </w:tc>
        <w:tc>
          <w:tcPr>
            <w:tcW w:w="605" w:type="pct"/>
            <w:tcBorders>
              <w:top w:val="nil"/>
              <w:left w:val="nil"/>
              <w:bottom w:val="nil"/>
              <w:right w:val="nil"/>
            </w:tcBorders>
            <w:noWrap/>
            <w:vAlign w:val="center"/>
          </w:tcPr>
          <w:p w14:paraId="45B61D14"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218 906</w:t>
            </w:r>
          </w:p>
        </w:tc>
        <w:tc>
          <w:tcPr>
            <w:tcW w:w="555" w:type="pct"/>
            <w:tcBorders>
              <w:top w:val="nil"/>
              <w:left w:val="nil"/>
              <w:bottom w:val="nil"/>
              <w:right w:val="nil"/>
            </w:tcBorders>
            <w:noWrap/>
            <w:vAlign w:val="center"/>
          </w:tcPr>
          <w:p w14:paraId="76866EB1"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83 474</w:t>
            </w:r>
          </w:p>
        </w:tc>
      </w:tr>
      <w:tr w:rsidR="00B25A31" w:rsidRPr="00D0395E" w14:paraId="3224DDF4" w14:textId="77777777" w:rsidTr="00B25A31">
        <w:trPr>
          <w:trHeight w:val="280"/>
        </w:trPr>
        <w:tc>
          <w:tcPr>
            <w:tcW w:w="2244" w:type="pct"/>
            <w:tcBorders>
              <w:top w:val="nil"/>
              <w:left w:val="nil"/>
              <w:bottom w:val="nil"/>
              <w:right w:val="nil"/>
            </w:tcBorders>
            <w:noWrap/>
            <w:vAlign w:val="center"/>
            <w:hideMark/>
          </w:tcPr>
          <w:p w14:paraId="332000DB"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EÚ výdavky</w:t>
            </w:r>
          </w:p>
        </w:tc>
        <w:tc>
          <w:tcPr>
            <w:tcW w:w="533" w:type="pct"/>
            <w:tcBorders>
              <w:top w:val="nil"/>
              <w:left w:val="nil"/>
              <w:bottom w:val="nil"/>
              <w:right w:val="nil"/>
            </w:tcBorders>
            <w:noWrap/>
            <w:vAlign w:val="center"/>
            <w:hideMark/>
          </w:tcPr>
          <w:p w14:paraId="6DCD9FEE"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4 906 961</w:t>
            </w:r>
          </w:p>
        </w:tc>
        <w:tc>
          <w:tcPr>
            <w:tcW w:w="532" w:type="pct"/>
            <w:tcBorders>
              <w:top w:val="nil"/>
              <w:left w:val="nil"/>
              <w:bottom w:val="nil"/>
              <w:right w:val="nil"/>
            </w:tcBorders>
            <w:noWrap/>
            <w:vAlign w:val="center"/>
          </w:tcPr>
          <w:p w14:paraId="047D6D84"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3 009 659</w:t>
            </w:r>
          </w:p>
        </w:tc>
        <w:tc>
          <w:tcPr>
            <w:tcW w:w="532" w:type="pct"/>
            <w:tcBorders>
              <w:top w:val="nil"/>
              <w:left w:val="nil"/>
              <w:bottom w:val="nil"/>
              <w:right w:val="nil"/>
            </w:tcBorders>
            <w:noWrap/>
            <w:vAlign w:val="center"/>
          </w:tcPr>
          <w:p w14:paraId="5ADF24C3" w14:textId="319DABE0"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2 142 </w:t>
            </w:r>
            <w:r w:rsidR="00D90A0C">
              <w:rPr>
                <w:rFonts w:eastAsia="Times New Roman" w:cs="Times New Roman"/>
                <w:color w:val="000000"/>
                <w:sz w:val="18"/>
                <w:szCs w:val="18"/>
                <w:lang w:eastAsia="sk-SK"/>
              </w:rPr>
              <w:t>252</w:t>
            </w:r>
          </w:p>
        </w:tc>
        <w:tc>
          <w:tcPr>
            <w:tcW w:w="605" w:type="pct"/>
            <w:tcBorders>
              <w:top w:val="nil"/>
              <w:left w:val="nil"/>
              <w:bottom w:val="nil"/>
              <w:right w:val="nil"/>
            </w:tcBorders>
            <w:noWrap/>
            <w:vAlign w:val="center"/>
          </w:tcPr>
          <w:p w14:paraId="3D923571"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2 399 475</w:t>
            </w:r>
          </w:p>
        </w:tc>
        <w:tc>
          <w:tcPr>
            <w:tcW w:w="555" w:type="pct"/>
            <w:tcBorders>
              <w:top w:val="nil"/>
              <w:left w:val="nil"/>
              <w:bottom w:val="nil"/>
              <w:right w:val="nil"/>
            </w:tcBorders>
            <w:noWrap/>
            <w:vAlign w:val="center"/>
          </w:tcPr>
          <w:p w14:paraId="2D18F968" w14:textId="67A8B079"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257 </w:t>
            </w:r>
            <w:r w:rsidR="00D90A0C">
              <w:rPr>
                <w:rFonts w:eastAsia="Times New Roman" w:cs="Times New Roman"/>
                <w:color w:val="000000"/>
                <w:sz w:val="18"/>
                <w:szCs w:val="18"/>
                <w:lang w:eastAsia="sk-SK"/>
              </w:rPr>
              <w:t>223</w:t>
            </w:r>
          </w:p>
        </w:tc>
      </w:tr>
      <w:tr w:rsidR="00B25A31" w:rsidRPr="00D0395E" w14:paraId="0790E14C" w14:textId="77777777" w:rsidTr="00B25A31">
        <w:trPr>
          <w:trHeight w:val="280"/>
        </w:trPr>
        <w:tc>
          <w:tcPr>
            <w:tcW w:w="2244" w:type="pct"/>
            <w:tcBorders>
              <w:top w:val="nil"/>
              <w:left w:val="nil"/>
              <w:bottom w:val="nil"/>
              <w:right w:val="nil"/>
            </w:tcBorders>
            <w:noWrap/>
            <w:vAlign w:val="center"/>
            <w:hideMark/>
          </w:tcPr>
          <w:p w14:paraId="4B63A4F1"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Spolufinancovanie (EÚ)</w:t>
            </w:r>
          </w:p>
        </w:tc>
        <w:tc>
          <w:tcPr>
            <w:tcW w:w="533" w:type="pct"/>
            <w:tcBorders>
              <w:top w:val="nil"/>
              <w:left w:val="nil"/>
              <w:bottom w:val="nil"/>
              <w:right w:val="nil"/>
            </w:tcBorders>
            <w:noWrap/>
            <w:vAlign w:val="center"/>
            <w:hideMark/>
          </w:tcPr>
          <w:p w14:paraId="48BBA072"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731 264</w:t>
            </w:r>
          </w:p>
        </w:tc>
        <w:tc>
          <w:tcPr>
            <w:tcW w:w="532" w:type="pct"/>
            <w:tcBorders>
              <w:top w:val="nil"/>
              <w:left w:val="nil"/>
              <w:bottom w:val="nil"/>
              <w:right w:val="nil"/>
            </w:tcBorders>
            <w:noWrap/>
            <w:vAlign w:val="center"/>
          </w:tcPr>
          <w:p w14:paraId="610708A8"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538 592</w:t>
            </w:r>
          </w:p>
        </w:tc>
        <w:tc>
          <w:tcPr>
            <w:tcW w:w="532" w:type="pct"/>
            <w:tcBorders>
              <w:top w:val="nil"/>
              <w:left w:val="nil"/>
              <w:bottom w:val="nil"/>
              <w:right w:val="nil"/>
            </w:tcBorders>
            <w:noWrap/>
            <w:vAlign w:val="center"/>
          </w:tcPr>
          <w:p w14:paraId="65E40DAA" w14:textId="6B1D557D" w:rsidR="00B25A31" w:rsidRPr="00D0395E" w:rsidRDefault="00D90A0C"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456 899</w:t>
            </w:r>
          </w:p>
        </w:tc>
        <w:tc>
          <w:tcPr>
            <w:tcW w:w="605" w:type="pct"/>
            <w:tcBorders>
              <w:top w:val="nil"/>
              <w:left w:val="nil"/>
              <w:bottom w:val="nil"/>
              <w:right w:val="nil"/>
            </w:tcBorders>
            <w:noWrap/>
            <w:vAlign w:val="center"/>
          </w:tcPr>
          <w:p w14:paraId="78ED1D87"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573 887</w:t>
            </w:r>
          </w:p>
        </w:tc>
        <w:tc>
          <w:tcPr>
            <w:tcW w:w="555" w:type="pct"/>
            <w:tcBorders>
              <w:top w:val="nil"/>
              <w:left w:val="nil"/>
              <w:bottom w:val="nil"/>
              <w:right w:val="nil"/>
            </w:tcBorders>
            <w:noWrap/>
            <w:vAlign w:val="center"/>
          </w:tcPr>
          <w:p w14:paraId="3B92BE07"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116 838</w:t>
            </w:r>
          </w:p>
        </w:tc>
      </w:tr>
      <w:tr w:rsidR="00B25A31" w:rsidRPr="00D0395E" w14:paraId="2FB5D6E7" w14:textId="77777777" w:rsidTr="00B25A31">
        <w:trPr>
          <w:trHeight w:val="280"/>
        </w:trPr>
        <w:tc>
          <w:tcPr>
            <w:tcW w:w="2244" w:type="pct"/>
            <w:tcBorders>
              <w:top w:val="nil"/>
              <w:left w:val="nil"/>
              <w:bottom w:val="nil"/>
              <w:right w:val="nil"/>
            </w:tcBorders>
            <w:noWrap/>
            <w:vAlign w:val="center"/>
            <w:hideMark/>
          </w:tcPr>
          <w:p w14:paraId="5C1FD06A"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Odvod do rozpočtu EÚ**</w:t>
            </w:r>
          </w:p>
        </w:tc>
        <w:tc>
          <w:tcPr>
            <w:tcW w:w="533" w:type="pct"/>
            <w:tcBorders>
              <w:top w:val="nil"/>
              <w:left w:val="nil"/>
              <w:bottom w:val="nil"/>
              <w:right w:val="nil"/>
            </w:tcBorders>
            <w:noWrap/>
            <w:vAlign w:val="center"/>
            <w:hideMark/>
          </w:tcPr>
          <w:p w14:paraId="4B8B4800"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943 226</w:t>
            </w:r>
          </w:p>
        </w:tc>
        <w:tc>
          <w:tcPr>
            <w:tcW w:w="532" w:type="pct"/>
            <w:tcBorders>
              <w:top w:val="nil"/>
              <w:left w:val="nil"/>
              <w:bottom w:val="nil"/>
              <w:right w:val="nil"/>
            </w:tcBorders>
            <w:noWrap/>
            <w:vAlign w:val="center"/>
          </w:tcPr>
          <w:p w14:paraId="39560B81"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826 119</w:t>
            </w:r>
          </w:p>
        </w:tc>
        <w:tc>
          <w:tcPr>
            <w:tcW w:w="532" w:type="pct"/>
            <w:tcBorders>
              <w:top w:val="nil"/>
              <w:left w:val="nil"/>
              <w:bottom w:val="nil"/>
              <w:right w:val="nil"/>
            </w:tcBorders>
            <w:noWrap/>
            <w:vAlign w:val="center"/>
          </w:tcPr>
          <w:p w14:paraId="35043618"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980 963</w:t>
            </w:r>
          </w:p>
        </w:tc>
        <w:tc>
          <w:tcPr>
            <w:tcW w:w="605" w:type="pct"/>
            <w:tcBorders>
              <w:top w:val="nil"/>
              <w:left w:val="nil"/>
              <w:bottom w:val="nil"/>
              <w:right w:val="nil"/>
            </w:tcBorders>
            <w:noWrap/>
            <w:vAlign w:val="center"/>
          </w:tcPr>
          <w:p w14:paraId="7D9C1593"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993 118</w:t>
            </w:r>
          </w:p>
        </w:tc>
        <w:tc>
          <w:tcPr>
            <w:tcW w:w="555" w:type="pct"/>
            <w:tcBorders>
              <w:top w:val="nil"/>
              <w:left w:val="nil"/>
              <w:bottom w:val="nil"/>
              <w:right w:val="nil"/>
            </w:tcBorders>
            <w:noWrap/>
            <w:vAlign w:val="center"/>
          </w:tcPr>
          <w:p w14:paraId="67F4A6F4"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12 155</w:t>
            </w:r>
          </w:p>
        </w:tc>
      </w:tr>
      <w:tr w:rsidR="00B25A31" w:rsidRPr="00D0395E" w14:paraId="59C35AA5" w14:textId="77777777" w:rsidTr="00B25A31">
        <w:trPr>
          <w:trHeight w:val="280"/>
        </w:trPr>
        <w:tc>
          <w:tcPr>
            <w:tcW w:w="2244" w:type="pct"/>
            <w:tcBorders>
              <w:top w:val="nil"/>
              <w:left w:val="nil"/>
              <w:bottom w:val="nil"/>
              <w:right w:val="nil"/>
            </w:tcBorders>
            <w:noWrap/>
            <w:vAlign w:val="center"/>
            <w:hideMark/>
          </w:tcPr>
          <w:p w14:paraId="6E0223D9"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 Sociálnej poisťovni</w:t>
            </w:r>
          </w:p>
        </w:tc>
        <w:tc>
          <w:tcPr>
            <w:tcW w:w="533" w:type="pct"/>
            <w:tcBorders>
              <w:top w:val="nil"/>
              <w:left w:val="nil"/>
              <w:bottom w:val="nil"/>
              <w:right w:val="nil"/>
            </w:tcBorders>
            <w:noWrap/>
            <w:vAlign w:val="center"/>
            <w:hideMark/>
          </w:tcPr>
          <w:p w14:paraId="6326240E"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1 160 000</w:t>
            </w:r>
          </w:p>
        </w:tc>
        <w:tc>
          <w:tcPr>
            <w:tcW w:w="532" w:type="pct"/>
            <w:tcBorders>
              <w:top w:val="nil"/>
              <w:left w:val="nil"/>
              <w:bottom w:val="nil"/>
              <w:right w:val="nil"/>
            </w:tcBorders>
            <w:noWrap/>
            <w:vAlign w:val="center"/>
          </w:tcPr>
          <w:p w14:paraId="49422066"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2 720 000</w:t>
            </w:r>
          </w:p>
        </w:tc>
        <w:tc>
          <w:tcPr>
            <w:tcW w:w="532" w:type="pct"/>
            <w:tcBorders>
              <w:top w:val="nil"/>
              <w:left w:val="nil"/>
              <w:bottom w:val="nil"/>
              <w:right w:val="nil"/>
            </w:tcBorders>
            <w:noWrap/>
            <w:vAlign w:val="center"/>
          </w:tcPr>
          <w:p w14:paraId="08E1D7CD"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2 750 000</w:t>
            </w:r>
          </w:p>
        </w:tc>
        <w:tc>
          <w:tcPr>
            <w:tcW w:w="605" w:type="pct"/>
            <w:tcBorders>
              <w:top w:val="nil"/>
              <w:left w:val="nil"/>
              <w:bottom w:val="nil"/>
              <w:right w:val="nil"/>
            </w:tcBorders>
            <w:noWrap/>
            <w:vAlign w:val="center"/>
          </w:tcPr>
          <w:p w14:paraId="5B2098C8"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2 455 000</w:t>
            </w:r>
          </w:p>
        </w:tc>
        <w:tc>
          <w:tcPr>
            <w:tcW w:w="555" w:type="pct"/>
            <w:tcBorders>
              <w:top w:val="nil"/>
              <w:left w:val="nil"/>
              <w:bottom w:val="nil"/>
              <w:right w:val="nil"/>
            </w:tcBorders>
            <w:noWrap/>
            <w:vAlign w:val="center"/>
          </w:tcPr>
          <w:p w14:paraId="0C920B2C"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-295 000</w:t>
            </w:r>
          </w:p>
        </w:tc>
      </w:tr>
      <w:tr w:rsidR="00B25A31" w:rsidRPr="00D0395E" w14:paraId="71299A79" w14:textId="77777777" w:rsidTr="00B25A31">
        <w:trPr>
          <w:trHeight w:val="280"/>
        </w:trPr>
        <w:tc>
          <w:tcPr>
            <w:tcW w:w="2244" w:type="pct"/>
            <w:tcBorders>
              <w:top w:val="nil"/>
              <w:left w:val="nil"/>
              <w:bottom w:val="nil"/>
              <w:right w:val="nil"/>
            </w:tcBorders>
            <w:noWrap/>
            <w:vAlign w:val="center"/>
            <w:hideMark/>
          </w:tcPr>
          <w:p w14:paraId="3679469B"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Ďalšie výdavky štátneho rozpočtu</w:t>
            </w:r>
          </w:p>
        </w:tc>
        <w:tc>
          <w:tcPr>
            <w:tcW w:w="533" w:type="pct"/>
            <w:tcBorders>
              <w:top w:val="nil"/>
              <w:left w:val="nil"/>
              <w:bottom w:val="nil"/>
              <w:right w:val="nil"/>
            </w:tcBorders>
            <w:noWrap/>
            <w:vAlign w:val="center"/>
            <w:hideMark/>
          </w:tcPr>
          <w:p w14:paraId="659679E7"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22 156 847</w:t>
            </w:r>
          </w:p>
        </w:tc>
        <w:tc>
          <w:tcPr>
            <w:tcW w:w="532" w:type="pct"/>
            <w:tcBorders>
              <w:top w:val="nil"/>
              <w:left w:val="nil"/>
              <w:bottom w:val="nil"/>
              <w:right w:val="nil"/>
            </w:tcBorders>
            <w:noWrap/>
            <w:vAlign w:val="center"/>
          </w:tcPr>
          <w:p w14:paraId="58CF8BB4"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21 467 806</w:t>
            </w:r>
          </w:p>
        </w:tc>
        <w:tc>
          <w:tcPr>
            <w:tcW w:w="532" w:type="pct"/>
            <w:tcBorders>
              <w:top w:val="nil"/>
              <w:left w:val="nil"/>
              <w:bottom w:val="nil"/>
              <w:right w:val="nil"/>
            </w:tcBorders>
            <w:noWrap/>
            <w:vAlign w:val="center"/>
          </w:tcPr>
          <w:p w14:paraId="2D2F4ABD" w14:textId="2573AD01"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24 579 </w:t>
            </w:r>
            <w:r w:rsidR="00D90A0C">
              <w:rPr>
                <w:rFonts w:eastAsia="Times New Roman" w:cs="Times New Roman"/>
                <w:color w:val="000000"/>
                <w:sz w:val="18"/>
                <w:szCs w:val="18"/>
                <w:lang w:eastAsia="sk-SK"/>
              </w:rPr>
              <w:t>234</w:t>
            </w:r>
          </w:p>
        </w:tc>
        <w:tc>
          <w:tcPr>
            <w:tcW w:w="605" w:type="pct"/>
            <w:tcBorders>
              <w:top w:val="nil"/>
              <w:left w:val="nil"/>
              <w:bottom w:val="nil"/>
              <w:right w:val="nil"/>
            </w:tcBorders>
            <w:noWrap/>
            <w:vAlign w:val="center"/>
          </w:tcPr>
          <w:p w14:paraId="0A53000B"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23 191 803</w:t>
            </w:r>
          </w:p>
        </w:tc>
        <w:tc>
          <w:tcPr>
            <w:tcW w:w="555" w:type="pct"/>
            <w:tcBorders>
              <w:top w:val="nil"/>
              <w:left w:val="nil"/>
              <w:bottom w:val="nil"/>
              <w:right w:val="nil"/>
            </w:tcBorders>
            <w:noWrap/>
            <w:vAlign w:val="center"/>
          </w:tcPr>
          <w:p w14:paraId="2D354F22" w14:textId="2701B36D" w:rsidR="00B25A31" w:rsidRPr="00D520CA" w:rsidRDefault="00B25A31" w:rsidP="005442D6">
            <w:pPr>
              <w:spacing w:line="240" w:lineRule="auto"/>
              <w:jc w:val="right"/>
              <w:rPr>
                <w:rFonts w:eastAsia="Times New Roman" w:cs="Times New Roman"/>
                <w:color w:val="000000"/>
                <w:sz w:val="18"/>
                <w:szCs w:val="18"/>
                <w:lang w:eastAsia="sk-SK"/>
              </w:rPr>
            </w:pPr>
            <w:r w:rsidRPr="00D520CA">
              <w:rPr>
                <w:rFonts w:eastAsia="Times New Roman" w:cs="Times New Roman"/>
                <w:color w:val="000000"/>
                <w:sz w:val="18"/>
                <w:szCs w:val="18"/>
                <w:lang w:eastAsia="sk-SK"/>
              </w:rPr>
              <w:t xml:space="preserve">-1 387 </w:t>
            </w:r>
            <w:r w:rsidR="00D90A0C" w:rsidRPr="00D520CA">
              <w:rPr>
                <w:rFonts w:eastAsia="Times New Roman" w:cs="Times New Roman"/>
                <w:color w:val="000000"/>
                <w:sz w:val="18"/>
                <w:szCs w:val="18"/>
                <w:lang w:eastAsia="sk-SK"/>
              </w:rPr>
              <w:t>28</w:t>
            </w:r>
            <w:r w:rsidR="00D90A0C">
              <w:rPr>
                <w:rFonts w:eastAsia="Times New Roman" w:cs="Times New Roman"/>
                <w:color w:val="000000"/>
                <w:sz w:val="18"/>
                <w:szCs w:val="18"/>
                <w:lang w:eastAsia="sk-SK"/>
              </w:rPr>
              <w:t>0</w:t>
            </w:r>
          </w:p>
        </w:tc>
      </w:tr>
      <w:tr w:rsidR="00B25A31" w:rsidRPr="00D0395E" w14:paraId="48798454" w14:textId="77777777" w:rsidTr="00B25A31">
        <w:trPr>
          <w:trHeight w:val="290"/>
        </w:trPr>
        <w:tc>
          <w:tcPr>
            <w:tcW w:w="2244" w:type="pct"/>
            <w:tcBorders>
              <w:top w:val="nil"/>
              <w:left w:val="nil"/>
              <w:bottom w:val="single" w:sz="4" w:space="0" w:color="auto"/>
              <w:right w:val="nil"/>
            </w:tcBorders>
            <w:noWrap/>
            <w:vAlign w:val="center"/>
            <w:hideMark/>
          </w:tcPr>
          <w:p w14:paraId="64180CF7" w14:textId="77777777" w:rsidR="00B25A31" w:rsidRPr="00D0395E" w:rsidRDefault="00B25A31" w:rsidP="005442D6">
            <w:pPr>
              <w:spacing w:line="240" w:lineRule="auto"/>
              <w:ind w:firstLineChars="100" w:firstLine="180"/>
              <w:rPr>
                <w:rFonts w:eastAsia="Times New Roman" w:cs="Times New Roman"/>
                <w:color w:val="000000"/>
                <w:sz w:val="18"/>
                <w:szCs w:val="18"/>
                <w:lang w:eastAsia="sk-SK"/>
              </w:rPr>
            </w:pPr>
            <w:r w:rsidRPr="00D0395E">
              <w:rPr>
                <w:rFonts w:eastAsia="Times New Roman" w:cs="Times New Roman"/>
                <w:color w:val="000000"/>
                <w:sz w:val="18"/>
                <w:szCs w:val="18"/>
                <w:lang w:eastAsia="sk-SK"/>
              </w:rPr>
              <w:t>Výdavky v zmysle § 17, ods. 4</w:t>
            </w:r>
          </w:p>
        </w:tc>
        <w:tc>
          <w:tcPr>
            <w:tcW w:w="533" w:type="pct"/>
            <w:tcBorders>
              <w:top w:val="nil"/>
              <w:left w:val="nil"/>
              <w:bottom w:val="single" w:sz="4" w:space="0" w:color="auto"/>
              <w:right w:val="nil"/>
            </w:tcBorders>
            <w:noWrap/>
            <w:vAlign w:val="center"/>
            <w:hideMark/>
          </w:tcPr>
          <w:p w14:paraId="09B6470F"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2 575</w:t>
            </w:r>
          </w:p>
        </w:tc>
        <w:tc>
          <w:tcPr>
            <w:tcW w:w="532" w:type="pct"/>
            <w:tcBorders>
              <w:top w:val="nil"/>
              <w:left w:val="nil"/>
              <w:bottom w:val="single" w:sz="4" w:space="0" w:color="auto"/>
              <w:right w:val="nil"/>
            </w:tcBorders>
            <w:noWrap/>
            <w:vAlign w:val="center"/>
          </w:tcPr>
          <w:p w14:paraId="30D0D06F" w14:textId="77777777" w:rsidR="00B25A31" w:rsidRPr="00D0395E" w:rsidRDefault="00B25A31"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3 065</w:t>
            </w:r>
          </w:p>
        </w:tc>
        <w:tc>
          <w:tcPr>
            <w:tcW w:w="532" w:type="pct"/>
            <w:tcBorders>
              <w:top w:val="nil"/>
              <w:left w:val="nil"/>
              <w:bottom w:val="single" w:sz="4" w:space="0" w:color="auto"/>
              <w:right w:val="nil"/>
            </w:tcBorders>
            <w:noWrap/>
            <w:vAlign w:val="center"/>
          </w:tcPr>
          <w:p w14:paraId="55D8FED3"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2 969</w:t>
            </w:r>
          </w:p>
        </w:tc>
        <w:tc>
          <w:tcPr>
            <w:tcW w:w="605" w:type="pct"/>
            <w:tcBorders>
              <w:top w:val="nil"/>
              <w:left w:val="nil"/>
              <w:bottom w:val="single" w:sz="4" w:space="0" w:color="auto"/>
              <w:right w:val="nil"/>
            </w:tcBorders>
            <w:noWrap/>
            <w:vAlign w:val="center"/>
          </w:tcPr>
          <w:p w14:paraId="00B4CFF4"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2 917</w:t>
            </w:r>
          </w:p>
        </w:tc>
        <w:tc>
          <w:tcPr>
            <w:tcW w:w="555" w:type="pct"/>
            <w:tcBorders>
              <w:top w:val="nil"/>
              <w:left w:val="nil"/>
              <w:bottom w:val="single" w:sz="4" w:space="0" w:color="auto"/>
              <w:right w:val="nil"/>
            </w:tcBorders>
            <w:noWrap/>
            <w:vAlign w:val="center"/>
          </w:tcPr>
          <w:p w14:paraId="339A7B50" w14:textId="77777777" w:rsidR="00B25A31" w:rsidRPr="00D0395E" w:rsidRDefault="00B25A31"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-52</w:t>
            </w:r>
          </w:p>
        </w:tc>
      </w:tr>
      <w:tr w:rsidR="00B25A31" w:rsidRPr="00D0395E" w14:paraId="07987C02" w14:textId="77777777" w:rsidTr="00B25A31">
        <w:trPr>
          <w:trHeight w:val="290"/>
        </w:trPr>
        <w:tc>
          <w:tcPr>
            <w:tcW w:w="2244" w:type="pct"/>
            <w:tcBorders>
              <w:top w:val="single" w:sz="4" w:space="0" w:color="auto"/>
              <w:left w:val="nil"/>
              <w:bottom w:val="single" w:sz="4" w:space="0" w:color="auto"/>
              <w:right w:val="nil"/>
            </w:tcBorders>
            <w:noWrap/>
            <w:vAlign w:val="center"/>
            <w:hideMark/>
          </w:tcPr>
          <w:p w14:paraId="78D66ECE" w14:textId="77777777" w:rsidR="00B25A31" w:rsidRPr="00D0395E" w:rsidRDefault="00B25A31"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Schodok štátneho rozpočtu</w:t>
            </w:r>
          </w:p>
        </w:tc>
        <w:tc>
          <w:tcPr>
            <w:tcW w:w="533" w:type="pct"/>
            <w:tcBorders>
              <w:top w:val="single" w:sz="4" w:space="0" w:color="auto"/>
              <w:left w:val="nil"/>
              <w:bottom w:val="single" w:sz="4" w:space="0" w:color="auto"/>
              <w:right w:val="nil"/>
            </w:tcBorders>
            <w:noWrap/>
            <w:vAlign w:val="center"/>
            <w:hideMark/>
          </w:tcPr>
          <w:p w14:paraId="5565C6BA"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-7 675 337</w:t>
            </w:r>
          </w:p>
        </w:tc>
        <w:tc>
          <w:tcPr>
            <w:tcW w:w="532" w:type="pct"/>
            <w:tcBorders>
              <w:top w:val="single" w:sz="4" w:space="0" w:color="auto"/>
              <w:left w:val="nil"/>
              <w:bottom w:val="single" w:sz="4" w:space="0" w:color="auto"/>
              <w:right w:val="nil"/>
            </w:tcBorders>
            <w:noWrap/>
            <w:vAlign w:val="center"/>
          </w:tcPr>
          <w:p w14:paraId="3C85AB02"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-6 366 120</w:t>
            </w:r>
          </w:p>
        </w:tc>
        <w:tc>
          <w:tcPr>
            <w:tcW w:w="532" w:type="pct"/>
            <w:tcBorders>
              <w:top w:val="single" w:sz="4" w:space="0" w:color="auto"/>
              <w:left w:val="nil"/>
              <w:bottom w:val="single" w:sz="4" w:space="0" w:color="auto"/>
              <w:right w:val="nil"/>
            </w:tcBorders>
            <w:noWrap/>
            <w:vAlign w:val="center"/>
          </w:tcPr>
          <w:p w14:paraId="6EFE329B"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-6 278 711</w:t>
            </w:r>
          </w:p>
        </w:tc>
        <w:tc>
          <w:tcPr>
            <w:tcW w:w="605" w:type="pct"/>
            <w:tcBorders>
              <w:top w:val="single" w:sz="4" w:space="0" w:color="auto"/>
              <w:left w:val="nil"/>
              <w:bottom w:val="single" w:sz="4" w:space="0" w:color="auto"/>
              <w:right w:val="nil"/>
            </w:tcBorders>
            <w:noWrap/>
            <w:vAlign w:val="center"/>
          </w:tcPr>
          <w:p w14:paraId="28E85E12"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-6 108 623</w:t>
            </w:r>
          </w:p>
        </w:tc>
        <w:tc>
          <w:tcPr>
            <w:tcW w:w="555" w:type="pct"/>
            <w:tcBorders>
              <w:top w:val="single" w:sz="4" w:space="0" w:color="auto"/>
              <w:left w:val="nil"/>
              <w:bottom w:val="single" w:sz="4" w:space="0" w:color="auto"/>
              <w:right w:val="nil"/>
            </w:tcBorders>
            <w:noWrap/>
            <w:vAlign w:val="center"/>
          </w:tcPr>
          <w:p w14:paraId="756D9275" w14:textId="77777777" w:rsidR="00B25A31" w:rsidRPr="00D0395E" w:rsidRDefault="00B25A31"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170 088</w:t>
            </w:r>
          </w:p>
        </w:tc>
      </w:tr>
    </w:tbl>
    <w:p w14:paraId="2F021684" w14:textId="08D7DCE3" w:rsidR="00D66760" w:rsidRPr="00B25A31" w:rsidRDefault="00D66760" w:rsidP="004942CF">
      <w:pPr>
        <w:tabs>
          <w:tab w:val="right" w:pos="9070"/>
        </w:tabs>
        <w:spacing w:line="240" w:lineRule="auto"/>
        <w:jc w:val="both"/>
        <w:rPr>
          <w:sz w:val="18"/>
          <w:szCs w:val="18"/>
        </w:rPr>
      </w:pPr>
      <w:r w:rsidRPr="00B25A31">
        <w:rPr>
          <w:sz w:val="18"/>
          <w:szCs w:val="18"/>
        </w:rPr>
        <w:t>*Príjmy z rozpočtu EÚ okrem Plánu obnovy a</w:t>
      </w:r>
      <w:r w:rsidR="00B25A31">
        <w:rPr>
          <w:sz w:val="18"/>
          <w:szCs w:val="18"/>
        </w:rPr>
        <w:t> </w:t>
      </w:r>
      <w:r w:rsidRPr="00B25A31">
        <w:rPr>
          <w:sz w:val="18"/>
          <w:szCs w:val="18"/>
        </w:rPr>
        <w:t>odolnosti</w:t>
      </w:r>
      <w:r w:rsidR="00B25A31">
        <w:rPr>
          <w:sz w:val="18"/>
          <w:szCs w:val="18"/>
        </w:rPr>
        <w:t>.</w:t>
      </w:r>
      <w:r w:rsidRPr="00B25A31">
        <w:rPr>
          <w:sz w:val="18"/>
          <w:szCs w:val="18"/>
        </w:rPr>
        <w:tab/>
        <w:t>Zdroj: MF SR</w:t>
      </w:r>
    </w:p>
    <w:p w14:paraId="0BB83D52" w14:textId="3504A492" w:rsidR="004D69BF" w:rsidRPr="00B25A31" w:rsidRDefault="00D66760" w:rsidP="00532D85">
      <w:pPr>
        <w:spacing w:line="240" w:lineRule="auto"/>
        <w:jc w:val="both"/>
      </w:pPr>
      <w:r w:rsidRPr="00B25A31">
        <w:rPr>
          <w:sz w:val="18"/>
          <w:szCs w:val="18"/>
        </w:rPr>
        <w:t>**Hodnota bez tradičných vlastných zdrojov</w:t>
      </w:r>
      <w:r w:rsidR="00D90A0C">
        <w:rPr>
          <w:sz w:val="18"/>
          <w:szCs w:val="18"/>
        </w:rPr>
        <w:t xml:space="preserve"> a spolufinancovania vnútorných politík EÚ</w:t>
      </w:r>
      <w:r w:rsidR="00B25A31">
        <w:rPr>
          <w:sz w:val="18"/>
          <w:szCs w:val="18"/>
        </w:rPr>
        <w:t>.</w:t>
      </w:r>
    </w:p>
    <w:p w14:paraId="137E5F1E" w14:textId="77777777" w:rsidR="00415273" w:rsidRPr="0050710A" w:rsidRDefault="00415273" w:rsidP="00C54C0D">
      <w:pPr>
        <w:spacing w:line="240" w:lineRule="auto"/>
        <w:jc w:val="both"/>
        <w:rPr>
          <w:szCs w:val="24"/>
          <w:highlight w:val="yellow"/>
        </w:rPr>
      </w:pPr>
    </w:p>
    <w:p w14:paraId="27F3125C" w14:textId="56C2B956" w:rsidR="00C54C0D" w:rsidRDefault="00C54C0D" w:rsidP="00C54C0D">
      <w:pPr>
        <w:spacing w:line="240" w:lineRule="auto"/>
        <w:jc w:val="both"/>
        <w:rPr>
          <w:szCs w:val="24"/>
        </w:rPr>
      </w:pPr>
      <w:r w:rsidRPr="00F00311">
        <w:rPr>
          <w:szCs w:val="24"/>
        </w:rPr>
        <w:t>Nasledujúc</w:t>
      </w:r>
      <w:r>
        <w:rPr>
          <w:szCs w:val="24"/>
        </w:rPr>
        <w:t>i</w:t>
      </w:r>
      <w:r w:rsidRPr="00F00311">
        <w:rPr>
          <w:szCs w:val="24"/>
        </w:rPr>
        <w:t xml:space="preserve"> </w:t>
      </w:r>
      <w:r>
        <w:rPr>
          <w:szCs w:val="24"/>
        </w:rPr>
        <w:t xml:space="preserve">opis </w:t>
      </w:r>
      <w:r w:rsidRPr="00F00311">
        <w:rPr>
          <w:szCs w:val="24"/>
        </w:rPr>
        <w:t>príjmo</w:t>
      </w:r>
      <w:r>
        <w:rPr>
          <w:szCs w:val="24"/>
        </w:rPr>
        <w:t>v</w:t>
      </w:r>
      <w:r w:rsidRPr="00F00311">
        <w:rPr>
          <w:szCs w:val="24"/>
        </w:rPr>
        <w:t xml:space="preserve"> a výdavko</w:t>
      </w:r>
      <w:r>
        <w:rPr>
          <w:szCs w:val="24"/>
        </w:rPr>
        <w:t>v</w:t>
      </w:r>
      <w:r w:rsidRPr="00F00311">
        <w:rPr>
          <w:szCs w:val="24"/>
        </w:rPr>
        <w:t xml:space="preserve"> štátneho rozpočtu </w:t>
      </w:r>
      <w:r>
        <w:rPr>
          <w:szCs w:val="24"/>
        </w:rPr>
        <w:t>je založený na údajoch predložených štátnymi rozpočtovými organizáciami Ministerstvu financií SR, prostredníctvom finančných</w:t>
      </w:r>
      <w:r>
        <w:rPr>
          <w:rStyle w:val="Odkaznapoznmkupodiarou"/>
          <w:szCs w:val="24"/>
        </w:rPr>
        <w:footnoteReference w:id="18"/>
      </w:r>
      <w:r>
        <w:rPr>
          <w:szCs w:val="24"/>
        </w:rPr>
        <w:t xml:space="preserve"> a účtovných výkazov k 31. decembru 2025, ako aj dodatočných informácií poskytnutých od správcov kapitol štátneho rozpočtu. </w:t>
      </w:r>
      <w:r w:rsidRPr="00F00311">
        <w:rPr>
          <w:szCs w:val="24"/>
        </w:rPr>
        <w:t>Komentár k </w:t>
      </w:r>
      <w:r>
        <w:rPr>
          <w:szCs w:val="24"/>
        </w:rPr>
        <w:t>vybraným</w:t>
      </w:r>
      <w:r w:rsidRPr="00F00311">
        <w:rPr>
          <w:szCs w:val="24"/>
        </w:rPr>
        <w:t xml:space="preserve"> položkám príjmov a</w:t>
      </w:r>
      <w:r>
        <w:rPr>
          <w:szCs w:val="24"/>
        </w:rPr>
        <w:t> </w:t>
      </w:r>
      <w:r w:rsidRPr="00F00311">
        <w:rPr>
          <w:szCs w:val="24"/>
        </w:rPr>
        <w:t xml:space="preserve">výdavkov sa sústredí na opis faktorov majúcich </w:t>
      </w:r>
      <w:r>
        <w:rPr>
          <w:szCs w:val="24"/>
        </w:rPr>
        <w:t xml:space="preserve">významný </w:t>
      </w:r>
      <w:r w:rsidRPr="00F00311">
        <w:rPr>
          <w:szCs w:val="24"/>
        </w:rPr>
        <w:t>vplyv na ich hotovostné plnenie</w:t>
      </w:r>
      <w:r>
        <w:rPr>
          <w:szCs w:val="24"/>
        </w:rPr>
        <w:t xml:space="preserve"> alebo medziročné porovnanie.</w:t>
      </w:r>
    </w:p>
    <w:p w14:paraId="2F9F0DE7" w14:textId="77777777" w:rsidR="00C54C0D" w:rsidRPr="00F00311" w:rsidRDefault="00C54C0D" w:rsidP="00C54C0D">
      <w:pPr>
        <w:spacing w:line="240" w:lineRule="auto"/>
        <w:jc w:val="both"/>
        <w:rPr>
          <w:szCs w:val="24"/>
        </w:rPr>
      </w:pPr>
    </w:p>
    <w:p w14:paraId="3314197B" w14:textId="3C2720D5" w:rsidR="00C54C0D" w:rsidRDefault="00C54C0D" w:rsidP="00C54C0D">
      <w:pPr>
        <w:spacing w:line="240" w:lineRule="auto"/>
        <w:jc w:val="both"/>
        <w:rPr>
          <w:szCs w:val="24"/>
        </w:rPr>
      </w:pPr>
      <w:r w:rsidRPr="00F00311">
        <w:rPr>
          <w:szCs w:val="24"/>
        </w:rPr>
        <w:t xml:space="preserve">Súčasťou Štátneho záverečného účtu SR je aj tabuľková príloha, ktorá dopĺňa opisnú časť </w:t>
      </w:r>
      <w:r>
        <w:rPr>
          <w:szCs w:val="24"/>
        </w:rPr>
        <w:t>kapitoly č. 3</w:t>
      </w:r>
      <w:r w:rsidR="00952B49">
        <w:rPr>
          <w:szCs w:val="24"/>
        </w:rPr>
        <w:t>.</w:t>
      </w:r>
      <w:r>
        <w:rPr>
          <w:rStyle w:val="Odkaznapoznmkupodiarou"/>
          <w:szCs w:val="24"/>
        </w:rPr>
        <w:footnoteReference w:id="19"/>
      </w:r>
    </w:p>
    <w:p w14:paraId="09D45C6E" w14:textId="77777777" w:rsidR="00C54C0D" w:rsidRDefault="00C54C0D" w:rsidP="00C54C0D">
      <w:pPr>
        <w:spacing w:line="240" w:lineRule="auto"/>
        <w:jc w:val="both"/>
        <w:rPr>
          <w:szCs w:val="24"/>
        </w:rPr>
      </w:pPr>
    </w:p>
    <w:p w14:paraId="718E4967" w14:textId="25225728" w:rsidR="004D69BF" w:rsidRPr="0050710A" w:rsidRDefault="00C54C0D" w:rsidP="00C54C0D">
      <w:pPr>
        <w:spacing w:line="240" w:lineRule="auto"/>
        <w:jc w:val="both"/>
        <w:rPr>
          <w:b/>
          <w:bCs/>
          <w:szCs w:val="24"/>
          <w:highlight w:val="yellow"/>
        </w:rPr>
      </w:pPr>
      <w:r>
        <w:rPr>
          <w:b/>
          <w:bCs/>
          <w:szCs w:val="24"/>
        </w:rPr>
        <w:t>Detailné</w:t>
      </w:r>
      <w:r w:rsidRPr="000C4F93">
        <w:rPr>
          <w:b/>
          <w:bCs/>
          <w:szCs w:val="24"/>
        </w:rPr>
        <w:t xml:space="preserve"> informácie o</w:t>
      </w:r>
      <w:r>
        <w:rPr>
          <w:b/>
          <w:bCs/>
          <w:szCs w:val="24"/>
        </w:rPr>
        <w:t> plnení rozpočtu</w:t>
      </w:r>
      <w:r w:rsidRPr="000C4F93">
        <w:rPr>
          <w:b/>
          <w:bCs/>
          <w:szCs w:val="24"/>
        </w:rPr>
        <w:t> príjmo</w:t>
      </w:r>
      <w:r>
        <w:rPr>
          <w:b/>
          <w:bCs/>
          <w:szCs w:val="24"/>
        </w:rPr>
        <w:t>v</w:t>
      </w:r>
      <w:r w:rsidRPr="000C4F93">
        <w:rPr>
          <w:b/>
          <w:bCs/>
          <w:szCs w:val="24"/>
        </w:rPr>
        <w:t xml:space="preserve"> a výdavko</w:t>
      </w:r>
      <w:r>
        <w:rPr>
          <w:b/>
          <w:bCs/>
          <w:szCs w:val="24"/>
        </w:rPr>
        <w:t>v</w:t>
      </w:r>
      <w:r w:rsidRPr="000C4F93">
        <w:rPr>
          <w:b/>
          <w:bCs/>
          <w:szCs w:val="24"/>
        </w:rPr>
        <w:t xml:space="preserve"> </w:t>
      </w:r>
      <w:r>
        <w:rPr>
          <w:b/>
          <w:bCs/>
          <w:szCs w:val="24"/>
        </w:rPr>
        <w:t>štátnych rozpočtových organizácií sú uvádzané v</w:t>
      </w:r>
      <w:r w:rsidRPr="000C4F93">
        <w:rPr>
          <w:b/>
          <w:bCs/>
          <w:szCs w:val="24"/>
        </w:rPr>
        <w:t> záverečných účtoch kapitol</w:t>
      </w:r>
      <w:r>
        <w:rPr>
          <w:rStyle w:val="Odkaznapoznmkupodiarou"/>
          <w:b/>
          <w:bCs/>
          <w:szCs w:val="24"/>
        </w:rPr>
        <w:footnoteReference w:id="20"/>
      </w:r>
      <w:r w:rsidRPr="000C4F93">
        <w:rPr>
          <w:b/>
          <w:bCs/>
          <w:szCs w:val="24"/>
        </w:rPr>
        <w:t>, ktoré sa zverejňujú na</w:t>
      </w:r>
      <w:r>
        <w:rPr>
          <w:b/>
          <w:bCs/>
          <w:szCs w:val="24"/>
        </w:rPr>
        <w:t> </w:t>
      </w:r>
      <w:r w:rsidRPr="000C4F93">
        <w:rPr>
          <w:b/>
          <w:bCs/>
          <w:szCs w:val="24"/>
        </w:rPr>
        <w:t>ich webovom sídle</w:t>
      </w:r>
      <w:r>
        <w:rPr>
          <w:b/>
          <w:bCs/>
          <w:szCs w:val="24"/>
        </w:rPr>
        <w:t xml:space="preserve"> a sú predkladané na rokovanie vlády SR.</w:t>
      </w:r>
    </w:p>
    <w:p w14:paraId="3538DF55" w14:textId="759BC65E" w:rsidR="00C54C0D" w:rsidRDefault="00C54C0D">
      <w:pPr>
        <w:rPr>
          <w:szCs w:val="24"/>
          <w:highlight w:val="yellow"/>
        </w:rPr>
      </w:pPr>
      <w:r>
        <w:rPr>
          <w:szCs w:val="24"/>
          <w:highlight w:val="yellow"/>
        </w:rPr>
        <w:br w:type="page"/>
      </w:r>
    </w:p>
    <w:p w14:paraId="57A0B42B" w14:textId="160CDDCF" w:rsidR="004D69BF" w:rsidRPr="00340042" w:rsidRDefault="004D69BF" w:rsidP="00A972FB">
      <w:pPr>
        <w:pStyle w:val="Nadpis2"/>
        <w:spacing w:after="0"/>
      </w:pPr>
      <w:bookmarkStart w:id="94" w:name="_Toc6415641"/>
      <w:bookmarkStart w:id="95" w:name="_Toc227758903"/>
      <w:r w:rsidRPr="00340042">
        <w:lastRenderedPageBreak/>
        <w:t>Príjmy štátneho rozpočtu</w:t>
      </w:r>
      <w:bookmarkEnd w:id="94"/>
      <w:bookmarkEnd w:id="95"/>
    </w:p>
    <w:p w14:paraId="72ACDF09" w14:textId="77777777" w:rsidR="00D46A5E" w:rsidRPr="00340042" w:rsidRDefault="00D46A5E" w:rsidP="00A972FB">
      <w:pPr>
        <w:spacing w:line="240" w:lineRule="auto"/>
        <w:jc w:val="both"/>
        <w:rPr>
          <w:szCs w:val="24"/>
        </w:rPr>
      </w:pPr>
    </w:p>
    <w:p w14:paraId="4B2CABDD" w14:textId="77777777" w:rsidR="004D69BF" w:rsidRPr="00340042" w:rsidRDefault="004D69BF" w:rsidP="00A972FB">
      <w:pPr>
        <w:pStyle w:val="Nadpis3"/>
        <w:spacing w:before="0"/>
        <w:jc w:val="both"/>
      </w:pPr>
      <w:bookmarkStart w:id="96" w:name="_Toc6415642"/>
      <w:bookmarkStart w:id="97" w:name="_Toc227758904"/>
      <w:r w:rsidRPr="00340042">
        <w:t>Daňové príjmy</w:t>
      </w:r>
      <w:bookmarkEnd w:id="96"/>
      <w:bookmarkEnd w:id="97"/>
    </w:p>
    <w:p w14:paraId="1CA9F71E" w14:textId="77777777" w:rsidR="00D46A5E" w:rsidRPr="0050710A" w:rsidRDefault="00D46A5E" w:rsidP="00A972FB">
      <w:pPr>
        <w:spacing w:line="240" w:lineRule="auto"/>
        <w:jc w:val="both"/>
        <w:rPr>
          <w:szCs w:val="24"/>
          <w:highlight w:val="yellow"/>
        </w:rPr>
      </w:pPr>
    </w:p>
    <w:p w14:paraId="7F670883" w14:textId="55240653" w:rsidR="00B7083F" w:rsidRDefault="00B7083F" w:rsidP="00B7083F">
      <w:pPr>
        <w:spacing w:line="240" w:lineRule="auto"/>
        <w:jc w:val="both"/>
        <w:rPr>
          <w:szCs w:val="24"/>
        </w:rPr>
      </w:pPr>
      <w:r w:rsidRPr="006817DA">
        <w:rPr>
          <w:szCs w:val="24"/>
        </w:rPr>
        <w:t>Hotovostné daňové príjmy štátneho rozpočtu na rok 2025 boli rozpočtované v</w:t>
      </w:r>
      <w:r>
        <w:rPr>
          <w:szCs w:val="24"/>
        </w:rPr>
        <w:t> </w:t>
      </w:r>
      <w:r w:rsidRPr="006817DA">
        <w:rPr>
          <w:szCs w:val="24"/>
        </w:rPr>
        <w:t>celkovej výške 22 452</w:t>
      </w:r>
      <w:r>
        <w:rPr>
          <w:szCs w:val="24"/>
        </w:rPr>
        <w:t> </w:t>
      </w:r>
      <w:r w:rsidRPr="006817DA">
        <w:rPr>
          <w:szCs w:val="24"/>
        </w:rPr>
        <w:t>482</w:t>
      </w:r>
      <w:r>
        <w:rPr>
          <w:szCs w:val="24"/>
        </w:rPr>
        <w:t> </w:t>
      </w:r>
      <w:r w:rsidRPr="006817DA">
        <w:rPr>
          <w:szCs w:val="24"/>
        </w:rPr>
        <w:t>tis.</w:t>
      </w:r>
      <w:r>
        <w:rPr>
          <w:szCs w:val="24"/>
        </w:rPr>
        <w:t> </w:t>
      </w:r>
      <w:r w:rsidRPr="006817DA">
        <w:rPr>
          <w:szCs w:val="24"/>
        </w:rPr>
        <w:t>eur. V skutočnosti boli 1</w:t>
      </w:r>
      <w:r>
        <w:rPr>
          <w:szCs w:val="24"/>
        </w:rPr>
        <w:t> </w:t>
      </w:r>
      <w:r w:rsidRPr="006817DA">
        <w:rPr>
          <w:szCs w:val="24"/>
        </w:rPr>
        <w:t>799</w:t>
      </w:r>
      <w:r>
        <w:rPr>
          <w:szCs w:val="24"/>
        </w:rPr>
        <w:t> </w:t>
      </w:r>
      <w:r w:rsidRPr="006817DA">
        <w:rPr>
          <w:szCs w:val="24"/>
        </w:rPr>
        <w:t>276</w:t>
      </w:r>
      <w:r>
        <w:rPr>
          <w:szCs w:val="24"/>
        </w:rPr>
        <w:t> </w:t>
      </w:r>
      <w:r w:rsidRPr="006817DA">
        <w:rPr>
          <w:szCs w:val="24"/>
        </w:rPr>
        <w:t>tis.</w:t>
      </w:r>
      <w:r>
        <w:rPr>
          <w:szCs w:val="24"/>
        </w:rPr>
        <w:t> </w:t>
      </w:r>
      <w:r w:rsidRPr="006817DA">
        <w:rPr>
          <w:szCs w:val="24"/>
        </w:rPr>
        <w:t>eur nižšie, v</w:t>
      </w:r>
      <w:r>
        <w:rPr>
          <w:szCs w:val="24"/>
        </w:rPr>
        <w:t> </w:t>
      </w:r>
      <w:r w:rsidRPr="006817DA">
        <w:rPr>
          <w:szCs w:val="24"/>
        </w:rPr>
        <w:t>celkovej hodnote 20</w:t>
      </w:r>
      <w:r>
        <w:rPr>
          <w:szCs w:val="24"/>
        </w:rPr>
        <w:t> </w:t>
      </w:r>
      <w:r w:rsidRPr="006817DA">
        <w:rPr>
          <w:szCs w:val="24"/>
        </w:rPr>
        <w:t>653</w:t>
      </w:r>
      <w:r>
        <w:rPr>
          <w:szCs w:val="24"/>
        </w:rPr>
        <w:t> </w:t>
      </w:r>
      <w:r w:rsidRPr="006817DA">
        <w:rPr>
          <w:szCs w:val="24"/>
        </w:rPr>
        <w:t>206</w:t>
      </w:r>
      <w:r>
        <w:rPr>
          <w:szCs w:val="24"/>
        </w:rPr>
        <w:t> </w:t>
      </w:r>
      <w:r w:rsidRPr="006817DA">
        <w:rPr>
          <w:szCs w:val="24"/>
        </w:rPr>
        <w:t>tis.</w:t>
      </w:r>
      <w:r>
        <w:rPr>
          <w:szCs w:val="24"/>
        </w:rPr>
        <w:t> </w:t>
      </w:r>
      <w:r w:rsidRPr="006817DA">
        <w:rPr>
          <w:szCs w:val="24"/>
        </w:rPr>
        <w:t>eur. Nižší ako rozpočtovaný výnos zaznamenala väčšina daní. Z</w:t>
      </w:r>
      <w:r>
        <w:rPr>
          <w:szCs w:val="24"/>
        </w:rPr>
        <w:t> </w:t>
      </w:r>
      <w:r w:rsidRPr="006817DA">
        <w:rPr>
          <w:szCs w:val="24"/>
        </w:rPr>
        <w:t>tých najväčších možno spomenúť daň z pridanej hodnoty, daň z príjmov právnických osôb, solidárny príspevok, daň z finančných transakcií, spotrebné dane.</w:t>
      </w:r>
    </w:p>
    <w:p w14:paraId="7BDDED79" w14:textId="62138C5F" w:rsidR="00B7083F" w:rsidRPr="006817DA" w:rsidRDefault="00B7083F" w:rsidP="00B7083F">
      <w:pPr>
        <w:spacing w:line="240" w:lineRule="auto"/>
        <w:jc w:val="both"/>
        <w:rPr>
          <w:szCs w:val="24"/>
        </w:rPr>
      </w:pPr>
    </w:p>
    <w:p w14:paraId="634A93C5" w14:textId="638AA7B6" w:rsidR="004D69BF" w:rsidRPr="0050710A" w:rsidRDefault="00B7083F" w:rsidP="00B7083F">
      <w:pPr>
        <w:spacing w:line="240" w:lineRule="auto"/>
        <w:jc w:val="both"/>
        <w:rPr>
          <w:szCs w:val="24"/>
          <w:highlight w:val="yellow"/>
        </w:rPr>
      </w:pPr>
      <w:r w:rsidRPr="006817DA">
        <w:rPr>
          <w:szCs w:val="24"/>
        </w:rPr>
        <w:t>V porovnaní s rokom 2024 boli celkové daňové príjmy vyššie o</w:t>
      </w:r>
      <w:r>
        <w:rPr>
          <w:szCs w:val="24"/>
        </w:rPr>
        <w:t> </w:t>
      </w:r>
      <w:r w:rsidRPr="006817DA">
        <w:rPr>
          <w:szCs w:val="24"/>
        </w:rPr>
        <w:t>2</w:t>
      </w:r>
      <w:r>
        <w:rPr>
          <w:szCs w:val="24"/>
        </w:rPr>
        <w:t> </w:t>
      </w:r>
      <w:r w:rsidRPr="006817DA">
        <w:rPr>
          <w:szCs w:val="24"/>
        </w:rPr>
        <w:t>302</w:t>
      </w:r>
      <w:r>
        <w:rPr>
          <w:szCs w:val="24"/>
        </w:rPr>
        <w:t> </w:t>
      </w:r>
      <w:r w:rsidRPr="006817DA">
        <w:rPr>
          <w:szCs w:val="24"/>
        </w:rPr>
        <w:t>418</w:t>
      </w:r>
      <w:r>
        <w:rPr>
          <w:szCs w:val="24"/>
        </w:rPr>
        <w:t> </w:t>
      </w:r>
      <w:r w:rsidRPr="006817DA">
        <w:rPr>
          <w:szCs w:val="24"/>
        </w:rPr>
        <w:t>tis.</w:t>
      </w:r>
      <w:r>
        <w:rPr>
          <w:szCs w:val="24"/>
        </w:rPr>
        <w:t> </w:t>
      </w:r>
      <w:r w:rsidRPr="006817DA">
        <w:rPr>
          <w:szCs w:val="24"/>
        </w:rPr>
        <w:t>eur, čo zodpovedá medziročnému rastu na úrovni 12,5</w:t>
      </w:r>
      <w:r>
        <w:rPr>
          <w:szCs w:val="24"/>
        </w:rPr>
        <w:t> </w:t>
      </w:r>
      <w:r w:rsidRPr="006817DA">
        <w:rPr>
          <w:szCs w:val="24"/>
        </w:rPr>
        <w:t>%. Najväčší nárast je pri dani z pridanej hodnoty. Vyšší medziročný rast je aj z dôvodu zavedenia dane z finančných transakcií a zvýšenia podielu výnosu dane z príjmov fyzických osôb do štátneho rozpočtu.</w:t>
      </w:r>
    </w:p>
    <w:p w14:paraId="447A4333" w14:textId="77777777" w:rsidR="00D46A5E" w:rsidRPr="0050710A" w:rsidRDefault="00D46A5E" w:rsidP="00532D85">
      <w:pPr>
        <w:spacing w:line="240" w:lineRule="auto"/>
        <w:jc w:val="both"/>
        <w:rPr>
          <w:szCs w:val="24"/>
          <w:highlight w:val="yellow"/>
        </w:rPr>
      </w:pPr>
    </w:p>
    <w:p w14:paraId="24C9BF7C" w14:textId="65CEA911" w:rsidR="00D66760" w:rsidRPr="00252583" w:rsidRDefault="00D66760" w:rsidP="00532D85">
      <w:pPr>
        <w:pStyle w:val="Popis"/>
        <w:jc w:val="both"/>
        <w:rPr>
          <w:lang w:eastAsia="sk-SK"/>
        </w:rPr>
      </w:pPr>
      <w:bookmarkStart w:id="98" w:name="_Toc196313650"/>
      <w:bookmarkStart w:id="99" w:name="_Toc227670160"/>
      <w:r w:rsidRPr="00252583">
        <w:rPr>
          <w:lang w:eastAsia="sk-SK"/>
        </w:rPr>
        <w:t xml:space="preserve">Tabuľka </w:t>
      </w:r>
      <w:r w:rsidRPr="00252583">
        <w:rPr>
          <w:i/>
          <w:lang w:eastAsia="sk-SK"/>
        </w:rPr>
        <w:fldChar w:fldCharType="begin"/>
      </w:r>
      <w:r w:rsidRPr="00252583">
        <w:rPr>
          <w:lang w:eastAsia="sk-SK"/>
        </w:rPr>
        <w:instrText xml:space="preserve"> SEQ Tabuľka \* ARABIC </w:instrText>
      </w:r>
      <w:r w:rsidRPr="00252583">
        <w:rPr>
          <w:i/>
          <w:lang w:eastAsia="sk-SK"/>
        </w:rPr>
        <w:fldChar w:fldCharType="separate"/>
      </w:r>
      <w:r w:rsidR="00396BE8">
        <w:rPr>
          <w:noProof/>
          <w:lang w:eastAsia="sk-SK"/>
        </w:rPr>
        <w:t>24</w:t>
      </w:r>
      <w:r w:rsidRPr="00252583">
        <w:rPr>
          <w:i/>
          <w:lang w:eastAsia="sk-SK"/>
        </w:rPr>
        <w:fldChar w:fldCharType="end"/>
      </w:r>
      <w:r w:rsidRPr="00252583">
        <w:rPr>
          <w:lang w:eastAsia="sk-SK"/>
        </w:rPr>
        <w:t xml:space="preserve"> - Daňové príjmy štátneho rozpočtu na hotovostnej báze</w:t>
      </w:r>
      <w:bookmarkEnd w:id="98"/>
      <w:bookmarkEnd w:id="99"/>
    </w:p>
    <w:tbl>
      <w:tblPr>
        <w:tblW w:w="5000" w:type="pct"/>
        <w:tblLayout w:type="fixed"/>
        <w:tblCellMar>
          <w:left w:w="70" w:type="dxa"/>
          <w:right w:w="70" w:type="dxa"/>
        </w:tblCellMar>
        <w:tblLook w:val="04A0" w:firstRow="1" w:lastRow="0" w:firstColumn="1" w:lastColumn="0" w:noHBand="0" w:noVBand="1"/>
      </w:tblPr>
      <w:tblGrid>
        <w:gridCol w:w="3972"/>
        <w:gridCol w:w="982"/>
        <w:gridCol w:w="982"/>
        <w:gridCol w:w="992"/>
        <w:gridCol w:w="983"/>
        <w:gridCol w:w="1159"/>
      </w:tblGrid>
      <w:tr w:rsidR="00B7083F" w:rsidRPr="00B7083F" w14:paraId="74BC00AF" w14:textId="77777777" w:rsidTr="00252583">
        <w:trPr>
          <w:trHeight w:val="290"/>
          <w:tblHeader/>
        </w:trPr>
        <w:tc>
          <w:tcPr>
            <w:tcW w:w="2189" w:type="pct"/>
            <w:vMerge w:val="restart"/>
            <w:tcBorders>
              <w:top w:val="single" w:sz="4" w:space="0" w:color="auto"/>
              <w:left w:val="nil"/>
              <w:bottom w:val="single" w:sz="4" w:space="0" w:color="000000"/>
              <w:right w:val="nil"/>
            </w:tcBorders>
            <w:noWrap/>
            <w:vAlign w:val="center"/>
            <w:hideMark/>
          </w:tcPr>
          <w:p w14:paraId="07599279" w14:textId="77777777" w:rsidR="00B7083F" w:rsidRPr="00B7083F" w:rsidRDefault="00B7083F" w:rsidP="00B7083F">
            <w:pPr>
              <w:spacing w:line="240" w:lineRule="auto"/>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v tis. eur </w:t>
            </w:r>
          </w:p>
        </w:tc>
        <w:tc>
          <w:tcPr>
            <w:tcW w:w="541" w:type="pct"/>
            <w:tcBorders>
              <w:top w:val="single" w:sz="4" w:space="0" w:color="auto"/>
              <w:left w:val="nil"/>
              <w:bottom w:val="nil"/>
              <w:right w:val="nil"/>
            </w:tcBorders>
            <w:noWrap/>
            <w:vAlign w:val="center"/>
            <w:hideMark/>
          </w:tcPr>
          <w:p w14:paraId="1254F11E"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2023 S</w:t>
            </w:r>
          </w:p>
        </w:tc>
        <w:tc>
          <w:tcPr>
            <w:tcW w:w="541" w:type="pct"/>
            <w:tcBorders>
              <w:top w:val="single" w:sz="4" w:space="0" w:color="auto"/>
              <w:left w:val="nil"/>
              <w:bottom w:val="nil"/>
              <w:right w:val="nil"/>
            </w:tcBorders>
            <w:noWrap/>
            <w:vAlign w:val="center"/>
            <w:hideMark/>
          </w:tcPr>
          <w:p w14:paraId="5FB2D879"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2024 S</w:t>
            </w:r>
          </w:p>
        </w:tc>
        <w:tc>
          <w:tcPr>
            <w:tcW w:w="547" w:type="pct"/>
            <w:tcBorders>
              <w:top w:val="single" w:sz="4" w:space="0" w:color="auto"/>
              <w:left w:val="nil"/>
              <w:bottom w:val="nil"/>
              <w:right w:val="nil"/>
            </w:tcBorders>
            <w:noWrap/>
            <w:vAlign w:val="center"/>
            <w:hideMark/>
          </w:tcPr>
          <w:p w14:paraId="6B278C38"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2025 R</w:t>
            </w:r>
          </w:p>
        </w:tc>
        <w:tc>
          <w:tcPr>
            <w:tcW w:w="542" w:type="pct"/>
            <w:tcBorders>
              <w:top w:val="single" w:sz="4" w:space="0" w:color="auto"/>
              <w:left w:val="nil"/>
              <w:bottom w:val="nil"/>
              <w:right w:val="nil"/>
            </w:tcBorders>
            <w:noWrap/>
            <w:vAlign w:val="center"/>
            <w:hideMark/>
          </w:tcPr>
          <w:p w14:paraId="673B409E"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2025 S</w:t>
            </w:r>
          </w:p>
        </w:tc>
        <w:tc>
          <w:tcPr>
            <w:tcW w:w="639" w:type="pct"/>
            <w:tcBorders>
              <w:top w:val="single" w:sz="4" w:space="0" w:color="auto"/>
              <w:left w:val="nil"/>
              <w:bottom w:val="nil"/>
              <w:right w:val="nil"/>
            </w:tcBorders>
            <w:noWrap/>
            <w:vAlign w:val="center"/>
            <w:hideMark/>
          </w:tcPr>
          <w:p w14:paraId="672AEC66"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Rozdiel</w:t>
            </w:r>
          </w:p>
        </w:tc>
      </w:tr>
      <w:tr w:rsidR="00B7083F" w:rsidRPr="00B7083F" w14:paraId="1246DFCA" w14:textId="77777777" w:rsidTr="00AA59AD">
        <w:trPr>
          <w:trHeight w:val="121"/>
          <w:tblHeader/>
        </w:trPr>
        <w:tc>
          <w:tcPr>
            <w:tcW w:w="2189" w:type="pct"/>
            <w:vMerge/>
            <w:tcBorders>
              <w:top w:val="single" w:sz="4" w:space="0" w:color="auto"/>
              <w:left w:val="nil"/>
              <w:bottom w:val="single" w:sz="4" w:space="0" w:color="000000"/>
              <w:right w:val="nil"/>
            </w:tcBorders>
            <w:vAlign w:val="center"/>
            <w:hideMark/>
          </w:tcPr>
          <w:p w14:paraId="6B732E89" w14:textId="77777777" w:rsidR="00B7083F" w:rsidRPr="00B7083F" w:rsidRDefault="00B7083F" w:rsidP="00B7083F">
            <w:pPr>
              <w:spacing w:line="240" w:lineRule="auto"/>
              <w:rPr>
                <w:rFonts w:eastAsia="Times New Roman" w:cs="Times New Roman"/>
                <w:b/>
                <w:bCs/>
                <w:color w:val="000000"/>
                <w:sz w:val="18"/>
                <w:szCs w:val="18"/>
                <w:lang w:eastAsia="sk-SK"/>
              </w:rPr>
            </w:pPr>
          </w:p>
        </w:tc>
        <w:tc>
          <w:tcPr>
            <w:tcW w:w="541" w:type="pct"/>
            <w:tcBorders>
              <w:top w:val="nil"/>
              <w:left w:val="nil"/>
              <w:bottom w:val="single" w:sz="4" w:space="0" w:color="auto"/>
              <w:right w:val="nil"/>
            </w:tcBorders>
            <w:noWrap/>
            <w:vAlign w:val="center"/>
            <w:hideMark/>
          </w:tcPr>
          <w:p w14:paraId="3CCD2C70"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1</w:t>
            </w:r>
          </w:p>
        </w:tc>
        <w:tc>
          <w:tcPr>
            <w:tcW w:w="541" w:type="pct"/>
            <w:tcBorders>
              <w:top w:val="nil"/>
              <w:left w:val="nil"/>
              <w:bottom w:val="single" w:sz="4" w:space="0" w:color="auto"/>
              <w:right w:val="nil"/>
            </w:tcBorders>
            <w:noWrap/>
            <w:vAlign w:val="center"/>
            <w:hideMark/>
          </w:tcPr>
          <w:p w14:paraId="262EA978"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2</w:t>
            </w:r>
          </w:p>
        </w:tc>
        <w:tc>
          <w:tcPr>
            <w:tcW w:w="547" w:type="pct"/>
            <w:tcBorders>
              <w:top w:val="nil"/>
              <w:left w:val="nil"/>
              <w:bottom w:val="single" w:sz="4" w:space="0" w:color="auto"/>
              <w:right w:val="nil"/>
            </w:tcBorders>
            <w:noWrap/>
            <w:vAlign w:val="center"/>
            <w:hideMark/>
          </w:tcPr>
          <w:p w14:paraId="67281FD5"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3</w:t>
            </w:r>
          </w:p>
        </w:tc>
        <w:tc>
          <w:tcPr>
            <w:tcW w:w="542" w:type="pct"/>
            <w:tcBorders>
              <w:top w:val="nil"/>
              <w:left w:val="nil"/>
              <w:bottom w:val="single" w:sz="4" w:space="0" w:color="auto"/>
              <w:right w:val="nil"/>
            </w:tcBorders>
            <w:noWrap/>
            <w:vAlign w:val="center"/>
            <w:hideMark/>
          </w:tcPr>
          <w:p w14:paraId="095A13E9"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4</w:t>
            </w:r>
          </w:p>
        </w:tc>
        <w:tc>
          <w:tcPr>
            <w:tcW w:w="639" w:type="pct"/>
            <w:tcBorders>
              <w:top w:val="nil"/>
              <w:left w:val="nil"/>
              <w:bottom w:val="single" w:sz="4" w:space="0" w:color="auto"/>
              <w:right w:val="nil"/>
            </w:tcBorders>
            <w:noWrap/>
            <w:vAlign w:val="center"/>
            <w:hideMark/>
          </w:tcPr>
          <w:p w14:paraId="5FBA89D7" w14:textId="77777777" w:rsidR="00B7083F" w:rsidRPr="00B7083F" w:rsidRDefault="00B7083F" w:rsidP="00B7083F">
            <w:pPr>
              <w:spacing w:line="240" w:lineRule="auto"/>
              <w:jc w:val="center"/>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5=4-3</w:t>
            </w:r>
          </w:p>
        </w:tc>
      </w:tr>
      <w:tr w:rsidR="00B7083F" w:rsidRPr="00B7083F" w14:paraId="0A4E3230" w14:textId="77777777" w:rsidTr="00B7083F">
        <w:trPr>
          <w:trHeight w:val="315"/>
        </w:trPr>
        <w:tc>
          <w:tcPr>
            <w:tcW w:w="2189" w:type="pct"/>
            <w:tcBorders>
              <w:top w:val="nil"/>
              <w:left w:val="nil"/>
              <w:bottom w:val="nil"/>
              <w:right w:val="nil"/>
            </w:tcBorders>
            <w:noWrap/>
            <w:vAlign w:val="center"/>
            <w:hideMark/>
          </w:tcPr>
          <w:p w14:paraId="44040453" w14:textId="77777777" w:rsidR="00B7083F" w:rsidRPr="00B7083F" w:rsidRDefault="00B7083F" w:rsidP="00B7083F">
            <w:pPr>
              <w:spacing w:line="240" w:lineRule="auto"/>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Dane za tovary a služby</w:t>
            </w:r>
          </w:p>
        </w:tc>
        <w:tc>
          <w:tcPr>
            <w:tcW w:w="541" w:type="pct"/>
            <w:tcBorders>
              <w:top w:val="nil"/>
              <w:left w:val="nil"/>
              <w:bottom w:val="nil"/>
              <w:right w:val="nil"/>
            </w:tcBorders>
            <w:noWrap/>
            <w:vAlign w:val="center"/>
            <w:hideMark/>
          </w:tcPr>
          <w:p w14:paraId="6926C9FA"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12 450 214</w:t>
            </w:r>
          </w:p>
        </w:tc>
        <w:tc>
          <w:tcPr>
            <w:tcW w:w="541" w:type="pct"/>
            <w:tcBorders>
              <w:top w:val="nil"/>
              <w:left w:val="nil"/>
              <w:bottom w:val="nil"/>
              <w:right w:val="nil"/>
            </w:tcBorders>
            <w:noWrap/>
            <w:vAlign w:val="center"/>
            <w:hideMark/>
          </w:tcPr>
          <w:p w14:paraId="101F7642"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12 768 440</w:t>
            </w:r>
          </w:p>
        </w:tc>
        <w:tc>
          <w:tcPr>
            <w:tcW w:w="547" w:type="pct"/>
            <w:tcBorders>
              <w:top w:val="nil"/>
              <w:left w:val="nil"/>
              <w:bottom w:val="nil"/>
              <w:right w:val="nil"/>
            </w:tcBorders>
            <w:noWrap/>
            <w:vAlign w:val="center"/>
            <w:hideMark/>
          </w:tcPr>
          <w:p w14:paraId="22086DD0"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15 386 770</w:t>
            </w:r>
          </w:p>
        </w:tc>
        <w:tc>
          <w:tcPr>
            <w:tcW w:w="542" w:type="pct"/>
            <w:tcBorders>
              <w:top w:val="nil"/>
              <w:left w:val="nil"/>
              <w:bottom w:val="nil"/>
              <w:right w:val="nil"/>
            </w:tcBorders>
            <w:noWrap/>
            <w:vAlign w:val="center"/>
            <w:hideMark/>
          </w:tcPr>
          <w:p w14:paraId="38698201"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14 049 056</w:t>
            </w:r>
          </w:p>
        </w:tc>
        <w:tc>
          <w:tcPr>
            <w:tcW w:w="639" w:type="pct"/>
            <w:tcBorders>
              <w:top w:val="nil"/>
              <w:left w:val="nil"/>
              <w:bottom w:val="nil"/>
              <w:right w:val="nil"/>
            </w:tcBorders>
            <w:noWrap/>
            <w:vAlign w:val="center"/>
            <w:hideMark/>
          </w:tcPr>
          <w:p w14:paraId="42AD381B"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-1 337 715</w:t>
            </w:r>
          </w:p>
        </w:tc>
      </w:tr>
      <w:tr w:rsidR="00B7083F" w:rsidRPr="00B7083F" w14:paraId="64031CC9" w14:textId="77777777" w:rsidTr="00AA59AD">
        <w:trPr>
          <w:trHeight w:val="153"/>
        </w:trPr>
        <w:tc>
          <w:tcPr>
            <w:tcW w:w="2189" w:type="pct"/>
            <w:tcBorders>
              <w:top w:val="nil"/>
              <w:left w:val="nil"/>
              <w:bottom w:val="nil"/>
              <w:right w:val="nil"/>
            </w:tcBorders>
            <w:noWrap/>
            <w:vAlign w:val="center"/>
            <w:hideMark/>
          </w:tcPr>
          <w:p w14:paraId="74E80EC3" w14:textId="77777777" w:rsidR="00B7083F" w:rsidRPr="00B7083F" w:rsidRDefault="00B7083F" w:rsidP="00B7083F">
            <w:pPr>
              <w:spacing w:line="240" w:lineRule="auto"/>
              <w:rPr>
                <w:rFonts w:eastAsia="Times New Roman" w:cs="Times New Roman"/>
                <w:color w:val="000000"/>
                <w:sz w:val="18"/>
                <w:szCs w:val="18"/>
                <w:lang w:eastAsia="sk-SK"/>
              </w:rPr>
            </w:pPr>
            <w:r w:rsidRPr="00B7083F">
              <w:rPr>
                <w:rFonts w:eastAsia="Times New Roman" w:cs="Times New Roman"/>
                <w:color w:val="000000"/>
                <w:sz w:val="18"/>
                <w:szCs w:val="18"/>
                <w:lang w:eastAsia="sk-SK"/>
              </w:rPr>
              <w:t xml:space="preserve">v tom: </w:t>
            </w:r>
          </w:p>
        </w:tc>
        <w:tc>
          <w:tcPr>
            <w:tcW w:w="541" w:type="pct"/>
            <w:tcBorders>
              <w:top w:val="nil"/>
              <w:left w:val="nil"/>
              <w:bottom w:val="nil"/>
              <w:right w:val="nil"/>
            </w:tcBorders>
            <w:noWrap/>
            <w:vAlign w:val="center"/>
            <w:hideMark/>
          </w:tcPr>
          <w:p w14:paraId="058B38F1" w14:textId="77777777" w:rsidR="00B7083F" w:rsidRPr="00B7083F" w:rsidRDefault="00B7083F" w:rsidP="00B7083F">
            <w:pPr>
              <w:spacing w:line="240" w:lineRule="auto"/>
              <w:rPr>
                <w:rFonts w:eastAsia="Times New Roman" w:cs="Times New Roman"/>
                <w:color w:val="000000"/>
                <w:sz w:val="18"/>
                <w:szCs w:val="18"/>
                <w:lang w:eastAsia="sk-SK"/>
              </w:rPr>
            </w:pPr>
          </w:p>
        </w:tc>
        <w:tc>
          <w:tcPr>
            <w:tcW w:w="541" w:type="pct"/>
            <w:tcBorders>
              <w:top w:val="nil"/>
              <w:left w:val="nil"/>
              <w:bottom w:val="nil"/>
              <w:right w:val="nil"/>
            </w:tcBorders>
            <w:noWrap/>
            <w:vAlign w:val="center"/>
            <w:hideMark/>
          </w:tcPr>
          <w:p w14:paraId="491430D2" w14:textId="77777777" w:rsidR="00B7083F" w:rsidRPr="00B7083F" w:rsidRDefault="00B7083F" w:rsidP="00B7083F">
            <w:pPr>
              <w:spacing w:line="240" w:lineRule="auto"/>
              <w:rPr>
                <w:rFonts w:eastAsia="Times New Roman" w:cs="Times New Roman"/>
                <w:sz w:val="20"/>
                <w:szCs w:val="20"/>
                <w:lang w:eastAsia="sk-SK"/>
              </w:rPr>
            </w:pPr>
          </w:p>
        </w:tc>
        <w:tc>
          <w:tcPr>
            <w:tcW w:w="547" w:type="pct"/>
            <w:tcBorders>
              <w:top w:val="nil"/>
              <w:left w:val="nil"/>
              <w:bottom w:val="nil"/>
              <w:right w:val="nil"/>
            </w:tcBorders>
            <w:noWrap/>
            <w:vAlign w:val="center"/>
            <w:hideMark/>
          </w:tcPr>
          <w:p w14:paraId="26A1B5C4" w14:textId="77777777" w:rsidR="00B7083F" w:rsidRPr="00B7083F" w:rsidRDefault="00B7083F" w:rsidP="00B7083F">
            <w:pPr>
              <w:spacing w:line="240" w:lineRule="auto"/>
              <w:rPr>
                <w:rFonts w:eastAsia="Times New Roman" w:cs="Times New Roman"/>
                <w:sz w:val="20"/>
                <w:szCs w:val="20"/>
                <w:lang w:eastAsia="sk-SK"/>
              </w:rPr>
            </w:pPr>
          </w:p>
        </w:tc>
        <w:tc>
          <w:tcPr>
            <w:tcW w:w="542" w:type="pct"/>
            <w:tcBorders>
              <w:top w:val="nil"/>
              <w:left w:val="nil"/>
              <w:bottom w:val="nil"/>
              <w:right w:val="nil"/>
            </w:tcBorders>
            <w:noWrap/>
            <w:vAlign w:val="center"/>
            <w:hideMark/>
          </w:tcPr>
          <w:p w14:paraId="24C6F300" w14:textId="77777777" w:rsidR="00B7083F" w:rsidRPr="00B7083F" w:rsidRDefault="00B7083F" w:rsidP="00B7083F">
            <w:pPr>
              <w:spacing w:line="240" w:lineRule="auto"/>
              <w:rPr>
                <w:rFonts w:eastAsia="Times New Roman" w:cs="Times New Roman"/>
                <w:sz w:val="20"/>
                <w:szCs w:val="20"/>
                <w:lang w:eastAsia="sk-SK"/>
              </w:rPr>
            </w:pPr>
          </w:p>
        </w:tc>
        <w:tc>
          <w:tcPr>
            <w:tcW w:w="639" w:type="pct"/>
            <w:tcBorders>
              <w:top w:val="nil"/>
              <w:left w:val="nil"/>
              <w:bottom w:val="nil"/>
              <w:right w:val="nil"/>
            </w:tcBorders>
            <w:noWrap/>
            <w:vAlign w:val="center"/>
            <w:hideMark/>
          </w:tcPr>
          <w:p w14:paraId="7F6515D2" w14:textId="77777777" w:rsidR="00B7083F" w:rsidRPr="00B7083F" w:rsidRDefault="00B7083F" w:rsidP="00B7083F">
            <w:pPr>
              <w:spacing w:line="240" w:lineRule="auto"/>
              <w:rPr>
                <w:rFonts w:eastAsia="Times New Roman" w:cs="Times New Roman"/>
                <w:sz w:val="20"/>
                <w:szCs w:val="20"/>
                <w:lang w:eastAsia="sk-SK"/>
              </w:rPr>
            </w:pPr>
          </w:p>
        </w:tc>
      </w:tr>
      <w:tr w:rsidR="00B7083F" w:rsidRPr="00B7083F" w14:paraId="51D87F62" w14:textId="77777777" w:rsidTr="00B7083F">
        <w:trPr>
          <w:trHeight w:val="290"/>
        </w:trPr>
        <w:tc>
          <w:tcPr>
            <w:tcW w:w="2189" w:type="pct"/>
            <w:tcBorders>
              <w:top w:val="nil"/>
              <w:left w:val="nil"/>
              <w:bottom w:val="nil"/>
              <w:right w:val="nil"/>
            </w:tcBorders>
            <w:noWrap/>
            <w:vAlign w:val="center"/>
            <w:hideMark/>
          </w:tcPr>
          <w:p w14:paraId="667442D4"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DPH</w:t>
            </w:r>
          </w:p>
        </w:tc>
        <w:tc>
          <w:tcPr>
            <w:tcW w:w="541" w:type="pct"/>
            <w:tcBorders>
              <w:top w:val="nil"/>
              <w:left w:val="nil"/>
              <w:bottom w:val="nil"/>
              <w:right w:val="nil"/>
            </w:tcBorders>
            <w:noWrap/>
            <w:vAlign w:val="center"/>
            <w:hideMark/>
          </w:tcPr>
          <w:p w14:paraId="1534A9D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9 649 064</w:t>
            </w:r>
          </w:p>
        </w:tc>
        <w:tc>
          <w:tcPr>
            <w:tcW w:w="541" w:type="pct"/>
            <w:tcBorders>
              <w:top w:val="nil"/>
              <w:left w:val="nil"/>
              <w:bottom w:val="nil"/>
              <w:right w:val="nil"/>
            </w:tcBorders>
            <w:noWrap/>
            <w:vAlign w:val="center"/>
            <w:hideMark/>
          </w:tcPr>
          <w:p w14:paraId="20655DE0"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9 815 372</w:t>
            </w:r>
          </w:p>
        </w:tc>
        <w:tc>
          <w:tcPr>
            <w:tcW w:w="547" w:type="pct"/>
            <w:tcBorders>
              <w:top w:val="nil"/>
              <w:left w:val="nil"/>
              <w:bottom w:val="nil"/>
              <w:right w:val="nil"/>
            </w:tcBorders>
            <w:noWrap/>
            <w:vAlign w:val="center"/>
            <w:hideMark/>
          </w:tcPr>
          <w:p w14:paraId="6BCF2500"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11 662 356</w:t>
            </w:r>
          </w:p>
        </w:tc>
        <w:tc>
          <w:tcPr>
            <w:tcW w:w="542" w:type="pct"/>
            <w:tcBorders>
              <w:top w:val="nil"/>
              <w:left w:val="nil"/>
              <w:bottom w:val="nil"/>
              <w:right w:val="nil"/>
            </w:tcBorders>
            <w:noWrap/>
            <w:vAlign w:val="center"/>
            <w:hideMark/>
          </w:tcPr>
          <w:p w14:paraId="04CB6DE9"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10 698 922</w:t>
            </w:r>
          </w:p>
        </w:tc>
        <w:tc>
          <w:tcPr>
            <w:tcW w:w="639" w:type="pct"/>
            <w:tcBorders>
              <w:top w:val="nil"/>
              <w:left w:val="nil"/>
              <w:bottom w:val="nil"/>
              <w:right w:val="nil"/>
            </w:tcBorders>
            <w:noWrap/>
            <w:vAlign w:val="center"/>
            <w:hideMark/>
          </w:tcPr>
          <w:p w14:paraId="0B442F55"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-963 434</w:t>
            </w:r>
          </w:p>
        </w:tc>
      </w:tr>
      <w:tr w:rsidR="00B7083F" w:rsidRPr="00B7083F" w14:paraId="740A0FBA" w14:textId="77777777" w:rsidTr="00B7083F">
        <w:trPr>
          <w:trHeight w:val="290"/>
        </w:trPr>
        <w:tc>
          <w:tcPr>
            <w:tcW w:w="2189" w:type="pct"/>
            <w:tcBorders>
              <w:top w:val="nil"/>
              <w:left w:val="nil"/>
              <w:bottom w:val="nil"/>
              <w:right w:val="nil"/>
            </w:tcBorders>
            <w:noWrap/>
            <w:vAlign w:val="center"/>
            <w:hideMark/>
          </w:tcPr>
          <w:p w14:paraId="799BB295"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spotrebné dane</w:t>
            </w:r>
          </w:p>
        </w:tc>
        <w:tc>
          <w:tcPr>
            <w:tcW w:w="541" w:type="pct"/>
            <w:tcBorders>
              <w:top w:val="nil"/>
              <w:left w:val="nil"/>
              <w:bottom w:val="nil"/>
              <w:right w:val="nil"/>
            </w:tcBorders>
            <w:noWrap/>
            <w:vAlign w:val="center"/>
            <w:hideMark/>
          </w:tcPr>
          <w:p w14:paraId="651EF21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2 565 078</w:t>
            </w:r>
          </w:p>
        </w:tc>
        <w:tc>
          <w:tcPr>
            <w:tcW w:w="541" w:type="pct"/>
            <w:tcBorders>
              <w:top w:val="nil"/>
              <w:left w:val="nil"/>
              <w:bottom w:val="nil"/>
              <w:right w:val="nil"/>
            </w:tcBorders>
            <w:noWrap/>
            <w:vAlign w:val="center"/>
            <w:hideMark/>
          </w:tcPr>
          <w:p w14:paraId="6F3B49A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2 701 165</w:t>
            </w:r>
          </w:p>
        </w:tc>
        <w:tc>
          <w:tcPr>
            <w:tcW w:w="547" w:type="pct"/>
            <w:tcBorders>
              <w:top w:val="nil"/>
              <w:left w:val="nil"/>
              <w:bottom w:val="nil"/>
              <w:right w:val="nil"/>
            </w:tcBorders>
            <w:noWrap/>
            <w:vAlign w:val="center"/>
            <w:hideMark/>
          </w:tcPr>
          <w:p w14:paraId="5084926F"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2 890 795</w:t>
            </w:r>
          </w:p>
        </w:tc>
        <w:tc>
          <w:tcPr>
            <w:tcW w:w="542" w:type="pct"/>
            <w:tcBorders>
              <w:top w:val="nil"/>
              <w:left w:val="nil"/>
              <w:bottom w:val="nil"/>
              <w:right w:val="nil"/>
            </w:tcBorders>
            <w:noWrap/>
            <w:vAlign w:val="center"/>
            <w:hideMark/>
          </w:tcPr>
          <w:p w14:paraId="08F28A5D"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2 759 774</w:t>
            </w:r>
          </w:p>
        </w:tc>
        <w:tc>
          <w:tcPr>
            <w:tcW w:w="639" w:type="pct"/>
            <w:tcBorders>
              <w:top w:val="nil"/>
              <w:left w:val="nil"/>
              <w:bottom w:val="nil"/>
              <w:right w:val="nil"/>
            </w:tcBorders>
            <w:noWrap/>
            <w:vAlign w:val="center"/>
            <w:hideMark/>
          </w:tcPr>
          <w:p w14:paraId="5BB2C3B0"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-131 022</w:t>
            </w:r>
          </w:p>
        </w:tc>
      </w:tr>
      <w:tr w:rsidR="00B7083F" w:rsidRPr="00B7083F" w14:paraId="0FDBEBB3" w14:textId="77777777" w:rsidTr="00AA59AD">
        <w:trPr>
          <w:trHeight w:val="123"/>
        </w:trPr>
        <w:tc>
          <w:tcPr>
            <w:tcW w:w="2189" w:type="pct"/>
            <w:tcBorders>
              <w:top w:val="nil"/>
              <w:left w:val="nil"/>
              <w:bottom w:val="nil"/>
              <w:right w:val="nil"/>
            </w:tcBorders>
            <w:noWrap/>
            <w:vAlign w:val="center"/>
            <w:hideMark/>
          </w:tcPr>
          <w:p w14:paraId="410A35C7" w14:textId="77777777" w:rsidR="00B7083F" w:rsidRPr="00B7083F" w:rsidRDefault="00B7083F" w:rsidP="00B7083F">
            <w:pPr>
              <w:spacing w:line="240" w:lineRule="auto"/>
              <w:rPr>
                <w:rFonts w:eastAsia="Times New Roman" w:cs="Times New Roman"/>
                <w:color w:val="000000"/>
                <w:sz w:val="18"/>
                <w:szCs w:val="18"/>
                <w:lang w:eastAsia="sk-SK"/>
              </w:rPr>
            </w:pPr>
            <w:r w:rsidRPr="00B7083F">
              <w:rPr>
                <w:rFonts w:eastAsia="Times New Roman" w:cs="Times New Roman"/>
                <w:color w:val="000000"/>
                <w:sz w:val="18"/>
                <w:szCs w:val="18"/>
                <w:lang w:eastAsia="sk-SK"/>
              </w:rPr>
              <w:t xml:space="preserve">     v tom: </w:t>
            </w:r>
          </w:p>
        </w:tc>
        <w:tc>
          <w:tcPr>
            <w:tcW w:w="541" w:type="pct"/>
            <w:tcBorders>
              <w:top w:val="nil"/>
              <w:left w:val="nil"/>
              <w:bottom w:val="nil"/>
              <w:right w:val="nil"/>
            </w:tcBorders>
            <w:noWrap/>
            <w:vAlign w:val="center"/>
            <w:hideMark/>
          </w:tcPr>
          <w:p w14:paraId="3FBDD9A7" w14:textId="77777777" w:rsidR="00B7083F" w:rsidRPr="00B7083F" w:rsidRDefault="00B7083F" w:rsidP="00B7083F">
            <w:pPr>
              <w:spacing w:line="240" w:lineRule="auto"/>
              <w:rPr>
                <w:rFonts w:eastAsia="Times New Roman" w:cs="Times New Roman"/>
                <w:color w:val="000000"/>
                <w:sz w:val="18"/>
                <w:szCs w:val="18"/>
                <w:lang w:eastAsia="sk-SK"/>
              </w:rPr>
            </w:pPr>
          </w:p>
        </w:tc>
        <w:tc>
          <w:tcPr>
            <w:tcW w:w="541" w:type="pct"/>
            <w:tcBorders>
              <w:top w:val="nil"/>
              <w:left w:val="nil"/>
              <w:bottom w:val="nil"/>
              <w:right w:val="nil"/>
            </w:tcBorders>
            <w:noWrap/>
            <w:vAlign w:val="center"/>
            <w:hideMark/>
          </w:tcPr>
          <w:p w14:paraId="7153A4A5" w14:textId="77777777" w:rsidR="00B7083F" w:rsidRPr="00B7083F" w:rsidRDefault="00B7083F" w:rsidP="00B7083F">
            <w:pPr>
              <w:spacing w:line="240" w:lineRule="auto"/>
              <w:rPr>
                <w:rFonts w:eastAsia="Times New Roman" w:cs="Times New Roman"/>
                <w:sz w:val="20"/>
                <w:szCs w:val="20"/>
                <w:lang w:eastAsia="sk-SK"/>
              </w:rPr>
            </w:pPr>
          </w:p>
        </w:tc>
        <w:tc>
          <w:tcPr>
            <w:tcW w:w="547" w:type="pct"/>
            <w:tcBorders>
              <w:top w:val="nil"/>
              <w:left w:val="nil"/>
              <w:bottom w:val="nil"/>
              <w:right w:val="nil"/>
            </w:tcBorders>
            <w:noWrap/>
            <w:vAlign w:val="center"/>
            <w:hideMark/>
          </w:tcPr>
          <w:p w14:paraId="30E04AFF" w14:textId="77777777" w:rsidR="00B7083F" w:rsidRPr="00B7083F" w:rsidRDefault="00B7083F" w:rsidP="00B7083F">
            <w:pPr>
              <w:spacing w:line="240" w:lineRule="auto"/>
              <w:rPr>
                <w:rFonts w:eastAsia="Times New Roman" w:cs="Times New Roman"/>
                <w:sz w:val="20"/>
                <w:szCs w:val="20"/>
                <w:lang w:eastAsia="sk-SK"/>
              </w:rPr>
            </w:pPr>
          </w:p>
        </w:tc>
        <w:tc>
          <w:tcPr>
            <w:tcW w:w="542" w:type="pct"/>
            <w:tcBorders>
              <w:top w:val="nil"/>
              <w:left w:val="nil"/>
              <w:bottom w:val="nil"/>
              <w:right w:val="nil"/>
            </w:tcBorders>
            <w:noWrap/>
            <w:vAlign w:val="center"/>
            <w:hideMark/>
          </w:tcPr>
          <w:p w14:paraId="27A9F89F" w14:textId="77777777" w:rsidR="00B7083F" w:rsidRPr="00B7083F" w:rsidRDefault="00B7083F" w:rsidP="00B7083F">
            <w:pPr>
              <w:spacing w:line="240" w:lineRule="auto"/>
              <w:rPr>
                <w:rFonts w:eastAsia="Times New Roman" w:cs="Times New Roman"/>
                <w:sz w:val="20"/>
                <w:szCs w:val="20"/>
                <w:lang w:eastAsia="sk-SK"/>
              </w:rPr>
            </w:pPr>
          </w:p>
        </w:tc>
        <w:tc>
          <w:tcPr>
            <w:tcW w:w="639" w:type="pct"/>
            <w:tcBorders>
              <w:top w:val="nil"/>
              <w:left w:val="nil"/>
              <w:bottom w:val="nil"/>
              <w:right w:val="nil"/>
            </w:tcBorders>
            <w:noWrap/>
            <w:vAlign w:val="center"/>
            <w:hideMark/>
          </w:tcPr>
          <w:p w14:paraId="3EB3B963" w14:textId="77777777" w:rsidR="00B7083F" w:rsidRPr="00B7083F" w:rsidRDefault="00B7083F" w:rsidP="00B7083F">
            <w:pPr>
              <w:spacing w:line="240" w:lineRule="auto"/>
              <w:rPr>
                <w:rFonts w:eastAsia="Times New Roman" w:cs="Times New Roman"/>
                <w:sz w:val="20"/>
                <w:szCs w:val="20"/>
                <w:lang w:eastAsia="sk-SK"/>
              </w:rPr>
            </w:pPr>
          </w:p>
        </w:tc>
      </w:tr>
      <w:tr w:rsidR="00B7083F" w:rsidRPr="00B7083F" w14:paraId="590827AE" w14:textId="77777777" w:rsidTr="00B7083F">
        <w:trPr>
          <w:trHeight w:val="290"/>
        </w:trPr>
        <w:tc>
          <w:tcPr>
            <w:tcW w:w="2189" w:type="pct"/>
            <w:tcBorders>
              <w:top w:val="nil"/>
              <w:left w:val="nil"/>
              <w:bottom w:val="nil"/>
              <w:right w:val="nil"/>
            </w:tcBorders>
            <w:noWrap/>
            <w:vAlign w:val="center"/>
            <w:hideMark/>
          </w:tcPr>
          <w:p w14:paraId="02EDF89D"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 minerálneho oleja</w:t>
            </w:r>
          </w:p>
        </w:tc>
        <w:tc>
          <w:tcPr>
            <w:tcW w:w="541" w:type="pct"/>
            <w:tcBorders>
              <w:top w:val="nil"/>
              <w:left w:val="nil"/>
              <w:bottom w:val="nil"/>
              <w:right w:val="nil"/>
            </w:tcBorders>
            <w:noWrap/>
            <w:vAlign w:val="center"/>
            <w:hideMark/>
          </w:tcPr>
          <w:p w14:paraId="7E67568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1 317 484</w:t>
            </w:r>
          </w:p>
        </w:tc>
        <w:tc>
          <w:tcPr>
            <w:tcW w:w="541" w:type="pct"/>
            <w:tcBorders>
              <w:top w:val="nil"/>
              <w:left w:val="nil"/>
              <w:bottom w:val="nil"/>
              <w:right w:val="nil"/>
            </w:tcBorders>
            <w:noWrap/>
            <w:vAlign w:val="center"/>
            <w:hideMark/>
          </w:tcPr>
          <w:p w14:paraId="5D70764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1 349 684</w:t>
            </w:r>
          </w:p>
        </w:tc>
        <w:tc>
          <w:tcPr>
            <w:tcW w:w="547" w:type="pct"/>
            <w:tcBorders>
              <w:top w:val="nil"/>
              <w:left w:val="nil"/>
              <w:bottom w:val="nil"/>
              <w:right w:val="nil"/>
            </w:tcBorders>
            <w:noWrap/>
            <w:vAlign w:val="center"/>
            <w:hideMark/>
          </w:tcPr>
          <w:p w14:paraId="3E7679E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1 366 677</w:t>
            </w:r>
          </w:p>
        </w:tc>
        <w:tc>
          <w:tcPr>
            <w:tcW w:w="542" w:type="pct"/>
            <w:tcBorders>
              <w:top w:val="nil"/>
              <w:left w:val="nil"/>
              <w:bottom w:val="nil"/>
              <w:right w:val="nil"/>
            </w:tcBorders>
            <w:noWrap/>
            <w:vAlign w:val="center"/>
            <w:hideMark/>
          </w:tcPr>
          <w:p w14:paraId="622F7346"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1 352 719</w:t>
            </w:r>
          </w:p>
        </w:tc>
        <w:tc>
          <w:tcPr>
            <w:tcW w:w="639" w:type="pct"/>
            <w:tcBorders>
              <w:top w:val="nil"/>
              <w:left w:val="nil"/>
              <w:bottom w:val="nil"/>
              <w:right w:val="nil"/>
            </w:tcBorders>
            <w:noWrap/>
            <w:vAlign w:val="center"/>
            <w:hideMark/>
          </w:tcPr>
          <w:p w14:paraId="516634E5"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-13 958</w:t>
            </w:r>
          </w:p>
        </w:tc>
      </w:tr>
      <w:tr w:rsidR="00B7083F" w:rsidRPr="00B7083F" w14:paraId="67621CE9" w14:textId="77777777" w:rsidTr="00B7083F">
        <w:trPr>
          <w:trHeight w:val="290"/>
        </w:trPr>
        <w:tc>
          <w:tcPr>
            <w:tcW w:w="2189" w:type="pct"/>
            <w:tcBorders>
              <w:top w:val="nil"/>
              <w:left w:val="nil"/>
              <w:bottom w:val="nil"/>
              <w:right w:val="nil"/>
            </w:tcBorders>
            <w:noWrap/>
            <w:vAlign w:val="center"/>
            <w:hideMark/>
          </w:tcPr>
          <w:p w14:paraId="28E72D08"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 liehu</w:t>
            </w:r>
          </w:p>
        </w:tc>
        <w:tc>
          <w:tcPr>
            <w:tcW w:w="541" w:type="pct"/>
            <w:tcBorders>
              <w:top w:val="nil"/>
              <w:left w:val="nil"/>
              <w:bottom w:val="nil"/>
              <w:right w:val="nil"/>
            </w:tcBorders>
            <w:noWrap/>
            <w:vAlign w:val="center"/>
            <w:hideMark/>
          </w:tcPr>
          <w:p w14:paraId="47B7582F"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232 979</w:t>
            </w:r>
          </w:p>
        </w:tc>
        <w:tc>
          <w:tcPr>
            <w:tcW w:w="541" w:type="pct"/>
            <w:tcBorders>
              <w:top w:val="nil"/>
              <w:left w:val="nil"/>
              <w:bottom w:val="nil"/>
              <w:right w:val="nil"/>
            </w:tcBorders>
            <w:noWrap/>
            <w:vAlign w:val="center"/>
            <w:hideMark/>
          </w:tcPr>
          <w:p w14:paraId="5FBED97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257 587</w:t>
            </w:r>
          </w:p>
        </w:tc>
        <w:tc>
          <w:tcPr>
            <w:tcW w:w="547" w:type="pct"/>
            <w:tcBorders>
              <w:top w:val="nil"/>
              <w:left w:val="nil"/>
              <w:bottom w:val="nil"/>
              <w:right w:val="nil"/>
            </w:tcBorders>
            <w:noWrap/>
            <w:vAlign w:val="center"/>
            <w:hideMark/>
          </w:tcPr>
          <w:p w14:paraId="37A994A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289 659</w:t>
            </w:r>
          </w:p>
        </w:tc>
        <w:tc>
          <w:tcPr>
            <w:tcW w:w="542" w:type="pct"/>
            <w:tcBorders>
              <w:top w:val="nil"/>
              <w:left w:val="nil"/>
              <w:bottom w:val="nil"/>
              <w:right w:val="nil"/>
            </w:tcBorders>
            <w:noWrap/>
            <w:vAlign w:val="center"/>
            <w:hideMark/>
          </w:tcPr>
          <w:p w14:paraId="7FB7BBA0"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245 547</w:t>
            </w:r>
          </w:p>
        </w:tc>
        <w:tc>
          <w:tcPr>
            <w:tcW w:w="639" w:type="pct"/>
            <w:tcBorders>
              <w:top w:val="nil"/>
              <w:left w:val="nil"/>
              <w:bottom w:val="nil"/>
              <w:right w:val="nil"/>
            </w:tcBorders>
            <w:noWrap/>
            <w:vAlign w:val="center"/>
            <w:hideMark/>
          </w:tcPr>
          <w:p w14:paraId="46A5F2D8"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-44 112</w:t>
            </w:r>
          </w:p>
        </w:tc>
      </w:tr>
      <w:tr w:rsidR="00B7083F" w:rsidRPr="00B7083F" w14:paraId="4FB07C2A" w14:textId="77777777" w:rsidTr="00B7083F">
        <w:trPr>
          <w:trHeight w:val="290"/>
        </w:trPr>
        <w:tc>
          <w:tcPr>
            <w:tcW w:w="2189" w:type="pct"/>
            <w:tcBorders>
              <w:top w:val="nil"/>
              <w:left w:val="nil"/>
              <w:bottom w:val="nil"/>
              <w:right w:val="nil"/>
            </w:tcBorders>
            <w:noWrap/>
            <w:vAlign w:val="center"/>
            <w:hideMark/>
          </w:tcPr>
          <w:p w14:paraId="39FC0BAF"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 piva</w:t>
            </w:r>
          </w:p>
        </w:tc>
        <w:tc>
          <w:tcPr>
            <w:tcW w:w="541" w:type="pct"/>
            <w:tcBorders>
              <w:top w:val="nil"/>
              <w:left w:val="nil"/>
              <w:bottom w:val="nil"/>
              <w:right w:val="nil"/>
            </w:tcBorders>
            <w:noWrap/>
            <w:vAlign w:val="center"/>
            <w:hideMark/>
          </w:tcPr>
          <w:p w14:paraId="155907C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53 387</w:t>
            </w:r>
          </w:p>
        </w:tc>
        <w:tc>
          <w:tcPr>
            <w:tcW w:w="541" w:type="pct"/>
            <w:tcBorders>
              <w:top w:val="nil"/>
              <w:left w:val="nil"/>
              <w:bottom w:val="nil"/>
              <w:right w:val="nil"/>
            </w:tcBorders>
            <w:noWrap/>
            <w:vAlign w:val="center"/>
            <w:hideMark/>
          </w:tcPr>
          <w:p w14:paraId="138C108C"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55 966</w:t>
            </w:r>
          </w:p>
        </w:tc>
        <w:tc>
          <w:tcPr>
            <w:tcW w:w="547" w:type="pct"/>
            <w:tcBorders>
              <w:top w:val="nil"/>
              <w:left w:val="nil"/>
              <w:bottom w:val="nil"/>
              <w:right w:val="nil"/>
            </w:tcBorders>
            <w:noWrap/>
            <w:vAlign w:val="center"/>
            <w:hideMark/>
          </w:tcPr>
          <w:p w14:paraId="7F63879F"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56 070</w:t>
            </w:r>
          </w:p>
        </w:tc>
        <w:tc>
          <w:tcPr>
            <w:tcW w:w="542" w:type="pct"/>
            <w:tcBorders>
              <w:top w:val="nil"/>
              <w:left w:val="nil"/>
              <w:bottom w:val="nil"/>
              <w:right w:val="nil"/>
            </w:tcBorders>
            <w:noWrap/>
            <w:vAlign w:val="center"/>
            <w:hideMark/>
          </w:tcPr>
          <w:p w14:paraId="2856EAE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52 664</w:t>
            </w:r>
          </w:p>
        </w:tc>
        <w:tc>
          <w:tcPr>
            <w:tcW w:w="639" w:type="pct"/>
            <w:tcBorders>
              <w:top w:val="nil"/>
              <w:left w:val="nil"/>
              <w:bottom w:val="nil"/>
              <w:right w:val="nil"/>
            </w:tcBorders>
            <w:noWrap/>
            <w:vAlign w:val="center"/>
            <w:hideMark/>
          </w:tcPr>
          <w:p w14:paraId="297D86F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-3 406</w:t>
            </w:r>
          </w:p>
        </w:tc>
      </w:tr>
      <w:tr w:rsidR="00B7083F" w:rsidRPr="00B7083F" w14:paraId="3806A678" w14:textId="77777777" w:rsidTr="00B7083F">
        <w:trPr>
          <w:trHeight w:val="290"/>
        </w:trPr>
        <w:tc>
          <w:tcPr>
            <w:tcW w:w="2189" w:type="pct"/>
            <w:tcBorders>
              <w:top w:val="nil"/>
              <w:left w:val="nil"/>
              <w:bottom w:val="nil"/>
              <w:right w:val="nil"/>
            </w:tcBorders>
            <w:noWrap/>
            <w:vAlign w:val="center"/>
            <w:hideMark/>
          </w:tcPr>
          <w:p w14:paraId="40983272"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 vína</w:t>
            </w:r>
          </w:p>
        </w:tc>
        <w:tc>
          <w:tcPr>
            <w:tcW w:w="541" w:type="pct"/>
            <w:tcBorders>
              <w:top w:val="nil"/>
              <w:left w:val="nil"/>
              <w:bottom w:val="nil"/>
              <w:right w:val="nil"/>
            </w:tcBorders>
            <w:noWrap/>
            <w:vAlign w:val="center"/>
            <w:hideMark/>
          </w:tcPr>
          <w:p w14:paraId="29D41B6D"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5 189</w:t>
            </w:r>
          </w:p>
        </w:tc>
        <w:tc>
          <w:tcPr>
            <w:tcW w:w="541" w:type="pct"/>
            <w:tcBorders>
              <w:top w:val="nil"/>
              <w:left w:val="nil"/>
              <w:bottom w:val="nil"/>
              <w:right w:val="nil"/>
            </w:tcBorders>
            <w:noWrap/>
            <w:vAlign w:val="center"/>
            <w:hideMark/>
          </w:tcPr>
          <w:p w14:paraId="492D0089"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4 945</w:t>
            </w:r>
          </w:p>
        </w:tc>
        <w:tc>
          <w:tcPr>
            <w:tcW w:w="547" w:type="pct"/>
            <w:tcBorders>
              <w:top w:val="nil"/>
              <w:left w:val="nil"/>
              <w:bottom w:val="nil"/>
              <w:right w:val="nil"/>
            </w:tcBorders>
            <w:noWrap/>
            <w:vAlign w:val="center"/>
            <w:hideMark/>
          </w:tcPr>
          <w:p w14:paraId="5E7A5CBD"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5 224</w:t>
            </w:r>
          </w:p>
        </w:tc>
        <w:tc>
          <w:tcPr>
            <w:tcW w:w="542" w:type="pct"/>
            <w:tcBorders>
              <w:top w:val="nil"/>
              <w:left w:val="nil"/>
              <w:bottom w:val="nil"/>
              <w:right w:val="nil"/>
            </w:tcBorders>
            <w:noWrap/>
            <w:vAlign w:val="center"/>
            <w:hideMark/>
          </w:tcPr>
          <w:p w14:paraId="174497C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4 746</w:t>
            </w:r>
          </w:p>
        </w:tc>
        <w:tc>
          <w:tcPr>
            <w:tcW w:w="639" w:type="pct"/>
            <w:tcBorders>
              <w:top w:val="nil"/>
              <w:left w:val="nil"/>
              <w:bottom w:val="nil"/>
              <w:right w:val="nil"/>
            </w:tcBorders>
            <w:noWrap/>
            <w:vAlign w:val="center"/>
            <w:hideMark/>
          </w:tcPr>
          <w:p w14:paraId="3D7E797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-478</w:t>
            </w:r>
          </w:p>
        </w:tc>
      </w:tr>
      <w:tr w:rsidR="00B7083F" w:rsidRPr="00B7083F" w14:paraId="52B3A5CA" w14:textId="77777777" w:rsidTr="00B7083F">
        <w:trPr>
          <w:trHeight w:val="290"/>
        </w:trPr>
        <w:tc>
          <w:tcPr>
            <w:tcW w:w="2189" w:type="pct"/>
            <w:tcBorders>
              <w:top w:val="nil"/>
              <w:left w:val="nil"/>
              <w:bottom w:val="nil"/>
              <w:right w:val="nil"/>
            </w:tcBorders>
            <w:noWrap/>
            <w:vAlign w:val="center"/>
            <w:hideMark/>
          </w:tcPr>
          <w:p w14:paraId="722D1412"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 tabakových výrobkov</w:t>
            </w:r>
          </w:p>
        </w:tc>
        <w:tc>
          <w:tcPr>
            <w:tcW w:w="541" w:type="pct"/>
            <w:tcBorders>
              <w:top w:val="nil"/>
              <w:left w:val="nil"/>
              <w:bottom w:val="nil"/>
              <w:right w:val="nil"/>
            </w:tcBorders>
            <w:noWrap/>
            <w:vAlign w:val="center"/>
            <w:hideMark/>
          </w:tcPr>
          <w:p w14:paraId="4667E582"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921 778</w:t>
            </w:r>
          </w:p>
        </w:tc>
        <w:tc>
          <w:tcPr>
            <w:tcW w:w="541" w:type="pct"/>
            <w:tcBorders>
              <w:top w:val="nil"/>
              <w:left w:val="nil"/>
              <w:bottom w:val="nil"/>
              <w:right w:val="nil"/>
            </w:tcBorders>
            <w:noWrap/>
            <w:vAlign w:val="center"/>
            <w:hideMark/>
          </w:tcPr>
          <w:p w14:paraId="1ADC8685"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998 933</w:t>
            </w:r>
          </w:p>
        </w:tc>
        <w:tc>
          <w:tcPr>
            <w:tcW w:w="547" w:type="pct"/>
            <w:tcBorders>
              <w:top w:val="nil"/>
              <w:left w:val="nil"/>
              <w:bottom w:val="nil"/>
              <w:right w:val="nil"/>
            </w:tcBorders>
            <w:noWrap/>
            <w:vAlign w:val="center"/>
            <w:hideMark/>
          </w:tcPr>
          <w:p w14:paraId="19214B13"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1 076 855</w:t>
            </w:r>
          </w:p>
        </w:tc>
        <w:tc>
          <w:tcPr>
            <w:tcW w:w="542" w:type="pct"/>
            <w:tcBorders>
              <w:top w:val="nil"/>
              <w:left w:val="nil"/>
              <w:bottom w:val="nil"/>
              <w:right w:val="nil"/>
            </w:tcBorders>
            <w:noWrap/>
            <w:vAlign w:val="center"/>
            <w:hideMark/>
          </w:tcPr>
          <w:p w14:paraId="2D49D89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981 635</w:t>
            </w:r>
          </w:p>
        </w:tc>
        <w:tc>
          <w:tcPr>
            <w:tcW w:w="639" w:type="pct"/>
            <w:tcBorders>
              <w:top w:val="nil"/>
              <w:left w:val="nil"/>
              <w:bottom w:val="nil"/>
              <w:right w:val="nil"/>
            </w:tcBorders>
            <w:noWrap/>
            <w:vAlign w:val="center"/>
            <w:hideMark/>
          </w:tcPr>
          <w:p w14:paraId="0506032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-95 220</w:t>
            </w:r>
          </w:p>
        </w:tc>
      </w:tr>
      <w:tr w:rsidR="00B7083F" w:rsidRPr="00B7083F" w14:paraId="21EFCEB7" w14:textId="77777777" w:rsidTr="00B7083F">
        <w:trPr>
          <w:trHeight w:val="290"/>
        </w:trPr>
        <w:tc>
          <w:tcPr>
            <w:tcW w:w="2189" w:type="pct"/>
            <w:tcBorders>
              <w:top w:val="nil"/>
              <w:left w:val="nil"/>
              <w:bottom w:val="nil"/>
              <w:right w:val="nil"/>
            </w:tcBorders>
            <w:noWrap/>
            <w:vAlign w:val="center"/>
            <w:hideMark/>
          </w:tcPr>
          <w:p w14:paraId="50EC202E"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 elektriny</w:t>
            </w:r>
          </w:p>
        </w:tc>
        <w:tc>
          <w:tcPr>
            <w:tcW w:w="541" w:type="pct"/>
            <w:tcBorders>
              <w:top w:val="nil"/>
              <w:left w:val="nil"/>
              <w:bottom w:val="nil"/>
              <w:right w:val="nil"/>
            </w:tcBorders>
            <w:noWrap/>
            <w:vAlign w:val="center"/>
            <w:hideMark/>
          </w:tcPr>
          <w:p w14:paraId="0D9B70D6"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13 107</w:t>
            </w:r>
          </w:p>
        </w:tc>
        <w:tc>
          <w:tcPr>
            <w:tcW w:w="541" w:type="pct"/>
            <w:tcBorders>
              <w:top w:val="nil"/>
              <w:left w:val="nil"/>
              <w:bottom w:val="nil"/>
              <w:right w:val="nil"/>
            </w:tcBorders>
            <w:noWrap/>
            <w:vAlign w:val="center"/>
            <w:hideMark/>
          </w:tcPr>
          <w:p w14:paraId="1F44795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12 705</w:t>
            </w:r>
          </w:p>
        </w:tc>
        <w:tc>
          <w:tcPr>
            <w:tcW w:w="547" w:type="pct"/>
            <w:tcBorders>
              <w:top w:val="nil"/>
              <w:left w:val="nil"/>
              <w:bottom w:val="nil"/>
              <w:right w:val="nil"/>
            </w:tcBorders>
            <w:noWrap/>
            <w:vAlign w:val="center"/>
            <w:hideMark/>
          </w:tcPr>
          <w:p w14:paraId="20EFCFE8"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13 432</w:t>
            </w:r>
          </w:p>
        </w:tc>
        <w:tc>
          <w:tcPr>
            <w:tcW w:w="542" w:type="pct"/>
            <w:tcBorders>
              <w:top w:val="nil"/>
              <w:left w:val="nil"/>
              <w:bottom w:val="nil"/>
              <w:right w:val="nil"/>
            </w:tcBorders>
            <w:noWrap/>
            <w:vAlign w:val="center"/>
            <w:hideMark/>
          </w:tcPr>
          <w:p w14:paraId="2B07ADD5"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11 613</w:t>
            </w:r>
          </w:p>
        </w:tc>
        <w:tc>
          <w:tcPr>
            <w:tcW w:w="639" w:type="pct"/>
            <w:tcBorders>
              <w:top w:val="nil"/>
              <w:left w:val="nil"/>
              <w:bottom w:val="nil"/>
              <w:right w:val="nil"/>
            </w:tcBorders>
            <w:noWrap/>
            <w:vAlign w:val="center"/>
            <w:hideMark/>
          </w:tcPr>
          <w:p w14:paraId="60A480D8"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-1 819</w:t>
            </w:r>
          </w:p>
        </w:tc>
      </w:tr>
      <w:tr w:rsidR="00B7083F" w:rsidRPr="00B7083F" w14:paraId="1649A4E6" w14:textId="77777777" w:rsidTr="00B7083F">
        <w:trPr>
          <w:trHeight w:val="290"/>
        </w:trPr>
        <w:tc>
          <w:tcPr>
            <w:tcW w:w="2189" w:type="pct"/>
            <w:tcBorders>
              <w:top w:val="nil"/>
              <w:left w:val="nil"/>
              <w:bottom w:val="nil"/>
              <w:right w:val="nil"/>
            </w:tcBorders>
            <w:noWrap/>
            <w:vAlign w:val="center"/>
            <w:hideMark/>
          </w:tcPr>
          <w:p w14:paraId="07D9F9B5"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 uhlia</w:t>
            </w:r>
          </w:p>
        </w:tc>
        <w:tc>
          <w:tcPr>
            <w:tcW w:w="541" w:type="pct"/>
            <w:tcBorders>
              <w:top w:val="nil"/>
              <w:left w:val="nil"/>
              <w:bottom w:val="nil"/>
              <w:right w:val="nil"/>
            </w:tcBorders>
            <w:noWrap/>
            <w:vAlign w:val="center"/>
            <w:hideMark/>
          </w:tcPr>
          <w:p w14:paraId="504D4335"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201</w:t>
            </w:r>
          </w:p>
        </w:tc>
        <w:tc>
          <w:tcPr>
            <w:tcW w:w="541" w:type="pct"/>
            <w:tcBorders>
              <w:top w:val="nil"/>
              <w:left w:val="nil"/>
              <w:bottom w:val="nil"/>
              <w:right w:val="nil"/>
            </w:tcBorders>
            <w:noWrap/>
            <w:vAlign w:val="center"/>
            <w:hideMark/>
          </w:tcPr>
          <w:p w14:paraId="3F1839C5"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191</w:t>
            </w:r>
          </w:p>
        </w:tc>
        <w:tc>
          <w:tcPr>
            <w:tcW w:w="547" w:type="pct"/>
            <w:tcBorders>
              <w:top w:val="nil"/>
              <w:left w:val="nil"/>
              <w:bottom w:val="nil"/>
              <w:right w:val="nil"/>
            </w:tcBorders>
            <w:noWrap/>
            <w:vAlign w:val="center"/>
            <w:hideMark/>
          </w:tcPr>
          <w:p w14:paraId="1F6D1B8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154</w:t>
            </w:r>
          </w:p>
        </w:tc>
        <w:tc>
          <w:tcPr>
            <w:tcW w:w="542" w:type="pct"/>
            <w:tcBorders>
              <w:top w:val="nil"/>
              <w:left w:val="nil"/>
              <w:bottom w:val="nil"/>
              <w:right w:val="nil"/>
            </w:tcBorders>
            <w:noWrap/>
            <w:vAlign w:val="center"/>
            <w:hideMark/>
          </w:tcPr>
          <w:p w14:paraId="37C5BF2B"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200</w:t>
            </w:r>
          </w:p>
        </w:tc>
        <w:tc>
          <w:tcPr>
            <w:tcW w:w="639" w:type="pct"/>
            <w:tcBorders>
              <w:top w:val="nil"/>
              <w:left w:val="nil"/>
              <w:bottom w:val="nil"/>
              <w:right w:val="nil"/>
            </w:tcBorders>
            <w:noWrap/>
            <w:vAlign w:val="center"/>
            <w:hideMark/>
          </w:tcPr>
          <w:p w14:paraId="3843A625"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46</w:t>
            </w:r>
          </w:p>
        </w:tc>
      </w:tr>
      <w:tr w:rsidR="00B7083F" w:rsidRPr="00B7083F" w14:paraId="4C8D6927" w14:textId="77777777" w:rsidTr="00AA59AD">
        <w:trPr>
          <w:trHeight w:val="227"/>
        </w:trPr>
        <w:tc>
          <w:tcPr>
            <w:tcW w:w="2189" w:type="pct"/>
            <w:tcBorders>
              <w:top w:val="nil"/>
              <w:left w:val="nil"/>
              <w:bottom w:val="nil"/>
              <w:right w:val="nil"/>
            </w:tcBorders>
            <w:noWrap/>
            <w:vAlign w:val="center"/>
            <w:hideMark/>
          </w:tcPr>
          <w:p w14:paraId="2247BBA9"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zo zemného plynu</w:t>
            </w:r>
          </w:p>
        </w:tc>
        <w:tc>
          <w:tcPr>
            <w:tcW w:w="541" w:type="pct"/>
            <w:tcBorders>
              <w:top w:val="nil"/>
              <w:left w:val="nil"/>
              <w:bottom w:val="nil"/>
              <w:right w:val="nil"/>
            </w:tcBorders>
            <w:noWrap/>
            <w:vAlign w:val="center"/>
            <w:hideMark/>
          </w:tcPr>
          <w:p w14:paraId="34F70D66"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20 953</w:t>
            </w:r>
          </w:p>
        </w:tc>
        <w:tc>
          <w:tcPr>
            <w:tcW w:w="541" w:type="pct"/>
            <w:tcBorders>
              <w:top w:val="nil"/>
              <w:left w:val="nil"/>
              <w:bottom w:val="nil"/>
              <w:right w:val="nil"/>
            </w:tcBorders>
            <w:noWrap/>
            <w:vAlign w:val="center"/>
            <w:hideMark/>
          </w:tcPr>
          <w:p w14:paraId="04C9D514"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21 152</w:t>
            </w:r>
          </w:p>
        </w:tc>
        <w:tc>
          <w:tcPr>
            <w:tcW w:w="547" w:type="pct"/>
            <w:tcBorders>
              <w:top w:val="nil"/>
              <w:left w:val="nil"/>
              <w:bottom w:val="nil"/>
              <w:right w:val="nil"/>
            </w:tcBorders>
            <w:noWrap/>
            <w:vAlign w:val="center"/>
            <w:hideMark/>
          </w:tcPr>
          <w:p w14:paraId="4E001DA2"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21 106</w:t>
            </w:r>
          </w:p>
        </w:tc>
        <w:tc>
          <w:tcPr>
            <w:tcW w:w="542" w:type="pct"/>
            <w:tcBorders>
              <w:top w:val="nil"/>
              <w:left w:val="nil"/>
              <w:bottom w:val="nil"/>
              <w:right w:val="nil"/>
            </w:tcBorders>
            <w:noWrap/>
            <w:vAlign w:val="center"/>
            <w:hideMark/>
          </w:tcPr>
          <w:p w14:paraId="757DA09F"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20 910</w:t>
            </w:r>
          </w:p>
        </w:tc>
        <w:tc>
          <w:tcPr>
            <w:tcW w:w="639" w:type="pct"/>
            <w:tcBorders>
              <w:top w:val="nil"/>
              <w:left w:val="nil"/>
              <w:bottom w:val="nil"/>
              <w:right w:val="nil"/>
            </w:tcBorders>
            <w:noWrap/>
            <w:vAlign w:val="center"/>
            <w:hideMark/>
          </w:tcPr>
          <w:p w14:paraId="6F87EC9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-196</w:t>
            </w:r>
          </w:p>
        </w:tc>
      </w:tr>
      <w:tr w:rsidR="00B7083F" w:rsidRPr="00B7083F" w14:paraId="5163E36F" w14:textId="77777777" w:rsidTr="00B7083F">
        <w:trPr>
          <w:trHeight w:val="290"/>
        </w:trPr>
        <w:tc>
          <w:tcPr>
            <w:tcW w:w="2189" w:type="pct"/>
            <w:tcBorders>
              <w:top w:val="nil"/>
              <w:left w:val="nil"/>
              <w:bottom w:val="nil"/>
              <w:right w:val="nil"/>
            </w:tcBorders>
            <w:noWrap/>
            <w:vAlign w:val="center"/>
            <w:hideMark/>
          </w:tcPr>
          <w:p w14:paraId="6807CB77"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zo sladených nealkoholických výrobkov</w:t>
            </w:r>
          </w:p>
        </w:tc>
        <w:tc>
          <w:tcPr>
            <w:tcW w:w="541" w:type="pct"/>
            <w:tcBorders>
              <w:top w:val="nil"/>
              <w:left w:val="nil"/>
              <w:bottom w:val="nil"/>
              <w:right w:val="nil"/>
            </w:tcBorders>
            <w:noWrap/>
            <w:vAlign w:val="center"/>
            <w:hideMark/>
          </w:tcPr>
          <w:p w14:paraId="0E158D5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0</w:t>
            </w:r>
          </w:p>
        </w:tc>
        <w:tc>
          <w:tcPr>
            <w:tcW w:w="541" w:type="pct"/>
            <w:tcBorders>
              <w:top w:val="nil"/>
              <w:left w:val="nil"/>
              <w:bottom w:val="nil"/>
              <w:right w:val="nil"/>
            </w:tcBorders>
            <w:noWrap/>
            <w:vAlign w:val="center"/>
            <w:hideMark/>
          </w:tcPr>
          <w:p w14:paraId="6BDB2448"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0</w:t>
            </w:r>
          </w:p>
        </w:tc>
        <w:tc>
          <w:tcPr>
            <w:tcW w:w="547" w:type="pct"/>
            <w:tcBorders>
              <w:top w:val="nil"/>
              <w:left w:val="nil"/>
              <w:bottom w:val="nil"/>
              <w:right w:val="nil"/>
            </w:tcBorders>
            <w:noWrap/>
            <w:vAlign w:val="center"/>
            <w:hideMark/>
          </w:tcPr>
          <w:p w14:paraId="510BBF6A"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61 618</w:t>
            </w:r>
          </w:p>
        </w:tc>
        <w:tc>
          <w:tcPr>
            <w:tcW w:w="542" w:type="pct"/>
            <w:tcBorders>
              <w:top w:val="nil"/>
              <w:left w:val="nil"/>
              <w:bottom w:val="nil"/>
              <w:right w:val="nil"/>
            </w:tcBorders>
            <w:noWrap/>
            <w:vAlign w:val="center"/>
            <w:hideMark/>
          </w:tcPr>
          <w:p w14:paraId="4ABB16A8"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89 739</w:t>
            </w:r>
          </w:p>
        </w:tc>
        <w:tc>
          <w:tcPr>
            <w:tcW w:w="639" w:type="pct"/>
            <w:tcBorders>
              <w:top w:val="nil"/>
              <w:left w:val="nil"/>
              <w:bottom w:val="nil"/>
              <w:right w:val="nil"/>
            </w:tcBorders>
            <w:noWrap/>
            <w:vAlign w:val="center"/>
            <w:hideMark/>
          </w:tcPr>
          <w:p w14:paraId="0660FA02"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28 121</w:t>
            </w:r>
          </w:p>
        </w:tc>
      </w:tr>
      <w:tr w:rsidR="00B7083F" w:rsidRPr="00B7083F" w14:paraId="0B5A98A2" w14:textId="77777777" w:rsidTr="00B7083F">
        <w:trPr>
          <w:trHeight w:val="290"/>
        </w:trPr>
        <w:tc>
          <w:tcPr>
            <w:tcW w:w="2189" w:type="pct"/>
            <w:tcBorders>
              <w:top w:val="nil"/>
              <w:left w:val="nil"/>
              <w:bottom w:val="nil"/>
              <w:right w:val="nil"/>
            </w:tcBorders>
            <w:noWrap/>
            <w:vAlign w:val="center"/>
            <w:hideMark/>
          </w:tcPr>
          <w:p w14:paraId="001908D2"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dane z používania. tovarov a z povolenia  na výkon činnosti</w:t>
            </w:r>
          </w:p>
        </w:tc>
        <w:tc>
          <w:tcPr>
            <w:tcW w:w="541" w:type="pct"/>
            <w:tcBorders>
              <w:top w:val="nil"/>
              <w:left w:val="nil"/>
              <w:bottom w:val="nil"/>
              <w:right w:val="nil"/>
            </w:tcBorders>
            <w:noWrap/>
            <w:vAlign w:val="center"/>
            <w:hideMark/>
          </w:tcPr>
          <w:p w14:paraId="5B741E8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135 545</w:t>
            </w:r>
          </w:p>
        </w:tc>
        <w:tc>
          <w:tcPr>
            <w:tcW w:w="541" w:type="pct"/>
            <w:tcBorders>
              <w:top w:val="nil"/>
              <w:left w:val="nil"/>
              <w:bottom w:val="nil"/>
              <w:right w:val="nil"/>
            </w:tcBorders>
            <w:noWrap/>
            <w:vAlign w:val="center"/>
            <w:hideMark/>
          </w:tcPr>
          <w:p w14:paraId="10C50542"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141 426</w:t>
            </w:r>
          </w:p>
        </w:tc>
        <w:tc>
          <w:tcPr>
            <w:tcW w:w="547" w:type="pct"/>
            <w:tcBorders>
              <w:top w:val="nil"/>
              <w:left w:val="nil"/>
              <w:bottom w:val="nil"/>
              <w:right w:val="nil"/>
            </w:tcBorders>
            <w:noWrap/>
            <w:vAlign w:val="center"/>
            <w:hideMark/>
          </w:tcPr>
          <w:p w14:paraId="716763A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143 676</w:t>
            </w:r>
          </w:p>
        </w:tc>
        <w:tc>
          <w:tcPr>
            <w:tcW w:w="542" w:type="pct"/>
            <w:tcBorders>
              <w:top w:val="nil"/>
              <w:left w:val="nil"/>
              <w:bottom w:val="nil"/>
              <w:right w:val="nil"/>
            </w:tcBorders>
            <w:noWrap/>
            <w:vAlign w:val="center"/>
            <w:hideMark/>
          </w:tcPr>
          <w:p w14:paraId="2667041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131 300</w:t>
            </w:r>
          </w:p>
        </w:tc>
        <w:tc>
          <w:tcPr>
            <w:tcW w:w="639" w:type="pct"/>
            <w:tcBorders>
              <w:top w:val="nil"/>
              <w:left w:val="nil"/>
              <w:bottom w:val="nil"/>
              <w:right w:val="nil"/>
            </w:tcBorders>
            <w:noWrap/>
            <w:vAlign w:val="center"/>
            <w:hideMark/>
          </w:tcPr>
          <w:p w14:paraId="5914BB19"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-12 376</w:t>
            </w:r>
          </w:p>
        </w:tc>
      </w:tr>
      <w:tr w:rsidR="00B7083F" w:rsidRPr="00B7083F" w14:paraId="5CF6C99E" w14:textId="77777777" w:rsidTr="00B7083F">
        <w:trPr>
          <w:trHeight w:val="290"/>
        </w:trPr>
        <w:tc>
          <w:tcPr>
            <w:tcW w:w="2189" w:type="pct"/>
            <w:tcBorders>
              <w:top w:val="nil"/>
              <w:left w:val="nil"/>
              <w:bottom w:val="nil"/>
              <w:right w:val="nil"/>
            </w:tcBorders>
            <w:vAlign w:val="center"/>
            <w:hideMark/>
          </w:tcPr>
          <w:p w14:paraId="2D9E3D91"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iné dane za tovary a služby</w:t>
            </w:r>
          </w:p>
        </w:tc>
        <w:tc>
          <w:tcPr>
            <w:tcW w:w="541" w:type="pct"/>
            <w:tcBorders>
              <w:top w:val="nil"/>
              <w:left w:val="nil"/>
              <w:bottom w:val="nil"/>
              <w:right w:val="nil"/>
            </w:tcBorders>
            <w:noWrap/>
            <w:vAlign w:val="center"/>
            <w:hideMark/>
          </w:tcPr>
          <w:p w14:paraId="2AACBECA"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100 527</w:t>
            </w:r>
          </w:p>
        </w:tc>
        <w:tc>
          <w:tcPr>
            <w:tcW w:w="541" w:type="pct"/>
            <w:tcBorders>
              <w:top w:val="nil"/>
              <w:left w:val="nil"/>
              <w:bottom w:val="nil"/>
              <w:right w:val="nil"/>
            </w:tcBorders>
            <w:noWrap/>
            <w:vAlign w:val="center"/>
            <w:hideMark/>
          </w:tcPr>
          <w:p w14:paraId="4020206D"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110 477</w:t>
            </w:r>
          </w:p>
        </w:tc>
        <w:tc>
          <w:tcPr>
            <w:tcW w:w="547" w:type="pct"/>
            <w:tcBorders>
              <w:top w:val="nil"/>
              <w:left w:val="nil"/>
              <w:bottom w:val="nil"/>
              <w:right w:val="nil"/>
            </w:tcBorders>
            <w:noWrap/>
            <w:vAlign w:val="center"/>
            <w:hideMark/>
          </w:tcPr>
          <w:p w14:paraId="2B88D5A8"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689 943</w:t>
            </w:r>
          </w:p>
        </w:tc>
        <w:tc>
          <w:tcPr>
            <w:tcW w:w="542" w:type="pct"/>
            <w:tcBorders>
              <w:top w:val="nil"/>
              <w:left w:val="nil"/>
              <w:bottom w:val="nil"/>
              <w:right w:val="nil"/>
            </w:tcBorders>
            <w:noWrap/>
            <w:vAlign w:val="center"/>
            <w:hideMark/>
          </w:tcPr>
          <w:p w14:paraId="3B7962A0"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459 060</w:t>
            </w:r>
          </w:p>
        </w:tc>
        <w:tc>
          <w:tcPr>
            <w:tcW w:w="639" w:type="pct"/>
            <w:tcBorders>
              <w:top w:val="nil"/>
              <w:left w:val="nil"/>
              <w:bottom w:val="nil"/>
              <w:right w:val="nil"/>
            </w:tcBorders>
            <w:noWrap/>
            <w:vAlign w:val="center"/>
            <w:hideMark/>
          </w:tcPr>
          <w:p w14:paraId="3AC970BD"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-230 883</w:t>
            </w:r>
          </w:p>
        </w:tc>
      </w:tr>
      <w:tr w:rsidR="00B7083F" w:rsidRPr="00B7083F" w14:paraId="2AA1C7AE" w14:textId="77777777" w:rsidTr="00AA59AD">
        <w:trPr>
          <w:trHeight w:val="131"/>
        </w:trPr>
        <w:tc>
          <w:tcPr>
            <w:tcW w:w="2189" w:type="pct"/>
            <w:tcBorders>
              <w:top w:val="nil"/>
              <w:left w:val="nil"/>
              <w:bottom w:val="nil"/>
              <w:right w:val="nil"/>
            </w:tcBorders>
            <w:noWrap/>
            <w:vAlign w:val="center"/>
            <w:hideMark/>
          </w:tcPr>
          <w:p w14:paraId="02A18CC4" w14:textId="77777777" w:rsidR="00B7083F" w:rsidRPr="00B7083F" w:rsidRDefault="00B7083F" w:rsidP="00B7083F">
            <w:pPr>
              <w:spacing w:line="240" w:lineRule="auto"/>
              <w:rPr>
                <w:rFonts w:eastAsia="Times New Roman" w:cs="Times New Roman"/>
                <w:color w:val="000000"/>
                <w:sz w:val="18"/>
                <w:szCs w:val="18"/>
                <w:lang w:eastAsia="sk-SK"/>
              </w:rPr>
            </w:pPr>
            <w:r w:rsidRPr="00B7083F">
              <w:rPr>
                <w:rFonts w:eastAsia="Times New Roman" w:cs="Times New Roman"/>
                <w:color w:val="000000"/>
                <w:sz w:val="18"/>
                <w:szCs w:val="18"/>
                <w:lang w:eastAsia="sk-SK"/>
              </w:rPr>
              <w:t xml:space="preserve">     z toho: </w:t>
            </w:r>
          </w:p>
        </w:tc>
        <w:tc>
          <w:tcPr>
            <w:tcW w:w="541" w:type="pct"/>
            <w:tcBorders>
              <w:top w:val="nil"/>
              <w:left w:val="nil"/>
              <w:bottom w:val="nil"/>
              <w:right w:val="nil"/>
            </w:tcBorders>
            <w:noWrap/>
            <w:vAlign w:val="center"/>
            <w:hideMark/>
          </w:tcPr>
          <w:p w14:paraId="0AA1F0EE" w14:textId="77777777" w:rsidR="00B7083F" w:rsidRPr="00B7083F" w:rsidRDefault="00B7083F" w:rsidP="00B7083F">
            <w:pPr>
              <w:spacing w:line="240" w:lineRule="auto"/>
              <w:rPr>
                <w:rFonts w:eastAsia="Times New Roman" w:cs="Times New Roman"/>
                <w:color w:val="000000"/>
                <w:sz w:val="18"/>
                <w:szCs w:val="18"/>
                <w:lang w:eastAsia="sk-SK"/>
              </w:rPr>
            </w:pPr>
          </w:p>
        </w:tc>
        <w:tc>
          <w:tcPr>
            <w:tcW w:w="541" w:type="pct"/>
            <w:tcBorders>
              <w:top w:val="nil"/>
              <w:left w:val="nil"/>
              <w:bottom w:val="nil"/>
              <w:right w:val="nil"/>
            </w:tcBorders>
            <w:noWrap/>
            <w:vAlign w:val="center"/>
            <w:hideMark/>
          </w:tcPr>
          <w:p w14:paraId="01A49702" w14:textId="77777777" w:rsidR="00B7083F" w:rsidRPr="00B7083F" w:rsidRDefault="00B7083F" w:rsidP="00B7083F">
            <w:pPr>
              <w:spacing w:line="240" w:lineRule="auto"/>
              <w:jc w:val="right"/>
              <w:rPr>
                <w:rFonts w:eastAsia="Times New Roman" w:cs="Times New Roman"/>
                <w:sz w:val="20"/>
                <w:szCs w:val="20"/>
                <w:lang w:eastAsia="sk-SK"/>
              </w:rPr>
            </w:pPr>
          </w:p>
        </w:tc>
        <w:tc>
          <w:tcPr>
            <w:tcW w:w="547" w:type="pct"/>
            <w:tcBorders>
              <w:top w:val="nil"/>
              <w:left w:val="nil"/>
              <w:bottom w:val="nil"/>
              <w:right w:val="nil"/>
            </w:tcBorders>
            <w:noWrap/>
            <w:vAlign w:val="center"/>
            <w:hideMark/>
          </w:tcPr>
          <w:p w14:paraId="2241E935" w14:textId="77777777" w:rsidR="00B7083F" w:rsidRPr="00B7083F" w:rsidRDefault="00B7083F" w:rsidP="00B7083F">
            <w:pPr>
              <w:spacing w:line="240" w:lineRule="auto"/>
              <w:jc w:val="right"/>
              <w:rPr>
                <w:rFonts w:eastAsia="Times New Roman" w:cs="Times New Roman"/>
                <w:sz w:val="20"/>
                <w:szCs w:val="20"/>
                <w:lang w:eastAsia="sk-SK"/>
              </w:rPr>
            </w:pPr>
          </w:p>
        </w:tc>
        <w:tc>
          <w:tcPr>
            <w:tcW w:w="542" w:type="pct"/>
            <w:tcBorders>
              <w:top w:val="nil"/>
              <w:left w:val="nil"/>
              <w:bottom w:val="nil"/>
              <w:right w:val="nil"/>
            </w:tcBorders>
            <w:noWrap/>
            <w:vAlign w:val="center"/>
            <w:hideMark/>
          </w:tcPr>
          <w:p w14:paraId="559C5765" w14:textId="77777777" w:rsidR="00B7083F" w:rsidRPr="00B7083F" w:rsidRDefault="00B7083F" w:rsidP="00B7083F">
            <w:pPr>
              <w:spacing w:line="240" w:lineRule="auto"/>
              <w:jc w:val="right"/>
              <w:rPr>
                <w:rFonts w:eastAsia="Times New Roman" w:cs="Times New Roman"/>
                <w:sz w:val="20"/>
                <w:szCs w:val="20"/>
                <w:lang w:eastAsia="sk-SK"/>
              </w:rPr>
            </w:pPr>
          </w:p>
        </w:tc>
        <w:tc>
          <w:tcPr>
            <w:tcW w:w="639" w:type="pct"/>
            <w:tcBorders>
              <w:top w:val="nil"/>
              <w:left w:val="nil"/>
              <w:bottom w:val="nil"/>
              <w:right w:val="nil"/>
            </w:tcBorders>
            <w:noWrap/>
            <w:vAlign w:val="center"/>
            <w:hideMark/>
          </w:tcPr>
          <w:p w14:paraId="69D1A487" w14:textId="77777777" w:rsidR="00B7083F" w:rsidRPr="00B7083F" w:rsidRDefault="00B7083F" w:rsidP="00B7083F">
            <w:pPr>
              <w:spacing w:line="240" w:lineRule="auto"/>
              <w:jc w:val="right"/>
              <w:rPr>
                <w:rFonts w:eastAsia="Times New Roman" w:cs="Times New Roman"/>
                <w:sz w:val="20"/>
                <w:szCs w:val="20"/>
                <w:lang w:eastAsia="sk-SK"/>
              </w:rPr>
            </w:pPr>
          </w:p>
        </w:tc>
      </w:tr>
      <w:tr w:rsidR="00B7083F" w:rsidRPr="00B7083F" w14:paraId="617B6557" w14:textId="77777777" w:rsidTr="00B7083F">
        <w:trPr>
          <w:trHeight w:val="290"/>
        </w:trPr>
        <w:tc>
          <w:tcPr>
            <w:tcW w:w="2189" w:type="pct"/>
            <w:tcBorders>
              <w:top w:val="nil"/>
              <w:left w:val="nil"/>
              <w:bottom w:val="nil"/>
              <w:right w:val="nil"/>
            </w:tcBorders>
            <w:noWrap/>
            <w:vAlign w:val="center"/>
            <w:hideMark/>
          </w:tcPr>
          <w:p w14:paraId="1B76229F" w14:textId="77777777" w:rsidR="00B7083F" w:rsidRPr="00B7083F" w:rsidRDefault="00B7083F" w:rsidP="00B7083F">
            <w:pPr>
              <w:spacing w:line="240" w:lineRule="auto"/>
              <w:ind w:firstLineChars="100" w:firstLine="180"/>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daň z finančných transakcií</w:t>
            </w:r>
          </w:p>
        </w:tc>
        <w:tc>
          <w:tcPr>
            <w:tcW w:w="541" w:type="pct"/>
            <w:tcBorders>
              <w:top w:val="nil"/>
              <w:left w:val="nil"/>
              <w:bottom w:val="nil"/>
              <w:right w:val="nil"/>
            </w:tcBorders>
            <w:noWrap/>
            <w:vAlign w:val="center"/>
            <w:hideMark/>
          </w:tcPr>
          <w:p w14:paraId="1E1B0162"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0</w:t>
            </w:r>
          </w:p>
        </w:tc>
        <w:tc>
          <w:tcPr>
            <w:tcW w:w="541" w:type="pct"/>
            <w:tcBorders>
              <w:top w:val="nil"/>
              <w:left w:val="nil"/>
              <w:bottom w:val="nil"/>
              <w:right w:val="nil"/>
            </w:tcBorders>
            <w:noWrap/>
            <w:vAlign w:val="center"/>
            <w:hideMark/>
          </w:tcPr>
          <w:p w14:paraId="0D10DB5B"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0</w:t>
            </w:r>
          </w:p>
        </w:tc>
        <w:tc>
          <w:tcPr>
            <w:tcW w:w="547" w:type="pct"/>
            <w:tcBorders>
              <w:top w:val="nil"/>
              <w:left w:val="nil"/>
              <w:bottom w:val="nil"/>
              <w:right w:val="nil"/>
            </w:tcBorders>
            <w:noWrap/>
            <w:vAlign w:val="center"/>
            <w:hideMark/>
          </w:tcPr>
          <w:p w14:paraId="5ABBE1DD"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574 140</w:t>
            </w:r>
          </w:p>
        </w:tc>
        <w:tc>
          <w:tcPr>
            <w:tcW w:w="542" w:type="pct"/>
            <w:tcBorders>
              <w:top w:val="nil"/>
              <w:left w:val="nil"/>
              <w:bottom w:val="nil"/>
              <w:right w:val="nil"/>
            </w:tcBorders>
            <w:noWrap/>
            <w:vAlign w:val="center"/>
            <w:hideMark/>
          </w:tcPr>
          <w:p w14:paraId="74D4B0C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338 921</w:t>
            </w:r>
          </w:p>
        </w:tc>
        <w:tc>
          <w:tcPr>
            <w:tcW w:w="639" w:type="pct"/>
            <w:tcBorders>
              <w:top w:val="nil"/>
              <w:left w:val="nil"/>
              <w:bottom w:val="nil"/>
              <w:right w:val="nil"/>
            </w:tcBorders>
            <w:noWrap/>
            <w:vAlign w:val="center"/>
            <w:hideMark/>
          </w:tcPr>
          <w:p w14:paraId="1E8EA5CD"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-235 219</w:t>
            </w:r>
          </w:p>
        </w:tc>
      </w:tr>
      <w:tr w:rsidR="00B7083F" w:rsidRPr="00B7083F" w14:paraId="261971BB" w14:textId="77777777" w:rsidTr="00B7083F">
        <w:trPr>
          <w:trHeight w:val="290"/>
        </w:trPr>
        <w:tc>
          <w:tcPr>
            <w:tcW w:w="2189" w:type="pct"/>
            <w:tcBorders>
              <w:top w:val="nil"/>
              <w:left w:val="nil"/>
              <w:bottom w:val="nil"/>
              <w:right w:val="nil"/>
            </w:tcBorders>
            <w:noWrap/>
            <w:vAlign w:val="center"/>
            <w:hideMark/>
          </w:tcPr>
          <w:p w14:paraId="55EB9977" w14:textId="77777777" w:rsidR="00B7083F" w:rsidRPr="00B7083F" w:rsidRDefault="00B7083F" w:rsidP="00B7083F">
            <w:pPr>
              <w:spacing w:line="240" w:lineRule="auto"/>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Dane z príjmov a kapitálového majetku</w:t>
            </w:r>
          </w:p>
        </w:tc>
        <w:tc>
          <w:tcPr>
            <w:tcW w:w="541" w:type="pct"/>
            <w:tcBorders>
              <w:top w:val="nil"/>
              <w:left w:val="nil"/>
              <w:bottom w:val="nil"/>
              <w:right w:val="nil"/>
            </w:tcBorders>
            <w:noWrap/>
            <w:vAlign w:val="center"/>
            <w:hideMark/>
          </w:tcPr>
          <w:p w14:paraId="4A6B426C" w14:textId="29C43B3C" w:rsidR="00B7083F" w:rsidRPr="00B7083F" w:rsidRDefault="00D90A0C" w:rsidP="00B7083F">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4 323 758</w:t>
            </w:r>
          </w:p>
        </w:tc>
        <w:tc>
          <w:tcPr>
            <w:tcW w:w="541" w:type="pct"/>
            <w:tcBorders>
              <w:top w:val="nil"/>
              <w:left w:val="nil"/>
              <w:bottom w:val="nil"/>
              <w:right w:val="nil"/>
            </w:tcBorders>
            <w:noWrap/>
            <w:vAlign w:val="center"/>
            <w:hideMark/>
          </w:tcPr>
          <w:p w14:paraId="0FDFFB0F" w14:textId="041DA85A" w:rsidR="00B7083F" w:rsidRPr="00B7083F" w:rsidRDefault="00D90A0C" w:rsidP="00B7083F">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4 940 706</w:t>
            </w:r>
          </w:p>
        </w:tc>
        <w:tc>
          <w:tcPr>
            <w:tcW w:w="547" w:type="pct"/>
            <w:tcBorders>
              <w:top w:val="nil"/>
              <w:left w:val="nil"/>
              <w:bottom w:val="nil"/>
              <w:right w:val="nil"/>
            </w:tcBorders>
            <w:noWrap/>
            <w:vAlign w:val="center"/>
            <w:hideMark/>
          </w:tcPr>
          <w:p w14:paraId="1EAF2F6A"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6 252 642</w:t>
            </w:r>
          </w:p>
        </w:tc>
        <w:tc>
          <w:tcPr>
            <w:tcW w:w="542" w:type="pct"/>
            <w:tcBorders>
              <w:top w:val="nil"/>
              <w:left w:val="nil"/>
              <w:bottom w:val="nil"/>
              <w:right w:val="nil"/>
            </w:tcBorders>
            <w:noWrap/>
            <w:vAlign w:val="center"/>
            <w:hideMark/>
          </w:tcPr>
          <w:p w14:paraId="41BABB7E"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5 811 887</w:t>
            </w:r>
          </w:p>
        </w:tc>
        <w:tc>
          <w:tcPr>
            <w:tcW w:w="639" w:type="pct"/>
            <w:tcBorders>
              <w:top w:val="nil"/>
              <w:left w:val="nil"/>
              <w:bottom w:val="nil"/>
              <w:right w:val="nil"/>
            </w:tcBorders>
            <w:noWrap/>
            <w:vAlign w:val="center"/>
            <w:hideMark/>
          </w:tcPr>
          <w:p w14:paraId="33B79D47"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-440 755</w:t>
            </w:r>
          </w:p>
        </w:tc>
      </w:tr>
      <w:tr w:rsidR="00B7083F" w:rsidRPr="00B7083F" w14:paraId="4F7EC126" w14:textId="77777777" w:rsidTr="00AA59AD">
        <w:trPr>
          <w:trHeight w:val="116"/>
        </w:trPr>
        <w:tc>
          <w:tcPr>
            <w:tcW w:w="2189" w:type="pct"/>
            <w:tcBorders>
              <w:top w:val="nil"/>
              <w:left w:val="nil"/>
              <w:bottom w:val="nil"/>
              <w:right w:val="nil"/>
            </w:tcBorders>
            <w:noWrap/>
            <w:vAlign w:val="center"/>
            <w:hideMark/>
          </w:tcPr>
          <w:p w14:paraId="392CCA9B" w14:textId="77777777" w:rsidR="00B7083F" w:rsidRPr="00B7083F" w:rsidRDefault="00B7083F" w:rsidP="00B7083F">
            <w:pPr>
              <w:spacing w:line="240" w:lineRule="auto"/>
              <w:rPr>
                <w:rFonts w:eastAsia="Times New Roman" w:cs="Times New Roman"/>
                <w:color w:val="000000"/>
                <w:sz w:val="18"/>
                <w:szCs w:val="18"/>
                <w:lang w:eastAsia="sk-SK"/>
              </w:rPr>
            </w:pPr>
            <w:r w:rsidRPr="00B7083F">
              <w:rPr>
                <w:rFonts w:eastAsia="Times New Roman" w:cs="Times New Roman"/>
                <w:color w:val="000000"/>
                <w:sz w:val="18"/>
                <w:szCs w:val="18"/>
                <w:lang w:eastAsia="sk-SK"/>
              </w:rPr>
              <w:t>v tom</w:t>
            </w:r>
            <w:r w:rsidRPr="00B7083F">
              <w:rPr>
                <w:rFonts w:eastAsia="Times New Roman" w:cs="Times New Roman"/>
                <w:i/>
                <w:iCs/>
                <w:color w:val="000000"/>
                <w:sz w:val="18"/>
                <w:szCs w:val="18"/>
                <w:lang w:eastAsia="sk-SK"/>
              </w:rPr>
              <w:t xml:space="preserve">: </w:t>
            </w:r>
          </w:p>
        </w:tc>
        <w:tc>
          <w:tcPr>
            <w:tcW w:w="541" w:type="pct"/>
            <w:tcBorders>
              <w:top w:val="nil"/>
              <w:left w:val="nil"/>
              <w:bottom w:val="nil"/>
              <w:right w:val="nil"/>
            </w:tcBorders>
            <w:noWrap/>
            <w:vAlign w:val="center"/>
            <w:hideMark/>
          </w:tcPr>
          <w:p w14:paraId="06657494" w14:textId="77777777" w:rsidR="00B7083F" w:rsidRPr="00B7083F" w:rsidRDefault="00B7083F" w:rsidP="00B7083F">
            <w:pPr>
              <w:spacing w:line="240" w:lineRule="auto"/>
              <w:rPr>
                <w:rFonts w:eastAsia="Times New Roman" w:cs="Times New Roman"/>
                <w:color w:val="000000"/>
                <w:sz w:val="18"/>
                <w:szCs w:val="18"/>
                <w:lang w:eastAsia="sk-SK"/>
              </w:rPr>
            </w:pPr>
          </w:p>
        </w:tc>
        <w:tc>
          <w:tcPr>
            <w:tcW w:w="541" w:type="pct"/>
            <w:tcBorders>
              <w:top w:val="nil"/>
              <w:left w:val="nil"/>
              <w:bottom w:val="nil"/>
              <w:right w:val="nil"/>
            </w:tcBorders>
            <w:noWrap/>
            <w:vAlign w:val="center"/>
            <w:hideMark/>
          </w:tcPr>
          <w:p w14:paraId="7D360430" w14:textId="77777777" w:rsidR="00B7083F" w:rsidRPr="00B7083F" w:rsidRDefault="00B7083F" w:rsidP="00B7083F">
            <w:pPr>
              <w:spacing w:line="240" w:lineRule="auto"/>
              <w:jc w:val="right"/>
              <w:rPr>
                <w:rFonts w:eastAsia="Times New Roman" w:cs="Times New Roman"/>
                <w:sz w:val="20"/>
                <w:szCs w:val="20"/>
                <w:lang w:eastAsia="sk-SK"/>
              </w:rPr>
            </w:pPr>
          </w:p>
        </w:tc>
        <w:tc>
          <w:tcPr>
            <w:tcW w:w="547" w:type="pct"/>
            <w:tcBorders>
              <w:top w:val="nil"/>
              <w:left w:val="nil"/>
              <w:bottom w:val="nil"/>
              <w:right w:val="nil"/>
            </w:tcBorders>
            <w:noWrap/>
            <w:vAlign w:val="center"/>
            <w:hideMark/>
          </w:tcPr>
          <w:p w14:paraId="1C4BAF02" w14:textId="77777777" w:rsidR="00B7083F" w:rsidRPr="00B7083F" w:rsidRDefault="00B7083F" w:rsidP="00B7083F">
            <w:pPr>
              <w:spacing w:line="240" w:lineRule="auto"/>
              <w:jc w:val="right"/>
              <w:rPr>
                <w:rFonts w:eastAsia="Times New Roman" w:cs="Times New Roman"/>
                <w:sz w:val="20"/>
                <w:szCs w:val="20"/>
                <w:lang w:eastAsia="sk-SK"/>
              </w:rPr>
            </w:pPr>
          </w:p>
        </w:tc>
        <w:tc>
          <w:tcPr>
            <w:tcW w:w="542" w:type="pct"/>
            <w:tcBorders>
              <w:top w:val="nil"/>
              <w:left w:val="nil"/>
              <w:bottom w:val="nil"/>
              <w:right w:val="nil"/>
            </w:tcBorders>
            <w:noWrap/>
            <w:vAlign w:val="center"/>
            <w:hideMark/>
          </w:tcPr>
          <w:p w14:paraId="1E85A616" w14:textId="77777777" w:rsidR="00B7083F" w:rsidRPr="00B7083F" w:rsidRDefault="00B7083F" w:rsidP="00B7083F">
            <w:pPr>
              <w:spacing w:line="240" w:lineRule="auto"/>
              <w:jc w:val="right"/>
              <w:rPr>
                <w:rFonts w:eastAsia="Times New Roman" w:cs="Times New Roman"/>
                <w:sz w:val="20"/>
                <w:szCs w:val="20"/>
                <w:lang w:eastAsia="sk-SK"/>
              </w:rPr>
            </w:pPr>
          </w:p>
        </w:tc>
        <w:tc>
          <w:tcPr>
            <w:tcW w:w="639" w:type="pct"/>
            <w:tcBorders>
              <w:top w:val="nil"/>
              <w:left w:val="nil"/>
              <w:bottom w:val="nil"/>
              <w:right w:val="nil"/>
            </w:tcBorders>
            <w:noWrap/>
            <w:vAlign w:val="center"/>
            <w:hideMark/>
          </w:tcPr>
          <w:p w14:paraId="084162FA" w14:textId="77777777" w:rsidR="00B7083F" w:rsidRPr="00B7083F" w:rsidRDefault="00B7083F" w:rsidP="00B7083F">
            <w:pPr>
              <w:spacing w:line="240" w:lineRule="auto"/>
              <w:jc w:val="right"/>
              <w:rPr>
                <w:rFonts w:eastAsia="Times New Roman" w:cs="Times New Roman"/>
                <w:sz w:val="20"/>
                <w:szCs w:val="20"/>
                <w:lang w:eastAsia="sk-SK"/>
              </w:rPr>
            </w:pPr>
          </w:p>
        </w:tc>
      </w:tr>
      <w:tr w:rsidR="00B7083F" w:rsidRPr="00B7083F" w14:paraId="7F575CDE" w14:textId="77777777" w:rsidTr="00B7083F">
        <w:trPr>
          <w:trHeight w:val="290"/>
        </w:trPr>
        <w:tc>
          <w:tcPr>
            <w:tcW w:w="2189" w:type="pct"/>
            <w:tcBorders>
              <w:top w:val="nil"/>
              <w:left w:val="nil"/>
              <w:bottom w:val="nil"/>
              <w:right w:val="nil"/>
            </w:tcBorders>
            <w:noWrap/>
            <w:vAlign w:val="center"/>
            <w:hideMark/>
          </w:tcPr>
          <w:p w14:paraId="4CC4AEB6"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daň z príjmov PO</w:t>
            </w:r>
          </w:p>
        </w:tc>
        <w:tc>
          <w:tcPr>
            <w:tcW w:w="541" w:type="pct"/>
            <w:tcBorders>
              <w:top w:val="nil"/>
              <w:left w:val="nil"/>
              <w:bottom w:val="nil"/>
              <w:right w:val="nil"/>
            </w:tcBorders>
            <w:noWrap/>
            <w:vAlign w:val="center"/>
            <w:hideMark/>
          </w:tcPr>
          <w:p w14:paraId="306F6924"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3 906 421</w:t>
            </w:r>
          </w:p>
        </w:tc>
        <w:tc>
          <w:tcPr>
            <w:tcW w:w="541" w:type="pct"/>
            <w:tcBorders>
              <w:top w:val="nil"/>
              <w:left w:val="nil"/>
              <w:bottom w:val="nil"/>
              <w:right w:val="nil"/>
            </w:tcBorders>
            <w:noWrap/>
            <w:vAlign w:val="center"/>
            <w:hideMark/>
          </w:tcPr>
          <w:p w14:paraId="3D214892"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4 413 168</w:t>
            </w:r>
          </w:p>
        </w:tc>
        <w:tc>
          <w:tcPr>
            <w:tcW w:w="547" w:type="pct"/>
            <w:tcBorders>
              <w:top w:val="nil"/>
              <w:left w:val="nil"/>
              <w:bottom w:val="nil"/>
              <w:right w:val="nil"/>
            </w:tcBorders>
            <w:noWrap/>
            <w:vAlign w:val="center"/>
            <w:hideMark/>
          </w:tcPr>
          <w:p w14:paraId="40E9CF3F"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5 033 907</w:t>
            </w:r>
          </w:p>
        </w:tc>
        <w:tc>
          <w:tcPr>
            <w:tcW w:w="542" w:type="pct"/>
            <w:tcBorders>
              <w:top w:val="nil"/>
              <w:left w:val="nil"/>
              <w:bottom w:val="nil"/>
              <w:right w:val="nil"/>
            </w:tcBorders>
            <w:noWrap/>
            <w:vAlign w:val="center"/>
            <w:hideMark/>
          </w:tcPr>
          <w:p w14:paraId="64C0854B"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4 592 424</w:t>
            </w:r>
          </w:p>
        </w:tc>
        <w:tc>
          <w:tcPr>
            <w:tcW w:w="639" w:type="pct"/>
            <w:tcBorders>
              <w:top w:val="nil"/>
              <w:left w:val="nil"/>
              <w:bottom w:val="nil"/>
              <w:right w:val="nil"/>
            </w:tcBorders>
            <w:noWrap/>
            <w:vAlign w:val="center"/>
            <w:hideMark/>
          </w:tcPr>
          <w:p w14:paraId="48C66D2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-441 483</w:t>
            </w:r>
          </w:p>
        </w:tc>
      </w:tr>
      <w:tr w:rsidR="00B7083F" w:rsidRPr="00B7083F" w14:paraId="3563D729" w14:textId="77777777" w:rsidTr="00B7083F">
        <w:trPr>
          <w:trHeight w:val="290"/>
        </w:trPr>
        <w:tc>
          <w:tcPr>
            <w:tcW w:w="2189" w:type="pct"/>
            <w:tcBorders>
              <w:top w:val="nil"/>
              <w:left w:val="nil"/>
              <w:bottom w:val="nil"/>
              <w:right w:val="nil"/>
            </w:tcBorders>
            <w:noWrap/>
            <w:vAlign w:val="center"/>
            <w:hideMark/>
          </w:tcPr>
          <w:p w14:paraId="5592A4B6"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daň z príjmov vyberaná zrážkou</w:t>
            </w:r>
          </w:p>
        </w:tc>
        <w:tc>
          <w:tcPr>
            <w:tcW w:w="541" w:type="pct"/>
            <w:tcBorders>
              <w:top w:val="nil"/>
              <w:left w:val="nil"/>
              <w:bottom w:val="nil"/>
              <w:right w:val="nil"/>
            </w:tcBorders>
            <w:noWrap/>
            <w:vAlign w:val="center"/>
            <w:hideMark/>
          </w:tcPr>
          <w:p w14:paraId="75C5C1E4"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430 574</w:t>
            </w:r>
          </w:p>
        </w:tc>
        <w:tc>
          <w:tcPr>
            <w:tcW w:w="541" w:type="pct"/>
            <w:tcBorders>
              <w:top w:val="nil"/>
              <w:left w:val="nil"/>
              <w:bottom w:val="nil"/>
              <w:right w:val="nil"/>
            </w:tcBorders>
            <w:noWrap/>
            <w:vAlign w:val="center"/>
            <w:hideMark/>
          </w:tcPr>
          <w:p w14:paraId="3EAC379F"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529 150</w:t>
            </w:r>
          </w:p>
        </w:tc>
        <w:tc>
          <w:tcPr>
            <w:tcW w:w="547" w:type="pct"/>
            <w:tcBorders>
              <w:top w:val="nil"/>
              <w:left w:val="nil"/>
              <w:bottom w:val="nil"/>
              <w:right w:val="nil"/>
            </w:tcBorders>
            <w:noWrap/>
            <w:vAlign w:val="center"/>
            <w:hideMark/>
          </w:tcPr>
          <w:p w14:paraId="6FDEA8E6"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510 573</w:t>
            </w:r>
          </w:p>
        </w:tc>
        <w:tc>
          <w:tcPr>
            <w:tcW w:w="542" w:type="pct"/>
            <w:tcBorders>
              <w:top w:val="nil"/>
              <w:left w:val="nil"/>
              <w:bottom w:val="nil"/>
              <w:right w:val="nil"/>
            </w:tcBorders>
            <w:noWrap/>
            <w:vAlign w:val="center"/>
            <w:hideMark/>
          </w:tcPr>
          <w:p w14:paraId="4C026D19"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549 651</w:t>
            </w:r>
          </w:p>
        </w:tc>
        <w:tc>
          <w:tcPr>
            <w:tcW w:w="639" w:type="pct"/>
            <w:tcBorders>
              <w:top w:val="nil"/>
              <w:left w:val="nil"/>
              <w:bottom w:val="nil"/>
              <w:right w:val="nil"/>
            </w:tcBorders>
            <w:noWrap/>
            <w:vAlign w:val="center"/>
            <w:hideMark/>
          </w:tcPr>
          <w:p w14:paraId="1420478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39 078</w:t>
            </w:r>
          </w:p>
        </w:tc>
      </w:tr>
      <w:tr w:rsidR="00B7083F" w:rsidRPr="00B7083F" w14:paraId="17FAAF7F" w14:textId="77777777" w:rsidTr="00B7083F">
        <w:trPr>
          <w:trHeight w:val="290"/>
        </w:trPr>
        <w:tc>
          <w:tcPr>
            <w:tcW w:w="2189" w:type="pct"/>
            <w:tcBorders>
              <w:top w:val="nil"/>
              <w:left w:val="nil"/>
              <w:bottom w:val="nil"/>
              <w:right w:val="nil"/>
            </w:tcBorders>
            <w:noWrap/>
            <w:vAlign w:val="center"/>
            <w:hideMark/>
          </w:tcPr>
          <w:p w14:paraId="52421BAE"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daň z príjmov FO</w:t>
            </w:r>
          </w:p>
        </w:tc>
        <w:tc>
          <w:tcPr>
            <w:tcW w:w="541" w:type="pct"/>
            <w:tcBorders>
              <w:top w:val="nil"/>
              <w:left w:val="nil"/>
              <w:bottom w:val="nil"/>
              <w:right w:val="nil"/>
            </w:tcBorders>
            <w:noWrap/>
            <w:vAlign w:val="center"/>
            <w:hideMark/>
          </w:tcPr>
          <w:p w14:paraId="4D2CCF9B" w14:textId="78CFF041" w:rsidR="00B7083F" w:rsidRPr="00B7083F" w:rsidRDefault="00D90A0C" w:rsidP="00B7083F">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1 763</w:t>
            </w:r>
          </w:p>
        </w:tc>
        <w:tc>
          <w:tcPr>
            <w:tcW w:w="541" w:type="pct"/>
            <w:tcBorders>
              <w:top w:val="nil"/>
              <w:left w:val="nil"/>
              <w:bottom w:val="nil"/>
              <w:right w:val="nil"/>
            </w:tcBorders>
            <w:noWrap/>
            <w:vAlign w:val="center"/>
            <w:hideMark/>
          </w:tcPr>
          <w:p w14:paraId="4B254EA4" w14:textId="714C1BD0" w:rsidR="00B7083F" w:rsidRPr="00B7083F" w:rsidRDefault="00D90A0C" w:rsidP="00B7083F">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-1 612</w:t>
            </w:r>
          </w:p>
        </w:tc>
        <w:tc>
          <w:tcPr>
            <w:tcW w:w="547" w:type="pct"/>
            <w:tcBorders>
              <w:top w:val="nil"/>
              <w:left w:val="nil"/>
              <w:bottom w:val="nil"/>
              <w:right w:val="nil"/>
            </w:tcBorders>
            <w:noWrap/>
            <w:vAlign w:val="center"/>
            <w:hideMark/>
          </w:tcPr>
          <w:p w14:paraId="7146C18B"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708 162</w:t>
            </w:r>
          </w:p>
        </w:tc>
        <w:tc>
          <w:tcPr>
            <w:tcW w:w="542" w:type="pct"/>
            <w:tcBorders>
              <w:top w:val="nil"/>
              <w:left w:val="nil"/>
              <w:bottom w:val="nil"/>
              <w:right w:val="nil"/>
            </w:tcBorders>
            <w:noWrap/>
            <w:vAlign w:val="center"/>
            <w:hideMark/>
          </w:tcPr>
          <w:p w14:paraId="427BD4C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669 812</w:t>
            </w:r>
          </w:p>
        </w:tc>
        <w:tc>
          <w:tcPr>
            <w:tcW w:w="639" w:type="pct"/>
            <w:tcBorders>
              <w:top w:val="nil"/>
              <w:left w:val="nil"/>
              <w:bottom w:val="nil"/>
              <w:right w:val="nil"/>
            </w:tcBorders>
            <w:noWrap/>
            <w:vAlign w:val="center"/>
            <w:hideMark/>
          </w:tcPr>
          <w:p w14:paraId="239EA3B2"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-38 350</w:t>
            </w:r>
          </w:p>
        </w:tc>
      </w:tr>
      <w:tr w:rsidR="00B7083F" w:rsidRPr="00B7083F" w14:paraId="4709375E" w14:textId="77777777" w:rsidTr="00B7083F">
        <w:trPr>
          <w:trHeight w:val="290"/>
        </w:trPr>
        <w:tc>
          <w:tcPr>
            <w:tcW w:w="2189" w:type="pct"/>
            <w:tcBorders>
              <w:top w:val="nil"/>
              <w:left w:val="nil"/>
              <w:bottom w:val="nil"/>
              <w:right w:val="nil"/>
            </w:tcBorders>
            <w:vAlign w:val="center"/>
            <w:hideMark/>
          </w:tcPr>
          <w:p w14:paraId="072B47B9" w14:textId="77777777" w:rsidR="00B7083F" w:rsidRPr="00B7083F" w:rsidRDefault="00B7083F" w:rsidP="00B7083F">
            <w:pPr>
              <w:spacing w:line="240" w:lineRule="auto"/>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Dane z medzinárodného obchodu a transakcií</w:t>
            </w:r>
          </w:p>
        </w:tc>
        <w:tc>
          <w:tcPr>
            <w:tcW w:w="541" w:type="pct"/>
            <w:tcBorders>
              <w:top w:val="nil"/>
              <w:left w:val="nil"/>
              <w:bottom w:val="nil"/>
              <w:right w:val="nil"/>
            </w:tcBorders>
            <w:noWrap/>
            <w:vAlign w:val="center"/>
            <w:hideMark/>
          </w:tcPr>
          <w:p w14:paraId="226B3A9B"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37 917</w:t>
            </w:r>
          </w:p>
        </w:tc>
        <w:tc>
          <w:tcPr>
            <w:tcW w:w="541" w:type="pct"/>
            <w:tcBorders>
              <w:top w:val="nil"/>
              <w:left w:val="nil"/>
              <w:bottom w:val="nil"/>
              <w:right w:val="nil"/>
            </w:tcBorders>
            <w:noWrap/>
            <w:vAlign w:val="center"/>
            <w:hideMark/>
          </w:tcPr>
          <w:p w14:paraId="06B42135"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36 828</w:t>
            </w:r>
          </w:p>
        </w:tc>
        <w:tc>
          <w:tcPr>
            <w:tcW w:w="547" w:type="pct"/>
            <w:tcBorders>
              <w:top w:val="nil"/>
              <w:left w:val="nil"/>
              <w:bottom w:val="nil"/>
              <w:right w:val="nil"/>
            </w:tcBorders>
            <w:noWrap/>
            <w:vAlign w:val="center"/>
            <w:hideMark/>
          </w:tcPr>
          <w:p w14:paraId="476A9A03"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40 335</w:t>
            </w:r>
          </w:p>
        </w:tc>
        <w:tc>
          <w:tcPr>
            <w:tcW w:w="542" w:type="pct"/>
            <w:tcBorders>
              <w:top w:val="nil"/>
              <w:left w:val="nil"/>
              <w:bottom w:val="nil"/>
              <w:right w:val="nil"/>
            </w:tcBorders>
            <w:noWrap/>
            <w:vAlign w:val="center"/>
            <w:hideMark/>
          </w:tcPr>
          <w:p w14:paraId="5FA341ED"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45 420</w:t>
            </w:r>
          </w:p>
        </w:tc>
        <w:tc>
          <w:tcPr>
            <w:tcW w:w="639" w:type="pct"/>
            <w:tcBorders>
              <w:top w:val="nil"/>
              <w:left w:val="nil"/>
              <w:bottom w:val="nil"/>
              <w:right w:val="nil"/>
            </w:tcBorders>
            <w:noWrap/>
            <w:vAlign w:val="center"/>
            <w:hideMark/>
          </w:tcPr>
          <w:p w14:paraId="1524FCF6"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5 085</w:t>
            </w:r>
          </w:p>
        </w:tc>
      </w:tr>
      <w:tr w:rsidR="00B7083F" w:rsidRPr="00B7083F" w14:paraId="4D4351E7" w14:textId="77777777" w:rsidTr="00B7083F">
        <w:trPr>
          <w:trHeight w:val="290"/>
        </w:trPr>
        <w:tc>
          <w:tcPr>
            <w:tcW w:w="2189" w:type="pct"/>
            <w:tcBorders>
              <w:top w:val="nil"/>
              <w:left w:val="nil"/>
              <w:bottom w:val="nil"/>
              <w:right w:val="nil"/>
            </w:tcBorders>
            <w:noWrap/>
            <w:vAlign w:val="center"/>
            <w:hideMark/>
          </w:tcPr>
          <w:p w14:paraId="479DEE5C" w14:textId="77777777" w:rsidR="00B7083F" w:rsidRPr="00B7083F" w:rsidRDefault="00B7083F" w:rsidP="00B7083F">
            <w:pPr>
              <w:spacing w:line="240" w:lineRule="auto"/>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Ostatné dane</w:t>
            </w:r>
          </w:p>
        </w:tc>
        <w:tc>
          <w:tcPr>
            <w:tcW w:w="541" w:type="pct"/>
            <w:tcBorders>
              <w:top w:val="nil"/>
              <w:left w:val="nil"/>
              <w:bottom w:val="nil"/>
              <w:right w:val="nil"/>
            </w:tcBorders>
            <w:noWrap/>
            <w:vAlign w:val="center"/>
            <w:hideMark/>
          </w:tcPr>
          <w:p w14:paraId="10CE17C4" w14:textId="02E48905"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557 </w:t>
            </w:r>
            <w:r w:rsidR="00D90A0C">
              <w:rPr>
                <w:rFonts w:eastAsia="Times New Roman" w:cs="Times New Roman"/>
                <w:b/>
                <w:bCs/>
                <w:color w:val="000000"/>
                <w:sz w:val="18"/>
                <w:szCs w:val="18"/>
                <w:lang w:eastAsia="sk-SK"/>
              </w:rPr>
              <w:t>308</w:t>
            </w:r>
          </w:p>
        </w:tc>
        <w:tc>
          <w:tcPr>
            <w:tcW w:w="541" w:type="pct"/>
            <w:tcBorders>
              <w:top w:val="nil"/>
              <w:left w:val="nil"/>
              <w:bottom w:val="nil"/>
              <w:right w:val="nil"/>
            </w:tcBorders>
            <w:noWrap/>
            <w:vAlign w:val="center"/>
            <w:hideMark/>
          </w:tcPr>
          <w:p w14:paraId="4D727399" w14:textId="00C7D003"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563 </w:t>
            </w:r>
            <w:r w:rsidR="00D90A0C">
              <w:rPr>
                <w:rFonts w:eastAsia="Times New Roman" w:cs="Times New Roman"/>
                <w:b/>
                <w:bCs/>
                <w:color w:val="000000"/>
                <w:sz w:val="18"/>
                <w:szCs w:val="18"/>
                <w:lang w:eastAsia="sk-SK"/>
              </w:rPr>
              <w:t>705</w:t>
            </w:r>
          </w:p>
        </w:tc>
        <w:tc>
          <w:tcPr>
            <w:tcW w:w="547" w:type="pct"/>
            <w:tcBorders>
              <w:top w:val="nil"/>
              <w:left w:val="nil"/>
              <w:bottom w:val="nil"/>
              <w:right w:val="nil"/>
            </w:tcBorders>
            <w:noWrap/>
            <w:vAlign w:val="center"/>
            <w:hideMark/>
          </w:tcPr>
          <w:p w14:paraId="3AC993AB"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723 372</w:t>
            </w:r>
          </w:p>
        </w:tc>
        <w:tc>
          <w:tcPr>
            <w:tcW w:w="542" w:type="pct"/>
            <w:tcBorders>
              <w:top w:val="nil"/>
              <w:left w:val="nil"/>
              <w:bottom w:val="nil"/>
              <w:right w:val="nil"/>
            </w:tcBorders>
            <w:noWrap/>
            <w:vAlign w:val="center"/>
            <w:hideMark/>
          </w:tcPr>
          <w:p w14:paraId="6232CDDA" w14:textId="4580DE0D"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695 </w:t>
            </w:r>
            <w:r w:rsidR="00D90A0C">
              <w:rPr>
                <w:rFonts w:eastAsia="Times New Roman" w:cs="Times New Roman"/>
                <w:b/>
                <w:bCs/>
                <w:color w:val="000000"/>
                <w:sz w:val="18"/>
                <w:szCs w:val="18"/>
                <w:lang w:eastAsia="sk-SK"/>
              </w:rPr>
              <w:t>031</w:t>
            </w:r>
          </w:p>
        </w:tc>
        <w:tc>
          <w:tcPr>
            <w:tcW w:w="639" w:type="pct"/>
            <w:tcBorders>
              <w:top w:val="nil"/>
              <w:left w:val="nil"/>
              <w:bottom w:val="nil"/>
              <w:right w:val="nil"/>
            </w:tcBorders>
            <w:noWrap/>
            <w:vAlign w:val="center"/>
            <w:hideMark/>
          </w:tcPr>
          <w:p w14:paraId="52101004" w14:textId="23F0C3E6"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-28 </w:t>
            </w:r>
            <w:r w:rsidR="00D90A0C">
              <w:rPr>
                <w:rFonts w:eastAsia="Times New Roman" w:cs="Times New Roman"/>
                <w:b/>
                <w:bCs/>
                <w:color w:val="000000"/>
                <w:sz w:val="18"/>
                <w:szCs w:val="18"/>
                <w:lang w:eastAsia="sk-SK"/>
              </w:rPr>
              <w:t>341</w:t>
            </w:r>
          </w:p>
        </w:tc>
      </w:tr>
      <w:tr w:rsidR="00B7083F" w:rsidRPr="00B7083F" w14:paraId="47A98F90" w14:textId="77777777" w:rsidTr="00B7083F">
        <w:trPr>
          <w:trHeight w:val="290"/>
        </w:trPr>
        <w:tc>
          <w:tcPr>
            <w:tcW w:w="2189" w:type="pct"/>
            <w:tcBorders>
              <w:top w:val="nil"/>
              <w:left w:val="nil"/>
              <w:bottom w:val="nil"/>
              <w:right w:val="nil"/>
            </w:tcBorders>
            <w:noWrap/>
            <w:vAlign w:val="center"/>
            <w:hideMark/>
          </w:tcPr>
          <w:p w14:paraId="2AA9ECB3" w14:textId="77777777" w:rsidR="00B7083F" w:rsidRPr="00B7083F" w:rsidRDefault="00B7083F" w:rsidP="00B7083F">
            <w:pPr>
              <w:spacing w:line="240" w:lineRule="auto"/>
              <w:rPr>
                <w:rFonts w:eastAsia="Times New Roman" w:cs="Times New Roman"/>
                <w:color w:val="000000"/>
                <w:sz w:val="18"/>
                <w:szCs w:val="18"/>
                <w:lang w:eastAsia="sk-SK"/>
              </w:rPr>
            </w:pPr>
            <w:r w:rsidRPr="00B7083F">
              <w:rPr>
                <w:rFonts w:eastAsia="Times New Roman" w:cs="Times New Roman"/>
                <w:color w:val="000000"/>
                <w:sz w:val="18"/>
                <w:szCs w:val="18"/>
                <w:lang w:eastAsia="sk-SK"/>
              </w:rPr>
              <w:t xml:space="preserve">v tom: </w:t>
            </w:r>
          </w:p>
        </w:tc>
        <w:tc>
          <w:tcPr>
            <w:tcW w:w="541" w:type="pct"/>
            <w:tcBorders>
              <w:top w:val="nil"/>
              <w:left w:val="nil"/>
              <w:bottom w:val="nil"/>
              <w:right w:val="nil"/>
            </w:tcBorders>
            <w:noWrap/>
            <w:vAlign w:val="center"/>
            <w:hideMark/>
          </w:tcPr>
          <w:p w14:paraId="53EA6A70" w14:textId="77777777" w:rsidR="00B7083F" w:rsidRPr="00B7083F" w:rsidRDefault="00B7083F" w:rsidP="00B7083F">
            <w:pPr>
              <w:spacing w:line="240" w:lineRule="auto"/>
              <w:rPr>
                <w:rFonts w:eastAsia="Times New Roman" w:cs="Times New Roman"/>
                <w:color w:val="000000"/>
                <w:sz w:val="18"/>
                <w:szCs w:val="18"/>
                <w:lang w:eastAsia="sk-SK"/>
              </w:rPr>
            </w:pPr>
          </w:p>
        </w:tc>
        <w:tc>
          <w:tcPr>
            <w:tcW w:w="541" w:type="pct"/>
            <w:tcBorders>
              <w:top w:val="nil"/>
              <w:left w:val="nil"/>
              <w:bottom w:val="nil"/>
              <w:right w:val="nil"/>
            </w:tcBorders>
            <w:noWrap/>
            <w:vAlign w:val="center"/>
            <w:hideMark/>
          </w:tcPr>
          <w:p w14:paraId="63023B9A" w14:textId="77777777" w:rsidR="00B7083F" w:rsidRPr="00B7083F" w:rsidRDefault="00B7083F" w:rsidP="00B7083F">
            <w:pPr>
              <w:spacing w:line="240" w:lineRule="auto"/>
              <w:jc w:val="right"/>
              <w:rPr>
                <w:rFonts w:eastAsia="Times New Roman" w:cs="Times New Roman"/>
                <w:sz w:val="20"/>
                <w:szCs w:val="20"/>
                <w:lang w:eastAsia="sk-SK"/>
              </w:rPr>
            </w:pPr>
          </w:p>
        </w:tc>
        <w:tc>
          <w:tcPr>
            <w:tcW w:w="547" w:type="pct"/>
            <w:tcBorders>
              <w:top w:val="nil"/>
              <w:left w:val="nil"/>
              <w:bottom w:val="nil"/>
              <w:right w:val="nil"/>
            </w:tcBorders>
            <w:noWrap/>
            <w:vAlign w:val="center"/>
            <w:hideMark/>
          </w:tcPr>
          <w:p w14:paraId="67B578E1" w14:textId="77777777" w:rsidR="00B7083F" w:rsidRPr="00B7083F" w:rsidRDefault="00B7083F" w:rsidP="00B7083F">
            <w:pPr>
              <w:spacing w:line="240" w:lineRule="auto"/>
              <w:jc w:val="right"/>
              <w:rPr>
                <w:rFonts w:eastAsia="Times New Roman" w:cs="Times New Roman"/>
                <w:sz w:val="20"/>
                <w:szCs w:val="20"/>
                <w:lang w:eastAsia="sk-SK"/>
              </w:rPr>
            </w:pPr>
          </w:p>
        </w:tc>
        <w:tc>
          <w:tcPr>
            <w:tcW w:w="542" w:type="pct"/>
            <w:tcBorders>
              <w:top w:val="nil"/>
              <w:left w:val="nil"/>
              <w:bottom w:val="nil"/>
              <w:right w:val="nil"/>
            </w:tcBorders>
            <w:noWrap/>
            <w:vAlign w:val="center"/>
            <w:hideMark/>
          </w:tcPr>
          <w:p w14:paraId="37EB4C32" w14:textId="77777777" w:rsidR="00B7083F" w:rsidRPr="00B7083F" w:rsidRDefault="00B7083F" w:rsidP="00B7083F">
            <w:pPr>
              <w:spacing w:line="240" w:lineRule="auto"/>
              <w:jc w:val="right"/>
              <w:rPr>
                <w:rFonts w:eastAsia="Times New Roman" w:cs="Times New Roman"/>
                <w:sz w:val="20"/>
                <w:szCs w:val="20"/>
                <w:lang w:eastAsia="sk-SK"/>
              </w:rPr>
            </w:pPr>
          </w:p>
        </w:tc>
        <w:tc>
          <w:tcPr>
            <w:tcW w:w="639" w:type="pct"/>
            <w:tcBorders>
              <w:top w:val="nil"/>
              <w:left w:val="nil"/>
              <w:bottom w:val="nil"/>
              <w:right w:val="nil"/>
            </w:tcBorders>
            <w:noWrap/>
            <w:vAlign w:val="center"/>
            <w:hideMark/>
          </w:tcPr>
          <w:p w14:paraId="58D6E8B0" w14:textId="77777777" w:rsidR="00B7083F" w:rsidRPr="00B7083F" w:rsidRDefault="00B7083F" w:rsidP="00B7083F">
            <w:pPr>
              <w:spacing w:line="240" w:lineRule="auto"/>
              <w:jc w:val="right"/>
              <w:rPr>
                <w:rFonts w:eastAsia="Times New Roman" w:cs="Times New Roman"/>
                <w:sz w:val="20"/>
                <w:szCs w:val="20"/>
                <w:lang w:eastAsia="sk-SK"/>
              </w:rPr>
            </w:pPr>
          </w:p>
        </w:tc>
      </w:tr>
      <w:tr w:rsidR="00B7083F" w:rsidRPr="00B7083F" w14:paraId="3FA885A8" w14:textId="77777777" w:rsidTr="00B7083F">
        <w:trPr>
          <w:trHeight w:val="290"/>
        </w:trPr>
        <w:tc>
          <w:tcPr>
            <w:tcW w:w="2189" w:type="pct"/>
            <w:tcBorders>
              <w:top w:val="nil"/>
              <w:left w:val="nil"/>
              <w:bottom w:val="nil"/>
              <w:right w:val="nil"/>
            </w:tcBorders>
            <w:noWrap/>
            <w:vAlign w:val="center"/>
            <w:hideMark/>
          </w:tcPr>
          <w:p w14:paraId="4EF5692B"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Osobitný odvod z podnikania v regulovaných odvetviach</w:t>
            </w:r>
          </w:p>
        </w:tc>
        <w:tc>
          <w:tcPr>
            <w:tcW w:w="541" w:type="pct"/>
            <w:tcBorders>
              <w:top w:val="nil"/>
              <w:left w:val="nil"/>
              <w:bottom w:val="nil"/>
              <w:right w:val="nil"/>
            </w:tcBorders>
            <w:noWrap/>
            <w:vAlign w:val="center"/>
            <w:hideMark/>
          </w:tcPr>
          <w:p w14:paraId="37D07901"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37 624</w:t>
            </w:r>
          </w:p>
        </w:tc>
        <w:tc>
          <w:tcPr>
            <w:tcW w:w="541" w:type="pct"/>
            <w:tcBorders>
              <w:top w:val="nil"/>
              <w:left w:val="nil"/>
              <w:bottom w:val="nil"/>
              <w:right w:val="nil"/>
            </w:tcBorders>
            <w:noWrap/>
            <w:vAlign w:val="center"/>
            <w:hideMark/>
          </w:tcPr>
          <w:p w14:paraId="53BEE1CC"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561 675</w:t>
            </w:r>
          </w:p>
        </w:tc>
        <w:tc>
          <w:tcPr>
            <w:tcW w:w="547" w:type="pct"/>
            <w:tcBorders>
              <w:top w:val="nil"/>
              <w:left w:val="nil"/>
              <w:bottom w:val="nil"/>
              <w:right w:val="nil"/>
            </w:tcBorders>
            <w:noWrap/>
            <w:vAlign w:val="center"/>
            <w:hideMark/>
          </w:tcPr>
          <w:p w14:paraId="5CE91F0E"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478 439</w:t>
            </w:r>
          </w:p>
        </w:tc>
        <w:tc>
          <w:tcPr>
            <w:tcW w:w="542" w:type="pct"/>
            <w:tcBorders>
              <w:top w:val="nil"/>
              <w:left w:val="nil"/>
              <w:bottom w:val="nil"/>
              <w:right w:val="nil"/>
            </w:tcBorders>
            <w:noWrap/>
            <w:vAlign w:val="center"/>
            <w:hideMark/>
          </w:tcPr>
          <w:p w14:paraId="76595504"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639 421</w:t>
            </w:r>
          </w:p>
        </w:tc>
        <w:tc>
          <w:tcPr>
            <w:tcW w:w="639" w:type="pct"/>
            <w:tcBorders>
              <w:top w:val="nil"/>
              <w:left w:val="nil"/>
              <w:bottom w:val="nil"/>
              <w:right w:val="nil"/>
            </w:tcBorders>
            <w:noWrap/>
            <w:vAlign w:val="center"/>
            <w:hideMark/>
          </w:tcPr>
          <w:p w14:paraId="5C1F8119"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160 982</w:t>
            </w:r>
          </w:p>
        </w:tc>
      </w:tr>
      <w:tr w:rsidR="00B7083F" w:rsidRPr="00B7083F" w14:paraId="640187B1" w14:textId="77777777" w:rsidTr="005E1D4F">
        <w:trPr>
          <w:trHeight w:val="290"/>
        </w:trPr>
        <w:tc>
          <w:tcPr>
            <w:tcW w:w="2189" w:type="pct"/>
            <w:tcBorders>
              <w:top w:val="nil"/>
              <w:left w:val="nil"/>
              <w:right w:val="nil"/>
            </w:tcBorders>
            <w:noWrap/>
            <w:vAlign w:val="center"/>
            <w:hideMark/>
          </w:tcPr>
          <w:p w14:paraId="3F1C5540" w14:textId="77777777" w:rsidR="00B7083F" w:rsidRPr="00B7083F" w:rsidRDefault="00B7083F" w:rsidP="00B7083F">
            <w:pPr>
              <w:spacing w:line="240" w:lineRule="auto"/>
              <w:rPr>
                <w:rFonts w:eastAsia="Times New Roman" w:cs="Times New Roman"/>
                <w:i/>
                <w:iCs/>
                <w:color w:val="000000"/>
                <w:sz w:val="18"/>
                <w:szCs w:val="18"/>
                <w:lang w:eastAsia="sk-SK"/>
              </w:rPr>
            </w:pPr>
            <w:r w:rsidRPr="00B7083F">
              <w:rPr>
                <w:rFonts w:eastAsia="Times New Roman" w:cs="Times New Roman"/>
                <w:i/>
                <w:iCs/>
                <w:color w:val="000000"/>
                <w:sz w:val="18"/>
                <w:szCs w:val="18"/>
                <w:lang w:eastAsia="sk-SK"/>
              </w:rPr>
              <w:t xml:space="preserve">    Solidárny príspevok z činností v  odvetviach ropy, zemného plynu, uhlia a rafinérií</w:t>
            </w:r>
          </w:p>
        </w:tc>
        <w:tc>
          <w:tcPr>
            <w:tcW w:w="541" w:type="pct"/>
            <w:tcBorders>
              <w:top w:val="nil"/>
              <w:left w:val="nil"/>
              <w:right w:val="nil"/>
            </w:tcBorders>
            <w:noWrap/>
            <w:vAlign w:val="center"/>
            <w:hideMark/>
          </w:tcPr>
          <w:p w14:paraId="3CFF3C36"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519 677</w:t>
            </w:r>
          </w:p>
        </w:tc>
        <w:tc>
          <w:tcPr>
            <w:tcW w:w="541" w:type="pct"/>
            <w:tcBorders>
              <w:top w:val="nil"/>
              <w:left w:val="nil"/>
              <w:right w:val="nil"/>
            </w:tcBorders>
            <w:noWrap/>
            <w:vAlign w:val="center"/>
            <w:hideMark/>
          </w:tcPr>
          <w:p w14:paraId="26B5B3CB"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1 957</w:t>
            </w:r>
          </w:p>
        </w:tc>
        <w:tc>
          <w:tcPr>
            <w:tcW w:w="547" w:type="pct"/>
            <w:tcBorders>
              <w:top w:val="nil"/>
              <w:left w:val="nil"/>
              <w:right w:val="nil"/>
            </w:tcBorders>
            <w:noWrap/>
            <w:vAlign w:val="center"/>
            <w:hideMark/>
          </w:tcPr>
          <w:p w14:paraId="23BF33DC"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244 933</w:t>
            </w:r>
          </w:p>
        </w:tc>
        <w:tc>
          <w:tcPr>
            <w:tcW w:w="542" w:type="pct"/>
            <w:tcBorders>
              <w:top w:val="nil"/>
              <w:left w:val="nil"/>
              <w:right w:val="nil"/>
            </w:tcBorders>
            <w:noWrap/>
            <w:vAlign w:val="center"/>
            <w:hideMark/>
          </w:tcPr>
          <w:p w14:paraId="793552D7"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55 672</w:t>
            </w:r>
          </w:p>
        </w:tc>
        <w:tc>
          <w:tcPr>
            <w:tcW w:w="639" w:type="pct"/>
            <w:tcBorders>
              <w:top w:val="nil"/>
              <w:left w:val="nil"/>
              <w:right w:val="nil"/>
            </w:tcBorders>
            <w:noWrap/>
            <w:vAlign w:val="center"/>
            <w:hideMark/>
          </w:tcPr>
          <w:p w14:paraId="0DB7ECBB" w14:textId="77777777" w:rsidR="00B7083F" w:rsidRPr="00B7083F" w:rsidRDefault="00B7083F" w:rsidP="00B7083F">
            <w:pPr>
              <w:spacing w:line="240" w:lineRule="auto"/>
              <w:jc w:val="right"/>
              <w:rPr>
                <w:rFonts w:eastAsia="Times New Roman" w:cs="Times New Roman"/>
                <w:color w:val="000000"/>
                <w:sz w:val="18"/>
                <w:szCs w:val="18"/>
                <w:lang w:eastAsia="sk-SK"/>
              </w:rPr>
            </w:pPr>
            <w:r w:rsidRPr="00B7083F">
              <w:rPr>
                <w:rFonts w:eastAsia="Times New Roman" w:cs="Times New Roman"/>
                <w:color w:val="000000"/>
                <w:sz w:val="18"/>
                <w:szCs w:val="18"/>
                <w:lang w:eastAsia="sk-SK"/>
              </w:rPr>
              <w:t>-189 261</w:t>
            </w:r>
          </w:p>
        </w:tc>
      </w:tr>
      <w:tr w:rsidR="00B7083F" w:rsidRPr="00B7083F" w14:paraId="11BB0756" w14:textId="77777777" w:rsidTr="005E1D4F">
        <w:trPr>
          <w:trHeight w:val="290"/>
        </w:trPr>
        <w:tc>
          <w:tcPr>
            <w:tcW w:w="2189" w:type="pct"/>
            <w:tcBorders>
              <w:top w:val="nil"/>
              <w:left w:val="nil"/>
              <w:right w:val="nil"/>
            </w:tcBorders>
            <w:noWrap/>
            <w:vAlign w:val="center"/>
            <w:hideMark/>
          </w:tcPr>
          <w:p w14:paraId="29BF6F43" w14:textId="77777777" w:rsidR="00B7083F" w:rsidRPr="00B7083F" w:rsidRDefault="00B7083F" w:rsidP="00B7083F">
            <w:pPr>
              <w:spacing w:line="240" w:lineRule="auto"/>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Sankcie uložené v daňovom konaní</w:t>
            </w:r>
          </w:p>
        </w:tc>
        <w:tc>
          <w:tcPr>
            <w:tcW w:w="541" w:type="pct"/>
            <w:tcBorders>
              <w:top w:val="nil"/>
              <w:left w:val="nil"/>
              <w:right w:val="nil"/>
            </w:tcBorders>
            <w:noWrap/>
            <w:vAlign w:val="center"/>
            <w:hideMark/>
          </w:tcPr>
          <w:p w14:paraId="301C2EA3" w14:textId="18F3FC4B" w:rsidR="00B7083F" w:rsidRPr="00B7083F" w:rsidRDefault="00D90A0C" w:rsidP="00B7083F">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56 779</w:t>
            </w:r>
          </w:p>
        </w:tc>
        <w:tc>
          <w:tcPr>
            <w:tcW w:w="541" w:type="pct"/>
            <w:tcBorders>
              <w:top w:val="nil"/>
              <w:left w:val="nil"/>
              <w:right w:val="nil"/>
            </w:tcBorders>
            <w:noWrap/>
            <w:vAlign w:val="center"/>
            <w:hideMark/>
          </w:tcPr>
          <w:p w14:paraId="44360020" w14:textId="0CC47252" w:rsidR="00B7083F" w:rsidRPr="00B7083F" w:rsidRDefault="00D90A0C" w:rsidP="00B7083F">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41 098</w:t>
            </w:r>
          </w:p>
        </w:tc>
        <w:tc>
          <w:tcPr>
            <w:tcW w:w="547" w:type="pct"/>
            <w:tcBorders>
              <w:top w:val="nil"/>
              <w:left w:val="nil"/>
              <w:right w:val="nil"/>
            </w:tcBorders>
            <w:noWrap/>
            <w:vAlign w:val="center"/>
            <w:hideMark/>
          </w:tcPr>
          <w:p w14:paraId="66AFAE74"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49 363</w:t>
            </w:r>
          </w:p>
        </w:tc>
        <w:tc>
          <w:tcPr>
            <w:tcW w:w="542" w:type="pct"/>
            <w:tcBorders>
              <w:top w:val="nil"/>
              <w:left w:val="nil"/>
              <w:right w:val="nil"/>
            </w:tcBorders>
            <w:noWrap/>
            <w:vAlign w:val="center"/>
            <w:hideMark/>
          </w:tcPr>
          <w:p w14:paraId="7CC48861"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51 813</w:t>
            </w:r>
          </w:p>
        </w:tc>
        <w:tc>
          <w:tcPr>
            <w:tcW w:w="639" w:type="pct"/>
            <w:tcBorders>
              <w:top w:val="nil"/>
              <w:left w:val="nil"/>
              <w:right w:val="nil"/>
            </w:tcBorders>
            <w:noWrap/>
            <w:vAlign w:val="center"/>
            <w:hideMark/>
          </w:tcPr>
          <w:p w14:paraId="1AB0F531"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2 450</w:t>
            </w:r>
          </w:p>
        </w:tc>
      </w:tr>
      <w:tr w:rsidR="00B7083F" w:rsidRPr="00B7083F" w14:paraId="3625E374" w14:textId="77777777" w:rsidTr="005E1D4F">
        <w:trPr>
          <w:trHeight w:val="290"/>
        </w:trPr>
        <w:tc>
          <w:tcPr>
            <w:tcW w:w="2189" w:type="pct"/>
            <w:tcBorders>
              <w:left w:val="nil"/>
              <w:bottom w:val="single" w:sz="4" w:space="0" w:color="auto"/>
              <w:right w:val="nil"/>
            </w:tcBorders>
            <w:noWrap/>
            <w:vAlign w:val="center"/>
            <w:hideMark/>
          </w:tcPr>
          <w:p w14:paraId="4F151A00" w14:textId="77777777" w:rsidR="00B7083F" w:rsidRPr="00B7083F" w:rsidRDefault="00B7083F" w:rsidP="00B7083F">
            <w:pPr>
              <w:spacing w:line="240" w:lineRule="auto"/>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Spolu</w:t>
            </w:r>
          </w:p>
        </w:tc>
        <w:tc>
          <w:tcPr>
            <w:tcW w:w="541" w:type="pct"/>
            <w:tcBorders>
              <w:left w:val="nil"/>
              <w:bottom w:val="single" w:sz="4" w:space="0" w:color="auto"/>
              <w:right w:val="nil"/>
            </w:tcBorders>
            <w:noWrap/>
            <w:vAlign w:val="center"/>
            <w:hideMark/>
          </w:tcPr>
          <w:p w14:paraId="77934ED5" w14:textId="248CBCEA"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17 440 </w:t>
            </w:r>
            <w:r w:rsidR="00D90A0C">
              <w:rPr>
                <w:rFonts w:eastAsia="Times New Roman" w:cs="Times New Roman"/>
                <w:b/>
                <w:bCs/>
                <w:color w:val="000000"/>
                <w:sz w:val="18"/>
                <w:szCs w:val="18"/>
                <w:lang w:eastAsia="sk-SK"/>
              </w:rPr>
              <w:t>976</w:t>
            </w:r>
          </w:p>
        </w:tc>
        <w:tc>
          <w:tcPr>
            <w:tcW w:w="541" w:type="pct"/>
            <w:tcBorders>
              <w:left w:val="nil"/>
              <w:bottom w:val="single" w:sz="4" w:space="0" w:color="auto"/>
              <w:right w:val="nil"/>
            </w:tcBorders>
            <w:noWrap/>
            <w:vAlign w:val="center"/>
            <w:hideMark/>
          </w:tcPr>
          <w:p w14:paraId="6944439A" w14:textId="736F9181"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18 350 </w:t>
            </w:r>
            <w:r w:rsidR="00D90A0C">
              <w:rPr>
                <w:rFonts w:eastAsia="Times New Roman" w:cs="Times New Roman"/>
                <w:b/>
                <w:bCs/>
                <w:color w:val="000000"/>
                <w:sz w:val="18"/>
                <w:szCs w:val="18"/>
                <w:lang w:eastAsia="sk-SK"/>
              </w:rPr>
              <w:t>788</w:t>
            </w:r>
          </w:p>
        </w:tc>
        <w:tc>
          <w:tcPr>
            <w:tcW w:w="547" w:type="pct"/>
            <w:tcBorders>
              <w:left w:val="nil"/>
              <w:bottom w:val="single" w:sz="4" w:space="0" w:color="auto"/>
              <w:right w:val="nil"/>
            </w:tcBorders>
            <w:noWrap/>
            <w:vAlign w:val="center"/>
            <w:hideMark/>
          </w:tcPr>
          <w:p w14:paraId="7AE25F75" w14:textId="77777777"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22 452 482</w:t>
            </w:r>
          </w:p>
        </w:tc>
        <w:tc>
          <w:tcPr>
            <w:tcW w:w="542" w:type="pct"/>
            <w:tcBorders>
              <w:left w:val="nil"/>
              <w:bottom w:val="single" w:sz="4" w:space="0" w:color="auto"/>
              <w:right w:val="nil"/>
            </w:tcBorders>
            <w:noWrap/>
            <w:vAlign w:val="center"/>
            <w:hideMark/>
          </w:tcPr>
          <w:p w14:paraId="5974F6A6" w14:textId="3322DD6E"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20 653 </w:t>
            </w:r>
            <w:r w:rsidR="00D90A0C">
              <w:rPr>
                <w:rFonts w:eastAsia="Times New Roman" w:cs="Times New Roman"/>
                <w:b/>
                <w:bCs/>
                <w:color w:val="000000"/>
                <w:sz w:val="18"/>
                <w:szCs w:val="18"/>
                <w:lang w:eastAsia="sk-SK"/>
              </w:rPr>
              <w:t>206</w:t>
            </w:r>
          </w:p>
        </w:tc>
        <w:tc>
          <w:tcPr>
            <w:tcW w:w="639" w:type="pct"/>
            <w:tcBorders>
              <w:left w:val="nil"/>
              <w:bottom w:val="single" w:sz="4" w:space="0" w:color="auto"/>
              <w:right w:val="nil"/>
            </w:tcBorders>
            <w:noWrap/>
            <w:vAlign w:val="center"/>
            <w:hideMark/>
          </w:tcPr>
          <w:p w14:paraId="772734EA" w14:textId="1A9F7DBA" w:rsidR="00B7083F" w:rsidRPr="00B7083F" w:rsidRDefault="00B7083F" w:rsidP="00B7083F">
            <w:pPr>
              <w:spacing w:line="240" w:lineRule="auto"/>
              <w:jc w:val="right"/>
              <w:rPr>
                <w:rFonts w:eastAsia="Times New Roman" w:cs="Times New Roman"/>
                <w:b/>
                <w:bCs/>
                <w:color w:val="000000"/>
                <w:sz w:val="18"/>
                <w:szCs w:val="18"/>
                <w:lang w:eastAsia="sk-SK"/>
              </w:rPr>
            </w:pPr>
            <w:r w:rsidRPr="00B7083F">
              <w:rPr>
                <w:rFonts w:eastAsia="Times New Roman" w:cs="Times New Roman"/>
                <w:b/>
                <w:bCs/>
                <w:color w:val="000000"/>
                <w:sz w:val="18"/>
                <w:szCs w:val="18"/>
                <w:lang w:eastAsia="sk-SK"/>
              </w:rPr>
              <w:t xml:space="preserve">-1 799 </w:t>
            </w:r>
            <w:r w:rsidR="00D90A0C">
              <w:rPr>
                <w:rFonts w:eastAsia="Times New Roman" w:cs="Times New Roman"/>
                <w:b/>
                <w:bCs/>
                <w:color w:val="000000"/>
                <w:sz w:val="18"/>
                <w:szCs w:val="18"/>
                <w:lang w:eastAsia="sk-SK"/>
              </w:rPr>
              <w:t>276</w:t>
            </w:r>
          </w:p>
        </w:tc>
      </w:tr>
    </w:tbl>
    <w:p w14:paraId="105AF312" w14:textId="69FBD6B7" w:rsidR="00B7083F" w:rsidRPr="00B7083F" w:rsidRDefault="00B7083F" w:rsidP="00B7083F">
      <w:pPr>
        <w:tabs>
          <w:tab w:val="right" w:pos="9070"/>
        </w:tabs>
        <w:rPr>
          <w:lang w:eastAsia="sk-SK"/>
        </w:rPr>
      </w:pPr>
      <w:r w:rsidRPr="00B7083F">
        <w:rPr>
          <w:lang w:eastAsia="sk-SK"/>
        </w:rPr>
        <w:lastRenderedPageBreak/>
        <w:tab/>
      </w:r>
      <w:r w:rsidRPr="00B7083F">
        <w:rPr>
          <w:sz w:val="18"/>
          <w:szCs w:val="18"/>
        </w:rPr>
        <w:t>Zdroj: MFSR</w:t>
      </w:r>
    </w:p>
    <w:p w14:paraId="0481757E" w14:textId="5C730E62" w:rsidR="00560508" w:rsidRDefault="00560508" w:rsidP="00560508">
      <w:pPr>
        <w:spacing w:line="240" w:lineRule="auto"/>
        <w:jc w:val="both"/>
        <w:rPr>
          <w:szCs w:val="24"/>
        </w:rPr>
      </w:pPr>
      <w:r w:rsidRPr="006817DA">
        <w:rPr>
          <w:b/>
          <w:bCs/>
          <w:szCs w:val="24"/>
        </w:rPr>
        <w:t xml:space="preserve">Daň z pridanej hodnoty </w:t>
      </w:r>
      <w:r w:rsidRPr="006817DA">
        <w:rPr>
          <w:szCs w:val="24"/>
        </w:rPr>
        <w:t>bola rozpočtovaná v sume 11</w:t>
      </w:r>
      <w:r>
        <w:rPr>
          <w:szCs w:val="24"/>
        </w:rPr>
        <w:t> </w:t>
      </w:r>
      <w:r w:rsidRPr="006817DA">
        <w:rPr>
          <w:szCs w:val="24"/>
        </w:rPr>
        <w:t>662</w:t>
      </w:r>
      <w:r>
        <w:rPr>
          <w:szCs w:val="24"/>
        </w:rPr>
        <w:t> </w:t>
      </w:r>
      <w:r w:rsidRPr="006817DA">
        <w:rPr>
          <w:szCs w:val="24"/>
        </w:rPr>
        <w:t>356</w:t>
      </w:r>
      <w:r>
        <w:rPr>
          <w:szCs w:val="24"/>
        </w:rPr>
        <w:t> </w:t>
      </w:r>
      <w:r w:rsidRPr="006817DA">
        <w:rPr>
          <w:szCs w:val="24"/>
        </w:rPr>
        <w:t>tis.</w:t>
      </w:r>
      <w:r>
        <w:rPr>
          <w:szCs w:val="24"/>
        </w:rPr>
        <w:t> </w:t>
      </w:r>
      <w:r w:rsidRPr="006817DA">
        <w:rPr>
          <w:szCs w:val="24"/>
        </w:rPr>
        <w:t>eur. Skutočný výnos v</w:t>
      </w:r>
      <w:r>
        <w:rPr>
          <w:szCs w:val="24"/>
        </w:rPr>
        <w:t> </w:t>
      </w:r>
      <w:r w:rsidRPr="006817DA">
        <w:rPr>
          <w:szCs w:val="24"/>
        </w:rPr>
        <w:t>sume 10</w:t>
      </w:r>
      <w:r>
        <w:rPr>
          <w:szCs w:val="24"/>
        </w:rPr>
        <w:t> </w:t>
      </w:r>
      <w:r w:rsidRPr="006817DA">
        <w:rPr>
          <w:szCs w:val="24"/>
        </w:rPr>
        <w:t>698</w:t>
      </w:r>
      <w:r>
        <w:rPr>
          <w:szCs w:val="24"/>
        </w:rPr>
        <w:t> </w:t>
      </w:r>
      <w:r w:rsidRPr="006817DA">
        <w:rPr>
          <w:szCs w:val="24"/>
        </w:rPr>
        <w:t>922</w:t>
      </w:r>
      <w:r>
        <w:rPr>
          <w:szCs w:val="24"/>
        </w:rPr>
        <w:t> </w:t>
      </w:r>
      <w:r w:rsidRPr="006817DA">
        <w:rPr>
          <w:szCs w:val="24"/>
        </w:rPr>
        <w:t>tis.</w:t>
      </w:r>
      <w:r>
        <w:rPr>
          <w:szCs w:val="24"/>
        </w:rPr>
        <w:t> </w:t>
      </w:r>
      <w:r w:rsidRPr="006817DA">
        <w:rPr>
          <w:szCs w:val="24"/>
        </w:rPr>
        <w:t>eur predstavuje plnenie rozpočtu na úrovni 91,7</w:t>
      </w:r>
      <w:r>
        <w:rPr>
          <w:szCs w:val="24"/>
        </w:rPr>
        <w:t> </w:t>
      </w:r>
      <w:r w:rsidRPr="006817DA">
        <w:rPr>
          <w:szCs w:val="24"/>
        </w:rPr>
        <w:t>%.</w:t>
      </w:r>
      <w:r w:rsidRPr="006817DA">
        <w:rPr>
          <w:b/>
          <w:bCs/>
          <w:szCs w:val="24"/>
        </w:rPr>
        <w:t xml:space="preserve"> </w:t>
      </w:r>
      <w:bookmarkStart w:id="100" w:name="_Hlk223427348"/>
      <w:r w:rsidRPr="006817DA">
        <w:rPr>
          <w:szCs w:val="24"/>
        </w:rPr>
        <w:t>Výnos najvýraznejšie negatívne ovplyvnilo oslabenie podielu dane na celkovej makroekonomickej základni v podobe nižšej efektívnej daňovej sadzby. Výraznejší negatívny vplyv oproti očakávaniam malo aj legislatívne opatrenie, tzv. samozdanenie pri</w:t>
      </w:r>
      <w:r>
        <w:rPr>
          <w:szCs w:val="24"/>
        </w:rPr>
        <w:t> </w:t>
      </w:r>
      <w:r w:rsidRPr="006817DA">
        <w:rPr>
          <w:szCs w:val="24"/>
        </w:rPr>
        <w:t>dovoze tovaru pre</w:t>
      </w:r>
      <w:r>
        <w:rPr>
          <w:szCs w:val="24"/>
        </w:rPr>
        <w:t> </w:t>
      </w:r>
      <w:r w:rsidRPr="006817DA">
        <w:rPr>
          <w:szCs w:val="24"/>
        </w:rPr>
        <w:t>vybraných platiteľov ovplyvňujúce hotovostné plnenie dane, naviazané na</w:t>
      </w:r>
      <w:r>
        <w:rPr>
          <w:szCs w:val="24"/>
        </w:rPr>
        <w:t> </w:t>
      </w:r>
      <w:r w:rsidRPr="006817DA">
        <w:rPr>
          <w:szCs w:val="24"/>
        </w:rPr>
        <w:t>makroekonomický vývoj objemu dovozu z tretích krajín. V menšej miere k zníženiu prispelo aj zhoršenie očakávaní o konečnej spotrebe domácností, slabšie než očakávané čerpanie prostriedkov z</w:t>
      </w:r>
      <w:r w:rsidR="00E67125">
        <w:rPr>
          <w:szCs w:val="24"/>
        </w:rPr>
        <w:t> </w:t>
      </w:r>
      <w:r w:rsidR="00C4036E">
        <w:rPr>
          <w:szCs w:val="24"/>
        </w:rPr>
        <w:t>POO</w:t>
      </w:r>
      <w:r w:rsidRPr="006817DA">
        <w:rPr>
          <w:szCs w:val="24"/>
        </w:rPr>
        <w:t>, aktualizácia vplyvov legislatívy, či dodatočné legislatívne opatrenia prijaté v období po schválení rozpočtu.</w:t>
      </w:r>
      <w:bookmarkEnd w:id="100"/>
    </w:p>
    <w:p w14:paraId="00A028F4" w14:textId="77777777" w:rsidR="00560508" w:rsidRPr="006817DA" w:rsidRDefault="00560508" w:rsidP="00560508">
      <w:pPr>
        <w:spacing w:line="240" w:lineRule="auto"/>
        <w:jc w:val="both"/>
        <w:rPr>
          <w:szCs w:val="24"/>
          <w:highlight w:val="yellow"/>
        </w:rPr>
      </w:pPr>
    </w:p>
    <w:p w14:paraId="75851A0F" w14:textId="25DBECBB" w:rsidR="00560508" w:rsidRDefault="00560508" w:rsidP="00560508">
      <w:pPr>
        <w:spacing w:line="240" w:lineRule="auto"/>
        <w:jc w:val="both"/>
        <w:rPr>
          <w:szCs w:val="24"/>
        </w:rPr>
      </w:pPr>
      <w:r w:rsidRPr="006817DA">
        <w:rPr>
          <w:b/>
          <w:bCs/>
          <w:szCs w:val="24"/>
        </w:rPr>
        <w:t xml:space="preserve">Spotrebné dane </w:t>
      </w:r>
      <w:r w:rsidRPr="006817DA">
        <w:rPr>
          <w:szCs w:val="24"/>
        </w:rPr>
        <w:t>boli rozpočtované v sume 2</w:t>
      </w:r>
      <w:r>
        <w:rPr>
          <w:szCs w:val="24"/>
        </w:rPr>
        <w:t> </w:t>
      </w:r>
      <w:r w:rsidRPr="006817DA">
        <w:rPr>
          <w:szCs w:val="24"/>
        </w:rPr>
        <w:t>890</w:t>
      </w:r>
      <w:r>
        <w:rPr>
          <w:szCs w:val="24"/>
        </w:rPr>
        <w:t> </w:t>
      </w:r>
      <w:r w:rsidRPr="006817DA">
        <w:rPr>
          <w:szCs w:val="24"/>
        </w:rPr>
        <w:t>795</w:t>
      </w:r>
      <w:r>
        <w:rPr>
          <w:szCs w:val="24"/>
        </w:rPr>
        <w:t> </w:t>
      </w:r>
      <w:r w:rsidRPr="006817DA">
        <w:rPr>
          <w:szCs w:val="24"/>
        </w:rPr>
        <w:t>tis.</w:t>
      </w:r>
      <w:r>
        <w:rPr>
          <w:szCs w:val="24"/>
        </w:rPr>
        <w:t> </w:t>
      </w:r>
      <w:r w:rsidRPr="006817DA">
        <w:rPr>
          <w:szCs w:val="24"/>
        </w:rPr>
        <w:t>eur. Skutočný výnos bol o</w:t>
      </w:r>
      <w:r>
        <w:rPr>
          <w:szCs w:val="24"/>
        </w:rPr>
        <w:t> </w:t>
      </w:r>
      <w:r w:rsidRPr="006817DA">
        <w:rPr>
          <w:szCs w:val="24"/>
        </w:rPr>
        <w:t>131</w:t>
      </w:r>
      <w:r>
        <w:rPr>
          <w:szCs w:val="24"/>
        </w:rPr>
        <w:t> </w:t>
      </w:r>
      <w:r w:rsidRPr="006817DA">
        <w:rPr>
          <w:szCs w:val="24"/>
        </w:rPr>
        <w:t>021</w:t>
      </w:r>
      <w:r>
        <w:rPr>
          <w:szCs w:val="24"/>
        </w:rPr>
        <w:t> </w:t>
      </w:r>
      <w:r w:rsidRPr="006817DA">
        <w:rPr>
          <w:szCs w:val="24"/>
        </w:rPr>
        <w:t>tis.</w:t>
      </w:r>
      <w:r>
        <w:rPr>
          <w:szCs w:val="24"/>
        </w:rPr>
        <w:t> </w:t>
      </w:r>
      <w:r w:rsidRPr="006817DA">
        <w:rPr>
          <w:szCs w:val="24"/>
        </w:rPr>
        <w:t>eur nižší, v celkovej výške 2</w:t>
      </w:r>
      <w:r>
        <w:rPr>
          <w:szCs w:val="24"/>
        </w:rPr>
        <w:t> </w:t>
      </w:r>
      <w:r w:rsidRPr="006817DA">
        <w:rPr>
          <w:szCs w:val="24"/>
        </w:rPr>
        <w:t>759</w:t>
      </w:r>
      <w:r>
        <w:rPr>
          <w:szCs w:val="24"/>
        </w:rPr>
        <w:t> </w:t>
      </w:r>
      <w:r w:rsidRPr="006817DA">
        <w:rPr>
          <w:szCs w:val="24"/>
        </w:rPr>
        <w:t>774</w:t>
      </w:r>
      <w:r>
        <w:rPr>
          <w:szCs w:val="24"/>
        </w:rPr>
        <w:t> </w:t>
      </w:r>
      <w:r w:rsidRPr="006817DA">
        <w:rPr>
          <w:szCs w:val="24"/>
        </w:rPr>
        <w:t>tis.</w:t>
      </w:r>
      <w:r>
        <w:rPr>
          <w:szCs w:val="24"/>
        </w:rPr>
        <w:t> </w:t>
      </w:r>
      <w:r w:rsidRPr="006817DA">
        <w:rPr>
          <w:szCs w:val="24"/>
        </w:rPr>
        <w:t>eur. Medziročne výnos vzrástol o</w:t>
      </w:r>
      <w:r>
        <w:rPr>
          <w:szCs w:val="24"/>
        </w:rPr>
        <w:t> </w:t>
      </w:r>
      <w:r w:rsidRPr="006817DA">
        <w:rPr>
          <w:szCs w:val="24"/>
        </w:rPr>
        <w:t>58</w:t>
      </w:r>
      <w:r>
        <w:rPr>
          <w:szCs w:val="24"/>
        </w:rPr>
        <w:t> </w:t>
      </w:r>
      <w:r w:rsidRPr="006817DA">
        <w:rPr>
          <w:szCs w:val="24"/>
        </w:rPr>
        <w:t>609</w:t>
      </w:r>
      <w:r>
        <w:rPr>
          <w:szCs w:val="24"/>
        </w:rPr>
        <w:t> </w:t>
      </w:r>
      <w:r w:rsidRPr="006817DA">
        <w:rPr>
          <w:szCs w:val="24"/>
        </w:rPr>
        <w:t>tis.</w:t>
      </w:r>
      <w:r>
        <w:rPr>
          <w:szCs w:val="24"/>
        </w:rPr>
        <w:t> </w:t>
      </w:r>
      <w:r w:rsidRPr="006817DA">
        <w:rPr>
          <w:szCs w:val="24"/>
        </w:rPr>
        <w:t>eur (2,2 %).</w:t>
      </w:r>
      <w:r w:rsidRPr="00EA67CB">
        <w:rPr>
          <w:szCs w:val="24"/>
        </w:rPr>
        <w:t xml:space="preserve"> </w:t>
      </w:r>
      <w:r w:rsidRPr="006817DA">
        <w:rPr>
          <w:szCs w:val="24"/>
        </w:rPr>
        <w:t>Rozpočtované výnosy sa nenaplnili najmä pri spotrebných daniach z tabakových výrobkov a z liehu. Výnos spotrebnej dane z tabakových výrobkov je o</w:t>
      </w:r>
      <w:r>
        <w:rPr>
          <w:szCs w:val="24"/>
        </w:rPr>
        <w:t> </w:t>
      </w:r>
      <w:r w:rsidRPr="006817DA">
        <w:rPr>
          <w:szCs w:val="24"/>
        </w:rPr>
        <w:t>95</w:t>
      </w:r>
      <w:r>
        <w:rPr>
          <w:szCs w:val="24"/>
        </w:rPr>
        <w:t> </w:t>
      </w:r>
      <w:r w:rsidRPr="006817DA">
        <w:rPr>
          <w:szCs w:val="24"/>
        </w:rPr>
        <w:t>220</w:t>
      </w:r>
      <w:r>
        <w:rPr>
          <w:szCs w:val="24"/>
        </w:rPr>
        <w:t> </w:t>
      </w:r>
      <w:r w:rsidRPr="006817DA">
        <w:rPr>
          <w:szCs w:val="24"/>
        </w:rPr>
        <w:t>tis.</w:t>
      </w:r>
      <w:r>
        <w:rPr>
          <w:szCs w:val="24"/>
        </w:rPr>
        <w:t> </w:t>
      </w:r>
      <w:r w:rsidRPr="006817DA">
        <w:rPr>
          <w:szCs w:val="24"/>
        </w:rPr>
        <w:t>eur nižší v porovnaní s rozpočtom, pričom najväčší vplyv na</w:t>
      </w:r>
      <w:r>
        <w:rPr>
          <w:szCs w:val="24"/>
        </w:rPr>
        <w:t> </w:t>
      </w:r>
      <w:r w:rsidRPr="006817DA">
        <w:rPr>
          <w:szCs w:val="24"/>
        </w:rPr>
        <w:t>výnos má medziročný pokles spotreby cigariet o</w:t>
      </w:r>
      <w:r>
        <w:rPr>
          <w:szCs w:val="24"/>
        </w:rPr>
        <w:t> </w:t>
      </w:r>
      <w:r w:rsidRPr="006817DA">
        <w:rPr>
          <w:szCs w:val="24"/>
        </w:rPr>
        <w:t>6</w:t>
      </w:r>
      <w:r>
        <w:rPr>
          <w:szCs w:val="24"/>
        </w:rPr>
        <w:t> </w:t>
      </w:r>
      <w:r w:rsidRPr="006817DA">
        <w:rPr>
          <w:szCs w:val="24"/>
        </w:rPr>
        <w:t xml:space="preserve">%, s ktorým </w:t>
      </w:r>
      <w:r>
        <w:rPr>
          <w:szCs w:val="24"/>
        </w:rPr>
        <w:t xml:space="preserve">nebolo možné </w:t>
      </w:r>
      <w:r w:rsidRPr="006817DA">
        <w:rPr>
          <w:szCs w:val="24"/>
        </w:rPr>
        <w:t xml:space="preserve">pri zostavovaní rozpočtu </w:t>
      </w:r>
      <w:r>
        <w:rPr>
          <w:szCs w:val="24"/>
        </w:rPr>
        <w:t>počítať</w:t>
      </w:r>
      <w:r w:rsidRPr="006817DA">
        <w:rPr>
          <w:szCs w:val="24"/>
        </w:rPr>
        <w:t>. Pozitívne na výnos vplývalo zavedenie zdanenia nikotínových výrobkov od</w:t>
      </w:r>
      <w:r>
        <w:rPr>
          <w:szCs w:val="24"/>
        </w:rPr>
        <w:t> </w:t>
      </w:r>
      <w:r w:rsidRPr="006817DA">
        <w:rPr>
          <w:szCs w:val="24"/>
        </w:rPr>
        <w:t>februára. Výnos spotrebnej dane z liehu bol negatívne ovplyvnený horšou efektivitou výberu. Nižší reálny rast ekonomiky mal negatívny vplyv na výnos spotrebnej dane z minerálneho oleja, ktorý bol o 13</w:t>
      </w:r>
      <w:r>
        <w:rPr>
          <w:szCs w:val="24"/>
        </w:rPr>
        <w:t> </w:t>
      </w:r>
      <w:r w:rsidRPr="006817DA">
        <w:rPr>
          <w:szCs w:val="24"/>
        </w:rPr>
        <w:t>958</w:t>
      </w:r>
      <w:r>
        <w:rPr>
          <w:szCs w:val="24"/>
        </w:rPr>
        <w:t> </w:t>
      </w:r>
      <w:r w:rsidRPr="006817DA">
        <w:rPr>
          <w:szCs w:val="24"/>
        </w:rPr>
        <w:t>tis.</w:t>
      </w:r>
      <w:r>
        <w:rPr>
          <w:szCs w:val="24"/>
        </w:rPr>
        <w:t> </w:t>
      </w:r>
      <w:r w:rsidRPr="006817DA">
        <w:rPr>
          <w:szCs w:val="24"/>
        </w:rPr>
        <w:t>eur nižší ako rozpočtovaná hodnota. Výnos novej dane zo</w:t>
      </w:r>
      <w:r>
        <w:rPr>
          <w:szCs w:val="24"/>
        </w:rPr>
        <w:t> </w:t>
      </w:r>
      <w:r w:rsidRPr="006817DA">
        <w:rPr>
          <w:szCs w:val="24"/>
        </w:rPr>
        <w:t>sladených nealkoholických nápojov je oproti rozpočtu vyšší o</w:t>
      </w:r>
      <w:r>
        <w:rPr>
          <w:szCs w:val="24"/>
        </w:rPr>
        <w:t> </w:t>
      </w:r>
      <w:r w:rsidRPr="006817DA">
        <w:rPr>
          <w:szCs w:val="24"/>
        </w:rPr>
        <w:t>28</w:t>
      </w:r>
      <w:r>
        <w:rPr>
          <w:szCs w:val="24"/>
        </w:rPr>
        <w:t> </w:t>
      </w:r>
      <w:r w:rsidRPr="006817DA">
        <w:rPr>
          <w:szCs w:val="24"/>
        </w:rPr>
        <w:t>121</w:t>
      </w:r>
      <w:r>
        <w:rPr>
          <w:szCs w:val="24"/>
        </w:rPr>
        <w:t> </w:t>
      </w:r>
      <w:r w:rsidRPr="006817DA">
        <w:rPr>
          <w:szCs w:val="24"/>
        </w:rPr>
        <w:t>tis.</w:t>
      </w:r>
      <w:r>
        <w:rPr>
          <w:szCs w:val="24"/>
        </w:rPr>
        <w:t> </w:t>
      </w:r>
      <w:r w:rsidRPr="006817DA">
        <w:rPr>
          <w:szCs w:val="24"/>
        </w:rPr>
        <w:t>eur. Dôvodom je neuskutočnenie odhadovaného predzásobenia obchodníkov pred</w:t>
      </w:r>
      <w:r>
        <w:rPr>
          <w:szCs w:val="24"/>
        </w:rPr>
        <w:t> </w:t>
      </w:r>
      <w:r w:rsidRPr="006817DA">
        <w:rPr>
          <w:szCs w:val="24"/>
        </w:rPr>
        <w:t>zavedením dane vo</w:t>
      </w:r>
      <w:r>
        <w:rPr>
          <w:szCs w:val="24"/>
        </w:rPr>
        <w:t> </w:t>
      </w:r>
      <w:r w:rsidRPr="006817DA">
        <w:rPr>
          <w:szCs w:val="24"/>
        </w:rPr>
        <w:t>významnej miere.</w:t>
      </w:r>
    </w:p>
    <w:p w14:paraId="33C0FB37" w14:textId="77777777" w:rsidR="00560508" w:rsidRPr="006817DA" w:rsidRDefault="00560508" w:rsidP="00560508">
      <w:pPr>
        <w:spacing w:line="240" w:lineRule="auto"/>
        <w:jc w:val="both"/>
        <w:rPr>
          <w:szCs w:val="24"/>
        </w:rPr>
      </w:pPr>
    </w:p>
    <w:p w14:paraId="0E45A459" w14:textId="27C71EE0" w:rsidR="00560508" w:rsidRDefault="00560508" w:rsidP="00560508">
      <w:pPr>
        <w:spacing w:line="240" w:lineRule="auto"/>
        <w:jc w:val="both"/>
        <w:rPr>
          <w:szCs w:val="24"/>
        </w:rPr>
      </w:pPr>
      <w:r w:rsidRPr="006817DA">
        <w:rPr>
          <w:b/>
          <w:szCs w:val="24"/>
        </w:rPr>
        <w:t>Dane z používania tovarov a z povolenia na výkon činnosti</w:t>
      </w:r>
      <w:r w:rsidRPr="006817DA">
        <w:rPr>
          <w:szCs w:val="24"/>
        </w:rPr>
        <w:t xml:space="preserve"> boli rozpočtované vo</w:t>
      </w:r>
      <w:r>
        <w:rPr>
          <w:szCs w:val="24"/>
        </w:rPr>
        <w:t> </w:t>
      </w:r>
      <w:r w:rsidRPr="006817DA">
        <w:rPr>
          <w:szCs w:val="24"/>
        </w:rPr>
        <w:t>výške 143</w:t>
      </w:r>
      <w:r>
        <w:rPr>
          <w:szCs w:val="24"/>
        </w:rPr>
        <w:t> </w:t>
      </w:r>
      <w:r w:rsidRPr="006817DA">
        <w:rPr>
          <w:szCs w:val="24"/>
        </w:rPr>
        <w:t>676</w:t>
      </w:r>
      <w:r>
        <w:rPr>
          <w:szCs w:val="24"/>
        </w:rPr>
        <w:t> </w:t>
      </w:r>
      <w:r w:rsidRPr="006817DA">
        <w:rPr>
          <w:szCs w:val="24"/>
        </w:rPr>
        <w:t>tis.</w:t>
      </w:r>
      <w:r>
        <w:rPr>
          <w:szCs w:val="24"/>
        </w:rPr>
        <w:t> </w:t>
      </w:r>
      <w:r w:rsidRPr="006817DA">
        <w:rPr>
          <w:szCs w:val="24"/>
        </w:rPr>
        <w:t>eur. V skutočnosti dosiahli výnos 131</w:t>
      </w:r>
      <w:r>
        <w:rPr>
          <w:szCs w:val="24"/>
        </w:rPr>
        <w:t> </w:t>
      </w:r>
      <w:r w:rsidRPr="006817DA">
        <w:rPr>
          <w:szCs w:val="24"/>
        </w:rPr>
        <w:t>300</w:t>
      </w:r>
      <w:r>
        <w:rPr>
          <w:szCs w:val="24"/>
        </w:rPr>
        <w:t> </w:t>
      </w:r>
      <w:r w:rsidRPr="006817DA">
        <w:rPr>
          <w:szCs w:val="24"/>
        </w:rPr>
        <w:t>tis.</w:t>
      </w:r>
      <w:r>
        <w:rPr>
          <w:szCs w:val="24"/>
        </w:rPr>
        <w:t> </w:t>
      </w:r>
      <w:r w:rsidRPr="006817DA">
        <w:rPr>
          <w:szCs w:val="24"/>
        </w:rPr>
        <w:t xml:space="preserve">eur. Najväčšiu časť týchto daní tvorí </w:t>
      </w:r>
      <w:r w:rsidRPr="006817DA">
        <w:rPr>
          <w:b/>
          <w:bCs/>
          <w:szCs w:val="24"/>
        </w:rPr>
        <w:t>daň z motorových vozidiel</w:t>
      </w:r>
      <w:r w:rsidRPr="006817DA">
        <w:rPr>
          <w:szCs w:val="24"/>
        </w:rPr>
        <w:t>, ktorá bola rozpočtovaná v sume 143</w:t>
      </w:r>
      <w:r>
        <w:rPr>
          <w:szCs w:val="24"/>
        </w:rPr>
        <w:t> </w:t>
      </w:r>
      <w:r w:rsidRPr="006817DA">
        <w:rPr>
          <w:szCs w:val="24"/>
        </w:rPr>
        <w:t>594</w:t>
      </w:r>
      <w:r>
        <w:rPr>
          <w:szCs w:val="24"/>
        </w:rPr>
        <w:t> </w:t>
      </w:r>
      <w:r w:rsidRPr="006817DA">
        <w:rPr>
          <w:szCs w:val="24"/>
        </w:rPr>
        <w:t>tis.</w:t>
      </w:r>
      <w:r>
        <w:rPr>
          <w:szCs w:val="24"/>
        </w:rPr>
        <w:t> </w:t>
      </w:r>
      <w:r w:rsidRPr="006817DA">
        <w:rPr>
          <w:szCs w:val="24"/>
        </w:rPr>
        <w:t>eur a skutočný výnos bol o</w:t>
      </w:r>
      <w:r>
        <w:rPr>
          <w:szCs w:val="24"/>
        </w:rPr>
        <w:t> </w:t>
      </w:r>
      <w:r w:rsidRPr="006817DA">
        <w:rPr>
          <w:szCs w:val="24"/>
        </w:rPr>
        <w:t>12</w:t>
      </w:r>
      <w:r>
        <w:rPr>
          <w:szCs w:val="24"/>
        </w:rPr>
        <w:t> </w:t>
      </w:r>
      <w:r w:rsidRPr="006817DA">
        <w:rPr>
          <w:szCs w:val="24"/>
        </w:rPr>
        <w:t>377</w:t>
      </w:r>
      <w:r>
        <w:rPr>
          <w:szCs w:val="24"/>
        </w:rPr>
        <w:t> </w:t>
      </w:r>
      <w:r w:rsidRPr="006817DA">
        <w:rPr>
          <w:szCs w:val="24"/>
        </w:rPr>
        <w:t>tis.</w:t>
      </w:r>
      <w:r>
        <w:rPr>
          <w:szCs w:val="24"/>
        </w:rPr>
        <w:t> </w:t>
      </w:r>
      <w:r w:rsidRPr="006817DA">
        <w:rPr>
          <w:szCs w:val="24"/>
        </w:rPr>
        <w:t>eur nižší. Za nenaplnením rozpočtu je najmä pokles preddavkových platieb. Ten je zapríčinený novou legislatívou, ktorá znížila daň pre nákladné vozidlá. Súčasťou týchto daní je aj daň z úhrad za dobývací priestor (83</w:t>
      </w:r>
      <w:r>
        <w:rPr>
          <w:szCs w:val="24"/>
        </w:rPr>
        <w:t> </w:t>
      </w:r>
      <w:r w:rsidRPr="006817DA">
        <w:rPr>
          <w:szCs w:val="24"/>
        </w:rPr>
        <w:t>tis.</w:t>
      </w:r>
      <w:r>
        <w:rPr>
          <w:szCs w:val="24"/>
        </w:rPr>
        <w:t> </w:t>
      </w:r>
      <w:r w:rsidRPr="006817DA">
        <w:rPr>
          <w:szCs w:val="24"/>
        </w:rPr>
        <w:t>eur).</w:t>
      </w:r>
    </w:p>
    <w:p w14:paraId="79AD268D" w14:textId="77777777" w:rsidR="00560508" w:rsidRPr="006817DA" w:rsidRDefault="00560508" w:rsidP="00560508">
      <w:pPr>
        <w:spacing w:line="240" w:lineRule="auto"/>
        <w:jc w:val="both"/>
        <w:rPr>
          <w:szCs w:val="24"/>
        </w:rPr>
      </w:pPr>
    </w:p>
    <w:p w14:paraId="20BE9053" w14:textId="368E09EB" w:rsidR="00560508" w:rsidRDefault="00560508" w:rsidP="00560508">
      <w:pPr>
        <w:spacing w:line="240" w:lineRule="auto"/>
        <w:jc w:val="both"/>
        <w:rPr>
          <w:szCs w:val="24"/>
        </w:rPr>
      </w:pPr>
      <w:r w:rsidRPr="006817DA">
        <w:rPr>
          <w:b/>
          <w:szCs w:val="24"/>
        </w:rPr>
        <w:t>Iné dane za tovary a služby</w:t>
      </w:r>
      <w:r w:rsidRPr="006817DA">
        <w:rPr>
          <w:szCs w:val="24"/>
        </w:rPr>
        <w:t xml:space="preserve"> tvoria výnos dane z poistenia, výnos z odvodu časti poistného z</w:t>
      </w:r>
      <w:r>
        <w:rPr>
          <w:szCs w:val="24"/>
        </w:rPr>
        <w:t> </w:t>
      </w:r>
      <w:r w:rsidRPr="006817DA">
        <w:rPr>
          <w:szCs w:val="24"/>
        </w:rPr>
        <w:t>odvetví neživotného poistenia a od roku 2025 aj daň z finančných transakcií.</w:t>
      </w:r>
    </w:p>
    <w:p w14:paraId="081E3D13" w14:textId="77777777" w:rsidR="00560508" w:rsidRPr="006817DA" w:rsidRDefault="00560508" w:rsidP="00560508">
      <w:pPr>
        <w:spacing w:line="240" w:lineRule="auto"/>
        <w:jc w:val="both"/>
        <w:rPr>
          <w:szCs w:val="24"/>
        </w:rPr>
      </w:pPr>
    </w:p>
    <w:p w14:paraId="49B37726" w14:textId="7CA223B0" w:rsidR="00560508" w:rsidRDefault="00560508" w:rsidP="00560508">
      <w:pPr>
        <w:spacing w:line="240" w:lineRule="auto"/>
        <w:jc w:val="both"/>
        <w:rPr>
          <w:szCs w:val="24"/>
        </w:rPr>
      </w:pPr>
      <w:r w:rsidRPr="006817DA">
        <w:rPr>
          <w:b/>
          <w:bCs/>
          <w:szCs w:val="24"/>
        </w:rPr>
        <w:t>Daň z poistenia</w:t>
      </w:r>
      <w:r w:rsidRPr="006817DA">
        <w:rPr>
          <w:szCs w:val="24"/>
        </w:rPr>
        <w:t xml:space="preserve"> bola rozpočtovaná v objeme 115</w:t>
      </w:r>
      <w:r>
        <w:rPr>
          <w:szCs w:val="24"/>
        </w:rPr>
        <w:t> </w:t>
      </w:r>
      <w:r w:rsidRPr="006817DA">
        <w:rPr>
          <w:szCs w:val="24"/>
        </w:rPr>
        <w:t>803</w:t>
      </w:r>
      <w:r>
        <w:rPr>
          <w:szCs w:val="24"/>
        </w:rPr>
        <w:t> </w:t>
      </w:r>
      <w:r w:rsidRPr="006817DA">
        <w:rPr>
          <w:szCs w:val="24"/>
        </w:rPr>
        <w:t>tis.</w:t>
      </w:r>
      <w:r>
        <w:rPr>
          <w:szCs w:val="24"/>
        </w:rPr>
        <w:t> </w:t>
      </w:r>
      <w:r w:rsidRPr="006817DA">
        <w:rPr>
          <w:szCs w:val="24"/>
        </w:rPr>
        <w:t>eur. Skutočný výnos dane bol o</w:t>
      </w:r>
      <w:r>
        <w:rPr>
          <w:szCs w:val="24"/>
        </w:rPr>
        <w:t> </w:t>
      </w:r>
      <w:r w:rsidRPr="006817DA">
        <w:rPr>
          <w:szCs w:val="24"/>
        </w:rPr>
        <w:t>4</w:t>
      </w:r>
      <w:r>
        <w:rPr>
          <w:szCs w:val="24"/>
        </w:rPr>
        <w:t> </w:t>
      </w:r>
      <w:r w:rsidRPr="006817DA">
        <w:rPr>
          <w:szCs w:val="24"/>
        </w:rPr>
        <w:t>332</w:t>
      </w:r>
      <w:r>
        <w:rPr>
          <w:szCs w:val="24"/>
        </w:rPr>
        <w:t> </w:t>
      </w:r>
      <w:r w:rsidRPr="006817DA">
        <w:rPr>
          <w:szCs w:val="24"/>
        </w:rPr>
        <w:t>tis.</w:t>
      </w:r>
      <w:r>
        <w:rPr>
          <w:szCs w:val="24"/>
        </w:rPr>
        <w:t> </w:t>
      </w:r>
      <w:r w:rsidRPr="006817DA">
        <w:rPr>
          <w:szCs w:val="24"/>
        </w:rPr>
        <w:t>eur vyšší.</w:t>
      </w:r>
    </w:p>
    <w:p w14:paraId="7B716115" w14:textId="77777777" w:rsidR="00560508" w:rsidRPr="006817DA" w:rsidRDefault="00560508" w:rsidP="00560508">
      <w:pPr>
        <w:spacing w:line="240" w:lineRule="auto"/>
        <w:jc w:val="both"/>
        <w:rPr>
          <w:szCs w:val="24"/>
        </w:rPr>
      </w:pPr>
    </w:p>
    <w:p w14:paraId="04EED316" w14:textId="56EFBF31" w:rsidR="00560508" w:rsidRDefault="00560508" w:rsidP="00560508">
      <w:pPr>
        <w:spacing w:line="240" w:lineRule="auto"/>
        <w:jc w:val="both"/>
        <w:rPr>
          <w:szCs w:val="24"/>
        </w:rPr>
      </w:pPr>
      <w:r w:rsidRPr="006817DA">
        <w:rPr>
          <w:b/>
          <w:bCs/>
          <w:szCs w:val="24"/>
        </w:rPr>
        <w:t xml:space="preserve">Odhad dane z finančných transakcií </w:t>
      </w:r>
      <w:r w:rsidRPr="006817DA">
        <w:rPr>
          <w:szCs w:val="24"/>
        </w:rPr>
        <w:t>bol na úrovni 574</w:t>
      </w:r>
      <w:r>
        <w:rPr>
          <w:szCs w:val="24"/>
        </w:rPr>
        <w:t> </w:t>
      </w:r>
      <w:r w:rsidRPr="006817DA">
        <w:rPr>
          <w:szCs w:val="24"/>
        </w:rPr>
        <w:t>140</w:t>
      </w:r>
      <w:r>
        <w:rPr>
          <w:szCs w:val="24"/>
        </w:rPr>
        <w:t> </w:t>
      </w:r>
      <w:r w:rsidRPr="006817DA">
        <w:rPr>
          <w:szCs w:val="24"/>
        </w:rPr>
        <w:t>tis.</w:t>
      </w:r>
      <w:r>
        <w:rPr>
          <w:szCs w:val="24"/>
        </w:rPr>
        <w:t> </w:t>
      </w:r>
      <w:r w:rsidRPr="006817DA">
        <w:rPr>
          <w:szCs w:val="24"/>
        </w:rPr>
        <w:t>eur. V skutočnosti bol o</w:t>
      </w:r>
      <w:r>
        <w:rPr>
          <w:szCs w:val="24"/>
        </w:rPr>
        <w:t> </w:t>
      </w:r>
      <w:r w:rsidRPr="006817DA">
        <w:rPr>
          <w:szCs w:val="24"/>
        </w:rPr>
        <w:t>235</w:t>
      </w:r>
      <w:r>
        <w:rPr>
          <w:szCs w:val="24"/>
        </w:rPr>
        <w:t> </w:t>
      </w:r>
      <w:r w:rsidRPr="006817DA">
        <w:rPr>
          <w:szCs w:val="24"/>
        </w:rPr>
        <w:t>219</w:t>
      </w:r>
      <w:r>
        <w:rPr>
          <w:szCs w:val="24"/>
        </w:rPr>
        <w:t> </w:t>
      </w:r>
      <w:r w:rsidRPr="006817DA">
        <w:rPr>
          <w:szCs w:val="24"/>
        </w:rPr>
        <w:t>tis.</w:t>
      </w:r>
      <w:r>
        <w:rPr>
          <w:szCs w:val="24"/>
        </w:rPr>
        <w:t> </w:t>
      </w:r>
      <w:r w:rsidRPr="006817DA">
        <w:rPr>
          <w:szCs w:val="24"/>
        </w:rPr>
        <w:t>eur nižší. Výpadok bol spôsobený dodatočným zavedením viacerých výnimiek pre vybrané kategórie subjektov a transakcií, ale aj horším makroekonomickým vývojom, než</w:t>
      </w:r>
      <w:r>
        <w:rPr>
          <w:szCs w:val="24"/>
        </w:rPr>
        <w:t> </w:t>
      </w:r>
      <w:r w:rsidRPr="006817DA">
        <w:rPr>
          <w:szCs w:val="24"/>
        </w:rPr>
        <w:t>sa predpokladalo pri príprave rozpočtu, a neistotou odhadu spôsobenou nedostupnosťou údajov pri pôvodnej kvantifikácii výnosu tejto novej dane.</w:t>
      </w:r>
    </w:p>
    <w:p w14:paraId="33E18AAC" w14:textId="77777777" w:rsidR="00560508" w:rsidRPr="006817DA" w:rsidRDefault="00560508" w:rsidP="00560508">
      <w:pPr>
        <w:spacing w:line="240" w:lineRule="auto"/>
        <w:jc w:val="both"/>
        <w:rPr>
          <w:szCs w:val="24"/>
        </w:rPr>
      </w:pPr>
    </w:p>
    <w:p w14:paraId="1E2FB3CC" w14:textId="45602716" w:rsidR="00D90A0C" w:rsidRDefault="00560508" w:rsidP="00560508">
      <w:pPr>
        <w:spacing w:line="240" w:lineRule="auto"/>
        <w:jc w:val="both"/>
        <w:rPr>
          <w:szCs w:val="24"/>
        </w:rPr>
      </w:pPr>
      <w:r w:rsidRPr="006817DA">
        <w:rPr>
          <w:szCs w:val="24"/>
        </w:rPr>
        <w:t>Skutočný výnos</w:t>
      </w:r>
      <w:r w:rsidRPr="006817DA">
        <w:rPr>
          <w:b/>
          <w:bCs/>
          <w:szCs w:val="24"/>
        </w:rPr>
        <w:t xml:space="preserve"> dane z príjmov fyzických osôb zo závislej činnosti </w:t>
      </w:r>
      <w:r w:rsidRPr="006817DA">
        <w:rPr>
          <w:szCs w:val="24"/>
        </w:rPr>
        <w:t>v</w:t>
      </w:r>
      <w:r>
        <w:rPr>
          <w:szCs w:val="24"/>
        </w:rPr>
        <w:t> </w:t>
      </w:r>
      <w:r w:rsidRPr="006817DA">
        <w:rPr>
          <w:szCs w:val="24"/>
        </w:rPr>
        <w:t>objeme 4</w:t>
      </w:r>
      <w:r>
        <w:rPr>
          <w:szCs w:val="24"/>
        </w:rPr>
        <w:t> </w:t>
      </w:r>
      <w:r w:rsidRPr="006817DA">
        <w:rPr>
          <w:szCs w:val="24"/>
        </w:rPr>
        <w:t>320</w:t>
      </w:r>
      <w:r>
        <w:rPr>
          <w:szCs w:val="24"/>
        </w:rPr>
        <w:t> </w:t>
      </w:r>
      <w:r w:rsidR="00D90A0C" w:rsidRPr="006817DA">
        <w:rPr>
          <w:szCs w:val="24"/>
        </w:rPr>
        <w:t>95</w:t>
      </w:r>
      <w:r w:rsidR="00D90A0C">
        <w:rPr>
          <w:szCs w:val="24"/>
        </w:rPr>
        <w:t>3 </w:t>
      </w:r>
      <w:r w:rsidRPr="006817DA">
        <w:rPr>
          <w:szCs w:val="24"/>
        </w:rPr>
        <w:t>tis.</w:t>
      </w:r>
      <w:r>
        <w:rPr>
          <w:szCs w:val="24"/>
        </w:rPr>
        <w:t> </w:t>
      </w:r>
      <w:r w:rsidRPr="006817DA">
        <w:rPr>
          <w:szCs w:val="24"/>
        </w:rPr>
        <w:t>eur bol oproti rozpočtu nižší o</w:t>
      </w:r>
      <w:r>
        <w:rPr>
          <w:szCs w:val="24"/>
        </w:rPr>
        <w:t> </w:t>
      </w:r>
      <w:r w:rsidRPr="006817DA">
        <w:rPr>
          <w:szCs w:val="24"/>
        </w:rPr>
        <w:t>10</w:t>
      </w:r>
      <w:r>
        <w:rPr>
          <w:szCs w:val="24"/>
        </w:rPr>
        <w:t> </w:t>
      </w:r>
      <w:r w:rsidRPr="006817DA">
        <w:rPr>
          <w:szCs w:val="24"/>
        </w:rPr>
        <w:t>555</w:t>
      </w:r>
      <w:r>
        <w:rPr>
          <w:szCs w:val="24"/>
        </w:rPr>
        <w:t> </w:t>
      </w:r>
      <w:r w:rsidRPr="006817DA">
        <w:rPr>
          <w:szCs w:val="24"/>
        </w:rPr>
        <w:t>tis.</w:t>
      </w:r>
      <w:r>
        <w:rPr>
          <w:szCs w:val="24"/>
        </w:rPr>
        <w:t> </w:t>
      </w:r>
      <w:r w:rsidRPr="006817DA">
        <w:rPr>
          <w:szCs w:val="24"/>
        </w:rPr>
        <w:t>eur a medziročne vzrástol o</w:t>
      </w:r>
      <w:r>
        <w:rPr>
          <w:szCs w:val="24"/>
        </w:rPr>
        <w:t> </w:t>
      </w:r>
      <w:r w:rsidRPr="006817DA">
        <w:rPr>
          <w:szCs w:val="24"/>
        </w:rPr>
        <w:t>19,3</w:t>
      </w:r>
      <w:r>
        <w:rPr>
          <w:szCs w:val="24"/>
        </w:rPr>
        <w:t> </w:t>
      </w:r>
      <w:r w:rsidRPr="006817DA">
        <w:rPr>
          <w:szCs w:val="24"/>
        </w:rPr>
        <w:t>%.</w:t>
      </w:r>
      <w:r w:rsidRPr="006817DA">
        <w:rPr>
          <w:b/>
          <w:bCs/>
          <w:szCs w:val="24"/>
        </w:rPr>
        <w:t xml:space="preserve"> </w:t>
      </w:r>
      <w:r w:rsidRPr="006817DA">
        <w:rPr>
          <w:szCs w:val="24"/>
        </w:rPr>
        <w:t xml:space="preserve">Nižší výnos </w:t>
      </w:r>
      <w:bookmarkStart w:id="101" w:name="_Hlk193785853"/>
      <w:r w:rsidRPr="006817DA">
        <w:rPr>
          <w:szCs w:val="24"/>
        </w:rPr>
        <w:t>súvisí primárne s menej priaznivým vývojom zamestnanosti v</w:t>
      </w:r>
      <w:r>
        <w:rPr>
          <w:szCs w:val="24"/>
        </w:rPr>
        <w:t> </w:t>
      </w:r>
      <w:r w:rsidRPr="006817DA">
        <w:rPr>
          <w:szCs w:val="24"/>
        </w:rPr>
        <w:t>porovnaní s</w:t>
      </w:r>
      <w:r>
        <w:rPr>
          <w:szCs w:val="24"/>
        </w:rPr>
        <w:t> </w:t>
      </w:r>
      <w:r w:rsidRPr="006817DA">
        <w:rPr>
          <w:szCs w:val="24"/>
        </w:rPr>
        <w:t>očakávaniami v čase prípravy rozpočtu.</w:t>
      </w:r>
      <w:bookmarkEnd w:id="101"/>
      <w:r w:rsidRPr="006817DA">
        <w:rPr>
          <w:szCs w:val="24"/>
        </w:rPr>
        <w:t xml:space="preserve"> </w:t>
      </w:r>
      <w:r w:rsidRPr="007F3404">
        <w:rPr>
          <w:szCs w:val="24"/>
        </w:rPr>
        <w:t xml:space="preserve">Prevod prostriedkov na osobitné účely podľa zákona </w:t>
      </w:r>
      <w:r w:rsidRPr="007F3404">
        <w:rPr>
          <w:szCs w:val="24"/>
        </w:rPr>
        <w:lastRenderedPageBreak/>
        <w:t>č.</w:t>
      </w:r>
      <w:r>
        <w:rPr>
          <w:szCs w:val="24"/>
        </w:rPr>
        <w:t> </w:t>
      </w:r>
      <w:r w:rsidRPr="007F3404">
        <w:rPr>
          <w:szCs w:val="24"/>
        </w:rPr>
        <w:t>595/2003</w:t>
      </w:r>
      <w:r>
        <w:rPr>
          <w:szCs w:val="24"/>
        </w:rPr>
        <w:t> Z. </w:t>
      </w:r>
      <w:r w:rsidRPr="007F3404">
        <w:rPr>
          <w:szCs w:val="24"/>
        </w:rPr>
        <w:t>z., ktorý znižuje hotovostný výnos dane z</w:t>
      </w:r>
      <w:r>
        <w:rPr>
          <w:szCs w:val="24"/>
        </w:rPr>
        <w:t xml:space="preserve"> </w:t>
      </w:r>
      <w:r w:rsidRPr="007F3404">
        <w:rPr>
          <w:szCs w:val="24"/>
        </w:rPr>
        <w:t>príjmov fyzických</w:t>
      </w:r>
      <w:r>
        <w:rPr>
          <w:szCs w:val="24"/>
        </w:rPr>
        <w:t xml:space="preserve"> osôb bol</w:t>
      </w:r>
      <w:r w:rsidRPr="007F3404">
        <w:rPr>
          <w:szCs w:val="24"/>
        </w:rPr>
        <w:t xml:space="preserve"> </w:t>
      </w:r>
      <w:r w:rsidRPr="006817DA">
        <w:rPr>
          <w:szCs w:val="24"/>
        </w:rPr>
        <w:t>vo</w:t>
      </w:r>
      <w:r>
        <w:rPr>
          <w:szCs w:val="24"/>
        </w:rPr>
        <w:t> </w:t>
      </w:r>
      <w:r w:rsidRPr="006817DA">
        <w:rPr>
          <w:szCs w:val="24"/>
        </w:rPr>
        <w:t>výške 49</w:t>
      </w:r>
      <w:r>
        <w:rPr>
          <w:szCs w:val="24"/>
        </w:rPr>
        <w:t> </w:t>
      </w:r>
      <w:r w:rsidRPr="006817DA">
        <w:rPr>
          <w:szCs w:val="24"/>
        </w:rPr>
        <w:t>442</w:t>
      </w:r>
      <w:r>
        <w:rPr>
          <w:szCs w:val="24"/>
        </w:rPr>
        <w:t> </w:t>
      </w:r>
      <w:r w:rsidRPr="006817DA">
        <w:rPr>
          <w:szCs w:val="24"/>
        </w:rPr>
        <w:t>tis.</w:t>
      </w:r>
      <w:r>
        <w:rPr>
          <w:szCs w:val="24"/>
        </w:rPr>
        <w:t> </w:t>
      </w:r>
      <w:r w:rsidRPr="006817DA">
        <w:rPr>
          <w:szCs w:val="24"/>
        </w:rPr>
        <w:t>eur.</w:t>
      </w:r>
    </w:p>
    <w:p w14:paraId="6DB9FF46" w14:textId="6DB4070F" w:rsidR="00560508" w:rsidRDefault="00560508" w:rsidP="00560508">
      <w:pPr>
        <w:spacing w:line="240" w:lineRule="auto"/>
        <w:jc w:val="both"/>
        <w:rPr>
          <w:szCs w:val="24"/>
        </w:rPr>
      </w:pPr>
      <w:r w:rsidRPr="006817DA">
        <w:rPr>
          <w:szCs w:val="24"/>
        </w:rPr>
        <w:t xml:space="preserve">Skutočný výnos </w:t>
      </w:r>
      <w:r w:rsidRPr="006817DA">
        <w:rPr>
          <w:b/>
          <w:bCs/>
          <w:szCs w:val="24"/>
        </w:rPr>
        <w:t>dane z príjmov fyzických osôb z podnikania</w:t>
      </w:r>
      <w:r w:rsidRPr="006817DA">
        <w:rPr>
          <w:szCs w:val="24"/>
        </w:rPr>
        <w:t xml:space="preserve"> v objeme -163</w:t>
      </w:r>
      <w:r>
        <w:rPr>
          <w:szCs w:val="24"/>
        </w:rPr>
        <w:t> </w:t>
      </w:r>
      <w:r w:rsidRPr="006817DA">
        <w:rPr>
          <w:szCs w:val="24"/>
        </w:rPr>
        <w:t>393</w:t>
      </w:r>
      <w:r>
        <w:rPr>
          <w:szCs w:val="24"/>
        </w:rPr>
        <w:t> </w:t>
      </w:r>
      <w:r w:rsidRPr="006817DA">
        <w:rPr>
          <w:szCs w:val="24"/>
        </w:rPr>
        <w:t>tis.</w:t>
      </w:r>
      <w:r>
        <w:rPr>
          <w:szCs w:val="24"/>
        </w:rPr>
        <w:t> </w:t>
      </w:r>
      <w:r w:rsidRPr="006817DA">
        <w:rPr>
          <w:szCs w:val="24"/>
        </w:rPr>
        <w:t>eur bol oproti rozpočtu nižší o</w:t>
      </w:r>
      <w:r>
        <w:rPr>
          <w:szCs w:val="24"/>
        </w:rPr>
        <w:t> </w:t>
      </w:r>
      <w:r w:rsidRPr="006817DA">
        <w:rPr>
          <w:szCs w:val="24"/>
        </w:rPr>
        <w:t>24</w:t>
      </w:r>
      <w:r>
        <w:rPr>
          <w:szCs w:val="24"/>
        </w:rPr>
        <w:t> </w:t>
      </w:r>
      <w:r w:rsidRPr="006817DA">
        <w:rPr>
          <w:szCs w:val="24"/>
        </w:rPr>
        <w:t>917</w:t>
      </w:r>
      <w:r>
        <w:rPr>
          <w:szCs w:val="24"/>
        </w:rPr>
        <w:t> </w:t>
      </w:r>
      <w:r w:rsidRPr="006817DA">
        <w:rPr>
          <w:szCs w:val="24"/>
        </w:rPr>
        <w:t>tis.</w:t>
      </w:r>
      <w:r>
        <w:rPr>
          <w:szCs w:val="24"/>
        </w:rPr>
        <w:t> </w:t>
      </w:r>
      <w:r w:rsidRPr="006817DA">
        <w:rPr>
          <w:szCs w:val="24"/>
        </w:rPr>
        <w:t>eur a medziročne klesol o</w:t>
      </w:r>
      <w:r>
        <w:rPr>
          <w:szCs w:val="24"/>
        </w:rPr>
        <w:t> </w:t>
      </w:r>
      <w:r w:rsidRPr="006817DA">
        <w:rPr>
          <w:szCs w:val="24"/>
        </w:rPr>
        <w:t>34</w:t>
      </w:r>
      <w:r>
        <w:rPr>
          <w:szCs w:val="24"/>
        </w:rPr>
        <w:t> </w:t>
      </w:r>
      <w:r w:rsidRPr="006817DA">
        <w:rPr>
          <w:szCs w:val="24"/>
        </w:rPr>
        <w:t>722</w:t>
      </w:r>
      <w:r>
        <w:rPr>
          <w:szCs w:val="24"/>
        </w:rPr>
        <w:t> </w:t>
      </w:r>
      <w:r w:rsidRPr="006817DA">
        <w:rPr>
          <w:szCs w:val="24"/>
        </w:rPr>
        <w:t>tis.</w:t>
      </w:r>
      <w:r>
        <w:rPr>
          <w:szCs w:val="24"/>
        </w:rPr>
        <w:t> </w:t>
      </w:r>
      <w:r w:rsidRPr="006817DA">
        <w:rPr>
          <w:szCs w:val="24"/>
        </w:rPr>
        <w:t>eur. Hlavným dôvodom je vyššia suma vyplatená na daňovom bonuse na deti v kombinácií s</w:t>
      </w:r>
      <w:r>
        <w:rPr>
          <w:szCs w:val="24"/>
        </w:rPr>
        <w:t> </w:t>
      </w:r>
      <w:r w:rsidRPr="006817DA">
        <w:rPr>
          <w:szCs w:val="24"/>
        </w:rPr>
        <w:t>horšou očakávanou ziskovosťou živnostníkov.</w:t>
      </w:r>
    </w:p>
    <w:p w14:paraId="72BA3206" w14:textId="77777777" w:rsidR="00560508" w:rsidRPr="006817DA" w:rsidRDefault="00560508" w:rsidP="00560508">
      <w:pPr>
        <w:spacing w:line="240" w:lineRule="auto"/>
        <w:jc w:val="both"/>
        <w:rPr>
          <w:szCs w:val="24"/>
        </w:rPr>
      </w:pPr>
    </w:p>
    <w:p w14:paraId="1383067C" w14:textId="1A45A5AB" w:rsidR="00560508" w:rsidRDefault="00560508" w:rsidP="00560508">
      <w:pPr>
        <w:spacing w:line="240" w:lineRule="auto"/>
        <w:jc w:val="both"/>
        <w:rPr>
          <w:szCs w:val="24"/>
        </w:rPr>
      </w:pPr>
      <w:r w:rsidRPr="006817DA">
        <w:rPr>
          <w:szCs w:val="24"/>
        </w:rPr>
        <w:t>Daň z príjmov fyzických osôb je podielovou daňou</w:t>
      </w:r>
      <w:r w:rsidR="00952B49">
        <w:rPr>
          <w:szCs w:val="24"/>
        </w:rPr>
        <w:t>.</w:t>
      </w:r>
      <w:r w:rsidRPr="006817DA">
        <w:rPr>
          <w:szCs w:val="24"/>
          <w:vertAlign w:val="superscript"/>
        </w:rPr>
        <w:footnoteReference w:id="21"/>
      </w:r>
      <w:r w:rsidRPr="006817DA">
        <w:rPr>
          <w:szCs w:val="24"/>
        </w:rPr>
        <w:t xml:space="preserve"> Podiel obcí na výnose dane z príjmov fyzických osôb za rok 2025 bol 55,1 % a podiel vyšších územných celkov bol 29,5 %. Zvyšných 15,4 % výnosu ostávalo príjmom štátneho rozpočtu. </w:t>
      </w:r>
      <w:r w:rsidRPr="006817DA">
        <w:rPr>
          <w:b/>
          <w:szCs w:val="24"/>
        </w:rPr>
        <w:t>Príjem štátneho rozpočtu z</w:t>
      </w:r>
      <w:r>
        <w:rPr>
          <w:b/>
          <w:szCs w:val="24"/>
        </w:rPr>
        <w:t> </w:t>
      </w:r>
      <w:r w:rsidRPr="006817DA">
        <w:rPr>
          <w:b/>
          <w:szCs w:val="24"/>
        </w:rPr>
        <w:t>dane z príjmov fyzických osôb</w:t>
      </w:r>
      <w:r w:rsidRPr="006817DA">
        <w:rPr>
          <w:szCs w:val="24"/>
        </w:rPr>
        <w:t xml:space="preserve"> sa s ohľadom na uvedené pravidlá fiškálnej decentralizácie rozpočtoval v sume 708</w:t>
      </w:r>
      <w:r>
        <w:rPr>
          <w:szCs w:val="24"/>
        </w:rPr>
        <w:t> </w:t>
      </w:r>
      <w:r w:rsidRPr="006817DA">
        <w:rPr>
          <w:szCs w:val="24"/>
        </w:rPr>
        <w:t>162</w:t>
      </w:r>
      <w:r>
        <w:rPr>
          <w:szCs w:val="24"/>
        </w:rPr>
        <w:t> </w:t>
      </w:r>
      <w:r w:rsidRPr="006817DA">
        <w:rPr>
          <w:szCs w:val="24"/>
        </w:rPr>
        <w:t>tis. eur. Skutočný výnos na účte štátneho rozpočtu za rok 2025 bol v sume 669</w:t>
      </w:r>
      <w:r>
        <w:rPr>
          <w:szCs w:val="24"/>
        </w:rPr>
        <w:t> </w:t>
      </w:r>
      <w:r w:rsidRPr="006817DA">
        <w:rPr>
          <w:szCs w:val="24"/>
        </w:rPr>
        <w:t>812</w:t>
      </w:r>
      <w:r>
        <w:rPr>
          <w:szCs w:val="24"/>
        </w:rPr>
        <w:t> </w:t>
      </w:r>
      <w:r w:rsidRPr="006817DA">
        <w:rPr>
          <w:szCs w:val="24"/>
        </w:rPr>
        <w:t>tis.</w:t>
      </w:r>
      <w:r>
        <w:rPr>
          <w:szCs w:val="24"/>
        </w:rPr>
        <w:t> </w:t>
      </w:r>
      <w:r w:rsidRPr="006817DA">
        <w:rPr>
          <w:szCs w:val="24"/>
        </w:rPr>
        <w:t>eur.</w:t>
      </w:r>
    </w:p>
    <w:p w14:paraId="4E9BF50E" w14:textId="77777777" w:rsidR="00560508" w:rsidRPr="006817DA" w:rsidRDefault="00560508" w:rsidP="00560508">
      <w:pPr>
        <w:spacing w:line="240" w:lineRule="auto"/>
        <w:jc w:val="both"/>
        <w:rPr>
          <w:szCs w:val="24"/>
        </w:rPr>
      </w:pPr>
    </w:p>
    <w:p w14:paraId="249C85CF" w14:textId="64F04642" w:rsidR="00560508" w:rsidRDefault="00560508" w:rsidP="00560508">
      <w:pPr>
        <w:spacing w:line="240" w:lineRule="auto"/>
        <w:jc w:val="both"/>
        <w:rPr>
          <w:szCs w:val="24"/>
        </w:rPr>
      </w:pPr>
      <w:r w:rsidRPr="006817DA">
        <w:rPr>
          <w:b/>
          <w:bCs/>
          <w:szCs w:val="24"/>
        </w:rPr>
        <w:t xml:space="preserve">Daň z príjmov právnických osôb </w:t>
      </w:r>
      <w:r w:rsidRPr="006817DA">
        <w:rPr>
          <w:szCs w:val="24"/>
        </w:rPr>
        <w:t>sa rozpočtovala v sume 5</w:t>
      </w:r>
      <w:r>
        <w:rPr>
          <w:szCs w:val="24"/>
        </w:rPr>
        <w:t> </w:t>
      </w:r>
      <w:r w:rsidRPr="006817DA">
        <w:rPr>
          <w:szCs w:val="24"/>
        </w:rPr>
        <w:t>033</w:t>
      </w:r>
      <w:r>
        <w:rPr>
          <w:szCs w:val="24"/>
        </w:rPr>
        <w:t> </w:t>
      </w:r>
      <w:r w:rsidRPr="006817DA">
        <w:rPr>
          <w:szCs w:val="24"/>
        </w:rPr>
        <w:t>907</w:t>
      </w:r>
      <w:r>
        <w:rPr>
          <w:szCs w:val="24"/>
        </w:rPr>
        <w:t> </w:t>
      </w:r>
      <w:r w:rsidRPr="006817DA">
        <w:rPr>
          <w:szCs w:val="24"/>
        </w:rPr>
        <w:t>tis.</w:t>
      </w:r>
      <w:r>
        <w:rPr>
          <w:szCs w:val="24"/>
        </w:rPr>
        <w:t> </w:t>
      </w:r>
      <w:r w:rsidRPr="006817DA">
        <w:rPr>
          <w:szCs w:val="24"/>
        </w:rPr>
        <w:t>eur. Skutočný výnos dosiahol 4</w:t>
      </w:r>
      <w:r>
        <w:rPr>
          <w:szCs w:val="24"/>
        </w:rPr>
        <w:t> 5</w:t>
      </w:r>
      <w:r w:rsidRPr="006817DA">
        <w:rPr>
          <w:szCs w:val="24"/>
        </w:rPr>
        <w:t>92</w:t>
      </w:r>
      <w:r>
        <w:rPr>
          <w:szCs w:val="24"/>
        </w:rPr>
        <w:t> </w:t>
      </w:r>
      <w:r w:rsidRPr="006817DA">
        <w:rPr>
          <w:szCs w:val="24"/>
        </w:rPr>
        <w:t>424</w:t>
      </w:r>
      <w:r>
        <w:rPr>
          <w:szCs w:val="24"/>
        </w:rPr>
        <w:t> </w:t>
      </w:r>
      <w:r w:rsidRPr="006817DA">
        <w:rPr>
          <w:szCs w:val="24"/>
        </w:rPr>
        <w:t>tis.</w:t>
      </w:r>
      <w:r>
        <w:rPr>
          <w:szCs w:val="24"/>
        </w:rPr>
        <w:t> </w:t>
      </w:r>
      <w:r w:rsidRPr="006817DA">
        <w:rPr>
          <w:szCs w:val="24"/>
        </w:rPr>
        <w:t>eur, čo predstavuje plnenie rozpočtu na úrovni 91,2</w:t>
      </w:r>
      <w:r>
        <w:rPr>
          <w:szCs w:val="24"/>
        </w:rPr>
        <w:t> </w:t>
      </w:r>
      <w:r w:rsidRPr="006817DA">
        <w:rPr>
          <w:szCs w:val="24"/>
        </w:rPr>
        <w:t>%. V</w:t>
      </w:r>
      <w:r>
        <w:rPr>
          <w:szCs w:val="24"/>
        </w:rPr>
        <w:t> </w:t>
      </w:r>
      <w:r w:rsidRPr="006817DA">
        <w:rPr>
          <w:szCs w:val="24"/>
        </w:rPr>
        <w:t>porovnaní s</w:t>
      </w:r>
      <w:r>
        <w:rPr>
          <w:szCs w:val="24"/>
        </w:rPr>
        <w:t> </w:t>
      </w:r>
      <w:r w:rsidRPr="006817DA">
        <w:rPr>
          <w:szCs w:val="24"/>
        </w:rPr>
        <w:t>rozpočtom bol výnos nižší o</w:t>
      </w:r>
      <w:r>
        <w:rPr>
          <w:szCs w:val="24"/>
        </w:rPr>
        <w:t> </w:t>
      </w:r>
      <w:r w:rsidRPr="006817DA">
        <w:rPr>
          <w:szCs w:val="24"/>
        </w:rPr>
        <w:t>441</w:t>
      </w:r>
      <w:r>
        <w:rPr>
          <w:szCs w:val="24"/>
        </w:rPr>
        <w:t> </w:t>
      </w:r>
      <w:r w:rsidRPr="006817DA">
        <w:rPr>
          <w:szCs w:val="24"/>
        </w:rPr>
        <w:t>483</w:t>
      </w:r>
      <w:r>
        <w:rPr>
          <w:szCs w:val="24"/>
        </w:rPr>
        <w:t> </w:t>
      </w:r>
      <w:r w:rsidRPr="006817DA">
        <w:rPr>
          <w:szCs w:val="24"/>
        </w:rPr>
        <w:t>tis.</w:t>
      </w:r>
      <w:r>
        <w:rPr>
          <w:szCs w:val="24"/>
        </w:rPr>
        <w:t> </w:t>
      </w:r>
      <w:r w:rsidRPr="006817DA">
        <w:rPr>
          <w:szCs w:val="24"/>
        </w:rPr>
        <w:t>eur.</w:t>
      </w:r>
      <w:r w:rsidRPr="006817DA">
        <w:rPr>
          <w:b/>
          <w:bCs/>
          <w:szCs w:val="24"/>
        </w:rPr>
        <w:t xml:space="preserve"> </w:t>
      </w:r>
      <w:r w:rsidRPr="006817DA">
        <w:rPr>
          <w:szCs w:val="24"/>
        </w:rPr>
        <w:t>Za nenaplnením rozpočtu je v prvom rade nižší výnos dane za zdaňovacie obdobie roku 2024, ktorý je spôsobený spomalením ziskovosti podnikov nad rámec očakávaní. To sa prejavilo na hotovostnom výnose vyrovnania dane, ktoré zaostalo za rozpočtom o</w:t>
      </w:r>
      <w:r>
        <w:rPr>
          <w:szCs w:val="24"/>
        </w:rPr>
        <w:t> </w:t>
      </w:r>
      <w:r w:rsidRPr="006817DA">
        <w:rPr>
          <w:szCs w:val="24"/>
        </w:rPr>
        <w:t>134</w:t>
      </w:r>
      <w:r>
        <w:rPr>
          <w:szCs w:val="24"/>
        </w:rPr>
        <w:t> </w:t>
      </w:r>
      <w:r w:rsidRPr="006817DA">
        <w:rPr>
          <w:szCs w:val="24"/>
        </w:rPr>
        <w:t>301</w:t>
      </w:r>
      <w:r>
        <w:rPr>
          <w:szCs w:val="24"/>
        </w:rPr>
        <w:t> </w:t>
      </w:r>
      <w:r w:rsidRPr="006817DA">
        <w:rPr>
          <w:szCs w:val="24"/>
        </w:rPr>
        <w:t>tis.</w:t>
      </w:r>
      <w:r>
        <w:rPr>
          <w:szCs w:val="24"/>
        </w:rPr>
        <w:t> </w:t>
      </w:r>
      <w:r w:rsidRPr="006817DA">
        <w:rPr>
          <w:szCs w:val="24"/>
        </w:rPr>
        <w:t>eur. Pokles daňovej povinnosti podnikov za rok 2024 sa v</w:t>
      </w:r>
      <w:r>
        <w:rPr>
          <w:szCs w:val="24"/>
        </w:rPr>
        <w:t> </w:t>
      </w:r>
      <w:r w:rsidRPr="006817DA">
        <w:rPr>
          <w:szCs w:val="24"/>
        </w:rPr>
        <w:t>plnej miere pretavil utlmením výnosov z preddavkov dane. Tie nad rámec toho ovplyvnili nepriaznivé očakávania podnikov, ktoré pristúpili k možnosti si ich upraviť smerom nadol, čo vo finálnom dôsledku spôsobilo výrazné podhodnotenie hotovostných príjmov o</w:t>
      </w:r>
      <w:r w:rsidR="00577700">
        <w:rPr>
          <w:szCs w:val="24"/>
        </w:rPr>
        <w:t> </w:t>
      </w:r>
      <w:r w:rsidRPr="006817DA">
        <w:rPr>
          <w:szCs w:val="24"/>
        </w:rPr>
        <w:t>326</w:t>
      </w:r>
      <w:r w:rsidR="00577700">
        <w:rPr>
          <w:szCs w:val="24"/>
        </w:rPr>
        <w:t> </w:t>
      </w:r>
      <w:r w:rsidRPr="006817DA">
        <w:rPr>
          <w:szCs w:val="24"/>
        </w:rPr>
        <w:t>885</w:t>
      </w:r>
      <w:r w:rsidR="00577700">
        <w:rPr>
          <w:szCs w:val="24"/>
        </w:rPr>
        <w:t> </w:t>
      </w:r>
      <w:r w:rsidRPr="006817DA">
        <w:rPr>
          <w:szCs w:val="24"/>
        </w:rPr>
        <w:t>tis.</w:t>
      </w:r>
      <w:r w:rsidR="00577700">
        <w:rPr>
          <w:szCs w:val="24"/>
        </w:rPr>
        <w:t> </w:t>
      </w:r>
      <w:r w:rsidRPr="006817DA">
        <w:rPr>
          <w:szCs w:val="24"/>
        </w:rPr>
        <w:t>eur.</w:t>
      </w:r>
    </w:p>
    <w:p w14:paraId="30C922FD" w14:textId="77777777" w:rsidR="00577700" w:rsidRPr="006817DA" w:rsidRDefault="00577700" w:rsidP="00560508">
      <w:pPr>
        <w:spacing w:line="240" w:lineRule="auto"/>
        <w:jc w:val="both"/>
        <w:rPr>
          <w:szCs w:val="24"/>
        </w:rPr>
      </w:pPr>
    </w:p>
    <w:p w14:paraId="23C629F9" w14:textId="3B625871" w:rsidR="00560508" w:rsidRPr="006817DA" w:rsidRDefault="00560508" w:rsidP="00560508">
      <w:pPr>
        <w:spacing w:line="240" w:lineRule="auto"/>
        <w:jc w:val="both"/>
        <w:rPr>
          <w:szCs w:val="24"/>
        </w:rPr>
      </w:pPr>
      <w:r w:rsidRPr="006817DA">
        <w:rPr>
          <w:szCs w:val="24"/>
        </w:rPr>
        <w:t>Právnické osoby majú možnosť poukázať 1 % alebo 2 % z odvedenej dane na</w:t>
      </w:r>
      <w:r w:rsidR="00577700">
        <w:rPr>
          <w:szCs w:val="24"/>
        </w:rPr>
        <w:t> </w:t>
      </w:r>
      <w:r w:rsidRPr="006817DA">
        <w:rPr>
          <w:szCs w:val="24"/>
        </w:rPr>
        <w:t>verejnoprospešný účel, čo znižuje hotovostný výnos dane. Firmy poukázali 60</w:t>
      </w:r>
      <w:r w:rsidR="00577700">
        <w:rPr>
          <w:szCs w:val="24"/>
        </w:rPr>
        <w:t> </w:t>
      </w:r>
      <w:r w:rsidRPr="006817DA">
        <w:rPr>
          <w:szCs w:val="24"/>
        </w:rPr>
        <w:t>330</w:t>
      </w:r>
      <w:r w:rsidR="00577700">
        <w:rPr>
          <w:szCs w:val="24"/>
        </w:rPr>
        <w:t> </w:t>
      </w:r>
      <w:r w:rsidRPr="006817DA">
        <w:rPr>
          <w:szCs w:val="24"/>
        </w:rPr>
        <w:t>tis.</w:t>
      </w:r>
      <w:r w:rsidR="00577700">
        <w:rPr>
          <w:szCs w:val="24"/>
        </w:rPr>
        <w:t> </w:t>
      </w:r>
      <w:r w:rsidRPr="006817DA">
        <w:rPr>
          <w:szCs w:val="24"/>
        </w:rPr>
        <w:t>eur, čo je o</w:t>
      </w:r>
      <w:r w:rsidR="00577700">
        <w:rPr>
          <w:szCs w:val="24"/>
        </w:rPr>
        <w:t> </w:t>
      </w:r>
      <w:r w:rsidRPr="006817DA">
        <w:rPr>
          <w:szCs w:val="24"/>
        </w:rPr>
        <w:t>3</w:t>
      </w:r>
      <w:r w:rsidR="00577700">
        <w:rPr>
          <w:szCs w:val="24"/>
        </w:rPr>
        <w:t> </w:t>
      </w:r>
      <w:r w:rsidRPr="006817DA">
        <w:rPr>
          <w:szCs w:val="24"/>
        </w:rPr>
        <w:t>440</w:t>
      </w:r>
      <w:r w:rsidR="00577700">
        <w:rPr>
          <w:szCs w:val="24"/>
        </w:rPr>
        <w:t> </w:t>
      </w:r>
      <w:r w:rsidRPr="006817DA">
        <w:rPr>
          <w:szCs w:val="24"/>
        </w:rPr>
        <w:t>tis.</w:t>
      </w:r>
      <w:r w:rsidR="00577700">
        <w:rPr>
          <w:szCs w:val="24"/>
        </w:rPr>
        <w:t> </w:t>
      </w:r>
      <w:r w:rsidRPr="006817DA">
        <w:rPr>
          <w:szCs w:val="24"/>
        </w:rPr>
        <w:t>eur menej oproti očakávaniam v rozpočte.</w:t>
      </w:r>
    </w:p>
    <w:p w14:paraId="1584A3E5" w14:textId="04C7EAA5" w:rsidR="004D69BF" w:rsidRPr="0050710A" w:rsidRDefault="004D69BF" w:rsidP="00532D85">
      <w:pPr>
        <w:spacing w:line="240" w:lineRule="auto"/>
        <w:jc w:val="both"/>
        <w:rPr>
          <w:szCs w:val="24"/>
          <w:highlight w:val="yellow"/>
        </w:rPr>
      </w:pPr>
    </w:p>
    <w:p w14:paraId="1B6FD6CF" w14:textId="3857C680" w:rsidR="00A1147F" w:rsidRPr="00577700" w:rsidRDefault="00A1147F" w:rsidP="00532D85">
      <w:pPr>
        <w:pStyle w:val="Popis"/>
        <w:jc w:val="both"/>
        <w:rPr>
          <w:lang w:eastAsia="sk-SK"/>
        </w:rPr>
      </w:pPr>
      <w:bookmarkStart w:id="102" w:name="_Toc196313651"/>
      <w:bookmarkStart w:id="103" w:name="_Toc227670161"/>
      <w:r w:rsidRPr="00577700">
        <w:rPr>
          <w:lang w:eastAsia="sk-SK"/>
        </w:rPr>
        <w:t xml:space="preserve">Tabuľka </w:t>
      </w:r>
      <w:r w:rsidRPr="00577700">
        <w:rPr>
          <w:i/>
          <w:lang w:eastAsia="sk-SK"/>
        </w:rPr>
        <w:fldChar w:fldCharType="begin"/>
      </w:r>
      <w:r w:rsidRPr="00577700">
        <w:rPr>
          <w:lang w:eastAsia="sk-SK"/>
        </w:rPr>
        <w:instrText xml:space="preserve"> SEQ Tabuľka \* ARABIC </w:instrText>
      </w:r>
      <w:r w:rsidRPr="00577700">
        <w:rPr>
          <w:i/>
          <w:lang w:eastAsia="sk-SK"/>
        </w:rPr>
        <w:fldChar w:fldCharType="separate"/>
      </w:r>
      <w:r w:rsidR="00396BE8">
        <w:rPr>
          <w:noProof/>
          <w:lang w:eastAsia="sk-SK"/>
        </w:rPr>
        <w:t>25</w:t>
      </w:r>
      <w:r w:rsidRPr="00577700">
        <w:rPr>
          <w:i/>
          <w:lang w:eastAsia="sk-SK"/>
        </w:rPr>
        <w:fldChar w:fldCharType="end"/>
      </w:r>
      <w:r w:rsidRPr="00577700">
        <w:rPr>
          <w:lang w:eastAsia="sk-SK"/>
        </w:rPr>
        <w:t xml:space="preserve"> - Prevod podielu dane na osobitný účel</w:t>
      </w:r>
      <w:bookmarkEnd w:id="102"/>
      <w:bookmarkEnd w:id="103"/>
    </w:p>
    <w:tbl>
      <w:tblPr>
        <w:tblW w:w="5000" w:type="pct"/>
        <w:tblCellMar>
          <w:left w:w="70" w:type="dxa"/>
          <w:right w:w="70" w:type="dxa"/>
        </w:tblCellMar>
        <w:tblLook w:val="04A0" w:firstRow="1" w:lastRow="0" w:firstColumn="1" w:lastColumn="0" w:noHBand="0" w:noVBand="1"/>
      </w:tblPr>
      <w:tblGrid>
        <w:gridCol w:w="4742"/>
        <w:gridCol w:w="1083"/>
        <w:gridCol w:w="1083"/>
        <w:gridCol w:w="1083"/>
        <w:gridCol w:w="1079"/>
      </w:tblGrid>
      <w:tr w:rsidR="00577700" w:rsidRPr="00577700" w14:paraId="0E40FECF" w14:textId="77777777" w:rsidTr="00577700">
        <w:trPr>
          <w:trHeight w:val="290"/>
          <w:tblHeader/>
        </w:trPr>
        <w:tc>
          <w:tcPr>
            <w:tcW w:w="2614" w:type="pct"/>
            <w:tcBorders>
              <w:top w:val="single" w:sz="4" w:space="0" w:color="auto"/>
              <w:left w:val="nil"/>
              <w:bottom w:val="single" w:sz="4" w:space="0" w:color="auto"/>
              <w:right w:val="nil"/>
            </w:tcBorders>
            <w:noWrap/>
            <w:vAlign w:val="center"/>
            <w:hideMark/>
          </w:tcPr>
          <w:p w14:paraId="2430BD33" w14:textId="77777777" w:rsidR="00577700" w:rsidRPr="00577700" w:rsidRDefault="00577700" w:rsidP="00577700">
            <w:pPr>
              <w:spacing w:line="240" w:lineRule="auto"/>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v tis. eur</w:t>
            </w:r>
          </w:p>
        </w:tc>
        <w:tc>
          <w:tcPr>
            <w:tcW w:w="597" w:type="pct"/>
            <w:tcBorders>
              <w:top w:val="single" w:sz="4" w:space="0" w:color="auto"/>
              <w:left w:val="nil"/>
              <w:bottom w:val="single" w:sz="4" w:space="0" w:color="auto"/>
              <w:right w:val="nil"/>
            </w:tcBorders>
            <w:noWrap/>
            <w:vAlign w:val="center"/>
            <w:hideMark/>
          </w:tcPr>
          <w:p w14:paraId="7CD71395" w14:textId="77777777" w:rsidR="00577700" w:rsidRPr="00577700" w:rsidRDefault="00577700" w:rsidP="00577700">
            <w:pPr>
              <w:spacing w:line="240" w:lineRule="auto"/>
              <w:jc w:val="center"/>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2023 S</w:t>
            </w:r>
          </w:p>
        </w:tc>
        <w:tc>
          <w:tcPr>
            <w:tcW w:w="597" w:type="pct"/>
            <w:tcBorders>
              <w:top w:val="single" w:sz="4" w:space="0" w:color="auto"/>
              <w:left w:val="nil"/>
              <w:bottom w:val="single" w:sz="4" w:space="0" w:color="auto"/>
              <w:right w:val="nil"/>
            </w:tcBorders>
            <w:noWrap/>
            <w:vAlign w:val="center"/>
            <w:hideMark/>
          </w:tcPr>
          <w:p w14:paraId="621734F6" w14:textId="77777777" w:rsidR="00577700" w:rsidRPr="00577700" w:rsidRDefault="00577700" w:rsidP="00577700">
            <w:pPr>
              <w:spacing w:line="240" w:lineRule="auto"/>
              <w:jc w:val="center"/>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2024 S</w:t>
            </w:r>
          </w:p>
        </w:tc>
        <w:tc>
          <w:tcPr>
            <w:tcW w:w="597" w:type="pct"/>
            <w:tcBorders>
              <w:top w:val="single" w:sz="4" w:space="0" w:color="auto"/>
              <w:left w:val="nil"/>
              <w:bottom w:val="single" w:sz="4" w:space="0" w:color="auto"/>
              <w:right w:val="nil"/>
            </w:tcBorders>
            <w:noWrap/>
            <w:vAlign w:val="center"/>
            <w:hideMark/>
          </w:tcPr>
          <w:p w14:paraId="2F57A8B2" w14:textId="77777777" w:rsidR="00577700" w:rsidRPr="00577700" w:rsidRDefault="00577700" w:rsidP="00577700">
            <w:pPr>
              <w:spacing w:line="240" w:lineRule="auto"/>
              <w:jc w:val="center"/>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2025 R</w:t>
            </w:r>
          </w:p>
        </w:tc>
        <w:tc>
          <w:tcPr>
            <w:tcW w:w="597" w:type="pct"/>
            <w:tcBorders>
              <w:top w:val="single" w:sz="4" w:space="0" w:color="auto"/>
              <w:left w:val="nil"/>
              <w:bottom w:val="single" w:sz="4" w:space="0" w:color="auto"/>
              <w:right w:val="nil"/>
            </w:tcBorders>
            <w:noWrap/>
            <w:vAlign w:val="center"/>
            <w:hideMark/>
          </w:tcPr>
          <w:p w14:paraId="50EF7AA5" w14:textId="77777777" w:rsidR="00577700" w:rsidRPr="00577700" w:rsidRDefault="00577700" w:rsidP="00577700">
            <w:pPr>
              <w:spacing w:line="240" w:lineRule="auto"/>
              <w:jc w:val="center"/>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2025 S</w:t>
            </w:r>
          </w:p>
        </w:tc>
      </w:tr>
      <w:tr w:rsidR="00577700" w:rsidRPr="00577700" w14:paraId="2422FC92" w14:textId="77777777" w:rsidTr="00577700">
        <w:trPr>
          <w:trHeight w:val="290"/>
        </w:trPr>
        <w:tc>
          <w:tcPr>
            <w:tcW w:w="2614" w:type="pct"/>
            <w:tcBorders>
              <w:top w:val="nil"/>
              <w:left w:val="nil"/>
              <w:bottom w:val="nil"/>
              <w:right w:val="nil"/>
            </w:tcBorders>
            <w:noWrap/>
            <w:vAlign w:val="center"/>
            <w:hideMark/>
          </w:tcPr>
          <w:p w14:paraId="6E7C1021" w14:textId="77777777" w:rsidR="00577700" w:rsidRPr="00577700" w:rsidRDefault="00577700" w:rsidP="00577700">
            <w:pPr>
              <w:spacing w:line="240" w:lineRule="auto"/>
              <w:rPr>
                <w:rFonts w:eastAsia="Times New Roman" w:cs="Times New Roman"/>
                <w:color w:val="000000"/>
                <w:sz w:val="18"/>
                <w:szCs w:val="18"/>
                <w:lang w:eastAsia="sk-SK"/>
              </w:rPr>
            </w:pPr>
            <w:r w:rsidRPr="00577700">
              <w:rPr>
                <w:rFonts w:eastAsia="Times New Roman" w:cs="Times New Roman"/>
                <w:color w:val="000000"/>
                <w:sz w:val="18"/>
                <w:szCs w:val="18"/>
                <w:lang w:eastAsia="sk-SK"/>
              </w:rPr>
              <w:t>Prevod podielu dane z príjmov FO na osobitný účel</w:t>
            </w:r>
          </w:p>
        </w:tc>
        <w:tc>
          <w:tcPr>
            <w:tcW w:w="597" w:type="pct"/>
            <w:tcBorders>
              <w:top w:val="nil"/>
              <w:left w:val="nil"/>
              <w:bottom w:val="nil"/>
              <w:right w:val="nil"/>
            </w:tcBorders>
            <w:noWrap/>
            <w:vAlign w:val="center"/>
            <w:hideMark/>
          </w:tcPr>
          <w:p w14:paraId="2883C663"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47 965</w:t>
            </w:r>
          </w:p>
        </w:tc>
        <w:tc>
          <w:tcPr>
            <w:tcW w:w="597" w:type="pct"/>
            <w:tcBorders>
              <w:top w:val="nil"/>
              <w:left w:val="nil"/>
              <w:bottom w:val="nil"/>
              <w:right w:val="nil"/>
            </w:tcBorders>
            <w:noWrap/>
            <w:vAlign w:val="center"/>
            <w:hideMark/>
          </w:tcPr>
          <w:p w14:paraId="625E9C4E"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47 705</w:t>
            </w:r>
          </w:p>
        </w:tc>
        <w:tc>
          <w:tcPr>
            <w:tcW w:w="597" w:type="pct"/>
            <w:tcBorders>
              <w:top w:val="nil"/>
              <w:left w:val="nil"/>
              <w:bottom w:val="nil"/>
              <w:right w:val="nil"/>
            </w:tcBorders>
            <w:vAlign w:val="center"/>
            <w:hideMark/>
          </w:tcPr>
          <w:p w14:paraId="629F3C18"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47 833</w:t>
            </w:r>
          </w:p>
        </w:tc>
        <w:tc>
          <w:tcPr>
            <w:tcW w:w="597" w:type="pct"/>
            <w:tcBorders>
              <w:top w:val="nil"/>
              <w:left w:val="nil"/>
              <w:bottom w:val="nil"/>
              <w:right w:val="nil"/>
            </w:tcBorders>
            <w:noWrap/>
            <w:vAlign w:val="center"/>
            <w:hideMark/>
          </w:tcPr>
          <w:p w14:paraId="11D143CE"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49 442</w:t>
            </w:r>
          </w:p>
        </w:tc>
      </w:tr>
      <w:tr w:rsidR="00577700" w:rsidRPr="00577700" w14:paraId="1DCA5929" w14:textId="77777777" w:rsidTr="00577700">
        <w:trPr>
          <w:trHeight w:val="290"/>
        </w:trPr>
        <w:tc>
          <w:tcPr>
            <w:tcW w:w="2614" w:type="pct"/>
            <w:tcBorders>
              <w:top w:val="nil"/>
              <w:left w:val="nil"/>
              <w:bottom w:val="single" w:sz="4" w:space="0" w:color="auto"/>
              <w:right w:val="nil"/>
            </w:tcBorders>
            <w:noWrap/>
            <w:vAlign w:val="center"/>
            <w:hideMark/>
          </w:tcPr>
          <w:p w14:paraId="6D40327F" w14:textId="77777777" w:rsidR="00577700" w:rsidRPr="00577700" w:rsidRDefault="00577700" w:rsidP="00577700">
            <w:pPr>
              <w:spacing w:line="240" w:lineRule="auto"/>
              <w:rPr>
                <w:rFonts w:eastAsia="Times New Roman" w:cs="Times New Roman"/>
                <w:color w:val="000000"/>
                <w:sz w:val="18"/>
                <w:szCs w:val="18"/>
                <w:lang w:eastAsia="sk-SK"/>
              </w:rPr>
            </w:pPr>
            <w:r w:rsidRPr="00577700">
              <w:rPr>
                <w:rFonts w:eastAsia="Times New Roman" w:cs="Times New Roman"/>
                <w:color w:val="000000"/>
                <w:sz w:val="18"/>
                <w:szCs w:val="18"/>
                <w:lang w:eastAsia="sk-SK"/>
              </w:rPr>
              <w:t>Prevod podielu dane z príjmov PO na osobitný účel</w:t>
            </w:r>
          </w:p>
        </w:tc>
        <w:tc>
          <w:tcPr>
            <w:tcW w:w="597" w:type="pct"/>
            <w:tcBorders>
              <w:top w:val="nil"/>
              <w:left w:val="nil"/>
              <w:bottom w:val="single" w:sz="4" w:space="0" w:color="auto"/>
              <w:right w:val="nil"/>
            </w:tcBorders>
            <w:noWrap/>
            <w:vAlign w:val="center"/>
            <w:hideMark/>
          </w:tcPr>
          <w:p w14:paraId="52DE1A96"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52 905</w:t>
            </w:r>
          </w:p>
        </w:tc>
        <w:tc>
          <w:tcPr>
            <w:tcW w:w="597" w:type="pct"/>
            <w:tcBorders>
              <w:top w:val="nil"/>
              <w:left w:val="nil"/>
              <w:bottom w:val="single" w:sz="4" w:space="0" w:color="auto"/>
              <w:right w:val="nil"/>
            </w:tcBorders>
            <w:noWrap/>
            <w:vAlign w:val="center"/>
            <w:hideMark/>
          </w:tcPr>
          <w:p w14:paraId="2DAECE6D"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57 548</w:t>
            </w:r>
          </w:p>
        </w:tc>
        <w:tc>
          <w:tcPr>
            <w:tcW w:w="597" w:type="pct"/>
            <w:tcBorders>
              <w:top w:val="nil"/>
              <w:left w:val="nil"/>
              <w:bottom w:val="single" w:sz="4" w:space="0" w:color="auto"/>
              <w:right w:val="nil"/>
            </w:tcBorders>
            <w:vAlign w:val="center"/>
            <w:hideMark/>
          </w:tcPr>
          <w:p w14:paraId="2631EE96"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63 770</w:t>
            </w:r>
          </w:p>
        </w:tc>
        <w:tc>
          <w:tcPr>
            <w:tcW w:w="597" w:type="pct"/>
            <w:tcBorders>
              <w:top w:val="nil"/>
              <w:left w:val="nil"/>
              <w:bottom w:val="single" w:sz="4" w:space="0" w:color="auto"/>
              <w:right w:val="nil"/>
            </w:tcBorders>
            <w:noWrap/>
            <w:vAlign w:val="center"/>
            <w:hideMark/>
          </w:tcPr>
          <w:p w14:paraId="649AB2CD" w14:textId="77777777" w:rsidR="00577700" w:rsidRPr="00577700" w:rsidRDefault="00577700" w:rsidP="00577700">
            <w:pPr>
              <w:spacing w:line="240" w:lineRule="auto"/>
              <w:jc w:val="right"/>
              <w:rPr>
                <w:rFonts w:eastAsia="Times New Roman" w:cs="Times New Roman"/>
                <w:color w:val="000000"/>
                <w:sz w:val="18"/>
                <w:szCs w:val="18"/>
                <w:lang w:eastAsia="sk-SK"/>
              </w:rPr>
            </w:pPr>
            <w:r w:rsidRPr="00577700">
              <w:rPr>
                <w:rFonts w:eastAsia="Times New Roman" w:cs="Times New Roman"/>
                <w:color w:val="000000"/>
                <w:sz w:val="18"/>
                <w:szCs w:val="18"/>
                <w:lang w:eastAsia="sk-SK"/>
              </w:rPr>
              <w:t>60 330</w:t>
            </w:r>
          </w:p>
        </w:tc>
      </w:tr>
      <w:tr w:rsidR="00577700" w:rsidRPr="00577700" w14:paraId="0A37F1F9" w14:textId="77777777" w:rsidTr="00577700">
        <w:trPr>
          <w:trHeight w:val="290"/>
        </w:trPr>
        <w:tc>
          <w:tcPr>
            <w:tcW w:w="2614" w:type="pct"/>
            <w:tcBorders>
              <w:top w:val="single" w:sz="4" w:space="0" w:color="auto"/>
              <w:left w:val="nil"/>
              <w:bottom w:val="single" w:sz="4" w:space="0" w:color="auto"/>
              <w:right w:val="nil"/>
            </w:tcBorders>
            <w:noWrap/>
            <w:vAlign w:val="center"/>
            <w:hideMark/>
          </w:tcPr>
          <w:p w14:paraId="76CB48F1" w14:textId="77777777" w:rsidR="00577700" w:rsidRPr="00577700" w:rsidRDefault="00577700" w:rsidP="00577700">
            <w:pPr>
              <w:spacing w:line="240" w:lineRule="auto"/>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Spolu</w:t>
            </w:r>
          </w:p>
        </w:tc>
        <w:tc>
          <w:tcPr>
            <w:tcW w:w="597" w:type="pct"/>
            <w:tcBorders>
              <w:top w:val="single" w:sz="4" w:space="0" w:color="auto"/>
              <w:left w:val="nil"/>
              <w:bottom w:val="single" w:sz="4" w:space="0" w:color="auto"/>
              <w:right w:val="nil"/>
            </w:tcBorders>
            <w:noWrap/>
            <w:vAlign w:val="center"/>
            <w:hideMark/>
          </w:tcPr>
          <w:p w14:paraId="6FBA3797" w14:textId="77777777" w:rsidR="00577700" w:rsidRPr="00577700" w:rsidRDefault="00577700" w:rsidP="00577700">
            <w:pPr>
              <w:spacing w:line="240" w:lineRule="auto"/>
              <w:jc w:val="right"/>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100 870</w:t>
            </w:r>
          </w:p>
        </w:tc>
        <w:tc>
          <w:tcPr>
            <w:tcW w:w="597" w:type="pct"/>
            <w:tcBorders>
              <w:top w:val="single" w:sz="4" w:space="0" w:color="auto"/>
              <w:left w:val="nil"/>
              <w:bottom w:val="single" w:sz="4" w:space="0" w:color="auto"/>
              <w:right w:val="nil"/>
            </w:tcBorders>
            <w:noWrap/>
            <w:vAlign w:val="center"/>
            <w:hideMark/>
          </w:tcPr>
          <w:p w14:paraId="55F38760" w14:textId="77777777" w:rsidR="00577700" w:rsidRPr="00577700" w:rsidRDefault="00577700" w:rsidP="00577700">
            <w:pPr>
              <w:spacing w:line="240" w:lineRule="auto"/>
              <w:jc w:val="right"/>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105 253</w:t>
            </w:r>
          </w:p>
        </w:tc>
        <w:tc>
          <w:tcPr>
            <w:tcW w:w="597" w:type="pct"/>
            <w:tcBorders>
              <w:top w:val="single" w:sz="4" w:space="0" w:color="auto"/>
              <w:left w:val="nil"/>
              <w:bottom w:val="single" w:sz="4" w:space="0" w:color="auto"/>
              <w:right w:val="nil"/>
            </w:tcBorders>
            <w:noWrap/>
            <w:vAlign w:val="center"/>
            <w:hideMark/>
          </w:tcPr>
          <w:p w14:paraId="7A9D60E3" w14:textId="77777777" w:rsidR="00577700" w:rsidRPr="00577700" w:rsidRDefault="00577700" w:rsidP="00577700">
            <w:pPr>
              <w:spacing w:line="240" w:lineRule="auto"/>
              <w:jc w:val="right"/>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111 603</w:t>
            </w:r>
          </w:p>
        </w:tc>
        <w:tc>
          <w:tcPr>
            <w:tcW w:w="597" w:type="pct"/>
            <w:tcBorders>
              <w:top w:val="single" w:sz="4" w:space="0" w:color="auto"/>
              <w:left w:val="nil"/>
              <w:bottom w:val="single" w:sz="4" w:space="0" w:color="auto"/>
              <w:right w:val="nil"/>
            </w:tcBorders>
            <w:noWrap/>
            <w:vAlign w:val="center"/>
            <w:hideMark/>
          </w:tcPr>
          <w:p w14:paraId="029ADDB4" w14:textId="77777777" w:rsidR="00577700" w:rsidRPr="00577700" w:rsidRDefault="00577700" w:rsidP="00577700">
            <w:pPr>
              <w:spacing w:line="240" w:lineRule="auto"/>
              <w:jc w:val="right"/>
              <w:rPr>
                <w:rFonts w:eastAsia="Times New Roman" w:cs="Times New Roman"/>
                <w:b/>
                <w:bCs/>
                <w:color w:val="000000"/>
                <w:sz w:val="18"/>
                <w:szCs w:val="18"/>
                <w:lang w:eastAsia="sk-SK"/>
              </w:rPr>
            </w:pPr>
            <w:r w:rsidRPr="00577700">
              <w:rPr>
                <w:rFonts w:eastAsia="Times New Roman" w:cs="Times New Roman"/>
                <w:b/>
                <w:bCs/>
                <w:color w:val="000000"/>
                <w:sz w:val="18"/>
                <w:szCs w:val="18"/>
                <w:lang w:eastAsia="sk-SK"/>
              </w:rPr>
              <w:t>109 772</w:t>
            </w:r>
          </w:p>
        </w:tc>
      </w:tr>
    </w:tbl>
    <w:p w14:paraId="53C53F15" w14:textId="48720D6B" w:rsidR="00A1147F" w:rsidRPr="00577700" w:rsidRDefault="004942CF" w:rsidP="004942CF">
      <w:pPr>
        <w:tabs>
          <w:tab w:val="right" w:pos="9070"/>
        </w:tabs>
        <w:spacing w:line="240" w:lineRule="auto"/>
        <w:jc w:val="both"/>
        <w:rPr>
          <w:sz w:val="18"/>
          <w:szCs w:val="18"/>
        </w:rPr>
      </w:pPr>
      <w:r w:rsidRPr="00577700">
        <w:rPr>
          <w:sz w:val="18"/>
          <w:szCs w:val="18"/>
        </w:rPr>
        <w:tab/>
      </w:r>
      <w:r w:rsidR="00A1147F" w:rsidRPr="00577700">
        <w:rPr>
          <w:sz w:val="18"/>
          <w:szCs w:val="18"/>
        </w:rPr>
        <w:t>Zdroj: MF SR</w:t>
      </w:r>
    </w:p>
    <w:p w14:paraId="3AB90D8D" w14:textId="77777777" w:rsidR="00D46A5E" w:rsidRPr="0050710A" w:rsidRDefault="00D46A5E" w:rsidP="00532D85">
      <w:pPr>
        <w:spacing w:line="240" w:lineRule="auto"/>
        <w:jc w:val="both"/>
        <w:rPr>
          <w:b/>
          <w:szCs w:val="24"/>
          <w:highlight w:val="yellow"/>
        </w:rPr>
      </w:pPr>
    </w:p>
    <w:p w14:paraId="02E7B1F2" w14:textId="2C4EB2F3" w:rsidR="002770D2" w:rsidRDefault="002770D2" w:rsidP="002770D2">
      <w:pPr>
        <w:spacing w:line="240" w:lineRule="auto"/>
        <w:jc w:val="both"/>
        <w:rPr>
          <w:bCs/>
          <w:szCs w:val="24"/>
        </w:rPr>
      </w:pPr>
      <w:r w:rsidRPr="006817DA">
        <w:rPr>
          <w:b/>
          <w:szCs w:val="24"/>
        </w:rPr>
        <w:t xml:space="preserve">Daň z príjmov vyberaná zrážkou </w:t>
      </w:r>
      <w:r w:rsidRPr="006817DA">
        <w:rPr>
          <w:bCs/>
          <w:szCs w:val="24"/>
        </w:rPr>
        <w:t>sa rozpočtovala sumou 510</w:t>
      </w:r>
      <w:r>
        <w:rPr>
          <w:bCs/>
          <w:szCs w:val="24"/>
        </w:rPr>
        <w:t> </w:t>
      </w:r>
      <w:r w:rsidRPr="006817DA">
        <w:rPr>
          <w:bCs/>
          <w:szCs w:val="24"/>
        </w:rPr>
        <w:t>573</w:t>
      </w:r>
      <w:r>
        <w:rPr>
          <w:bCs/>
          <w:szCs w:val="24"/>
        </w:rPr>
        <w:t> </w:t>
      </w:r>
      <w:r w:rsidRPr="006817DA">
        <w:rPr>
          <w:bCs/>
          <w:szCs w:val="24"/>
        </w:rPr>
        <w:t>tis.</w:t>
      </w:r>
      <w:r>
        <w:rPr>
          <w:bCs/>
          <w:szCs w:val="24"/>
        </w:rPr>
        <w:t> </w:t>
      </w:r>
      <w:r w:rsidRPr="006817DA">
        <w:rPr>
          <w:bCs/>
          <w:szCs w:val="24"/>
        </w:rPr>
        <w:t>eur, v</w:t>
      </w:r>
      <w:r>
        <w:rPr>
          <w:bCs/>
          <w:szCs w:val="24"/>
        </w:rPr>
        <w:t> </w:t>
      </w:r>
      <w:r w:rsidRPr="006817DA">
        <w:rPr>
          <w:bCs/>
          <w:szCs w:val="24"/>
        </w:rPr>
        <w:t>skutočnosti bola o</w:t>
      </w:r>
      <w:r>
        <w:rPr>
          <w:bCs/>
          <w:szCs w:val="24"/>
        </w:rPr>
        <w:t> </w:t>
      </w:r>
      <w:r w:rsidRPr="006817DA">
        <w:rPr>
          <w:bCs/>
          <w:szCs w:val="24"/>
        </w:rPr>
        <w:t>39</w:t>
      </w:r>
      <w:r>
        <w:rPr>
          <w:bCs/>
          <w:szCs w:val="24"/>
        </w:rPr>
        <w:t> </w:t>
      </w:r>
      <w:r w:rsidRPr="006817DA">
        <w:rPr>
          <w:bCs/>
          <w:szCs w:val="24"/>
        </w:rPr>
        <w:t>078</w:t>
      </w:r>
      <w:r>
        <w:rPr>
          <w:bCs/>
          <w:szCs w:val="24"/>
        </w:rPr>
        <w:t> </w:t>
      </w:r>
      <w:r w:rsidRPr="006817DA">
        <w:rPr>
          <w:bCs/>
          <w:szCs w:val="24"/>
        </w:rPr>
        <w:t>tis.</w:t>
      </w:r>
      <w:r>
        <w:rPr>
          <w:bCs/>
          <w:szCs w:val="24"/>
        </w:rPr>
        <w:t> </w:t>
      </w:r>
      <w:r w:rsidRPr="006817DA">
        <w:rPr>
          <w:bCs/>
          <w:szCs w:val="24"/>
        </w:rPr>
        <w:t>eur vyššia. Za vyššími príjmami sú najmä vyššie príjmy zo zdanenia dividend (+22</w:t>
      </w:r>
      <w:r>
        <w:rPr>
          <w:bCs/>
          <w:szCs w:val="24"/>
        </w:rPr>
        <w:t> </w:t>
      </w:r>
      <w:r w:rsidRPr="006817DA">
        <w:rPr>
          <w:bCs/>
          <w:szCs w:val="24"/>
        </w:rPr>
        <w:t>782</w:t>
      </w:r>
      <w:r>
        <w:rPr>
          <w:bCs/>
          <w:szCs w:val="24"/>
        </w:rPr>
        <w:t> </w:t>
      </w:r>
      <w:r w:rsidRPr="006817DA">
        <w:rPr>
          <w:bCs/>
          <w:szCs w:val="24"/>
        </w:rPr>
        <w:t>tis.</w:t>
      </w:r>
      <w:r>
        <w:rPr>
          <w:bCs/>
          <w:szCs w:val="24"/>
        </w:rPr>
        <w:t> </w:t>
      </w:r>
      <w:r w:rsidRPr="006817DA">
        <w:rPr>
          <w:bCs/>
          <w:szCs w:val="24"/>
        </w:rPr>
        <w:t>eur). Viac daní prišlo od prvoplatiteľov (firmy, ktoré zaplatili daň z dividend prvý krát v roku 2025), ktorí v prognóze zahrnutí neboli. Vyššie príjmy boli aj od veľkých aj malých firiem. Za zvýšením výnosu je aj vplyv zvýšenia sadzby na daň z dividend zo</w:t>
      </w:r>
      <w:r>
        <w:rPr>
          <w:bCs/>
          <w:szCs w:val="24"/>
        </w:rPr>
        <w:t> </w:t>
      </w:r>
      <w:r w:rsidRPr="006817DA">
        <w:rPr>
          <w:bCs/>
          <w:szCs w:val="24"/>
        </w:rPr>
        <w:t>7</w:t>
      </w:r>
      <w:r>
        <w:rPr>
          <w:bCs/>
          <w:szCs w:val="24"/>
        </w:rPr>
        <w:t> </w:t>
      </w:r>
      <w:r w:rsidRPr="006817DA">
        <w:rPr>
          <w:bCs/>
          <w:szCs w:val="24"/>
        </w:rPr>
        <w:t>% na</w:t>
      </w:r>
      <w:r>
        <w:rPr>
          <w:bCs/>
          <w:szCs w:val="24"/>
        </w:rPr>
        <w:t> </w:t>
      </w:r>
      <w:r w:rsidRPr="006817DA">
        <w:rPr>
          <w:bCs/>
          <w:szCs w:val="24"/>
        </w:rPr>
        <w:t>10</w:t>
      </w:r>
      <w:r>
        <w:rPr>
          <w:bCs/>
          <w:szCs w:val="24"/>
        </w:rPr>
        <w:t> </w:t>
      </w:r>
      <w:r w:rsidRPr="006817DA">
        <w:rPr>
          <w:bCs/>
          <w:szCs w:val="24"/>
        </w:rPr>
        <w:t>% pre</w:t>
      </w:r>
      <w:r>
        <w:rPr>
          <w:bCs/>
          <w:szCs w:val="24"/>
        </w:rPr>
        <w:t> </w:t>
      </w:r>
      <w:r w:rsidRPr="006817DA">
        <w:rPr>
          <w:bCs/>
          <w:szCs w:val="24"/>
        </w:rPr>
        <w:t>dividendy zo zisku za rok 2024. Okrem dividend sa vybralo viac aj zo</w:t>
      </w:r>
      <w:r>
        <w:rPr>
          <w:bCs/>
          <w:szCs w:val="24"/>
        </w:rPr>
        <w:t> </w:t>
      </w:r>
      <w:r w:rsidRPr="006817DA">
        <w:rPr>
          <w:bCs/>
          <w:szCs w:val="24"/>
        </w:rPr>
        <w:t>zdanenia vkladov. Hoci úroková miera nedosiahla rozpočtovanú hodnotu, na dani bolo vybraných o takmer 10</w:t>
      </w:r>
      <w:r>
        <w:rPr>
          <w:bCs/>
          <w:szCs w:val="24"/>
        </w:rPr>
        <w:t> 000 tis. eur</w:t>
      </w:r>
      <w:r w:rsidRPr="006817DA">
        <w:rPr>
          <w:bCs/>
          <w:szCs w:val="24"/>
        </w:rPr>
        <w:t xml:space="preserve"> viac. Ostatné zložky zrážkovej (napr. podielové fondy, licenčné poplatky, ...) boli taktiež vyššie ako sa predpokladalo pri rozpočte.</w:t>
      </w:r>
    </w:p>
    <w:p w14:paraId="782CB828" w14:textId="77777777" w:rsidR="002770D2" w:rsidRPr="006817DA" w:rsidRDefault="002770D2" w:rsidP="002770D2">
      <w:pPr>
        <w:spacing w:line="240" w:lineRule="auto"/>
        <w:jc w:val="both"/>
        <w:rPr>
          <w:b/>
          <w:szCs w:val="24"/>
        </w:rPr>
      </w:pPr>
    </w:p>
    <w:p w14:paraId="0DA24BE3" w14:textId="6EB63269" w:rsidR="002770D2" w:rsidRDefault="002770D2" w:rsidP="002770D2">
      <w:pPr>
        <w:spacing w:line="240" w:lineRule="auto"/>
        <w:jc w:val="both"/>
        <w:rPr>
          <w:bCs/>
          <w:szCs w:val="24"/>
        </w:rPr>
      </w:pPr>
      <w:r w:rsidRPr="006817DA">
        <w:rPr>
          <w:b/>
          <w:szCs w:val="24"/>
        </w:rPr>
        <w:lastRenderedPageBreak/>
        <w:t xml:space="preserve">Výnos daní z medzinárodného obchodu a transakcií </w:t>
      </w:r>
      <w:r w:rsidRPr="006817DA">
        <w:rPr>
          <w:bCs/>
          <w:szCs w:val="24"/>
        </w:rPr>
        <w:t>bol oproti rozpočtu vyšší o</w:t>
      </w:r>
      <w:r>
        <w:rPr>
          <w:bCs/>
          <w:szCs w:val="24"/>
        </w:rPr>
        <w:t> </w:t>
      </w:r>
      <w:r w:rsidRPr="006817DA">
        <w:rPr>
          <w:bCs/>
          <w:szCs w:val="24"/>
        </w:rPr>
        <w:t>5</w:t>
      </w:r>
      <w:r>
        <w:rPr>
          <w:bCs/>
          <w:szCs w:val="24"/>
        </w:rPr>
        <w:t> </w:t>
      </w:r>
      <w:r w:rsidRPr="006817DA">
        <w:rPr>
          <w:bCs/>
          <w:szCs w:val="24"/>
        </w:rPr>
        <w:t>085</w:t>
      </w:r>
      <w:r>
        <w:rPr>
          <w:bCs/>
          <w:szCs w:val="24"/>
        </w:rPr>
        <w:t> </w:t>
      </w:r>
      <w:r w:rsidRPr="006817DA">
        <w:rPr>
          <w:bCs/>
          <w:szCs w:val="24"/>
        </w:rPr>
        <w:t>tis.</w:t>
      </w:r>
      <w:r>
        <w:rPr>
          <w:bCs/>
          <w:szCs w:val="24"/>
        </w:rPr>
        <w:t> </w:t>
      </w:r>
      <w:r w:rsidRPr="006817DA">
        <w:rPr>
          <w:bCs/>
          <w:szCs w:val="24"/>
        </w:rPr>
        <w:t>eur, v sume 45</w:t>
      </w:r>
      <w:r>
        <w:rPr>
          <w:bCs/>
          <w:szCs w:val="24"/>
        </w:rPr>
        <w:t> </w:t>
      </w:r>
      <w:r w:rsidRPr="006817DA">
        <w:rPr>
          <w:bCs/>
          <w:szCs w:val="24"/>
        </w:rPr>
        <w:t>420</w:t>
      </w:r>
      <w:r>
        <w:rPr>
          <w:bCs/>
          <w:szCs w:val="24"/>
        </w:rPr>
        <w:t> </w:t>
      </w:r>
      <w:r w:rsidRPr="006817DA">
        <w:rPr>
          <w:bCs/>
          <w:szCs w:val="24"/>
        </w:rPr>
        <w:t>tis.</w:t>
      </w:r>
      <w:r>
        <w:rPr>
          <w:bCs/>
          <w:szCs w:val="24"/>
        </w:rPr>
        <w:t> </w:t>
      </w:r>
      <w:r w:rsidRPr="006817DA">
        <w:rPr>
          <w:bCs/>
          <w:szCs w:val="24"/>
        </w:rPr>
        <w:t>eur. V porovnaní s rokom 2024 vzrástol o</w:t>
      </w:r>
      <w:r>
        <w:rPr>
          <w:bCs/>
          <w:szCs w:val="24"/>
        </w:rPr>
        <w:t> </w:t>
      </w:r>
      <w:r w:rsidRPr="006817DA">
        <w:rPr>
          <w:bCs/>
          <w:szCs w:val="24"/>
        </w:rPr>
        <w:t>23,3</w:t>
      </w:r>
      <w:r>
        <w:rPr>
          <w:bCs/>
          <w:szCs w:val="24"/>
        </w:rPr>
        <w:t> </w:t>
      </w:r>
      <w:r w:rsidRPr="006817DA">
        <w:rPr>
          <w:bCs/>
          <w:szCs w:val="24"/>
        </w:rPr>
        <w:t>%. Najväčšiu časť na daniach z medzinárodného obchodu a transakcií tvorí výnos z podielu na</w:t>
      </w:r>
      <w:r>
        <w:rPr>
          <w:bCs/>
          <w:szCs w:val="24"/>
        </w:rPr>
        <w:t> </w:t>
      </w:r>
      <w:r w:rsidRPr="006817DA">
        <w:rPr>
          <w:bCs/>
          <w:szCs w:val="24"/>
        </w:rPr>
        <w:t>vybraných prostriedkoch. Je to 25</w:t>
      </w:r>
      <w:r>
        <w:rPr>
          <w:bCs/>
          <w:szCs w:val="24"/>
        </w:rPr>
        <w:t> </w:t>
      </w:r>
      <w:r w:rsidRPr="006817DA">
        <w:rPr>
          <w:bCs/>
          <w:szCs w:val="24"/>
        </w:rPr>
        <w:t>% - ný podiel z vybratého cla z tovaru dovezeného z</w:t>
      </w:r>
      <w:r>
        <w:rPr>
          <w:bCs/>
          <w:szCs w:val="24"/>
        </w:rPr>
        <w:t> </w:t>
      </w:r>
      <w:r w:rsidRPr="006817DA">
        <w:rPr>
          <w:bCs/>
          <w:szCs w:val="24"/>
        </w:rPr>
        <w:t>tretích krajín, ktorý si SR ponecháva ako kompenzáciu nákladov spojených s výberom cla. Objem celkového dovozu predpokladaný v rozpočte sa síce nenaplnil, výber dane bol však napriek tomu vyšší.</w:t>
      </w:r>
    </w:p>
    <w:p w14:paraId="75F6BB40" w14:textId="77777777" w:rsidR="002770D2" w:rsidRPr="006817DA" w:rsidRDefault="002770D2" w:rsidP="002770D2">
      <w:pPr>
        <w:spacing w:line="240" w:lineRule="auto"/>
        <w:jc w:val="both"/>
        <w:rPr>
          <w:bCs/>
          <w:szCs w:val="24"/>
        </w:rPr>
      </w:pPr>
    </w:p>
    <w:p w14:paraId="2645F512" w14:textId="24ED193A" w:rsidR="002770D2" w:rsidRDefault="002770D2" w:rsidP="002770D2">
      <w:pPr>
        <w:spacing w:line="240" w:lineRule="auto"/>
        <w:jc w:val="both"/>
        <w:rPr>
          <w:szCs w:val="24"/>
        </w:rPr>
      </w:pPr>
      <w:r w:rsidRPr="006817DA">
        <w:rPr>
          <w:szCs w:val="24"/>
        </w:rPr>
        <w:t xml:space="preserve">Pod </w:t>
      </w:r>
      <w:r w:rsidRPr="006817DA">
        <w:rPr>
          <w:b/>
          <w:bCs/>
          <w:szCs w:val="24"/>
        </w:rPr>
        <w:t>ostatnými daňami</w:t>
      </w:r>
      <w:r w:rsidRPr="006817DA">
        <w:rPr>
          <w:szCs w:val="24"/>
        </w:rPr>
        <w:t xml:space="preserve"> boli rozpočtované príjmy zo Solidárneho príspevku z</w:t>
      </w:r>
      <w:r>
        <w:rPr>
          <w:szCs w:val="24"/>
        </w:rPr>
        <w:t> </w:t>
      </w:r>
      <w:r w:rsidRPr="006817DA">
        <w:rPr>
          <w:szCs w:val="24"/>
        </w:rPr>
        <w:t>činností v</w:t>
      </w:r>
      <w:r>
        <w:rPr>
          <w:szCs w:val="24"/>
        </w:rPr>
        <w:t> </w:t>
      </w:r>
      <w:r w:rsidRPr="006817DA">
        <w:rPr>
          <w:szCs w:val="24"/>
        </w:rPr>
        <w:t>odvetviach ropy, zemného plynu, uhlia a rafinérií a z osobitného odvodu z</w:t>
      </w:r>
      <w:r>
        <w:rPr>
          <w:szCs w:val="24"/>
        </w:rPr>
        <w:t> </w:t>
      </w:r>
      <w:r w:rsidRPr="006817DA">
        <w:rPr>
          <w:szCs w:val="24"/>
        </w:rPr>
        <w:t>podnikania v</w:t>
      </w:r>
      <w:r>
        <w:rPr>
          <w:szCs w:val="24"/>
        </w:rPr>
        <w:t> </w:t>
      </w:r>
      <w:r w:rsidRPr="006817DA">
        <w:rPr>
          <w:szCs w:val="24"/>
        </w:rPr>
        <w:t>regulovaných odvetviach.</w:t>
      </w:r>
    </w:p>
    <w:p w14:paraId="501A78FF" w14:textId="77777777" w:rsidR="002770D2" w:rsidRPr="006817DA" w:rsidRDefault="002770D2" w:rsidP="002770D2">
      <w:pPr>
        <w:spacing w:line="240" w:lineRule="auto"/>
        <w:jc w:val="both"/>
        <w:rPr>
          <w:szCs w:val="24"/>
        </w:rPr>
      </w:pPr>
    </w:p>
    <w:p w14:paraId="64D78775" w14:textId="2420B8DF" w:rsidR="002770D2" w:rsidRDefault="002770D2" w:rsidP="002770D2">
      <w:pPr>
        <w:spacing w:line="240" w:lineRule="auto"/>
        <w:jc w:val="both"/>
        <w:rPr>
          <w:szCs w:val="24"/>
        </w:rPr>
      </w:pPr>
      <w:r w:rsidRPr="006817DA">
        <w:rPr>
          <w:szCs w:val="24"/>
        </w:rPr>
        <w:t>Výnos zo</w:t>
      </w:r>
      <w:r w:rsidRPr="006817DA">
        <w:rPr>
          <w:b/>
          <w:bCs/>
          <w:szCs w:val="24"/>
        </w:rPr>
        <w:t xml:space="preserve"> solidárneho príspevku </w:t>
      </w:r>
      <w:r w:rsidRPr="006817DA">
        <w:rPr>
          <w:szCs w:val="24"/>
        </w:rPr>
        <w:t>sa očakával v objeme 244</w:t>
      </w:r>
      <w:r>
        <w:rPr>
          <w:szCs w:val="24"/>
        </w:rPr>
        <w:t> </w:t>
      </w:r>
      <w:r w:rsidRPr="006817DA">
        <w:rPr>
          <w:szCs w:val="24"/>
        </w:rPr>
        <w:t>933</w:t>
      </w:r>
      <w:r>
        <w:rPr>
          <w:szCs w:val="24"/>
        </w:rPr>
        <w:t> </w:t>
      </w:r>
      <w:r w:rsidRPr="006817DA">
        <w:rPr>
          <w:szCs w:val="24"/>
        </w:rPr>
        <w:t>tis.</w:t>
      </w:r>
      <w:r>
        <w:rPr>
          <w:szCs w:val="24"/>
        </w:rPr>
        <w:t> </w:t>
      </w:r>
      <w:r w:rsidRPr="006817DA">
        <w:rPr>
          <w:szCs w:val="24"/>
        </w:rPr>
        <w:t>eur. V skutočnosti však prišlo len 55</w:t>
      </w:r>
      <w:r>
        <w:rPr>
          <w:szCs w:val="24"/>
        </w:rPr>
        <w:t> </w:t>
      </w:r>
      <w:r w:rsidR="00D90A0C">
        <w:rPr>
          <w:szCs w:val="24"/>
        </w:rPr>
        <w:t>672 </w:t>
      </w:r>
      <w:r w:rsidRPr="006817DA">
        <w:rPr>
          <w:szCs w:val="24"/>
        </w:rPr>
        <w:t>tis.</w:t>
      </w:r>
      <w:r>
        <w:rPr>
          <w:szCs w:val="24"/>
        </w:rPr>
        <w:t> </w:t>
      </w:r>
      <w:r w:rsidRPr="006817DA">
        <w:rPr>
          <w:szCs w:val="24"/>
        </w:rPr>
        <w:t>eur.</w:t>
      </w:r>
    </w:p>
    <w:p w14:paraId="17315B4E" w14:textId="77777777" w:rsidR="002770D2" w:rsidRPr="006817DA" w:rsidRDefault="002770D2" w:rsidP="002770D2">
      <w:pPr>
        <w:spacing w:line="240" w:lineRule="auto"/>
        <w:jc w:val="both"/>
        <w:rPr>
          <w:szCs w:val="24"/>
        </w:rPr>
      </w:pPr>
    </w:p>
    <w:p w14:paraId="3B747E21" w14:textId="7198B663" w:rsidR="002770D2" w:rsidRDefault="002770D2" w:rsidP="002770D2">
      <w:pPr>
        <w:spacing w:line="240" w:lineRule="auto"/>
        <w:jc w:val="both"/>
        <w:rPr>
          <w:szCs w:val="24"/>
        </w:rPr>
      </w:pPr>
      <w:r w:rsidRPr="006817DA">
        <w:rPr>
          <w:b/>
          <w:bCs/>
          <w:szCs w:val="24"/>
        </w:rPr>
        <w:t xml:space="preserve">Osobitný odvod z podnikania v regulovaných odvetviach </w:t>
      </w:r>
      <w:r w:rsidRPr="006817DA">
        <w:rPr>
          <w:szCs w:val="24"/>
        </w:rPr>
        <w:t>sa rozpočtoval v</w:t>
      </w:r>
      <w:r>
        <w:rPr>
          <w:szCs w:val="24"/>
        </w:rPr>
        <w:t> </w:t>
      </w:r>
      <w:r w:rsidRPr="006817DA">
        <w:rPr>
          <w:szCs w:val="24"/>
        </w:rPr>
        <w:t>objeme 478</w:t>
      </w:r>
      <w:r>
        <w:rPr>
          <w:szCs w:val="24"/>
        </w:rPr>
        <w:t> </w:t>
      </w:r>
      <w:r w:rsidRPr="006817DA">
        <w:rPr>
          <w:szCs w:val="24"/>
        </w:rPr>
        <w:t>439</w:t>
      </w:r>
      <w:r>
        <w:rPr>
          <w:szCs w:val="24"/>
        </w:rPr>
        <w:t> </w:t>
      </w:r>
      <w:r w:rsidRPr="006817DA">
        <w:rPr>
          <w:szCs w:val="24"/>
        </w:rPr>
        <w:t>tis.</w:t>
      </w:r>
      <w:r>
        <w:rPr>
          <w:szCs w:val="24"/>
        </w:rPr>
        <w:t> </w:t>
      </w:r>
      <w:r w:rsidRPr="006817DA">
        <w:rPr>
          <w:szCs w:val="24"/>
        </w:rPr>
        <w:t>eur. V skutočnosti bol výnos o</w:t>
      </w:r>
      <w:r>
        <w:rPr>
          <w:szCs w:val="24"/>
        </w:rPr>
        <w:t> </w:t>
      </w:r>
      <w:r w:rsidRPr="006817DA">
        <w:rPr>
          <w:szCs w:val="24"/>
        </w:rPr>
        <w:t>160</w:t>
      </w:r>
      <w:r>
        <w:rPr>
          <w:szCs w:val="24"/>
        </w:rPr>
        <w:t> </w:t>
      </w:r>
      <w:r w:rsidRPr="006817DA">
        <w:rPr>
          <w:szCs w:val="24"/>
        </w:rPr>
        <w:t>982</w:t>
      </w:r>
      <w:r>
        <w:rPr>
          <w:szCs w:val="24"/>
        </w:rPr>
        <w:t> </w:t>
      </w:r>
      <w:r w:rsidRPr="006817DA">
        <w:rPr>
          <w:szCs w:val="24"/>
        </w:rPr>
        <w:t>tis.</w:t>
      </w:r>
      <w:r>
        <w:rPr>
          <w:szCs w:val="24"/>
        </w:rPr>
        <w:t> </w:t>
      </w:r>
      <w:r w:rsidRPr="006817DA">
        <w:rPr>
          <w:szCs w:val="24"/>
        </w:rPr>
        <w:t>eur vyšší.</w:t>
      </w:r>
      <w:r w:rsidRPr="006817DA">
        <w:rPr>
          <w:b/>
          <w:bCs/>
          <w:szCs w:val="24"/>
        </w:rPr>
        <w:t xml:space="preserve"> </w:t>
      </w:r>
      <w:r w:rsidRPr="006817DA">
        <w:rPr>
          <w:szCs w:val="24"/>
        </w:rPr>
        <w:t>Za vyšším výnosom sú predovšetkým lepšie hotovostné príjmy zo sektora bankovníctva a sektora spracovania ropy.</w:t>
      </w:r>
    </w:p>
    <w:p w14:paraId="4D83FB06" w14:textId="77777777" w:rsidR="002770D2" w:rsidRPr="006817DA" w:rsidRDefault="002770D2" w:rsidP="002770D2">
      <w:pPr>
        <w:spacing w:line="240" w:lineRule="auto"/>
        <w:jc w:val="both"/>
        <w:rPr>
          <w:szCs w:val="24"/>
        </w:rPr>
      </w:pPr>
    </w:p>
    <w:p w14:paraId="6C72FAFF" w14:textId="3663D33B" w:rsidR="004D69BF" w:rsidRPr="0050710A" w:rsidRDefault="002770D2" w:rsidP="002770D2">
      <w:pPr>
        <w:spacing w:line="240" w:lineRule="auto"/>
        <w:jc w:val="both"/>
        <w:rPr>
          <w:bCs/>
          <w:szCs w:val="24"/>
          <w:highlight w:val="yellow"/>
        </w:rPr>
      </w:pPr>
      <w:r w:rsidRPr="006817DA">
        <w:rPr>
          <w:b/>
          <w:szCs w:val="24"/>
        </w:rPr>
        <w:t xml:space="preserve">Sankcie uložené v daňovom konaní a sankcie súvisiace s úhradou dane </w:t>
      </w:r>
      <w:r w:rsidRPr="006817DA">
        <w:rPr>
          <w:bCs/>
          <w:szCs w:val="24"/>
        </w:rPr>
        <w:t>sa rozpočtovali v</w:t>
      </w:r>
      <w:r>
        <w:rPr>
          <w:bCs/>
          <w:szCs w:val="24"/>
        </w:rPr>
        <w:t> </w:t>
      </w:r>
      <w:r w:rsidRPr="006817DA">
        <w:rPr>
          <w:bCs/>
          <w:szCs w:val="24"/>
        </w:rPr>
        <w:t>sume 49</w:t>
      </w:r>
      <w:r>
        <w:rPr>
          <w:bCs/>
          <w:szCs w:val="24"/>
        </w:rPr>
        <w:t> </w:t>
      </w:r>
      <w:r w:rsidRPr="006817DA">
        <w:rPr>
          <w:bCs/>
          <w:szCs w:val="24"/>
        </w:rPr>
        <w:t>363</w:t>
      </w:r>
      <w:r>
        <w:rPr>
          <w:bCs/>
          <w:szCs w:val="24"/>
        </w:rPr>
        <w:t> </w:t>
      </w:r>
      <w:r w:rsidRPr="006817DA">
        <w:rPr>
          <w:bCs/>
          <w:szCs w:val="24"/>
        </w:rPr>
        <w:t>tis.</w:t>
      </w:r>
      <w:r>
        <w:rPr>
          <w:bCs/>
          <w:szCs w:val="24"/>
        </w:rPr>
        <w:t> </w:t>
      </w:r>
      <w:r w:rsidRPr="006817DA">
        <w:rPr>
          <w:bCs/>
          <w:szCs w:val="24"/>
        </w:rPr>
        <w:t>eur. Ich skutočný objem dosiahol ku koncu roka 2025 sumu 51</w:t>
      </w:r>
      <w:r>
        <w:rPr>
          <w:bCs/>
          <w:szCs w:val="24"/>
        </w:rPr>
        <w:t> </w:t>
      </w:r>
      <w:r w:rsidRPr="006817DA">
        <w:rPr>
          <w:bCs/>
          <w:szCs w:val="24"/>
        </w:rPr>
        <w:t>813</w:t>
      </w:r>
      <w:r>
        <w:rPr>
          <w:bCs/>
          <w:szCs w:val="24"/>
        </w:rPr>
        <w:t> </w:t>
      </w:r>
      <w:r w:rsidRPr="006817DA">
        <w:rPr>
          <w:bCs/>
          <w:szCs w:val="24"/>
        </w:rPr>
        <w:t>tis.</w:t>
      </w:r>
      <w:r>
        <w:rPr>
          <w:bCs/>
          <w:szCs w:val="24"/>
        </w:rPr>
        <w:t> </w:t>
      </w:r>
      <w:r w:rsidRPr="006817DA">
        <w:rPr>
          <w:bCs/>
          <w:szCs w:val="24"/>
        </w:rPr>
        <w:t>eur.</w:t>
      </w:r>
    </w:p>
    <w:p w14:paraId="6F767102" w14:textId="77777777" w:rsidR="00D46A5E" w:rsidRPr="0050710A" w:rsidRDefault="00D46A5E" w:rsidP="00532D85">
      <w:pPr>
        <w:spacing w:line="240" w:lineRule="auto"/>
        <w:jc w:val="both"/>
        <w:rPr>
          <w:bCs/>
          <w:szCs w:val="24"/>
          <w:highlight w:val="yellow"/>
        </w:rPr>
      </w:pPr>
    </w:p>
    <w:p w14:paraId="51EAE65A" w14:textId="36B6CD1C" w:rsidR="00A1147F" w:rsidRPr="00D1091A" w:rsidRDefault="00A1147F" w:rsidP="00532D85">
      <w:pPr>
        <w:pStyle w:val="Popis"/>
        <w:jc w:val="both"/>
        <w:rPr>
          <w:i/>
          <w:lang w:eastAsia="sk-SK"/>
        </w:rPr>
      </w:pPr>
      <w:bookmarkStart w:id="104" w:name="_Toc196313652"/>
      <w:bookmarkStart w:id="105" w:name="_Toc227670162"/>
      <w:r w:rsidRPr="00D1091A">
        <w:rPr>
          <w:lang w:eastAsia="sk-SK"/>
        </w:rPr>
        <w:t xml:space="preserve">Tabuľka </w:t>
      </w:r>
      <w:r w:rsidRPr="00D1091A">
        <w:rPr>
          <w:i/>
          <w:lang w:eastAsia="sk-SK"/>
        </w:rPr>
        <w:fldChar w:fldCharType="begin"/>
      </w:r>
      <w:r w:rsidRPr="00D1091A">
        <w:rPr>
          <w:lang w:eastAsia="sk-SK"/>
        </w:rPr>
        <w:instrText xml:space="preserve"> SEQ Tabuľka \* ARABIC </w:instrText>
      </w:r>
      <w:r w:rsidRPr="00D1091A">
        <w:rPr>
          <w:i/>
          <w:lang w:eastAsia="sk-SK"/>
        </w:rPr>
        <w:fldChar w:fldCharType="separate"/>
      </w:r>
      <w:r w:rsidR="00396BE8">
        <w:rPr>
          <w:noProof/>
          <w:lang w:eastAsia="sk-SK"/>
        </w:rPr>
        <w:t>26</w:t>
      </w:r>
      <w:r w:rsidRPr="00D1091A">
        <w:rPr>
          <w:i/>
          <w:lang w:eastAsia="sk-SK"/>
        </w:rPr>
        <w:fldChar w:fldCharType="end"/>
      </w:r>
      <w:r w:rsidRPr="00D1091A">
        <w:rPr>
          <w:lang w:eastAsia="sk-SK"/>
        </w:rPr>
        <w:t xml:space="preserve"> - Povolené úľavy na dani </w:t>
      </w:r>
      <w:r w:rsidR="00A247EB" w:rsidRPr="00D1091A">
        <w:rPr>
          <w:lang w:eastAsia="sk-SK"/>
        </w:rPr>
        <w:t>a odpustenia</w:t>
      </w:r>
      <w:r w:rsidRPr="00D1091A">
        <w:rPr>
          <w:lang w:eastAsia="sk-SK"/>
        </w:rPr>
        <w:t xml:space="preserve"> nedoplatku </w:t>
      </w:r>
      <w:r w:rsidR="00A247EB" w:rsidRPr="00D1091A">
        <w:rPr>
          <w:lang w:eastAsia="sk-SK"/>
        </w:rPr>
        <w:t xml:space="preserve">/ </w:t>
      </w:r>
      <w:r w:rsidRPr="00D1091A">
        <w:rPr>
          <w:lang w:eastAsia="sk-SK"/>
        </w:rPr>
        <w:t>sankcie v roku 202</w:t>
      </w:r>
      <w:bookmarkEnd w:id="104"/>
      <w:r w:rsidR="00D1091A" w:rsidRPr="00D1091A">
        <w:rPr>
          <w:lang w:eastAsia="sk-SK"/>
        </w:rPr>
        <w:t>5</w:t>
      </w:r>
      <w:bookmarkEnd w:id="105"/>
    </w:p>
    <w:tbl>
      <w:tblPr>
        <w:tblW w:w="5000" w:type="pct"/>
        <w:tblCellMar>
          <w:left w:w="70" w:type="dxa"/>
          <w:right w:w="70" w:type="dxa"/>
        </w:tblCellMar>
        <w:tblLook w:val="04A0" w:firstRow="1" w:lastRow="0" w:firstColumn="1" w:lastColumn="0" w:noHBand="0" w:noVBand="1"/>
      </w:tblPr>
      <w:tblGrid>
        <w:gridCol w:w="2399"/>
        <w:gridCol w:w="1116"/>
        <w:gridCol w:w="1865"/>
        <w:gridCol w:w="1230"/>
        <w:gridCol w:w="2460"/>
      </w:tblGrid>
      <w:tr w:rsidR="004D69BF" w:rsidRPr="00D1091A" w14:paraId="253AB63F" w14:textId="77777777" w:rsidTr="003F4BCE">
        <w:trPr>
          <w:trHeight w:val="448"/>
          <w:tblHeader/>
        </w:trPr>
        <w:tc>
          <w:tcPr>
            <w:tcW w:w="1323" w:type="pct"/>
            <w:vMerge w:val="restart"/>
            <w:tcBorders>
              <w:top w:val="single" w:sz="4" w:space="0" w:color="auto"/>
              <w:left w:val="nil"/>
              <w:bottom w:val="nil"/>
              <w:right w:val="nil"/>
            </w:tcBorders>
            <w:vAlign w:val="center"/>
            <w:hideMark/>
          </w:tcPr>
          <w:p w14:paraId="4D5FDD15"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Finančný orgán</w:t>
            </w:r>
          </w:p>
        </w:tc>
        <w:tc>
          <w:tcPr>
            <w:tcW w:w="1643" w:type="pct"/>
            <w:gridSpan w:val="2"/>
            <w:tcBorders>
              <w:top w:val="single" w:sz="4" w:space="0" w:color="auto"/>
              <w:left w:val="nil"/>
              <w:bottom w:val="nil"/>
              <w:right w:val="nil"/>
            </w:tcBorders>
            <w:hideMark/>
          </w:tcPr>
          <w:p w14:paraId="71B1423F" w14:textId="77777777" w:rsidR="004D69BF" w:rsidRPr="00D1091A" w:rsidRDefault="004D69BF" w:rsidP="00D1091A">
            <w:pPr>
              <w:spacing w:line="240" w:lineRule="auto"/>
              <w:jc w:val="center"/>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Úľavy na dani alebo odpustenie daňového nedoplatku na dani</w:t>
            </w:r>
          </w:p>
        </w:tc>
        <w:tc>
          <w:tcPr>
            <w:tcW w:w="2031" w:type="pct"/>
            <w:gridSpan w:val="2"/>
            <w:tcBorders>
              <w:top w:val="single" w:sz="4" w:space="0" w:color="auto"/>
              <w:left w:val="nil"/>
              <w:bottom w:val="nil"/>
              <w:right w:val="nil"/>
            </w:tcBorders>
            <w:hideMark/>
          </w:tcPr>
          <w:p w14:paraId="38476000" w14:textId="77777777" w:rsidR="004D69BF" w:rsidRPr="00D1091A" w:rsidRDefault="004D69BF" w:rsidP="00D1091A">
            <w:pPr>
              <w:spacing w:line="240" w:lineRule="auto"/>
              <w:jc w:val="center"/>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Úľavy zo sankcie alebo odpustenie sankcie</w:t>
            </w:r>
          </w:p>
        </w:tc>
      </w:tr>
      <w:tr w:rsidR="004D69BF" w:rsidRPr="00D1091A" w14:paraId="525CD6D4" w14:textId="77777777" w:rsidTr="003F4BCE">
        <w:trPr>
          <w:trHeight w:val="60"/>
          <w:tblHeader/>
        </w:trPr>
        <w:tc>
          <w:tcPr>
            <w:tcW w:w="1323" w:type="pct"/>
            <w:vMerge/>
            <w:tcBorders>
              <w:top w:val="single" w:sz="4" w:space="0" w:color="auto"/>
              <w:left w:val="nil"/>
              <w:bottom w:val="nil"/>
              <w:right w:val="nil"/>
            </w:tcBorders>
            <w:vAlign w:val="center"/>
            <w:hideMark/>
          </w:tcPr>
          <w:p w14:paraId="586E44FC" w14:textId="77777777" w:rsidR="004D69BF" w:rsidRPr="00D1091A" w:rsidRDefault="004D69BF" w:rsidP="00532D85">
            <w:pPr>
              <w:spacing w:line="240" w:lineRule="auto"/>
              <w:jc w:val="both"/>
              <w:rPr>
                <w:rFonts w:eastAsia="Times New Roman" w:cs="Times New Roman"/>
                <w:b/>
                <w:bCs/>
                <w:color w:val="000000"/>
                <w:sz w:val="18"/>
                <w:szCs w:val="18"/>
                <w:lang w:eastAsia="sk-SK"/>
              </w:rPr>
            </w:pPr>
          </w:p>
        </w:tc>
        <w:tc>
          <w:tcPr>
            <w:tcW w:w="615" w:type="pct"/>
            <w:tcBorders>
              <w:top w:val="nil"/>
              <w:left w:val="nil"/>
              <w:bottom w:val="nil"/>
              <w:right w:val="nil"/>
            </w:tcBorders>
            <w:vAlign w:val="center"/>
            <w:hideMark/>
          </w:tcPr>
          <w:p w14:paraId="195956EF"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počet</w:t>
            </w:r>
          </w:p>
        </w:tc>
        <w:tc>
          <w:tcPr>
            <w:tcW w:w="1028" w:type="pct"/>
            <w:tcBorders>
              <w:top w:val="nil"/>
              <w:left w:val="nil"/>
              <w:bottom w:val="nil"/>
              <w:right w:val="nil"/>
            </w:tcBorders>
            <w:vAlign w:val="center"/>
            <w:hideMark/>
          </w:tcPr>
          <w:p w14:paraId="1368CB12"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 xml:space="preserve">suma </w:t>
            </w:r>
          </w:p>
        </w:tc>
        <w:tc>
          <w:tcPr>
            <w:tcW w:w="678" w:type="pct"/>
            <w:tcBorders>
              <w:top w:val="nil"/>
              <w:left w:val="nil"/>
              <w:bottom w:val="nil"/>
              <w:right w:val="nil"/>
            </w:tcBorders>
            <w:vAlign w:val="center"/>
            <w:hideMark/>
          </w:tcPr>
          <w:p w14:paraId="36432684"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počet</w:t>
            </w:r>
          </w:p>
        </w:tc>
        <w:tc>
          <w:tcPr>
            <w:tcW w:w="1356" w:type="pct"/>
            <w:tcBorders>
              <w:top w:val="nil"/>
              <w:left w:val="nil"/>
              <w:bottom w:val="nil"/>
              <w:right w:val="nil"/>
            </w:tcBorders>
            <w:vAlign w:val="center"/>
            <w:hideMark/>
          </w:tcPr>
          <w:p w14:paraId="4929598A"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 xml:space="preserve">suma </w:t>
            </w:r>
          </w:p>
        </w:tc>
      </w:tr>
      <w:tr w:rsidR="004D69BF" w:rsidRPr="00D1091A" w14:paraId="53B333AD" w14:textId="77777777" w:rsidTr="003F4BCE">
        <w:trPr>
          <w:trHeight w:val="259"/>
          <w:tblHeader/>
        </w:trPr>
        <w:tc>
          <w:tcPr>
            <w:tcW w:w="1323" w:type="pct"/>
            <w:tcBorders>
              <w:top w:val="nil"/>
              <w:left w:val="nil"/>
              <w:bottom w:val="single" w:sz="4" w:space="0" w:color="auto"/>
              <w:right w:val="nil"/>
            </w:tcBorders>
            <w:vAlign w:val="center"/>
            <w:hideMark/>
          </w:tcPr>
          <w:p w14:paraId="4EAA58BC" w14:textId="77777777" w:rsidR="004D69BF" w:rsidRPr="00D1091A" w:rsidRDefault="004D69BF" w:rsidP="00532D85">
            <w:pPr>
              <w:spacing w:line="240" w:lineRule="auto"/>
              <w:jc w:val="both"/>
              <w:rPr>
                <w:rFonts w:eastAsia="Times New Roman" w:cs="Times New Roman"/>
                <w:b/>
                <w:bCs/>
                <w:color w:val="000000"/>
                <w:sz w:val="18"/>
                <w:szCs w:val="18"/>
                <w:lang w:eastAsia="sk-SK"/>
              </w:rPr>
            </w:pPr>
          </w:p>
        </w:tc>
        <w:tc>
          <w:tcPr>
            <w:tcW w:w="615" w:type="pct"/>
            <w:tcBorders>
              <w:top w:val="nil"/>
              <w:left w:val="nil"/>
              <w:bottom w:val="single" w:sz="4" w:space="0" w:color="auto"/>
              <w:right w:val="nil"/>
            </w:tcBorders>
            <w:vAlign w:val="center"/>
            <w:hideMark/>
          </w:tcPr>
          <w:p w14:paraId="781AF657"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 </w:t>
            </w:r>
          </w:p>
        </w:tc>
        <w:tc>
          <w:tcPr>
            <w:tcW w:w="1028" w:type="pct"/>
            <w:tcBorders>
              <w:top w:val="nil"/>
              <w:left w:val="nil"/>
              <w:bottom w:val="single" w:sz="4" w:space="0" w:color="auto"/>
              <w:right w:val="nil"/>
            </w:tcBorders>
            <w:vAlign w:val="center"/>
            <w:hideMark/>
          </w:tcPr>
          <w:p w14:paraId="3D6963D6"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 (v tis. eur)</w:t>
            </w:r>
          </w:p>
        </w:tc>
        <w:tc>
          <w:tcPr>
            <w:tcW w:w="678" w:type="pct"/>
            <w:tcBorders>
              <w:top w:val="nil"/>
              <w:left w:val="nil"/>
              <w:bottom w:val="single" w:sz="4" w:space="0" w:color="auto"/>
              <w:right w:val="nil"/>
            </w:tcBorders>
            <w:vAlign w:val="center"/>
            <w:hideMark/>
          </w:tcPr>
          <w:p w14:paraId="0F27E8E1"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 </w:t>
            </w:r>
          </w:p>
        </w:tc>
        <w:tc>
          <w:tcPr>
            <w:tcW w:w="1356" w:type="pct"/>
            <w:tcBorders>
              <w:top w:val="nil"/>
              <w:left w:val="nil"/>
              <w:bottom w:val="single" w:sz="4" w:space="0" w:color="auto"/>
              <w:right w:val="nil"/>
            </w:tcBorders>
            <w:vAlign w:val="center"/>
            <w:hideMark/>
          </w:tcPr>
          <w:p w14:paraId="091DB4F1"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(v tis. eur) </w:t>
            </w:r>
          </w:p>
        </w:tc>
      </w:tr>
      <w:tr w:rsidR="004D69BF" w:rsidRPr="00D1091A" w14:paraId="6C966326" w14:textId="77777777" w:rsidTr="003F4BCE">
        <w:trPr>
          <w:trHeight w:val="288"/>
        </w:trPr>
        <w:tc>
          <w:tcPr>
            <w:tcW w:w="1323" w:type="pct"/>
            <w:tcBorders>
              <w:top w:val="nil"/>
              <w:left w:val="nil"/>
              <w:bottom w:val="nil"/>
              <w:right w:val="nil"/>
            </w:tcBorders>
            <w:vAlign w:val="center"/>
            <w:hideMark/>
          </w:tcPr>
          <w:p w14:paraId="1CD2618C"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Daňové úrady</w:t>
            </w:r>
          </w:p>
        </w:tc>
        <w:tc>
          <w:tcPr>
            <w:tcW w:w="615" w:type="pct"/>
            <w:tcBorders>
              <w:top w:val="nil"/>
              <w:left w:val="nil"/>
              <w:bottom w:val="nil"/>
              <w:right w:val="nil"/>
            </w:tcBorders>
            <w:vAlign w:val="center"/>
            <w:hideMark/>
          </w:tcPr>
          <w:p w14:paraId="4DF4E856" w14:textId="39CE3B7F" w:rsidR="004D69BF" w:rsidRPr="00D1091A" w:rsidRDefault="00D1091A" w:rsidP="00532D85">
            <w:pPr>
              <w:spacing w:line="240" w:lineRule="auto"/>
              <w:jc w:val="both"/>
              <w:rPr>
                <w:rFonts w:eastAsia="Times New Roman" w:cs="Times New Roman"/>
                <w:color w:val="000000"/>
                <w:sz w:val="18"/>
                <w:szCs w:val="18"/>
                <w:lang w:eastAsia="sk-SK"/>
              </w:rPr>
            </w:pPr>
            <w:r>
              <w:rPr>
                <w:rFonts w:eastAsia="Times New Roman" w:cs="Times New Roman"/>
                <w:color w:val="000000"/>
                <w:sz w:val="18"/>
                <w:szCs w:val="18"/>
                <w:lang w:eastAsia="sk-SK"/>
              </w:rPr>
              <w:t>1</w:t>
            </w:r>
          </w:p>
        </w:tc>
        <w:tc>
          <w:tcPr>
            <w:tcW w:w="1028" w:type="pct"/>
            <w:tcBorders>
              <w:top w:val="nil"/>
              <w:left w:val="nil"/>
              <w:bottom w:val="nil"/>
              <w:right w:val="nil"/>
            </w:tcBorders>
            <w:vAlign w:val="center"/>
            <w:hideMark/>
          </w:tcPr>
          <w:p w14:paraId="47821916" w14:textId="5A773D60"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0,0</w:t>
            </w:r>
            <w:r w:rsidR="00D1091A">
              <w:rPr>
                <w:rFonts w:eastAsia="Times New Roman" w:cs="Times New Roman"/>
                <w:color w:val="000000"/>
                <w:sz w:val="18"/>
                <w:szCs w:val="18"/>
                <w:lang w:eastAsia="sk-SK"/>
              </w:rPr>
              <w:t>9</w:t>
            </w:r>
          </w:p>
        </w:tc>
        <w:tc>
          <w:tcPr>
            <w:tcW w:w="678" w:type="pct"/>
            <w:tcBorders>
              <w:top w:val="nil"/>
              <w:left w:val="nil"/>
              <w:bottom w:val="nil"/>
              <w:right w:val="nil"/>
            </w:tcBorders>
            <w:vAlign w:val="center"/>
            <w:hideMark/>
          </w:tcPr>
          <w:p w14:paraId="650945C5" w14:textId="4344A11B" w:rsidR="004D69BF" w:rsidRPr="00D1091A" w:rsidRDefault="00D1091A" w:rsidP="00532D85">
            <w:pPr>
              <w:spacing w:line="240" w:lineRule="auto"/>
              <w:jc w:val="both"/>
              <w:rPr>
                <w:rFonts w:eastAsia="Times New Roman" w:cs="Times New Roman"/>
                <w:color w:val="000000"/>
                <w:sz w:val="18"/>
                <w:szCs w:val="18"/>
                <w:lang w:eastAsia="sk-SK"/>
              </w:rPr>
            </w:pPr>
            <w:r>
              <w:rPr>
                <w:rFonts w:eastAsia="Times New Roman" w:cs="Times New Roman"/>
                <w:color w:val="000000"/>
                <w:sz w:val="18"/>
                <w:szCs w:val="18"/>
                <w:lang w:eastAsia="sk-SK"/>
              </w:rPr>
              <w:t>158</w:t>
            </w:r>
          </w:p>
        </w:tc>
        <w:tc>
          <w:tcPr>
            <w:tcW w:w="1356" w:type="pct"/>
            <w:tcBorders>
              <w:top w:val="nil"/>
              <w:left w:val="nil"/>
              <w:bottom w:val="nil"/>
              <w:right w:val="nil"/>
            </w:tcBorders>
            <w:vAlign w:val="center"/>
            <w:hideMark/>
          </w:tcPr>
          <w:p w14:paraId="2FC67C2C" w14:textId="37C0237B" w:rsidR="004D69BF" w:rsidRPr="00D1091A" w:rsidRDefault="00D1091A" w:rsidP="00532D85">
            <w:pPr>
              <w:spacing w:line="240" w:lineRule="auto"/>
              <w:jc w:val="both"/>
              <w:rPr>
                <w:rFonts w:eastAsia="Times New Roman" w:cs="Times New Roman"/>
                <w:color w:val="000000"/>
                <w:sz w:val="18"/>
                <w:szCs w:val="18"/>
                <w:lang w:eastAsia="sk-SK"/>
              </w:rPr>
            </w:pPr>
            <w:r>
              <w:rPr>
                <w:rFonts w:eastAsia="Times New Roman" w:cs="Times New Roman"/>
                <w:color w:val="000000"/>
                <w:sz w:val="18"/>
                <w:szCs w:val="18"/>
                <w:lang w:eastAsia="sk-SK"/>
              </w:rPr>
              <w:t>915,10</w:t>
            </w:r>
          </w:p>
        </w:tc>
      </w:tr>
      <w:tr w:rsidR="004D69BF" w:rsidRPr="00D1091A" w14:paraId="73C63999" w14:textId="77777777" w:rsidTr="003F4BCE">
        <w:trPr>
          <w:trHeight w:val="288"/>
        </w:trPr>
        <w:tc>
          <w:tcPr>
            <w:tcW w:w="1323" w:type="pct"/>
            <w:tcBorders>
              <w:top w:val="nil"/>
              <w:left w:val="nil"/>
              <w:bottom w:val="nil"/>
              <w:right w:val="nil"/>
            </w:tcBorders>
            <w:vAlign w:val="center"/>
            <w:hideMark/>
          </w:tcPr>
          <w:p w14:paraId="6066875D"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 xml:space="preserve">Colné úrady /* </w:t>
            </w:r>
          </w:p>
        </w:tc>
        <w:tc>
          <w:tcPr>
            <w:tcW w:w="615" w:type="pct"/>
            <w:tcBorders>
              <w:top w:val="nil"/>
              <w:left w:val="nil"/>
              <w:bottom w:val="nil"/>
              <w:right w:val="nil"/>
            </w:tcBorders>
            <w:vAlign w:val="center"/>
            <w:hideMark/>
          </w:tcPr>
          <w:p w14:paraId="5863DD9D"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x</w:t>
            </w:r>
          </w:p>
        </w:tc>
        <w:tc>
          <w:tcPr>
            <w:tcW w:w="1028" w:type="pct"/>
            <w:tcBorders>
              <w:top w:val="nil"/>
              <w:left w:val="nil"/>
              <w:bottom w:val="nil"/>
              <w:right w:val="nil"/>
            </w:tcBorders>
            <w:vAlign w:val="center"/>
            <w:hideMark/>
          </w:tcPr>
          <w:p w14:paraId="0A39C048"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 xml:space="preserve"> x</w:t>
            </w:r>
          </w:p>
        </w:tc>
        <w:tc>
          <w:tcPr>
            <w:tcW w:w="678" w:type="pct"/>
            <w:tcBorders>
              <w:top w:val="nil"/>
              <w:left w:val="nil"/>
              <w:bottom w:val="nil"/>
              <w:right w:val="nil"/>
            </w:tcBorders>
            <w:vAlign w:val="center"/>
            <w:hideMark/>
          </w:tcPr>
          <w:p w14:paraId="64924160"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X</w:t>
            </w:r>
          </w:p>
        </w:tc>
        <w:tc>
          <w:tcPr>
            <w:tcW w:w="1356" w:type="pct"/>
            <w:tcBorders>
              <w:top w:val="nil"/>
              <w:left w:val="nil"/>
              <w:bottom w:val="nil"/>
              <w:right w:val="nil"/>
            </w:tcBorders>
            <w:vAlign w:val="center"/>
            <w:hideMark/>
          </w:tcPr>
          <w:p w14:paraId="59E2FB0E"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x</w:t>
            </w:r>
          </w:p>
        </w:tc>
      </w:tr>
      <w:tr w:rsidR="004D69BF" w:rsidRPr="00D1091A" w14:paraId="6CBCC7EF" w14:textId="77777777" w:rsidTr="003F4BCE">
        <w:trPr>
          <w:trHeight w:val="288"/>
        </w:trPr>
        <w:tc>
          <w:tcPr>
            <w:tcW w:w="1323" w:type="pct"/>
            <w:tcBorders>
              <w:top w:val="nil"/>
              <w:left w:val="nil"/>
              <w:bottom w:val="nil"/>
              <w:right w:val="nil"/>
            </w:tcBorders>
            <w:vAlign w:val="center"/>
            <w:hideMark/>
          </w:tcPr>
          <w:p w14:paraId="169CA9E8"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FR SR</w:t>
            </w:r>
          </w:p>
        </w:tc>
        <w:tc>
          <w:tcPr>
            <w:tcW w:w="615" w:type="pct"/>
            <w:tcBorders>
              <w:top w:val="nil"/>
              <w:left w:val="nil"/>
              <w:bottom w:val="nil"/>
              <w:right w:val="nil"/>
            </w:tcBorders>
            <w:vAlign w:val="center"/>
            <w:hideMark/>
          </w:tcPr>
          <w:p w14:paraId="132EDE8F" w14:textId="599464E8" w:rsidR="004D69BF" w:rsidRPr="00D1091A" w:rsidRDefault="00D1091A" w:rsidP="00532D85">
            <w:pPr>
              <w:spacing w:line="240" w:lineRule="auto"/>
              <w:jc w:val="both"/>
              <w:rPr>
                <w:rFonts w:eastAsia="Times New Roman" w:cs="Times New Roman"/>
                <w:color w:val="000000"/>
                <w:sz w:val="18"/>
                <w:szCs w:val="18"/>
                <w:lang w:eastAsia="sk-SK"/>
              </w:rPr>
            </w:pPr>
            <w:r>
              <w:rPr>
                <w:rFonts w:eastAsia="Times New Roman" w:cs="Times New Roman"/>
                <w:color w:val="000000"/>
                <w:sz w:val="18"/>
                <w:szCs w:val="18"/>
                <w:lang w:eastAsia="sk-SK"/>
              </w:rPr>
              <w:t>x</w:t>
            </w:r>
          </w:p>
        </w:tc>
        <w:tc>
          <w:tcPr>
            <w:tcW w:w="1028" w:type="pct"/>
            <w:tcBorders>
              <w:top w:val="nil"/>
              <w:left w:val="nil"/>
              <w:bottom w:val="nil"/>
              <w:right w:val="nil"/>
            </w:tcBorders>
            <w:vAlign w:val="center"/>
            <w:hideMark/>
          </w:tcPr>
          <w:p w14:paraId="081CCD0C"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x</w:t>
            </w:r>
          </w:p>
        </w:tc>
        <w:tc>
          <w:tcPr>
            <w:tcW w:w="678" w:type="pct"/>
            <w:tcBorders>
              <w:top w:val="nil"/>
              <w:left w:val="nil"/>
              <w:bottom w:val="nil"/>
              <w:right w:val="nil"/>
            </w:tcBorders>
            <w:vAlign w:val="center"/>
            <w:hideMark/>
          </w:tcPr>
          <w:p w14:paraId="53F30892"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X</w:t>
            </w:r>
          </w:p>
        </w:tc>
        <w:tc>
          <w:tcPr>
            <w:tcW w:w="1356" w:type="pct"/>
            <w:tcBorders>
              <w:top w:val="nil"/>
              <w:left w:val="nil"/>
              <w:bottom w:val="nil"/>
              <w:right w:val="nil"/>
            </w:tcBorders>
            <w:vAlign w:val="center"/>
            <w:hideMark/>
          </w:tcPr>
          <w:p w14:paraId="2D9CA042" w14:textId="77777777" w:rsidR="004D69BF" w:rsidRPr="00D1091A" w:rsidRDefault="004D69BF" w:rsidP="00532D85">
            <w:pPr>
              <w:spacing w:line="240" w:lineRule="auto"/>
              <w:jc w:val="both"/>
              <w:rPr>
                <w:rFonts w:eastAsia="Times New Roman" w:cs="Times New Roman"/>
                <w:color w:val="000000"/>
                <w:sz w:val="18"/>
                <w:szCs w:val="18"/>
                <w:lang w:eastAsia="sk-SK"/>
              </w:rPr>
            </w:pPr>
            <w:r w:rsidRPr="00D1091A">
              <w:rPr>
                <w:rFonts w:eastAsia="Times New Roman" w:cs="Times New Roman"/>
                <w:color w:val="000000"/>
                <w:sz w:val="18"/>
                <w:szCs w:val="18"/>
                <w:lang w:eastAsia="sk-SK"/>
              </w:rPr>
              <w:t>x</w:t>
            </w:r>
          </w:p>
        </w:tc>
      </w:tr>
      <w:tr w:rsidR="004D69BF" w:rsidRPr="00D1091A" w14:paraId="0E36D73A" w14:textId="77777777" w:rsidTr="003F4BCE">
        <w:trPr>
          <w:trHeight w:val="288"/>
        </w:trPr>
        <w:tc>
          <w:tcPr>
            <w:tcW w:w="1323" w:type="pct"/>
            <w:tcBorders>
              <w:top w:val="single" w:sz="4" w:space="0" w:color="auto"/>
              <w:left w:val="nil"/>
              <w:bottom w:val="single" w:sz="4" w:space="0" w:color="auto"/>
              <w:right w:val="nil"/>
            </w:tcBorders>
            <w:vAlign w:val="center"/>
            <w:hideMark/>
          </w:tcPr>
          <w:p w14:paraId="214F125D" w14:textId="77777777"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Spolu</w:t>
            </w:r>
          </w:p>
        </w:tc>
        <w:tc>
          <w:tcPr>
            <w:tcW w:w="615" w:type="pct"/>
            <w:tcBorders>
              <w:top w:val="single" w:sz="4" w:space="0" w:color="auto"/>
              <w:left w:val="nil"/>
              <w:bottom w:val="single" w:sz="4" w:space="0" w:color="auto"/>
              <w:right w:val="nil"/>
            </w:tcBorders>
            <w:vAlign w:val="center"/>
            <w:hideMark/>
          </w:tcPr>
          <w:p w14:paraId="71803B0C" w14:textId="0DE30D05" w:rsidR="004D69BF" w:rsidRPr="00D1091A" w:rsidRDefault="00D1091A" w:rsidP="00532D85">
            <w:pPr>
              <w:spacing w:line="240" w:lineRule="auto"/>
              <w:jc w:val="both"/>
              <w:rPr>
                <w:rFonts w:eastAsia="Times New Roman" w:cs="Times New Roman"/>
                <w:b/>
                <w:bCs/>
                <w:color w:val="000000"/>
                <w:sz w:val="18"/>
                <w:szCs w:val="18"/>
                <w:lang w:eastAsia="sk-SK"/>
              </w:rPr>
            </w:pPr>
            <w:r>
              <w:rPr>
                <w:rFonts w:eastAsia="Times New Roman" w:cs="Times New Roman"/>
                <w:b/>
                <w:bCs/>
                <w:color w:val="000000"/>
                <w:sz w:val="18"/>
                <w:szCs w:val="18"/>
                <w:lang w:eastAsia="sk-SK"/>
              </w:rPr>
              <w:t>1</w:t>
            </w:r>
          </w:p>
        </w:tc>
        <w:tc>
          <w:tcPr>
            <w:tcW w:w="1028" w:type="pct"/>
            <w:tcBorders>
              <w:top w:val="single" w:sz="4" w:space="0" w:color="auto"/>
              <w:left w:val="nil"/>
              <w:bottom w:val="single" w:sz="4" w:space="0" w:color="auto"/>
              <w:right w:val="nil"/>
            </w:tcBorders>
            <w:vAlign w:val="center"/>
            <w:hideMark/>
          </w:tcPr>
          <w:p w14:paraId="5F661D37" w14:textId="2B7A6D6F" w:rsidR="004D69BF" w:rsidRPr="00D1091A" w:rsidRDefault="004D69BF" w:rsidP="00532D85">
            <w:pPr>
              <w:spacing w:line="240" w:lineRule="auto"/>
              <w:jc w:val="both"/>
              <w:rPr>
                <w:rFonts w:eastAsia="Times New Roman" w:cs="Times New Roman"/>
                <w:b/>
                <w:bCs/>
                <w:color w:val="000000"/>
                <w:sz w:val="18"/>
                <w:szCs w:val="18"/>
                <w:lang w:eastAsia="sk-SK"/>
              </w:rPr>
            </w:pPr>
            <w:r w:rsidRPr="00D1091A">
              <w:rPr>
                <w:rFonts w:eastAsia="Times New Roman" w:cs="Times New Roman"/>
                <w:b/>
                <w:bCs/>
                <w:color w:val="000000"/>
                <w:sz w:val="18"/>
                <w:szCs w:val="18"/>
                <w:lang w:eastAsia="sk-SK"/>
              </w:rPr>
              <w:t>0,0</w:t>
            </w:r>
            <w:r w:rsidR="00D1091A">
              <w:rPr>
                <w:rFonts w:eastAsia="Times New Roman" w:cs="Times New Roman"/>
                <w:b/>
                <w:bCs/>
                <w:color w:val="000000"/>
                <w:sz w:val="18"/>
                <w:szCs w:val="18"/>
                <w:lang w:eastAsia="sk-SK"/>
              </w:rPr>
              <w:t>9</w:t>
            </w:r>
          </w:p>
        </w:tc>
        <w:tc>
          <w:tcPr>
            <w:tcW w:w="678" w:type="pct"/>
            <w:tcBorders>
              <w:top w:val="single" w:sz="4" w:space="0" w:color="auto"/>
              <w:left w:val="nil"/>
              <w:bottom w:val="single" w:sz="4" w:space="0" w:color="auto"/>
              <w:right w:val="nil"/>
            </w:tcBorders>
            <w:vAlign w:val="center"/>
            <w:hideMark/>
          </w:tcPr>
          <w:p w14:paraId="6B7BA982" w14:textId="712BDB49" w:rsidR="004D69BF" w:rsidRPr="00D1091A" w:rsidRDefault="00D1091A" w:rsidP="00532D85">
            <w:pPr>
              <w:spacing w:line="240" w:lineRule="auto"/>
              <w:jc w:val="both"/>
              <w:rPr>
                <w:rFonts w:eastAsia="Times New Roman" w:cs="Times New Roman"/>
                <w:b/>
                <w:bCs/>
                <w:color w:val="000000"/>
                <w:sz w:val="18"/>
                <w:szCs w:val="18"/>
                <w:lang w:eastAsia="sk-SK"/>
              </w:rPr>
            </w:pPr>
            <w:r>
              <w:rPr>
                <w:rFonts w:eastAsia="Times New Roman" w:cs="Times New Roman"/>
                <w:b/>
                <w:bCs/>
                <w:color w:val="000000"/>
                <w:sz w:val="18"/>
                <w:szCs w:val="18"/>
                <w:lang w:eastAsia="sk-SK"/>
              </w:rPr>
              <w:t>158</w:t>
            </w:r>
          </w:p>
        </w:tc>
        <w:tc>
          <w:tcPr>
            <w:tcW w:w="1356" w:type="pct"/>
            <w:tcBorders>
              <w:top w:val="single" w:sz="4" w:space="0" w:color="auto"/>
              <w:left w:val="nil"/>
              <w:bottom w:val="single" w:sz="4" w:space="0" w:color="auto"/>
              <w:right w:val="nil"/>
            </w:tcBorders>
            <w:vAlign w:val="center"/>
            <w:hideMark/>
          </w:tcPr>
          <w:p w14:paraId="0222DAF7" w14:textId="2E4F06BA" w:rsidR="004D69BF" w:rsidRPr="00D1091A" w:rsidRDefault="00D1091A" w:rsidP="00532D85">
            <w:pPr>
              <w:spacing w:line="240" w:lineRule="auto"/>
              <w:jc w:val="both"/>
              <w:rPr>
                <w:rFonts w:eastAsia="Times New Roman" w:cs="Times New Roman"/>
                <w:b/>
                <w:bCs/>
                <w:color w:val="000000"/>
                <w:sz w:val="18"/>
                <w:szCs w:val="18"/>
                <w:lang w:eastAsia="sk-SK"/>
              </w:rPr>
            </w:pPr>
            <w:r>
              <w:rPr>
                <w:rFonts w:eastAsia="Times New Roman" w:cs="Times New Roman"/>
                <w:b/>
                <w:bCs/>
                <w:color w:val="000000"/>
                <w:sz w:val="18"/>
                <w:szCs w:val="18"/>
                <w:lang w:eastAsia="sk-SK"/>
              </w:rPr>
              <w:t>915,10</w:t>
            </w:r>
          </w:p>
        </w:tc>
      </w:tr>
    </w:tbl>
    <w:p w14:paraId="68EB86F7" w14:textId="6FC8ACDD" w:rsidR="004D69BF" w:rsidRPr="00D1091A" w:rsidRDefault="004D69BF" w:rsidP="004942CF">
      <w:pPr>
        <w:tabs>
          <w:tab w:val="right" w:pos="9070"/>
        </w:tabs>
        <w:spacing w:line="240" w:lineRule="auto"/>
        <w:jc w:val="both"/>
        <w:rPr>
          <w:sz w:val="18"/>
          <w:szCs w:val="18"/>
          <w:lang w:eastAsia="sk-SK"/>
        </w:rPr>
      </w:pPr>
      <w:r w:rsidRPr="00D1091A">
        <w:rPr>
          <w:sz w:val="18"/>
          <w:szCs w:val="18"/>
          <w:lang w:eastAsia="sk-SK"/>
        </w:rPr>
        <w:t xml:space="preserve">*Colné úrady neposkytujú úľavy a odpustenie DN na dani v zmysle § 70 daňového poriadku            </w:t>
      </w:r>
      <w:r w:rsidR="00D60B38" w:rsidRPr="00D1091A">
        <w:rPr>
          <w:sz w:val="18"/>
          <w:szCs w:val="18"/>
          <w:lang w:eastAsia="sk-SK"/>
        </w:rPr>
        <w:t xml:space="preserve">      </w:t>
      </w:r>
      <w:r w:rsidRPr="00D1091A">
        <w:rPr>
          <w:sz w:val="18"/>
          <w:szCs w:val="18"/>
          <w:lang w:eastAsia="sk-SK"/>
        </w:rPr>
        <w:t xml:space="preserve"> </w:t>
      </w:r>
      <w:r w:rsidR="004942CF" w:rsidRPr="00D1091A">
        <w:rPr>
          <w:sz w:val="18"/>
          <w:szCs w:val="18"/>
          <w:lang w:eastAsia="sk-SK"/>
        </w:rPr>
        <w:tab/>
      </w:r>
      <w:r w:rsidRPr="00D1091A">
        <w:rPr>
          <w:sz w:val="18"/>
          <w:szCs w:val="18"/>
          <w:lang w:eastAsia="sk-SK"/>
        </w:rPr>
        <w:t>Zdroj: ISFS-SD, CÚ</w:t>
      </w:r>
    </w:p>
    <w:p w14:paraId="0413BDEE" w14:textId="77777777" w:rsidR="00D46A5E" w:rsidRPr="0050710A" w:rsidRDefault="00D46A5E" w:rsidP="00532D85">
      <w:pPr>
        <w:spacing w:line="240" w:lineRule="auto"/>
        <w:jc w:val="both"/>
        <w:rPr>
          <w:b/>
          <w:i/>
          <w:szCs w:val="24"/>
          <w:highlight w:val="yellow"/>
        </w:rPr>
      </w:pPr>
    </w:p>
    <w:p w14:paraId="22077945" w14:textId="51E79E7B" w:rsidR="004D69BF" w:rsidRPr="009133D0" w:rsidRDefault="004D69BF" w:rsidP="00532D85">
      <w:pPr>
        <w:pStyle w:val="Nadpis3"/>
        <w:spacing w:before="0"/>
        <w:jc w:val="both"/>
      </w:pPr>
      <w:bookmarkStart w:id="106" w:name="_Toc6415643"/>
      <w:bookmarkStart w:id="107" w:name="_Toc227758905"/>
      <w:r w:rsidRPr="009133D0">
        <w:t>Nedaňové príjmy</w:t>
      </w:r>
      <w:bookmarkEnd w:id="106"/>
      <w:bookmarkEnd w:id="107"/>
    </w:p>
    <w:p w14:paraId="7FD396BD" w14:textId="77777777" w:rsidR="00D46A5E" w:rsidRPr="0050710A" w:rsidRDefault="00D46A5E" w:rsidP="0020775D">
      <w:pPr>
        <w:spacing w:line="240" w:lineRule="auto"/>
        <w:jc w:val="both"/>
        <w:rPr>
          <w:color w:val="000000" w:themeColor="text1"/>
          <w:szCs w:val="24"/>
          <w:highlight w:val="yellow"/>
        </w:rPr>
      </w:pPr>
    </w:p>
    <w:p w14:paraId="2BFFC1DE" w14:textId="77777777" w:rsidR="0020775D" w:rsidRDefault="0020775D" w:rsidP="0020775D">
      <w:pPr>
        <w:spacing w:line="240" w:lineRule="auto"/>
        <w:jc w:val="both"/>
        <w:rPr>
          <w:color w:val="000000" w:themeColor="text1"/>
          <w:szCs w:val="24"/>
        </w:rPr>
      </w:pPr>
      <w:r w:rsidRPr="00822E82">
        <w:rPr>
          <w:color w:val="000000" w:themeColor="text1"/>
          <w:szCs w:val="24"/>
        </w:rPr>
        <w:t>Nedaňové príjmy do štátneho rozpočtu plynú najmä vo forme dividend,</w:t>
      </w:r>
      <w:r>
        <w:rPr>
          <w:color w:val="000000" w:themeColor="text1"/>
          <w:szCs w:val="24"/>
        </w:rPr>
        <w:t xml:space="preserve"> administratívnych</w:t>
      </w:r>
      <w:r w:rsidRPr="00822E82">
        <w:rPr>
          <w:color w:val="000000" w:themeColor="text1"/>
          <w:szCs w:val="24"/>
        </w:rPr>
        <w:t xml:space="preserve"> poplatkov,</w:t>
      </w:r>
      <w:r>
        <w:rPr>
          <w:color w:val="000000" w:themeColor="text1"/>
          <w:szCs w:val="24"/>
        </w:rPr>
        <w:t xml:space="preserve"> odvodov, vratiek z minulých rokov, úrokov z poskytnutých návratných finančných výpomocí, úrokov pripísaných na účtoch finančného hospodárenia vedených v Štátnej pokladnici</w:t>
      </w:r>
      <w:r w:rsidRPr="00822E82">
        <w:rPr>
          <w:color w:val="000000" w:themeColor="text1"/>
          <w:szCs w:val="24"/>
        </w:rPr>
        <w:t>.</w:t>
      </w:r>
    </w:p>
    <w:p w14:paraId="073A72D6" w14:textId="77777777" w:rsidR="0020775D" w:rsidRDefault="0020775D" w:rsidP="0020775D">
      <w:pPr>
        <w:spacing w:line="240" w:lineRule="auto"/>
        <w:jc w:val="both"/>
        <w:rPr>
          <w:color w:val="000000" w:themeColor="text1"/>
          <w:szCs w:val="24"/>
        </w:rPr>
      </w:pPr>
    </w:p>
    <w:p w14:paraId="0DBD36EC" w14:textId="3A8E48F3" w:rsidR="0020775D" w:rsidRDefault="0020775D" w:rsidP="0020775D">
      <w:pPr>
        <w:spacing w:line="240" w:lineRule="auto"/>
        <w:jc w:val="both"/>
        <w:rPr>
          <w:bCs/>
          <w:color w:val="000000" w:themeColor="text1"/>
          <w:szCs w:val="24"/>
        </w:rPr>
      </w:pPr>
      <w:r>
        <w:rPr>
          <w:bCs/>
          <w:color w:val="000000" w:themeColor="text1"/>
          <w:szCs w:val="24"/>
        </w:rPr>
        <w:t>Oproti predchádzajúcemu roku, boli nedaňové príjmy na rok 2025 rozpočtované úhrnom o 210 949 tis. eur vyššie, pričom vnútorná štruktúra nedaňových príjmov ŠR predpokladala nielen nárasty, ale aj poklesy na niektorých vecných tituloch. Rast rozpočtu nedaňových príjmov bol najmä v administratívnych poplatkoch a platbách, dividendách odvádzaných štátnymi obchodnými spoločnosťami, odvode z hazardných hier a iných nedaňových príjmov. Naopak pokles v rozpočte zaznamenali úroky a kapitálové príjmy.</w:t>
      </w:r>
    </w:p>
    <w:p w14:paraId="07977BF7" w14:textId="77777777" w:rsidR="0020775D" w:rsidRDefault="0020775D" w:rsidP="0020775D">
      <w:pPr>
        <w:spacing w:line="240" w:lineRule="auto"/>
        <w:jc w:val="both"/>
        <w:rPr>
          <w:bCs/>
          <w:color w:val="000000" w:themeColor="text1"/>
          <w:szCs w:val="24"/>
        </w:rPr>
      </w:pPr>
    </w:p>
    <w:p w14:paraId="2EF0A3F9" w14:textId="4A6291AE" w:rsidR="0020775D" w:rsidRDefault="0020775D" w:rsidP="0020775D">
      <w:pPr>
        <w:spacing w:line="240" w:lineRule="auto"/>
        <w:jc w:val="both"/>
        <w:rPr>
          <w:bCs/>
          <w:color w:val="000000" w:themeColor="text1"/>
          <w:szCs w:val="24"/>
        </w:rPr>
      </w:pPr>
      <w:r w:rsidRPr="00CC3C3D">
        <w:rPr>
          <w:bCs/>
          <w:color w:val="000000" w:themeColor="text1"/>
          <w:szCs w:val="24"/>
          <w:u w:val="single"/>
        </w:rPr>
        <w:t>Príjmy z dividend</w:t>
      </w:r>
      <w:r w:rsidRPr="00CC3C3D">
        <w:rPr>
          <w:bCs/>
          <w:color w:val="000000" w:themeColor="text1"/>
          <w:szCs w:val="24"/>
        </w:rPr>
        <w:t xml:space="preserve"> tvoria najpodstatnejšiu časť </w:t>
      </w:r>
      <w:r>
        <w:rPr>
          <w:bCs/>
          <w:color w:val="000000" w:themeColor="text1"/>
          <w:szCs w:val="24"/>
        </w:rPr>
        <w:t>nedaňových</w:t>
      </w:r>
      <w:r w:rsidRPr="00CC3C3D">
        <w:rPr>
          <w:bCs/>
          <w:color w:val="000000" w:themeColor="text1"/>
          <w:szCs w:val="24"/>
        </w:rPr>
        <w:t xml:space="preserve"> príjmov. Objem dividend od</w:t>
      </w:r>
      <w:r>
        <w:rPr>
          <w:bCs/>
          <w:color w:val="000000" w:themeColor="text1"/>
          <w:szCs w:val="24"/>
        </w:rPr>
        <w:t> </w:t>
      </w:r>
      <w:r w:rsidRPr="00CC3C3D">
        <w:rPr>
          <w:bCs/>
          <w:color w:val="000000" w:themeColor="text1"/>
          <w:szCs w:val="24"/>
        </w:rPr>
        <w:t>spoločností, v ktorých vlastnícky podiel štátu je zastúpený príslušným ministerstvom, sa v</w:t>
      </w:r>
      <w:r>
        <w:rPr>
          <w:bCs/>
          <w:color w:val="000000" w:themeColor="text1"/>
          <w:szCs w:val="24"/>
        </w:rPr>
        <w:t> </w:t>
      </w:r>
      <w:r w:rsidRPr="00CC3C3D">
        <w:rPr>
          <w:bCs/>
          <w:color w:val="000000" w:themeColor="text1"/>
          <w:szCs w:val="24"/>
        </w:rPr>
        <w:t xml:space="preserve">roku 2025 </w:t>
      </w:r>
      <w:r>
        <w:rPr>
          <w:bCs/>
          <w:color w:val="000000" w:themeColor="text1"/>
          <w:szCs w:val="24"/>
        </w:rPr>
        <w:t>navrhoval</w:t>
      </w:r>
      <w:r w:rsidRPr="00CC3C3D">
        <w:rPr>
          <w:bCs/>
          <w:color w:val="000000" w:themeColor="text1"/>
          <w:szCs w:val="24"/>
        </w:rPr>
        <w:t xml:space="preserve"> vo výške 489</w:t>
      </w:r>
      <w:r>
        <w:rPr>
          <w:bCs/>
          <w:color w:val="000000" w:themeColor="text1"/>
          <w:szCs w:val="24"/>
        </w:rPr>
        <w:t> 419 tis. </w:t>
      </w:r>
      <w:r w:rsidRPr="00CC3C3D">
        <w:rPr>
          <w:bCs/>
          <w:color w:val="000000" w:themeColor="text1"/>
          <w:szCs w:val="24"/>
        </w:rPr>
        <w:t>eur, čo je v porovnaní so</w:t>
      </w:r>
      <w:r>
        <w:rPr>
          <w:bCs/>
          <w:color w:val="000000" w:themeColor="text1"/>
          <w:szCs w:val="24"/>
        </w:rPr>
        <w:t> </w:t>
      </w:r>
      <w:r w:rsidRPr="00CC3C3D">
        <w:rPr>
          <w:bCs/>
          <w:color w:val="000000" w:themeColor="text1"/>
          <w:szCs w:val="24"/>
        </w:rPr>
        <w:t>schváleným rozpočtom na rok 2024 viac o</w:t>
      </w:r>
      <w:r>
        <w:rPr>
          <w:bCs/>
          <w:color w:val="000000" w:themeColor="text1"/>
          <w:szCs w:val="24"/>
        </w:rPr>
        <w:t> 52 941 tis</w:t>
      </w:r>
      <w:r w:rsidRPr="00CC3C3D">
        <w:rPr>
          <w:bCs/>
          <w:color w:val="000000" w:themeColor="text1"/>
          <w:szCs w:val="24"/>
        </w:rPr>
        <w:t>.</w:t>
      </w:r>
      <w:r>
        <w:rPr>
          <w:bCs/>
          <w:color w:val="000000" w:themeColor="text1"/>
          <w:szCs w:val="24"/>
        </w:rPr>
        <w:t> </w:t>
      </w:r>
      <w:r w:rsidRPr="00CC3C3D">
        <w:rPr>
          <w:bCs/>
          <w:color w:val="000000" w:themeColor="text1"/>
          <w:szCs w:val="24"/>
        </w:rPr>
        <w:t xml:space="preserve">eur. </w:t>
      </w:r>
      <w:r>
        <w:rPr>
          <w:bCs/>
          <w:color w:val="000000" w:themeColor="text1"/>
          <w:szCs w:val="24"/>
        </w:rPr>
        <w:t>M</w:t>
      </w:r>
      <w:r w:rsidRPr="00CC3C3D">
        <w:rPr>
          <w:bCs/>
          <w:color w:val="000000" w:themeColor="text1"/>
          <w:szCs w:val="24"/>
        </w:rPr>
        <w:t xml:space="preserve">edziročný nárast </w:t>
      </w:r>
      <w:r>
        <w:rPr>
          <w:bCs/>
          <w:color w:val="000000" w:themeColor="text1"/>
          <w:szCs w:val="24"/>
        </w:rPr>
        <w:t xml:space="preserve">rozpočtovaných </w:t>
      </w:r>
      <w:r w:rsidRPr="00CC3C3D">
        <w:rPr>
          <w:bCs/>
          <w:color w:val="000000" w:themeColor="text1"/>
          <w:szCs w:val="24"/>
        </w:rPr>
        <w:t xml:space="preserve">príjmov </w:t>
      </w:r>
      <w:r>
        <w:rPr>
          <w:bCs/>
          <w:color w:val="000000" w:themeColor="text1"/>
          <w:szCs w:val="24"/>
        </w:rPr>
        <w:t>bol založený</w:t>
      </w:r>
      <w:r w:rsidRPr="00CC3C3D">
        <w:rPr>
          <w:bCs/>
          <w:color w:val="000000" w:themeColor="text1"/>
          <w:szCs w:val="24"/>
        </w:rPr>
        <w:t xml:space="preserve"> </w:t>
      </w:r>
      <w:r w:rsidRPr="00CC3C3D">
        <w:rPr>
          <w:bCs/>
          <w:color w:val="000000" w:themeColor="text1"/>
          <w:szCs w:val="24"/>
        </w:rPr>
        <w:lastRenderedPageBreak/>
        <w:t xml:space="preserve">hlavne </w:t>
      </w:r>
      <w:r>
        <w:rPr>
          <w:bCs/>
          <w:color w:val="000000" w:themeColor="text1"/>
          <w:szCs w:val="24"/>
        </w:rPr>
        <w:t xml:space="preserve">na </w:t>
      </w:r>
      <w:r w:rsidRPr="00CC3C3D">
        <w:rPr>
          <w:bCs/>
          <w:color w:val="000000" w:themeColor="text1"/>
          <w:szCs w:val="24"/>
        </w:rPr>
        <w:t>zvýšení príjmov z dividend od spoločností Západoslovenská energetika,</w:t>
      </w:r>
      <w:r>
        <w:rPr>
          <w:bCs/>
          <w:color w:val="000000" w:themeColor="text1"/>
          <w:szCs w:val="24"/>
        </w:rPr>
        <w:t> </w:t>
      </w:r>
      <w:r w:rsidRPr="00CC3C3D">
        <w:rPr>
          <w:bCs/>
          <w:color w:val="000000" w:themeColor="text1"/>
          <w:szCs w:val="24"/>
        </w:rPr>
        <w:t>a.</w:t>
      </w:r>
      <w:r>
        <w:rPr>
          <w:bCs/>
          <w:color w:val="000000" w:themeColor="text1"/>
          <w:szCs w:val="24"/>
        </w:rPr>
        <w:t> </w:t>
      </w:r>
      <w:r w:rsidRPr="00CC3C3D">
        <w:rPr>
          <w:bCs/>
          <w:color w:val="000000" w:themeColor="text1"/>
          <w:szCs w:val="24"/>
        </w:rPr>
        <w:t>s.</w:t>
      </w:r>
      <w:r w:rsidR="00467F0B">
        <w:rPr>
          <w:bCs/>
          <w:color w:val="000000" w:themeColor="text1"/>
          <w:szCs w:val="24"/>
        </w:rPr>
        <w:t>,</w:t>
      </w:r>
      <w:r w:rsidRPr="00CC3C3D">
        <w:rPr>
          <w:bCs/>
          <w:color w:val="000000" w:themeColor="text1"/>
          <w:szCs w:val="24"/>
        </w:rPr>
        <w:t xml:space="preserve"> a</w:t>
      </w:r>
      <w:r>
        <w:rPr>
          <w:bCs/>
          <w:color w:val="000000" w:themeColor="text1"/>
          <w:szCs w:val="24"/>
        </w:rPr>
        <w:t> </w:t>
      </w:r>
      <w:r w:rsidRPr="00CC3C3D">
        <w:rPr>
          <w:bCs/>
          <w:color w:val="000000" w:themeColor="text1"/>
          <w:szCs w:val="24"/>
        </w:rPr>
        <w:t>Stredoslovenská energetika Holding,</w:t>
      </w:r>
      <w:r>
        <w:rPr>
          <w:bCs/>
          <w:color w:val="000000" w:themeColor="text1"/>
          <w:szCs w:val="24"/>
        </w:rPr>
        <w:t> </w:t>
      </w:r>
      <w:r w:rsidRPr="00CC3C3D">
        <w:rPr>
          <w:bCs/>
          <w:color w:val="000000" w:themeColor="text1"/>
          <w:szCs w:val="24"/>
        </w:rPr>
        <w:t>a.</w:t>
      </w:r>
      <w:r>
        <w:rPr>
          <w:bCs/>
          <w:color w:val="000000" w:themeColor="text1"/>
          <w:szCs w:val="24"/>
        </w:rPr>
        <w:t> </w:t>
      </w:r>
      <w:r w:rsidRPr="00CC3C3D">
        <w:rPr>
          <w:bCs/>
          <w:color w:val="000000" w:themeColor="text1"/>
          <w:szCs w:val="24"/>
        </w:rPr>
        <w:t>s. Naopak výrazne nižšie príjmy z</w:t>
      </w:r>
      <w:r>
        <w:rPr>
          <w:bCs/>
          <w:color w:val="000000" w:themeColor="text1"/>
          <w:szCs w:val="24"/>
        </w:rPr>
        <w:t> </w:t>
      </w:r>
      <w:r w:rsidRPr="00CC3C3D">
        <w:rPr>
          <w:bCs/>
          <w:color w:val="000000" w:themeColor="text1"/>
          <w:szCs w:val="24"/>
        </w:rPr>
        <w:t>dividend pri</w:t>
      </w:r>
      <w:r>
        <w:rPr>
          <w:bCs/>
          <w:color w:val="000000" w:themeColor="text1"/>
          <w:szCs w:val="24"/>
        </w:rPr>
        <w:t> </w:t>
      </w:r>
      <w:r w:rsidRPr="00CC3C3D">
        <w:rPr>
          <w:bCs/>
          <w:color w:val="000000" w:themeColor="text1"/>
          <w:szCs w:val="24"/>
        </w:rPr>
        <w:t xml:space="preserve">medziročnom porovnaní sa </w:t>
      </w:r>
      <w:r>
        <w:rPr>
          <w:bCs/>
          <w:color w:val="000000" w:themeColor="text1"/>
          <w:szCs w:val="24"/>
        </w:rPr>
        <w:t>rozpočtovali najmä</w:t>
      </w:r>
      <w:r w:rsidRPr="00CC3C3D">
        <w:rPr>
          <w:bCs/>
          <w:color w:val="000000" w:themeColor="text1"/>
          <w:szCs w:val="24"/>
        </w:rPr>
        <w:t xml:space="preserve"> od spoločnosti Slovenský plynárenský priemysel,</w:t>
      </w:r>
      <w:r>
        <w:rPr>
          <w:bCs/>
          <w:color w:val="000000" w:themeColor="text1"/>
          <w:szCs w:val="24"/>
        </w:rPr>
        <w:t> </w:t>
      </w:r>
      <w:r w:rsidRPr="00CC3C3D">
        <w:rPr>
          <w:bCs/>
          <w:color w:val="000000" w:themeColor="text1"/>
          <w:szCs w:val="24"/>
        </w:rPr>
        <w:t>a.</w:t>
      </w:r>
      <w:r>
        <w:rPr>
          <w:bCs/>
          <w:color w:val="000000" w:themeColor="text1"/>
          <w:szCs w:val="24"/>
        </w:rPr>
        <w:t> </w:t>
      </w:r>
      <w:r w:rsidRPr="00CC3C3D">
        <w:rPr>
          <w:bCs/>
          <w:color w:val="000000" w:themeColor="text1"/>
          <w:szCs w:val="24"/>
        </w:rPr>
        <w:t>s.</w:t>
      </w:r>
    </w:p>
    <w:p w14:paraId="33B6B7A8" w14:textId="77777777" w:rsidR="0020775D" w:rsidRDefault="0020775D" w:rsidP="0020775D">
      <w:pPr>
        <w:spacing w:line="240" w:lineRule="auto"/>
        <w:jc w:val="both"/>
        <w:rPr>
          <w:bCs/>
          <w:color w:val="000000" w:themeColor="text1"/>
          <w:szCs w:val="24"/>
        </w:rPr>
      </w:pPr>
    </w:p>
    <w:p w14:paraId="60CF4FB0" w14:textId="4341335E" w:rsidR="0020775D" w:rsidRDefault="0020775D" w:rsidP="0020775D">
      <w:pPr>
        <w:spacing w:line="240" w:lineRule="auto"/>
        <w:jc w:val="both"/>
        <w:rPr>
          <w:bCs/>
          <w:color w:val="000000" w:themeColor="text1"/>
          <w:szCs w:val="24"/>
        </w:rPr>
      </w:pPr>
      <w:r w:rsidRPr="0052072E">
        <w:rPr>
          <w:bCs/>
          <w:color w:val="000000" w:themeColor="text1"/>
          <w:szCs w:val="24"/>
        </w:rPr>
        <w:t xml:space="preserve">Výška príjmov z </w:t>
      </w:r>
      <w:r w:rsidRPr="0052072E">
        <w:rPr>
          <w:bCs/>
          <w:color w:val="000000" w:themeColor="text1"/>
          <w:szCs w:val="24"/>
          <w:u w:val="single"/>
        </w:rPr>
        <w:t>administratívnych poplatkov a iných poplatkov a platieb</w:t>
      </w:r>
      <w:r w:rsidRPr="0052072E">
        <w:rPr>
          <w:bCs/>
          <w:color w:val="000000" w:themeColor="text1"/>
          <w:szCs w:val="24"/>
        </w:rPr>
        <w:t xml:space="preserve"> závisí od</w:t>
      </w:r>
      <w:r>
        <w:rPr>
          <w:bCs/>
          <w:color w:val="000000" w:themeColor="text1"/>
          <w:szCs w:val="24"/>
        </w:rPr>
        <w:t> </w:t>
      </w:r>
      <w:r w:rsidRPr="0052072E">
        <w:rPr>
          <w:bCs/>
          <w:color w:val="000000" w:themeColor="text1"/>
          <w:szCs w:val="24"/>
        </w:rPr>
        <w:t xml:space="preserve">počtu jednotlivých aktov konania v priebehu roka. Uvedené príjmy sa na rok 2025 </w:t>
      </w:r>
      <w:r>
        <w:rPr>
          <w:bCs/>
          <w:color w:val="000000" w:themeColor="text1"/>
          <w:szCs w:val="24"/>
        </w:rPr>
        <w:t xml:space="preserve">rozpočtovali vyššie </w:t>
      </w:r>
      <w:r w:rsidRPr="0052072E">
        <w:rPr>
          <w:bCs/>
          <w:color w:val="000000" w:themeColor="text1"/>
          <w:szCs w:val="24"/>
        </w:rPr>
        <w:t>o 44,8</w:t>
      </w:r>
      <w:r>
        <w:rPr>
          <w:bCs/>
          <w:color w:val="000000" w:themeColor="text1"/>
          <w:szCs w:val="24"/>
        </w:rPr>
        <w:t> </w:t>
      </w:r>
      <w:r w:rsidRPr="0052072E">
        <w:rPr>
          <w:bCs/>
          <w:color w:val="000000" w:themeColor="text1"/>
          <w:szCs w:val="24"/>
        </w:rPr>
        <w:t>%</w:t>
      </w:r>
      <w:r>
        <w:rPr>
          <w:bCs/>
          <w:color w:val="000000" w:themeColor="text1"/>
          <w:szCs w:val="24"/>
        </w:rPr>
        <w:t xml:space="preserve"> resp. o 178 507 tis. eur.</w:t>
      </w:r>
      <w:r w:rsidRPr="0052072E">
        <w:rPr>
          <w:bCs/>
          <w:color w:val="000000" w:themeColor="text1"/>
          <w:szCs w:val="24"/>
        </w:rPr>
        <w:t xml:space="preserve"> Medziročný nárast súvisí najmä so</w:t>
      </w:r>
      <w:r>
        <w:rPr>
          <w:bCs/>
          <w:color w:val="000000" w:themeColor="text1"/>
          <w:szCs w:val="24"/>
        </w:rPr>
        <w:t> </w:t>
      </w:r>
      <w:r w:rsidRPr="0052072E">
        <w:rPr>
          <w:bCs/>
          <w:color w:val="000000" w:themeColor="text1"/>
          <w:szCs w:val="24"/>
        </w:rPr>
        <w:t>zvýšenými príjmami kapitoly MD SR</w:t>
      </w:r>
      <w:r>
        <w:rPr>
          <w:bCs/>
          <w:color w:val="000000" w:themeColor="text1"/>
          <w:szCs w:val="24"/>
        </w:rPr>
        <w:t>,</w:t>
      </w:r>
      <w:r w:rsidRPr="0052072E">
        <w:rPr>
          <w:bCs/>
          <w:color w:val="000000" w:themeColor="text1"/>
          <w:szCs w:val="24"/>
        </w:rPr>
        <w:t xml:space="preserve"> konkrétne Úradu pre reguláciu elektronických komunikácií a</w:t>
      </w:r>
      <w:r>
        <w:rPr>
          <w:bCs/>
          <w:color w:val="000000" w:themeColor="text1"/>
          <w:szCs w:val="24"/>
        </w:rPr>
        <w:t> </w:t>
      </w:r>
      <w:r w:rsidRPr="0052072E">
        <w:rPr>
          <w:bCs/>
          <w:color w:val="000000" w:themeColor="text1"/>
          <w:szCs w:val="24"/>
        </w:rPr>
        <w:t xml:space="preserve">poštových služieb, kde sa </w:t>
      </w:r>
      <w:r>
        <w:rPr>
          <w:bCs/>
          <w:color w:val="000000" w:themeColor="text1"/>
          <w:szCs w:val="24"/>
        </w:rPr>
        <w:t>rozpočtovali</w:t>
      </w:r>
      <w:r w:rsidRPr="0052072E">
        <w:rPr>
          <w:bCs/>
          <w:color w:val="000000" w:themeColor="text1"/>
          <w:szCs w:val="24"/>
        </w:rPr>
        <w:t xml:space="preserve"> zvýšené príjmy zo správy frekvenčného spektra (úhrady za</w:t>
      </w:r>
      <w:r>
        <w:rPr>
          <w:bCs/>
          <w:color w:val="000000" w:themeColor="text1"/>
          <w:szCs w:val="24"/>
        </w:rPr>
        <w:t> </w:t>
      </w:r>
      <w:r w:rsidRPr="0052072E">
        <w:rPr>
          <w:bCs/>
          <w:color w:val="000000" w:themeColor="text1"/>
          <w:szCs w:val="24"/>
        </w:rPr>
        <w:t xml:space="preserve">frekvencie). V priebehu roku 2025 úrad </w:t>
      </w:r>
      <w:r>
        <w:rPr>
          <w:bCs/>
          <w:color w:val="000000" w:themeColor="text1"/>
          <w:szCs w:val="24"/>
        </w:rPr>
        <w:t>zrealizoval plánovanú súťaž</w:t>
      </w:r>
      <w:r w:rsidRPr="0052072E">
        <w:rPr>
          <w:bCs/>
          <w:color w:val="000000" w:themeColor="text1"/>
          <w:szCs w:val="24"/>
        </w:rPr>
        <w:t xml:space="preserve"> na</w:t>
      </w:r>
      <w:r>
        <w:rPr>
          <w:bCs/>
          <w:color w:val="000000" w:themeColor="text1"/>
          <w:szCs w:val="24"/>
        </w:rPr>
        <w:t> </w:t>
      </w:r>
      <w:r w:rsidRPr="0052072E">
        <w:rPr>
          <w:bCs/>
          <w:color w:val="000000" w:themeColor="text1"/>
          <w:szCs w:val="24"/>
        </w:rPr>
        <w:t xml:space="preserve">multi-pásmové licencie, </w:t>
      </w:r>
      <w:r>
        <w:rPr>
          <w:bCs/>
          <w:color w:val="000000" w:themeColor="text1"/>
          <w:szCs w:val="24"/>
        </w:rPr>
        <w:t xml:space="preserve">ktorá </w:t>
      </w:r>
      <w:r w:rsidR="00D90A0C">
        <w:rPr>
          <w:bCs/>
          <w:color w:val="000000" w:themeColor="text1"/>
          <w:szCs w:val="24"/>
        </w:rPr>
        <w:t>postupne prinesie</w:t>
      </w:r>
      <w:r>
        <w:rPr>
          <w:bCs/>
          <w:color w:val="000000" w:themeColor="text1"/>
          <w:szCs w:val="24"/>
        </w:rPr>
        <w:t xml:space="preserve"> do rozpočtu sumu prekračujúcu pôvodné predpoklady</w:t>
      </w:r>
      <w:r w:rsidRPr="0052072E">
        <w:rPr>
          <w:bCs/>
          <w:color w:val="000000" w:themeColor="text1"/>
          <w:szCs w:val="24"/>
        </w:rPr>
        <w:t>.</w:t>
      </w:r>
    </w:p>
    <w:p w14:paraId="1CABC794" w14:textId="77777777" w:rsidR="0020775D" w:rsidRDefault="0020775D" w:rsidP="0020775D">
      <w:pPr>
        <w:spacing w:line="240" w:lineRule="auto"/>
        <w:jc w:val="both"/>
        <w:rPr>
          <w:bCs/>
          <w:color w:val="000000" w:themeColor="text1"/>
          <w:szCs w:val="24"/>
        </w:rPr>
      </w:pPr>
    </w:p>
    <w:p w14:paraId="0C30F0AD" w14:textId="3A5DEED1" w:rsidR="0020775D" w:rsidRDefault="0020775D" w:rsidP="0020775D">
      <w:pPr>
        <w:spacing w:line="240" w:lineRule="auto"/>
        <w:jc w:val="both"/>
        <w:rPr>
          <w:bCs/>
          <w:color w:val="000000" w:themeColor="text1"/>
          <w:szCs w:val="24"/>
        </w:rPr>
      </w:pPr>
      <w:r>
        <w:rPr>
          <w:bCs/>
          <w:color w:val="000000" w:themeColor="text1"/>
          <w:szCs w:val="24"/>
        </w:rPr>
        <w:t xml:space="preserve">Medzi iné poplatky, ktoré sa rozpočtovali vyššie patrí napríklad výpis z registra trestov, ktorého výška bola zmenená podľa </w:t>
      </w:r>
      <w:r w:rsidRPr="0052072E">
        <w:rPr>
          <w:bCs/>
          <w:color w:val="000000" w:themeColor="text1"/>
          <w:szCs w:val="24"/>
        </w:rPr>
        <w:t>novely zákona SNR č.</w:t>
      </w:r>
      <w:r>
        <w:rPr>
          <w:bCs/>
          <w:color w:val="000000" w:themeColor="text1"/>
          <w:szCs w:val="24"/>
        </w:rPr>
        <w:t> </w:t>
      </w:r>
      <w:r w:rsidRPr="0052072E">
        <w:rPr>
          <w:bCs/>
          <w:color w:val="000000" w:themeColor="text1"/>
          <w:szCs w:val="24"/>
        </w:rPr>
        <w:t>71/1992</w:t>
      </w:r>
      <w:r>
        <w:rPr>
          <w:bCs/>
          <w:color w:val="000000" w:themeColor="text1"/>
          <w:szCs w:val="24"/>
        </w:rPr>
        <w:t xml:space="preserve"> </w:t>
      </w:r>
      <w:r w:rsidRPr="0052072E">
        <w:rPr>
          <w:bCs/>
          <w:color w:val="000000" w:themeColor="text1"/>
          <w:szCs w:val="24"/>
        </w:rPr>
        <w:t>Zb. o súdnych poplatkoch a</w:t>
      </w:r>
      <w:r>
        <w:rPr>
          <w:bCs/>
          <w:color w:val="000000" w:themeColor="text1"/>
          <w:szCs w:val="24"/>
        </w:rPr>
        <w:t> </w:t>
      </w:r>
      <w:r w:rsidRPr="0052072E">
        <w:rPr>
          <w:bCs/>
          <w:color w:val="000000" w:themeColor="text1"/>
          <w:szCs w:val="24"/>
        </w:rPr>
        <w:t>poplatku za výpis z registra trestov v znení neskorších predpisov a zákona NR SR č.</w:t>
      </w:r>
      <w:r>
        <w:rPr>
          <w:bCs/>
          <w:color w:val="000000" w:themeColor="text1"/>
          <w:szCs w:val="24"/>
        </w:rPr>
        <w:t> </w:t>
      </w:r>
      <w:r w:rsidRPr="0052072E">
        <w:rPr>
          <w:bCs/>
          <w:color w:val="000000" w:themeColor="text1"/>
          <w:szCs w:val="24"/>
        </w:rPr>
        <w:t>145/1995</w:t>
      </w:r>
      <w:r w:rsidR="00242609">
        <w:rPr>
          <w:bCs/>
          <w:color w:val="000000" w:themeColor="text1"/>
          <w:szCs w:val="24"/>
        </w:rPr>
        <w:t> </w:t>
      </w:r>
      <w:r w:rsidRPr="0052072E">
        <w:rPr>
          <w:bCs/>
          <w:color w:val="000000" w:themeColor="text1"/>
          <w:szCs w:val="24"/>
        </w:rPr>
        <w:t>Z.</w:t>
      </w:r>
      <w:r>
        <w:rPr>
          <w:bCs/>
          <w:color w:val="000000" w:themeColor="text1"/>
          <w:szCs w:val="24"/>
        </w:rPr>
        <w:t> </w:t>
      </w:r>
      <w:r w:rsidRPr="0052072E">
        <w:rPr>
          <w:bCs/>
          <w:color w:val="000000" w:themeColor="text1"/>
          <w:szCs w:val="24"/>
        </w:rPr>
        <w:t>z. o</w:t>
      </w:r>
      <w:r>
        <w:rPr>
          <w:bCs/>
          <w:color w:val="000000" w:themeColor="text1"/>
          <w:szCs w:val="24"/>
        </w:rPr>
        <w:t> </w:t>
      </w:r>
      <w:r w:rsidRPr="0052072E">
        <w:rPr>
          <w:bCs/>
          <w:color w:val="000000" w:themeColor="text1"/>
          <w:szCs w:val="24"/>
        </w:rPr>
        <w:t>správnych poplatkoch v znení neskorších predpisov, ktoré boli schválené v roku 2023.</w:t>
      </w:r>
    </w:p>
    <w:p w14:paraId="11EB1EB0" w14:textId="77777777" w:rsidR="0020775D" w:rsidRDefault="0020775D" w:rsidP="0020775D">
      <w:pPr>
        <w:spacing w:line="240" w:lineRule="auto"/>
        <w:jc w:val="both"/>
        <w:rPr>
          <w:bCs/>
          <w:color w:val="000000" w:themeColor="text1"/>
          <w:szCs w:val="24"/>
        </w:rPr>
      </w:pPr>
    </w:p>
    <w:p w14:paraId="4C8DD93D" w14:textId="1491FD62" w:rsidR="0020775D" w:rsidRDefault="0020775D" w:rsidP="0020775D">
      <w:pPr>
        <w:spacing w:line="240" w:lineRule="auto"/>
        <w:jc w:val="both"/>
        <w:rPr>
          <w:bCs/>
          <w:color w:val="000000" w:themeColor="text1"/>
          <w:szCs w:val="24"/>
        </w:rPr>
      </w:pPr>
      <w:r w:rsidRPr="00B54A9A">
        <w:rPr>
          <w:bCs/>
          <w:color w:val="000000" w:themeColor="text1"/>
          <w:szCs w:val="24"/>
          <w:u w:val="single"/>
        </w:rPr>
        <w:t>Rozpočtovanie úrokových príjmov</w:t>
      </w:r>
      <w:r w:rsidRPr="00B54A9A">
        <w:rPr>
          <w:bCs/>
          <w:color w:val="000000" w:themeColor="text1"/>
          <w:szCs w:val="24"/>
        </w:rPr>
        <w:t xml:space="preserve"> vychádza z odhadu úrokových sadzieb ECB KEY RATE a</w:t>
      </w:r>
      <w:r>
        <w:rPr>
          <w:bCs/>
          <w:color w:val="000000" w:themeColor="text1"/>
          <w:szCs w:val="24"/>
        </w:rPr>
        <w:t> </w:t>
      </w:r>
      <w:r w:rsidRPr="00B54A9A">
        <w:rPr>
          <w:bCs/>
          <w:color w:val="000000" w:themeColor="text1"/>
          <w:szCs w:val="24"/>
        </w:rPr>
        <w:t xml:space="preserve">ESTER, ako aj z predpokladaného vývoja priemerných zostatkov na účtoch klientov Štátnej pokladnice, najmä na účtoch dobrovoľných klientov, na účtoch prostriedkov Európskej únie, na účtoch štátnych rozpočtových organizácií a na účtoch štátnych finančných aktív. Pokles rozpočtovaných príjmov z úrokov z účtov finančného hospodárenia Štátnej pokladnice </w:t>
      </w:r>
      <w:r>
        <w:rPr>
          <w:bCs/>
          <w:color w:val="000000" w:themeColor="text1"/>
          <w:szCs w:val="24"/>
        </w:rPr>
        <w:t>bol</w:t>
      </w:r>
      <w:r w:rsidRPr="00B54A9A">
        <w:rPr>
          <w:bCs/>
          <w:color w:val="000000" w:themeColor="text1"/>
          <w:szCs w:val="24"/>
        </w:rPr>
        <w:t xml:space="preserve"> z</w:t>
      </w:r>
      <w:r>
        <w:rPr>
          <w:bCs/>
          <w:color w:val="000000" w:themeColor="text1"/>
          <w:szCs w:val="24"/>
        </w:rPr>
        <w:t> </w:t>
      </w:r>
      <w:r w:rsidRPr="00B54A9A">
        <w:rPr>
          <w:bCs/>
          <w:color w:val="000000" w:themeColor="text1"/>
          <w:szCs w:val="24"/>
        </w:rPr>
        <w:t>dôvodu očakávaného poklesu kľúčových úrokových sadzieb ECB</w:t>
      </w:r>
      <w:r>
        <w:rPr>
          <w:bCs/>
          <w:color w:val="000000" w:themeColor="text1"/>
          <w:szCs w:val="24"/>
        </w:rPr>
        <w:t>.</w:t>
      </w:r>
    </w:p>
    <w:p w14:paraId="3898B05B" w14:textId="77777777" w:rsidR="0020775D" w:rsidRDefault="0020775D" w:rsidP="0020775D">
      <w:pPr>
        <w:spacing w:line="240" w:lineRule="auto"/>
        <w:jc w:val="both"/>
        <w:rPr>
          <w:bCs/>
          <w:color w:val="000000" w:themeColor="text1"/>
          <w:szCs w:val="24"/>
        </w:rPr>
      </w:pPr>
    </w:p>
    <w:p w14:paraId="20A1FFA3" w14:textId="0FC9A09A" w:rsidR="004D69BF" w:rsidRPr="0050710A" w:rsidRDefault="0020775D" w:rsidP="0020775D">
      <w:pPr>
        <w:spacing w:line="240" w:lineRule="auto"/>
        <w:jc w:val="both"/>
        <w:rPr>
          <w:bCs/>
          <w:color w:val="000000" w:themeColor="text1"/>
          <w:szCs w:val="24"/>
          <w:highlight w:val="yellow"/>
        </w:rPr>
      </w:pPr>
      <w:r w:rsidRPr="008B3EEA">
        <w:rPr>
          <w:bCs/>
          <w:color w:val="000000" w:themeColor="text1"/>
          <w:szCs w:val="24"/>
        </w:rPr>
        <w:t xml:space="preserve">V roku </w:t>
      </w:r>
      <w:r w:rsidR="00D90A0C" w:rsidRPr="008B3EEA">
        <w:rPr>
          <w:bCs/>
          <w:color w:val="000000" w:themeColor="text1"/>
          <w:szCs w:val="24"/>
        </w:rPr>
        <w:t>202</w:t>
      </w:r>
      <w:r w:rsidR="00D90A0C">
        <w:rPr>
          <w:bCs/>
          <w:color w:val="000000" w:themeColor="text1"/>
          <w:szCs w:val="24"/>
        </w:rPr>
        <w:t>5</w:t>
      </w:r>
      <w:r w:rsidR="00D90A0C" w:rsidRPr="008B3EEA">
        <w:rPr>
          <w:bCs/>
          <w:color w:val="000000" w:themeColor="text1"/>
          <w:szCs w:val="24"/>
        </w:rPr>
        <w:t xml:space="preserve"> </w:t>
      </w:r>
      <w:r w:rsidRPr="008B3EEA">
        <w:rPr>
          <w:bCs/>
          <w:color w:val="000000" w:themeColor="text1"/>
          <w:szCs w:val="24"/>
        </w:rPr>
        <w:t xml:space="preserve">dosiahli </w:t>
      </w:r>
      <w:r>
        <w:rPr>
          <w:bCs/>
          <w:color w:val="000000" w:themeColor="text1"/>
          <w:szCs w:val="24"/>
        </w:rPr>
        <w:t>nedaňové</w:t>
      </w:r>
      <w:r w:rsidRPr="008B3EEA">
        <w:rPr>
          <w:bCs/>
          <w:color w:val="000000" w:themeColor="text1"/>
          <w:szCs w:val="24"/>
        </w:rPr>
        <w:t xml:space="preserve"> príjmy </w:t>
      </w:r>
      <w:r>
        <w:rPr>
          <w:bCs/>
          <w:color w:val="000000" w:themeColor="text1"/>
          <w:szCs w:val="24"/>
        </w:rPr>
        <w:t xml:space="preserve">celkovú </w:t>
      </w:r>
      <w:r w:rsidRPr="008B3EEA">
        <w:rPr>
          <w:bCs/>
          <w:color w:val="000000" w:themeColor="text1"/>
          <w:szCs w:val="24"/>
        </w:rPr>
        <w:t xml:space="preserve">sumu </w:t>
      </w:r>
      <w:r>
        <w:rPr>
          <w:bCs/>
          <w:color w:val="000000" w:themeColor="text1"/>
          <w:szCs w:val="24"/>
        </w:rPr>
        <w:t>2 164 </w:t>
      </w:r>
      <w:r w:rsidR="00D90A0C">
        <w:rPr>
          <w:bCs/>
          <w:color w:val="000000" w:themeColor="text1"/>
          <w:szCs w:val="24"/>
        </w:rPr>
        <w:t>992 </w:t>
      </w:r>
      <w:r>
        <w:rPr>
          <w:bCs/>
          <w:color w:val="000000" w:themeColor="text1"/>
          <w:szCs w:val="24"/>
        </w:rPr>
        <w:t>tis. eur</w:t>
      </w:r>
      <w:r w:rsidRPr="008B3EEA">
        <w:rPr>
          <w:bCs/>
          <w:color w:val="000000" w:themeColor="text1"/>
          <w:szCs w:val="24"/>
        </w:rPr>
        <w:t>, čo je medziročne viac o</w:t>
      </w:r>
      <w:r>
        <w:rPr>
          <w:bCs/>
          <w:color w:val="000000" w:themeColor="text1"/>
          <w:szCs w:val="24"/>
        </w:rPr>
        <w:t> 255 </w:t>
      </w:r>
      <w:r w:rsidR="00D90A0C">
        <w:rPr>
          <w:bCs/>
          <w:color w:val="000000" w:themeColor="text1"/>
          <w:szCs w:val="24"/>
        </w:rPr>
        <w:t>099 </w:t>
      </w:r>
      <w:r w:rsidRPr="008B3EEA">
        <w:rPr>
          <w:bCs/>
          <w:color w:val="000000" w:themeColor="text1"/>
          <w:szCs w:val="24"/>
        </w:rPr>
        <w:t>tis.</w:t>
      </w:r>
      <w:r>
        <w:rPr>
          <w:bCs/>
          <w:color w:val="000000" w:themeColor="text1"/>
          <w:szCs w:val="24"/>
        </w:rPr>
        <w:t> </w:t>
      </w:r>
      <w:r w:rsidRPr="008B3EEA">
        <w:rPr>
          <w:bCs/>
          <w:color w:val="000000" w:themeColor="text1"/>
          <w:szCs w:val="24"/>
        </w:rPr>
        <w:t>eur. Rozpočet</w:t>
      </w:r>
      <w:r w:rsidRPr="00F165A8">
        <w:rPr>
          <w:bCs/>
          <w:color w:val="000000" w:themeColor="text1"/>
          <w:szCs w:val="24"/>
        </w:rPr>
        <w:t xml:space="preserve"> bol prekročený </w:t>
      </w:r>
      <w:r>
        <w:rPr>
          <w:bCs/>
          <w:color w:val="000000" w:themeColor="text1"/>
          <w:szCs w:val="24"/>
        </w:rPr>
        <w:t>o 404 </w:t>
      </w:r>
      <w:r w:rsidR="00632A05">
        <w:rPr>
          <w:bCs/>
          <w:color w:val="000000" w:themeColor="text1"/>
          <w:szCs w:val="24"/>
        </w:rPr>
        <w:t>477 </w:t>
      </w:r>
      <w:r>
        <w:rPr>
          <w:bCs/>
          <w:color w:val="000000" w:themeColor="text1"/>
          <w:szCs w:val="24"/>
        </w:rPr>
        <w:t>tis. eur, najmä na príjmoch z podnikania (198 </w:t>
      </w:r>
      <w:r w:rsidR="00632A05">
        <w:rPr>
          <w:bCs/>
          <w:color w:val="000000" w:themeColor="text1"/>
          <w:szCs w:val="24"/>
        </w:rPr>
        <w:t>744 </w:t>
      </w:r>
      <w:r>
        <w:rPr>
          <w:bCs/>
          <w:color w:val="000000" w:themeColor="text1"/>
          <w:szCs w:val="24"/>
        </w:rPr>
        <w:t>tis. eur), administratívnych poplatkov a platieb (85 </w:t>
      </w:r>
      <w:r w:rsidR="00632A05">
        <w:rPr>
          <w:bCs/>
          <w:color w:val="000000" w:themeColor="text1"/>
          <w:szCs w:val="24"/>
        </w:rPr>
        <w:t>218 </w:t>
      </w:r>
      <w:r>
        <w:rPr>
          <w:bCs/>
          <w:color w:val="000000" w:themeColor="text1"/>
          <w:szCs w:val="24"/>
        </w:rPr>
        <w:t xml:space="preserve">tis. eur), z vyinkasovaných nezrovnalostí, odvodu a vratiek (139 292 tis. eur). </w:t>
      </w:r>
      <w:r w:rsidRPr="00F165A8">
        <w:rPr>
          <w:bCs/>
          <w:color w:val="000000" w:themeColor="text1"/>
          <w:szCs w:val="24"/>
        </w:rPr>
        <w:t xml:space="preserve">Skutočné plnenie nedaňových príjmov predstavovalo </w:t>
      </w:r>
      <w:r>
        <w:rPr>
          <w:bCs/>
          <w:color w:val="000000" w:themeColor="text1"/>
          <w:szCs w:val="24"/>
        </w:rPr>
        <w:t>123</w:t>
      </w:r>
      <w:r w:rsidRPr="00F165A8">
        <w:rPr>
          <w:bCs/>
          <w:color w:val="000000" w:themeColor="text1"/>
          <w:szCs w:val="24"/>
        </w:rPr>
        <w:t> % rozpočtovanej hodnoty</w:t>
      </w:r>
      <w:r>
        <w:rPr>
          <w:bCs/>
          <w:color w:val="000000" w:themeColor="text1"/>
          <w:szCs w:val="24"/>
        </w:rPr>
        <w:t>.</w:t>
      </w:r>
    </w:p>
    <w:p w14:paraId="19FECBA8" w14:textId="77777777" w:rsidR="00D46A5E" w:rsidRPr="0050710A" w:rsidRDefault="00D46A5E" w:rsidP="00532D85">
      <w:pPr>
        <w:spacing w:line="240" w:lineRule="auto"/>
        <w:jc w:val="both"/>
        <w:rPr>
          <w:bCs/>
          <w:color w:val="000000" w:themeColor="text1"/>
          <w:szCs w:val="24"/>
          <w:highlight w:val="yellow"/>
        </w:rPr>
      </w:pPr>
    </w:p>
    <w:p w14:paraId="6D50F8BF" w14:textId="0B1443ED" w:rsidR="00A1147F" w:rsidRPr="0020775D" w:rsidRDefault="00A1147F" w:rsidP="00532D85">
      <w:pPr>
        <w:pStyle w:val="Popis"/>
        <w:jc w:val="both"/>
        <w:rPr>
          <w:lang w:eastAsia="sk-SK"/>
        </w:rPr>
      </w:pPr>
      <w:bookmarkStart w:id="108" w:name="_Toc196313653"/>
      <w:bookmarkStart w:id="109" w:name="_Toc227670163"/>
      <w:r w:rsidRPr="0020775D">
        <w:rPr>
          <w:lang w:eastAsia="sk-SK"/>
        </w:rPr>
        <w:t xml:space="preserve">Tabuľka </w:t>
      </w:r>
      <w:r w:rsidRPr="0020775D">
        <w:rPr>
          <w:i/>
          <w:lang w:eastAsia="sk-SK"/>
        </w:rPr>
        <w:fldChar w:fldCharType="begin"/>
      </w:r>
      <w:r w:rsidRPr="0020775D">
        <w:rPr>
          <w:lang w:eastAsia="sk-SK"/>
        </w:rPr>
        <w:instrText xml:space="preserve"> SEQ Tabuľka \* ARABIC </w:instrText>
      </w:r>
      <w:r w:rsidRPr="0020775D">
        <w:rPr>
          <w:i/>
          <w:lang w:eastAsia="sk-SK"/>
        </w:rPr>
        <w:fldChar w:fldCharType="separate"/>
      </w:r>
      <w:r w:rsidR="00396BE8">
        <w:rPr>
          <w:noProof/>
          <w:lang w:eastAsia="sk-SK"/>
        </w:rPr>
        <w:t>27</w:t>
      </w:r>
      <w:r w:rsidRPr="0020775D">
        <w:rPr>
          <w:i/>
          <w:lang w:eastAsia="sk-SK"/>
        </w:rPr>
        <w:fldChar w:fldCharType="end"/>
      </w:r>
      <w:r w:rsidRPr="0020775D">
        <w:rPr>
          <w:lang w:eastAsia="sk-SK"/>
        </w:rPr>
        <w:t xml:space="preserve"> - Nedaňové príjmy štátneho rozpočtu</w:t>
      </w:r>
      <w:bookmarkEnd w:id="108"/>
      <w:r w:rsidR="00D93D5F" w:rsidRPr="0020775D">
        <w:rPr>
          <w:lang w:eastAsia="sk-SK"/>
        </w:rPr>
        <w:t xml:space="preserve"> na hotovostnej báze</w:t>
      </w:r>
      <w:bookmarkEnd w:id="109"/>
    </w:p>
    <w:tbl>
      <w:tblPr>
        <w:tblW w:w="5000" w:type="pct"/>
        <w:tblCellMar>
          <w:left w:w="70" w:type="dxa"/>
          <w:right w:w="70" w:type="dxa"/>
        </w:tblCellMar>
        <w:tblLook w:val="04A0" w:firstRow="1" w:lastRow="0" w:firstColumn="1" w:lastColumn="0" w:noHBand="0" w:noVBand="1"/>
      </w:tblPr>
      <w:tblGrid>
        <w:gridCol w:w="4012"/>
        <w:gridCol w:w="1220"/>
        <w:gridCol w:w="1007"/>
        <w:gridCol w:w="902"/>
        <w:gridCol w:w="902"/>
        <w:gridCol w:w="1027"/>
      </w:tblGrid>
      <w:tr w:rsidR="0020775D" w:rsidRPr="00D0395E" w14:paraId="6E78E350" w14:textId="77777777" w:rsidTr="0020775D">
        <w:trPr>
          <w:trHeight w:val="330"/>
          <w:tblHeader/>
        </w:trPr>
        <w:tc>
          <w:tcPr>
            <w:tcW w:w="2212" w:type="pct"/>
            <w:tcBorders>
              <w:top w:val="single" w:sz="4" w:space="0" w:color="auto"/>
              <w:left w:val="nil"/>
              <w:bottom w:val="nil"/>
              <w:right w:val="nil"/>
            </w:tcBorders>
            <w:vAlign w:val="center"/>
            <w:hideMark/>
          </w:tcPr>
          <w:p w14:paraId="35C76B43" w14:textId="77777777" w:rsidR="0020775D" w:rsidRPr="00D0395E" w:rsidRDefault="0020775D"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673" w:type="pct"/>
            <w:tcBorders>
              <w:top w:val="single" w:sz="4" w:space="0" w:color="auto"/>
              <w:left w:val="nil"/>
              <w:bottom w:val="nil"/>
              <w:right w:val="nil"/>
            </w:tcBorders>
            <w:vAlign w:val="center"/>
            <w:hideMark/>
          </w:tcPr>
          <w:p w14:paraId="3E6AB8FD"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555" w:type="pct"/>
            <w:tcBorders>
              <w:top w:val="single" w:sz="4" w:space="0" w:color="auto"/>
              <w:left w:val="nil"/>
              <w:bottom w:val="nil"/>
              <w:right w:val="nil"/>
            </w:tcBorders>
            <w:vAlign w:val="center"/>
            <w:hideMark/>
          </w:tcPr>
          <w:p w14:paraId="1F479EF9"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497" w:type="pct"/>
            <w:tcBorders>
              <w:top w:val="single" w:sz="4" w:space="0" w:color="auto"/>
              <w:left w:val="nil"/>
              <w:bottom w:val="nil"/>
              <w:right w:val="nil"/>
            </w:tcBorders>
            <w:vAlign w:val="center"/>
            <w:hideMark/>
          </w:tcPr>
          <w:p w14:paraId="19AA80DD"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R</w:t>
            </w:r>
          </w:p>
        </w:tc>
        <w:tc>
          <w:tcPr>
            <w:tcW w:w="497" w:type="pct"/>
            <w:tcBorders>
              <w:top w:val="single" w:sz="4" w:space="0" w:color="auto"/>
              <w:left w:val="nil"/>
              <w:bottom w:val="nil"/>
              <w:right w:val="nil"/>
            </w:tcBorders>
            <w:vAlign w:val="center"/>
            <w:hideMark/>
          </w:tcPr>
          <w:p w14:paraId="3D1E5FEC"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c>
          <w:tcPr>
            <w:tcW w:w="566" w:type="pct"/>
            <w:tcBorders>
              <w:top w:val="single" w:sz="4" w:space="0" w:color="auto"/>
              <w:left w:val="nil"/>
              <w:bottom w:val="nil"/>
              <w:right w:val="nil"/>
            </w:tcBorders>
            <w:vAlign w:val="center"/>
            <w:hideMark/>
          </w:tcPr>
          <w:p w14:paraId="5152BF12"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 xml:space="preserve">Rozdiel </w:t>
            </w:r>
          </w:p>
        </w:tc>
      </w:tr>
      <w:tr w:rsidR="0020775D" w:rsidRPr="00D0395E" w14:paraId="08CB0165" w14:textId="77777777" w:rsidTr="0020775D">
        <w:trPr>
          <w:trHeight w:val="345"/>
          <w:tblHeader/>
        </w:trPr>
        <w:tc>
          <w:tcPr>
            <w:tcW w:w="2212" w:type="pct"/>
            <w:tcBorders>
              <w:top w:val="nil"/>
              <w:left w:val="nil"/>
              <w:bottom w:val="single" w:sz="4" w:space="0" w:color="auto"/>
              <w:right w:val="nil"/>
            </w:tcBorders>
            <w:vAlign w:val="center"/>
            <w:hideMark/>
          </w:tcPr>
          <w:p w14:paraId="2EB562BC" w14:textId="77777777" w:rsidR="0020775D" w:rsidRPr="00D0395E" w:rsidRDefault="0020775D" w:rsidP="005442D6">
            <w:pPr>
              <w:spacing w:line="240" w:lineRule="auto"/>
              <w:rPr>
                <w:rFonts w:eastAsia="Times New Roman" w:cs="Times New Roman"/>
                <w:b/>
                <w:bCs/>
                <w:color w:val="FFFFFF"/>
                <w:sz w:val="18"/>
                <w:szCs w:val="18"/>
                <w:lang w:eastAsia="sk-SK"/>
              </w:rPr>
            </w:pPr>
            <w:r w:rsidRPr="00D0395E">
              <w:rPr>
                <w:rFonts w:eastAsia="Times New Roman" w:cs="Times New Roman"/>
                <w:b/>
                <w:bCs/>
                <w:color w:val="FFFFFF"/>
                <w:sz w:val="18"/>
                <w:szCs w:val="18"/>
                <w:lang w:eastAsia="sk-SK"/>
              </w:rPr>
              <w:t> </w:t>
            </w:r>
          </w:p>
        </w:tc>
        <w:tc>
          <w:tcPr>
            <w:tcW w:w="673" w:type="pct"/>
            <w:tcBorders>
              <w:top w:val="nil"/>
              <w:left w:val="nil"/>
              <w:bottom w:val="single" w:sz="4" w:space="0" w:color="auto"/>
              <w:right w:val="nil"/>
            </w:tcBorders>
            <w:vAlign w:val="center"/>
            <w:hideMark/>
          </w:tcPr>
          <w:p w14:paraId="7F9984B5"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55" w:type="pct"/>
            <w:tcBorders>
              <w:top w:val="nil"/>
              <w:left w:val="nil"/>
              <w:bottom w:val="single" w:sz="4" w:space="0" w:color="auto"/>
              <w:right w:val="nil"/>
            </w:tcBorders>
            <w:vAlign w:val="center"/>
            <w:hideMark/>
          </w:tcPr>
          <w:p w14:paraId="3F851FB8"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497" w:type="pct"/>
            <w:tcBorders>
              <w:top w:val="nil"/>
              <w:left w:val="nil"/>
              <w:bottom w:val="single" w:sz="4" w:space="0" w:color="auto"/>
              <w:right w:val="nil"/>
            </w:tcBorders>
            <w:vAlign w:val="center"/>
            <w:hideMark/>
          </w:tcPr>
          <w:p w14:paraId="711EBB5E"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497" w:type="pct"/>
            <w:tcBorders>
              <w:top w:val="nil"/>
              <w:left w:val="nil"/>
              <w:bottom w:val="single" w:sz="4" w:space="0" w:color="auto"/>
              <w:right w:val="nil"/>
            </w:tcBorders>
            <w:vAlign w:val="center"/>
            <w:hideMark/>
          </w:tcPr>
          <w:p w14:paraId="43070A12"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66" w:type="pct"/>
            <w:tcBorders>
              <w:top w:val="nil"/>
              <w:left w:val="nil"/>
              <w:bottom w:val="single" w:sz="4" w:space="0" w:color="auto"/>
              <w:right w:val="nil"/>
            </w:tcBorders>
            <w:vAlign w:val="center"/>
            <w:hideMark/>
          </w:tcPr>
          <w:p w14:paraId="001A3760" w14:textId="77777777" w:rsidR="0020775D" w:rsidRPr="00D0395E" w:rsidRDefault="0020775D"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20775D" w:rsidRPr="00D0395E" w14:paraId="6E5622AF" w14:textId="77777777" w:rsidTr="0020775D">
        <w:trPr>
          <w:trHeight w:val="330"/>
        </w:trPr>
        <w:tc>
          <w:tcPr>
            <w:tcW w:w="2212" w:type="pct"/>
            <w:tcBorders>
              <w:top w:val="single" w:sz="4" w:space="0" w:color="auto"/>
              <w:left w:val="nil"/>
              <w:bottom w:val="nil"/>
              <w:right w:val="nil"/>
            </w:tcBorders>
            <w:noWrap/>
            <w:vAlign w:val="center"/>
            <w:hideMark/>
          </w:tcPr>
          <w:p w14:paraId="6F0136EA"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Príjmy z podnikania a z vlastníctva</w:t>
            </w:r>
          </w:p>
        </w:tc>
        <w:tc>
          <w:tcPr>
            <w:tcW w:w="673" w:type="pct"/>
            <w:tcBorders>
              <w:top w:val="single" w:sz="4" w:space="0" w:color="auto"/>
              <w:left w:val="nil"/>
              <w:bottom w:val="nil"/>
              <w:right w:val="nil"/>
            </w:tcBorders>
            <w:noWrap/>
            <w:vAlign w:val="center"/>
            <w:hideMark/>
          </w:tcPr>
          <w:p w14:paraId="1CA49235" w14:textId="77777777" w:rsidR="0020775D" w:rsidRPr="00D0395E" w:rsidRDefault="0020775D" w:rsidP="005442D6">
            <w:pPr>
              <w:spacing w:line="240" w:lineRule="auto"/>
              <w:jc w:val="right"/>
              <w:rPr>
                <w:rFonts w:eastAsia="Times New Roman" w:cs="Times New Roman"/>
                <w:sz w:val="18"/>
                <w:szCs w:val="18"/>
                <w:lang w:eastAsia="sk-SK"/>
              </w:rPr>
            </w:pPr>
            <w:r w:rsidRPr="00D0395E">
              <w:rPr>
                <w:rFonts w:eastAsia="Times New Roman" w:cs="Times New Roman"/>
                <w:color w:val="000000"/>
                <w:sz w:val="18"/>
                <w:szCs w:val="18"/>
                <w:lang w:eastAsia="sk-SK"/>
              </w:rPr>
              <w:t>600 308</w:t>
            </w:r>
          </w:p>
        </w:tc>
        <w:tc>
          <w:tcPr>
            <w:tcW w:w="555" w:type="pct"/>
            <w:tcBorders>
              <w:top w:val="single" w:sz="4" w:space="0" w:color="auto"/>
              <w:left w:val="nil"/>
              <w:bottom w:val="nil"/>
              <w:right w:val="nil"/>
            </w:tcBorders>
            <w:noWrap/>
            <w:vAlign w:val="center"/>
          </w:tcPr>
          <w:p w14:paraId="7089B279"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536 443</w:t>
            </w:r>
          </w:p>
        </w:tc>
        <w:tc>
          <w:tcPr>
            <w:tcW w:w="497" w:type="pct"/>
            <w:tcBorders>
              <w:top w:val="single" w:sz="4" w:space="0" w:color="auto"/>
              <w:left w:val="nil"/>
              <w:bottom w:val="nil"/>
              <w:right w:val="nil"/>
            </w:tcBorders>
            <w:noWrap/>
            <w:vAlign w:val="center"/>
          </w:tcPr>
          <w:p w14:paraId="6D90C723"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535 659</w:t>
            </w:r>
          </w:p>
        </w:tc>
        <w:tc>
          <w:tcPr>
            <w:tcW w:w="497" w:type="pct"/>
            <w:tcBorders>
              <w:top w:val="single" w:sz="4" w:space="0" w:color="auto"/>
              <w:left w:val="nil"/>
              <w:bottom w:val="nil"/>
              <w:right w:val="nil"/>
            </w:tcBorders>
            <w:noWrap/>
            <w:vAlign w:val="center"/>
          </w:tcPr>
          <w:p w14:paraId="66347B3B" w14:textId="153838DF"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734 </w:t>
            </w:r>
            <w:r w:rsidR="00632A05">
              <w:rPr>
                <w:rFonts w:eastAsia="Times New Roman" w:cs="Times New Roman"/>
                <w:color w:val="000000"/>
                <w:sz w:val="18"/>
                <w:szCs w:val="18"/>
                <w:lang w:eastAsia="sk-SK"/>
              </w:rPr>
              <w:t>403</w:t>
            </w:r>
          </w:p>
        </w:tc>
        <w:tc>
          <w:tcPr>
            <w:tcW w:w="566" w:type="pct"/>
            <w:tcBorders>
              <w:top w:val="single" w:sz="4" w:space="0" w:color="auto"/>
              <w:left w:val="nil"/>
              <w:bottom w:val="nil"/>
              <w:right w:val="nil"/>
            </w:tcBorders>
            <w:vAlign w:val="center"/>
          </w:tcPr>
          <w:p w14:paraId="06686778" w14:textId="527C4263"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198 </w:t>
            </w:r>
            <w:r w:rsidR="00632A05">
              <w:rPr>
                <w:rFonts w:eastAsia="Times New Roman" w:cs="Times New Roman"/>
                <w:color w:val="000000"/>
                <w:sz w:val="18"/>
                <w:szCs w:val="18"/>
                <w:lang w:eastAsia="sk-SK"/>
              </w:rPr>
              <w:t>744</w:t>
            </w:r>
          </w:p>
        </w:tc>
      </w:tr>
      <w:tr w:rsidR="0020775D" w:rsidRPr="00D0395E" w14:paraId="6B1DA776" w14:textId="77777777" w:rsidTr="0020775D">
        <w:trPr>
          <w:trHeight w:val="330"/>
        </w:trPr>
        <w:tc>
          <w:tcPr>
            <w:tcW w:w="2212" w:type="pct"/>
            <w:tcBorders>
              <w:top w:val="nil"/>
              <w:left w:val="nil"/>
              <w:bottom w:val="nil"/>
              <w:right w:val="nil"/>
            </w:tcBorders>
            <w:noWrap/>
            <w:vAlign w:val="center"/>
            <w:hideMark/>
          </w:tcPr>
          <w:p w14:paraId="797D8756"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w:t>
            </w:r>
          </w:p>
        </w:tc>
        <w:tc>
          <w:tcPr>
            <w:tcW w:w="673" w:type="pct"/>
            <w:tcBorders>
              <w:top w:val="nil"/>
              <w:left w:val="nil"/>
              <w:bottom w:val="nil"/>
              <w:right w:val="nil"/>
            </w:tcBorders>
            <w:noWrap/>
            <w:vAlign w:val="bottom"/>
            <w:hideMark/>
          </w:tcPr>
          <w:p w14:paraId="5FBDE082" w14:textId="77777777" w:rsidR="0020775D" w:rsidRPr="00D0395E" w:rsidRDefault="0020775D" w:rsidP="005442D6">
            <w:pPr>
              <w:spacing w:line="240" w:lineRule="auto"/>
              <w:rPr>
                <w:rFonts w:eastAsia="Times New Roman" w:cs="Times New Roman"/>
                <w:color w:val="000000"/>
                <w:sz w:val="18"/>
                <w:szCs w:val="18"/>
                <w:lang w:eastAsia="sk-SK"/>
              </w:rPr>
            </w:pPr>
          </w:p>
        </w:tc>
        <w:tc>
          <w:tcPr>
            <w:tcW w:w="555" w:type="pct"/>
            <w:tcBorders>
              <w:top w:val="nil"/>
              <w:left w:val="nil"/>
              <w:bottom w:val="nil"/>
              <w:right w:val="nil"/>
            </w:tcBorders>
            <w:noWrap/>
            <w:vAlign w:val="bottom"/>
          </w:tcPr>
          <w:p w14:paraId="125AB538" w14:textId="77777777" w:rsidR="0020775D" w:rsidRPr="00D0395E" w:rsidRDefault="0020775D" w:rsidP="005442D6">
            <w:pPr>
              <w:spacing w:line="240" w:lineRule="auto"/>
              <w:rPr>
                <w:rFonts w:eastAsia="Times New Roman" w:cs="Times New Roman"/>
                <w:sz w:val="18"/>
                <w:szCs w:val="18"/>
                <w:lang w:eastAsia="sk-SK"/>
              </w:rPr>
            </w:pPr>
          </w:p>
        </w:tc>
        <w:tc>
          <w:tcPr>
            <w:tcW w:w="497" w:type="pct"/>
            <w:tcBorders>
              <w:top w:val="nil"/>
              <w:left w:val="nil"/>
              <w:bottom w:val="nil"/>
              <w:right w:val="nil"/>
            </w:tcBorders>
            <w:noWrap/>
            <w:vAlign w:val="bottom"/>
          </w:tcPr>
          <w:p w14:paraId="3CE6DE97" w14:textId="77777777" w:rsidR="0020775D" w:rsidRPr="00D0395E" w:rsidRDefault="0020775D" w:rsidP="005442D6">
            <w:pPr>
              <w:spacing w:line="240" w:lineRule="auto"/>
              <w:rPr>
                <w:rFonts w:eastAsia="Times New Roman" w:cs="Times New Roman"/>
                <w:sz w:val="18"/>
                <w:szCs w:val="18"/>
                <w:lang w:eastAsia="sk-SK"/>
              </w:rPr>
            </w:pPr>
          </w:p>
        </w:tc>
        <w:tc>
          <w:tcPr>
            <w:tcW w:w="497" w:type="pct"/>
            <w:tcBorders>
              <w:top w:val="nil"/>
              <w:left w:val="nil"/>
              <w:bottom w:val="nil"/>
              <w:right w:val="nil"/>
            </w:tcBorders>
            <w:noWrap/>
            <w:vAlign w:val="bottom"/>
          </w:tcPr>
          <w:p w14:paraId="7FF61800" w14:textId="77777777" w:rsidR="0020775D" w:rsidRPr="00D0395E" w:rsidRDefault="0020775D" w:rsidP="005442D6">
            <w:pPr>
              <w:spacing w:line="240" w:lineRule="auto"/>
              <w:rPr>
                <w:rFonts w:eastAsia="Times New Roman" w:cs="Times New Roman"/>
                <w:sz w:val="18"/>
                <w:szCs w:val="18"/>
                <w:lang w:eastAsia="sk-SK"/>
              </w:rPr>
            </w:pPr>
          </w:p>
        </w:tc>
        <w:tc>
          <w:tcPr>
            <w:tcW w:w="566" w:type="pct"/>
            <w:tcBorders>
              <w:top w:val="nil"/>
              <w:left w:val="nil"/>
              <w:bottom w:val="nil"/>
              <w:right w:val="nil"/>
            </w:tcBorders>
            <w:noWrap/>
            <w:vAlign w:val="bottom"/>
          </w:tcPr>
          <w:p w14:paraId="1F03AD57" w14:textId="77777777" w:rsidR="0020775D" w:rsidRPr="00D0395E" w:rsidRDefault="0020775D" w:rsidP="005442D6">
            <w:pPr>
              <w:spacing w:line="240" w:lineRule="auto"/>
              <w:rPr>
                <w:rFonts w:eastAsia="Times New Roman" w:cs="Times New Roman"/>
                <w:sz w:val="18"/>
                <w:szCs w:val="18"/>
                <w:lang w:eastAsia="sk-SK"/>
              </w:rPr>
            </w:pPr>
          </w:p>
        </w:tc>
      </w:tr>
      <w:tr w:rsidR="0020775D" w:rsidRPr="00D0395E" w14:paraId="49D00B78" w14:textId="77777777" w:rsidTr="0020775D">
        <w:trPr>
          <w:trHeight w:val="330"/>
        </w:trPr>
        <w:tc>
          <w:tcPr>
            <w:tcW w:w="2212" w:type="pct"/>
            <w:tcBorders>
              <w:top w:val="nil"/>
              <w:left w:val="nil"/>
              <w:bottom w:val="nil"/>
              <w:right w:val="nil"/>
            </w:tcBorders>
            <w:noWrap/>
            <w:vAlign w:val="center"/>
            <w:hideMark/>
          </w:tcPr>
          <w:p w14:paraId="6BAE574B"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dividendy</w:t>
            </w:r>
          </w:p>
        </w:tc>
        <w:tc>
          <w:tcPr>
            <w:tcW w:w="673" w:type="pct"/>
            <w:tcBorders>
              <w:top w:val="nil"/>
              <w:left w:val="nil"/>
              <w:bottom w:val="nil"/>
              <w:right w:val="nil"/>
            </w:tcBorders>
            <w:noWrap/>
            <w:vAlign w:val="center"/>
            <w:hideMark/>
          </w:tcPr>
          <w:p w14:paraId="1A57DB26" w14:textId="77777777" w:rsidR="0020775D" w:rsidRPr="00D0395E" w:rsidRDefault="0020775D" w:rsidP="005442D6">
            <w:pPr>
              <w:spacing w:line="240" w:lineRule="auto"/>
              <w:jc w:val="right"/>
              <w:rPr>
                <w:rFonts w:eastAsia="Times New Roman" w:cs="Times New Roman"/>
                <w:sz w:val="18"/>
                <w:szCs w:val="18"/>
                <w:lang w:eastAsia="sk-SK"/>
              </w:rPr>
            </w:pPr>
            <w:r w:rsidRPr="00D0395E">
              <w:rPr>
                <w:rFonts w:eastAsia="Times New Roman" w:cs="Times New Roman"/>
                <w:color w:val="000000"/>
                <w:sz w:val="18"/>
                <w:szCs w:val="18"/>
                <w:lang w:eastAsia="sk-SK"/>
              </w:rPr>
              <w:t>442 362</w:t>
            </w:r>
          </w:p>
        </w:tc>
        <w:tc>
          <w:tcPr>
            <w:tcW w:w="555" w:type="pct"/>
            <w:tcBorders>
              <w:top w:val="nil"/>
              <w:left w:val="nil"/>
              <w:bottom w:val="nil"/>
              <w:right w:val="nil"/>
            </w:tcBorders>
            <w:noWrap/>
            <w:vAlign w:val="center"/>
          </w:tcPr>
          <w:p w14:paraId="377F00DF"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448 272</w:t>
            </w:r>
          </w:p>
        </w:tc>
        <w:tc>
          <w:tcPr>
            <w:tcW w:w="497" w:type="pct"/>
            <w:tcBorders>
              <w:top w:val="nil"/>
              <w:left w:val="nil"/>
              <w:bottom w:val="nil"/>
              <w:right w:val="nil"/>
            </w:tcBorders>
            <w:noWrap/>
            <w:vAlign w:val="center"/>
          </w:tcPr>
          <w:p w14:paraId="1E512A1B"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489 419</w:t>
            </w:r>
          </w:p>
        </w:tc>
        <w:tc>
          <w:tcPr>
            <w:tcW w:w="497" w:type="pct"/>
            <w:tcBorders>
              <w:top w:val="nil"/>
              <w:left w:val="nil"/>
              <w:bottom w:val="nil"/>
              <w:right w:val="nil"/>
            </w:tcBorders>
            <w:noWrap/>
            <w:vAlign w:val="center"/>
          </w:tcPr>
          <w:p w14:paraId="2AC8FF0A"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686 502</w:t>
            </w:r>
          </w:p>
        </w:tc>
        <w:tc>
          <w:tcPr>
            <w:tcW w:w="566" w:type="pct"/>
            <w:tcBorders>
              <w:top w:val="nil"/>
              <w:left w:val="nil"/>
              <w:bottom w:val="nil"/>
              <w:right w:val="nil"/>
            </w:tcBorders>
            <w:vAlign w:val="center"/>
          </w:tcPr>
          <w:p w14:paraId="7BECE311"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197 083</w:t>
            </w:r>
          </w:p>
        </w:tc>
      </w:tr>
      <w:tr w:rsidR="0020775D" w:rsidRPr="00D0395E" w14:paraId="783D175C" w14:textId="77777777" w:rsidTr="0020775D">
        <w:trPr>
          <w:trHeight w:val="330"/>
        </w:trPr>
        <w:tc>
          <w:tcPr>
            <w:tcW w:w="2212" w:type="pct"/>
            <w:tcBorders>
              <w:top w:val="nil"/>
              <w:left w:val="nil"/>
              <w:bottom w:val="nil"/>
              <w:right w:val="nil"/>
            </w:tcBorders>
            <w:noWrap/>
            <w:vAlign w:val="center"/>
            <w:hideMark/>
          </w:tcPr>
          <w:p w14:paraId="4D54E404"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prenajatých budov, priestorov a objektov</w:t>
            </w:r>
          </w:p>
        </w:tc>
        <w:tc>
          <w:tcPr>
            <w:tcW w:w="673" w:type="pct"/>
            <w:tcBorders>
              <w:top w:val="nil"/>
              <w:left w:val="nil"/>
              <w:bottom w:val="nil"/>
              <w:right w:val="nil"/>
            </w:tcBorders>
            <w:noWrap/>
            <w:vAlign w:val="center"/>
            <w:hideMark/>
          </w:tcPr>
          <w:p w14:paraId="4CBC5D19" w14:textId="77777777" w:rsidR="0020775D" w:rsidRPr="00D0395E" w:rsidRDefault="0020775D" w:rsidP="005442D6">
            <w:pPr>
              <w:spacing w:line="240" w:lineRule="auto"/>
              <w:jc w:val="right"/>
              <w:rPr>
                <w:rFonts w:eastAsia="Times New Roman" w:cs="Times New Roman"/>
                <w:sz w:val="18"/>
                <w:szCs w:val="18"/>
                <w:lang w:eastAsia="sk-SK"/>
              </w:rPr>
            </w:pPr>
            <w:r w:rsidRPr="00D0395E">
              <w:rPr>
                <w:rFonts w:eastAsia="Times New Roman" w:cs="Times New Roman"/>
                <w:color w:val="000000"/>
                <w:sz w:val="18"/>
                <w:szCs w:val="18"/>
                <w:lang w:eastAsia="sk-SK"/>
              </w:rPr>
              <w:t>6 258</w:t>
            </w:r>
          </w:p>
        </w:tc>
        <w:tc>
          <w:tcPr>
            <w:tcW w:w="555" w:type="pct"/>
            <w:tcBorders>
              <w:top w:val="nil"/>
              <w:left w:val="nil"/>
              <w:bottom w:val="nil"/>
              <w:right w:val="nil"/>
            </w:tcBorders>
            <w:noWrap/>
            <w:vAlign w:val="center"/>
          </w:tcPr>
          <w:p w14:paraId="714C5448"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6 580</w:t>
            </w:r>
          </w:p>
        </w:tc>
        <w:tc>
          <w:tcPr>
            <w:tcW w:w="497" w:type="pct"/>
            <w:tcBorders>
              <w:top w:val="nil"/>
              <w:left w:val="nil"/>
              <w:bottom w:val="nil"/>
              <w:right w:val="nil"/>
            </w:tcBorders>
            <w:noWrap/>
            <w:vAlign w:val="center"/>
          </w:tcPr>
          <w:p w14:paraId="184A43F2"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5 977</w:t>
            </w:r>
          </w:p>
        </w:tc>
        <w:tc>
          <w:tcPr>
            <w:tcW w:w="497" w:type="pct"/>
            <w:tcBorders>
              <w:top w:val="nil"/>
              <w:left w:val="nil"/>
              <w:bottom w:val="nil"/>
              <w:right w:val="nil"/>
            </w:tcBorders>
            <w:noWrap/>
            <w:vAlign w:val="center"/>
          </w:tcPr>
          <w:p w14:paraId="741D6311"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7 638</w:t>
            </w:r>
          </w:p>
        </w:tc>
        <w:tc>
          <w:tcPr>
            <w:tcW w:w="566" w:type="pct"/>
            <w:tcBorders>
              <w:top w:val="nil"/>
              <w:left w:val="nil"/>
              <w:bottom w:val="nil"/>
              <w:right w:val="nil"/>
            </w:tcBorders>
            <w:vAlign w:val="center"/>
          </w:tcPr>
          <w:p w14:paraId="266E804F"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1 661</w:t>
            </w:r>
          </w:p>
        </w:tc>
      </w:tr>
      <w:tr w:rsidR="0020775D" w:rsidRPr="00D0395E" w14:paraId="04294E61" w14:textId="77777777" w:rsidTr="0020775D">
        <w:trPr>
          <w:trHeight w:val="330"/>
        </w:trPr>
        <w:tc>
          <w:tcPr>
            <w:tcW w:w="2212" w:type="pct"/>
            <w:tcBorders>
              <w:top w:val="nil"/>
              <w:left w:val="nil"/>
              <w:bottom w:val="nil"/>
              <w:right w:val="nil"/>
            </w:tcBorders>
            <w:noWrap/>
            <w:vAlign w:val="center"/>
            <w:hideMark/>
          </w:tcPr>
          <w:p w14:paraId="5AB61B42"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iné príjmy z podnikania </w:t>
            </w:r>
          </w:p>
        </w:tc>
        <w:tc>
          <w:tcPr>
            <w:tcW w:w="673" w:type="pct"/>
            <w:tcBorders>
              <w:top w:val="nil"/>
              <w:left w:val="nil"/>
              <w:bottom w:val="nil"/>
              <w:right w:val="nil"/>
            </w:tcBorders>
            <w:noWrap/>
            <w:vAlign w:val="center"/>
            <w:hideMark/>
          </w:tcPr>
          <w:p w14:paraId="1740901E" w14:textId="77777777" w:rsidR="0020775D" w:rsidRPr="00D0395E" w:rsidRDefault="0020775D" w:rsidP="005442D6">
            <w:pPr>
              <w:spacing w:line="240" w:lineRule="auto"/>
              <w:jc w:val="right"/>
              <w:rPr>
                <w:rFonts w:eastAsia="Times New Roman" w:cs="Times New Roman"/>
                <w:sz w:val="18"/>
                <w:szCs w:val="18"/>
                <w:lang w:eastAsia="sk-SK"/>
              </w:rPr>
            </w:pPr>
            <w:r w:rsidRPr="00D0395E">
              <w:rPr>
                <w:rFonts w:eastAsia="Times New Roman" w:cs="Times New Roman"/>
                <w:color w:val="000000"/>
                <w:sz w:val="18"/>
                <w:szCs w:val="18"/>
                <w:lang w:eastAsia="sk-SK"/>
              </w:rPr>
              <w:t>151 688</w:t>
            </w:r>
          </w:p>
        </w:tc>
        <w:tc>
          <w:tcPr>
            <w:tcW w:w="555" w:type="pct"/>
            <w:tcBorders>
              <w:top w:val="nil"/>
              <w:left w:val="nil"/>
              <w:bottom w:val="nil"/>
              <w:right w:val="nil"/>
            </w:tcBorders>
            <w:noWrap/>
            <w:vAlign w:val="center"/>
          </w:tcPr>
          <w:p w14:paraId="22E579E9"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81 591</w:t>
            </w:r>
          </w:p>
        </w:tc>
        <w:tc>
          <w:tcPr>
            <w:tcW w:w="497" w:type="pct"/>
            <w:tcBorders>
              <w:top w:val="nil"/>
              <w:left w:val="nil"/>
              <w:bottom w:val="nil"/>
              <w:right w:val="nil"/>
            </w:tcBorders>
            <w:noWrap/>
            <w:vAlign w:val="center"/>
          </w:tcPr>
          <w:p w14:paraId="58829D29"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40 263</w:t>
            </w:r>
          </w:p>
        </w:tc>
        <w:tc>
          <w:tcPr>
            <w:tcW w:w="497" w:type="pct"/>
            <w:tcBorders>
              <w:top w:val="nil"/>
              <w:left w:val="nil"/>
              <w:bottom w:val="nil"/>
              <w:right w:val="nil"/>
            </w:tcBorders>
            <w:noWrap/>
            <w:vAlign w:val="center"/>
          </w:tcPr>
          <w:p w14:paraId="25D40C9B"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40 263</w:t>
            </w:r>
          </w:p>
        </w:tc>
        <w:tc>
          <w:tcPr>
            <w:tcW w:w="566" w:type="pct"/>
            <w:tcBorders>
              <w:top w:val="nil"/>
              <w:left w:val="nil"/>
              <w:bottom w:val="nil"/>
              <w:right w:val="nil"/>
            </w:tcBorders>
            <w:vAlign w:val="center"/>
          </w:tcPr>
          <w:p w14:paraId="52F46090"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20775D" w:rsidRPr="00D0395E" w14:paraId="15B3609F" w14:textId="77777777" w:rsidTr="0020775D">
        <w:trPr>
          <w:trHeight w:val="330"/>
        </w:trPr>
        <w:tc>
          <w:tcPr>
            <w:tcW w:w="2212" w:type="pct"/>
            <w:tcBorders>
              <w:top w:val="nil"/>
              <w:left w:val="nil"/>
              <w:bottom w:val="nil"/>
              <w:right w:val="nil"/>
            </w:tcBorders>
            <w:noWrap/>
            <w:vAlign w:val="center"/>
            <w:hideMark/>
          </w:tcPr>
          <w:p w14:paraId="3FB09F74"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Administratívne poplatky a iné poplatky a platby</w:t>
            </w:r>
          </w:p>
        </w:tc>
        <w:tc>
          <w:tcPr>
            <w:tcW w:w="673" w:type="pct"/>
            <w:tcBorders>
              <w:top w:val="nil"/>
              <w:left w:val="nil"/>
              <w:bottom w:val="nil"/>
              <w:right w:val="nil"/>
            </w:tcBorders>
            <w:noWrap/>
            <w:vAlign w:val="center"/>
            <w:hideMark/>
          </w:tcPr>
          <w:p w14:paraId="75E1F22A"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366 045</w:t>
            </w:r>
          </w:p>
        </w:tc>
        <w:tc>
          <w:tcPr>
            <w:tcW w:w="555" w:type="pct"/>
            <w:tcBorders>
              <w:top w:val="nil"/>
              <w:left w:val="nil"/>
              <w:bottom w:val="nil"/>
              <w:right w:val="nil"/>
            </w:tcBorders>
            <w:noWrap/>
            <w:vAlign w:val="center"/>
          </w:tcPr>
          <w:p w14:paraId="78142AF8"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442 497</w:t>
            </w:r>
          </w:p>
        </w:tc>
        <w:tc>
          <w:tcPr>
            <w:tcW w:w="497" w:type="pct"/>
            <w:tcBorders>
              <w:top w:val="nil"/>
              <w:left w:val="nil"/>
              <w:bottom w:val="nil"/>
              <w:right w:val="nil"/>
            </w:tcBorders>
            <w:noWrap/>
            <w:vAlign w:val="center"/>
          </w:tcPr>
          <w:p w14:paraId="38C153B8"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575 492</w:t>
            </w:r>
          </w:p>
        </w:tc>
        <w:tc>
          <w:tcPr>
            <w:tcW w:w="497" w:type="pct"/>
            <w:tcBorders>
              <w:top w:val="nil"/>
              <w:left w:val="nil"/>
              <w:bottom w:val="nil"/>
              <w:right w:val="nil"/>
            </w:tcBorders>
            <w:noWrap/>
            <w:vAlign w:val="center"/>
          </w:tcPr>
          <w:p w14:paraId="6BB59BC6" w14:textId="375CC073"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660 </w:t>
            </w:r>
            <w:r w:rsidR="00632A05">
              <w:rPr>
                <w:rFonts w:eastAsia="Times New Roman" w:cs="Times New Roman"/>
                <w:color w:val="000000"/>
                <w:sz w:val="18"/>
                <w:szCs w:val="18"/>
                <w:lang w:eastAsia="sk-SK"/>
              </w:rPr>
              <w:t>710</w:t>
            </w:r>
          </w:p>
        </w:tc>
        <w:tc>
          <w:tcPr>
            <w:tcW w:w="566" w:type="pct"/>
            <w:tcBorders>
              <w:top w:val="nil"/>
              <w:left w:val="nil"/>
              <w:bottom w:val="nil"/>
              <w:right w:val="nil"/>
            </w:tcBorders>
            <w:vAlign w:val="center"/>
          </w:tcPr>
          <w:p w14:paraId="3125E448" w14:textId="3026CFA3"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85 </w:t>
            </w:r>
            <w:r w:rsidR="00632A05">
              <w:rPr>
                <w:rFonts w:eastAsia="Times New Roman" w:cs="Times New Roman"/>
                <w:color w:val="000000"/>
                <w:sz w:val="18"/>
                <w:szCs w:val="18"/>
                <w:lang w:eastAsia="sk-SK"/>
              </w:rPr>
              <w:t>218</w:t>
            </w:r>
          </w:p>
        </w:tc>
      </w:tr>
      <w:tr w:rsidR="0020775D" w:rsidRPr="00D0395E" w14:paraId="5F15F650" w14:textId="77777777" w:rsidTr="0020775D">
        <w:trPr>
          <w:trHeight w:val="330"/>
        </w:trPr>
        <w:tc>
          <w:tcPr>
            <w:tcW w:w="2212" w:type="pct"/>
            <w:tcBorders>
              <w:top w:val="nil"/>
              <w:left w:val="nil"/>
              <w:bottom w:val="nil"/>
              <w:right w:val="nil"/>
            </w:tcBorders>
            <w:noWrap/>
            <w:vAlign w:val="center"/>
            <w:hideMark/>
          </w:tcPr>
          <w:p w14:paraId="1D8E6BA9"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toho: </w:t>
            </w:r>
          </w:p>
        </w:tc>
        <w:tc>
          <w:tcPr>
            <w:tcW w:w="673" w:type="pct"/>
            <w:tcBorders>
              <w:top w:val="nil"/>
              <w:left w:val="nil"/>
              <w:bottom w:val="nil"/>
              <w:right w:val="nil"/>
            </w:tcBorders>
            <w:noWrap/>
            <w:vAlign w:val="bottom"/>
            <w:hideMark/>
          </w:tcPr>
          <w:p w14:paraId="7BC4F933" w14:textId="77777777" w:rsidR="0020775D" w:rsidRPr="00D0395E" w:rsidRDefault="0020775D" w:rsidP="005442D6">
            <w:pPr>
              <w:spacing w:line="240" w:lineRule="auto"/>
              <w:rPr>
                <w:rFonts w:eastAsia="Times New Roman" w:cs="Times New Roman"/>
                <w:color w:val="000000"/>
                <w:sz w:val="18"/>
                <w:szCs w:val="18"/>
                <w:lang w:eastAsia="sk-SK"/>
              </w:rPr>
            </w:pPr>
          </w:p>
        </w:tc>
        <w:tc>
          <w:tcPr>
            <w:tcW w:w="555" w:type="pct"/>
            <w:tcBorders>
              <w:top w:val="nil"/>
              <w:left w:val="nil"/>
              <w:bottom w:val="nil"/>
              <w:right w:val="nil"/>
            </w:tcBorders>
            <w:noWrap/>
            <w:vAlign w:val="bottom"/>
          </w:tcPr>
          <w:p w14:paraId="4E990C51" w14:textId="77777777" w:rsidR="0020775D" w:rsidRPr="00D0395E" w:rsidRDefault="0020775D" w:rsidP="005442D6">
            <w:pPr>
              <w:spacing w:line="240" w:lineRule="auto"/>
              <w:rPr>
                <w:rFonts w:eastAsia="Times New Roman" w:cs="Times New Roman"/>
                <w:sz w:val="18"/>
                <w:szCs w:val="18"/>
                <w:lang w:eastAsia="sk-SK"/>
              </w:rPr>
            </w:pPr>
          </w:p>
        </w:tc>
        <w:tc>
          <w:tcPr>
            <w:tcW w:w="497" w:type="pct"/>
            <w:tcBorders>
              <w:top w:val="nil"/>
              <w:left w:val="nil"/>
              <w:bottom w:val="nil"/>
              <w:right w:val="nil"/>
            </w:tcBorders>
            <w:noWrap/>
            <w:vAlign w:val="bottom"/>
          </w:tcPr>
          <w:p w14:paraId="607A63C1" w14:textId="77777777" w:rsidR="0020775D" w:rsidRPr="00D0395E" w:rsidRDefault="0020775D" w:rsidP="005442D6">
            <w:pPr>
              <w:spacing w:line="240" w:lineRule="auto"/>
              <w:rPr>
                <w:rFonts w:eastAsia="Times New Roman" w:cs="Times New Roman"/>
                <w:sz w:val="18"/>
                <w:szCs w:val="18"/>
                <w:lang w:eastAsia="sk-SK"/>
              </w:rPr>
            </w:pPr>
          </w:p>
        </w:tc>
        <w:tc>
          <w:tcPr>
            <w:tcW w:w="497" w:type="pct"/>
            <w:tcBorders>
              <w:top w:val="nil"/>
              <w:left w:val="nil"/>
              <w:bottom w:val="nil"/>
              <w:right w:val="nil"/>
            </w:tcBorders>
            <w:noWrap/>
            <w:vAlign w:val="bottom"/>
          </w:tcPr>
          <w:p w14:paraId="5251C545" w14:textId="77777777" w:rsidR="0020775D" w:rsidRPr="00D0395E" w:rsidRDefault="0020775D" w:rsidP="005442D6">
            <w:pPr>
              <w:spacing w:line="240" w:lineRule="auto"/>
              <w:rPr>
                <w:rFonts w:eastAsia="Times New Roman" w:cs="Times New Roman"/>
                <w:sz w:val="18"/>
                <w:szCs w:val="18"/>
                <w:lang w:eastAsia="sk-SK"/>
              </w:rPr>
            </w:pPr>
          </w:p>
        </w:tc>
        <w:tc>
          <w:tcPr>
            <w:tcW w:w="566" w:type="pct"/>
            <w:tcBorders>
              <w:top w:val="nil"/>
              <w:left w:val="nil"/>
              <w:bottom w:val="nil"/>
              <w:right w:val="nil"/>
            </w:tcBorders>
            <w:noWrap/>
            <w:vAlign w:val="bottom"/>
          </w:tcPr>
          <w:p w14:paraId="2609BFF6" w14:textId="77777777" w:rsidR="0020775D" w:rsidRPr="00D0395E" w:rsidRDefault="0020775D" w:rsidP="005442D6">
            <w:pPr>
              <w:spacing w:line="240" w:lineRule="auto"/>
              <w:rPr>
                <w:rFonts w:eastAsia="Times New Roman" w:cs="Times New Roman"/>
                <w:sz w:val="18"/>
                <w:szCs w:val="18"/>
                <w:lang w:eastAsia="sk-SK"/>
              </w:rPr>
            </w:pPr>
          </w:p>
        </w:tc>
      </w:tr>
      <w:tr w:rsidR="0020775D" w:rsidRPr="00D0395E" w14:paraId="1E0220BD" w14:textId="77777777" w:rsidTr="0020775D">
        <w:trPr>
          <w:trHeight w:val="330"/>
        </w:trPr>
        <w:tc>
          <w:tcPr>
            <w:tcW w:w="2212" w:type="pct"/>
            <w:tcBorders>
              <w:top w:val="nil"/>
              <w:left w:val="nil"/>
              <w:bottom w:val="nil"/>
              <w:right w:val="nil"/>
            </w:tcBorders>
            <w:noWrap/>
            <w:vAlign w:val="center"/>
            <w:hideMark/>
          </w:tcPr>
          <w:p w14:paraId="689752DF"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správne poplatky</w:t>
            </w:r>
          </w:p>
        </w:tc>
        <w:tc>
          <w:tcPr>
            <w:tcW w:w="673" w:type="pct"/>
            <w:tcBorders>
              <w:top w:val="nil"/>
              <w:left w:val="nil"/>
              <w:bottom w:val="nil"/>
              <w:right w:val="nil"/>
            </w:tcBorders>
            <w:noWrap/>
            <w:vAlign w:val="center"/>
            <w:hideMark/>
          </w:tcPr>
          <w:p w14:paraId="10531FDD"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165 710</w:t>
            </w:r>
          </w:p>
        </w:tc>
        <w:tc>
          <w:tcPr>
            <w:tcW w:w="555" w:type="pct"/>
            <w:tcBorders>
              <w:top w:val="nil"/>
              <w:left w:val="nil"/>
              <w:bottom w:val="nil"/>
              <w:right w:val="nil"/>
            </w:tcBorders>
            <w:noWrap/>
            <w:vAlign w:val="center"/>
          </w:tcPr>
          <w:p w14:paraId="5FFA1582"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197 224</w:t>
            </w:r>
          </w:p>
        </w:tc>
        <w:tc>
          <w:tcPr>
            <w:tcW w:w="497" w:type="pct"/>
            <w:tcBorders>
              <w:top w:val="nil"/>
              <w:left w:val="nil"/>
              <w:bottom w:val="nil"/>
              <w:right w:val="nil"/>
            </w:tcBorders>
            <w:noWrap/>
            <w:vAlign w:val="center"/>
          </w:tcPr>
          <w:p w14:paraId="18180D39"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214 730</w:t>
            </w:r>
          </w:p>
        </w:tc>
        <w:tc>
          <w:tcPr>
            <w:tcW w:w="497" w:type="pct"/>
            <w:tcBorders>
              <w:top w:val="nil"/>
              <w:left w:val="nil"/>
              <w:bottom w:val="nil"/>
              <w:right w:val="nil"/>
            </w:tcBorders>
            <w:noWrap/>
            <w:vAlign w:val="center"/>
          </w:tcPr>
          <w:p w14:paraId="6DBFF3E2"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210 542</w:t>
            </w:r>
          </w:p>
        </w:tc>
        <w:tc>
          <w:tcPr>
            <w:tcW w:w="566" w:type="pct"/>
            <w:tcBorders>
              <w:top w:val="nil"/>
              <w:left w:val="nil"/>
              <w:bottom w:val="nil"/>
              <w:right w:val="nil"/>
            </w:tcBorders>
            <w:vAlign w:val="center"/>
          </w:tcPr>
          <w:p w14:paraId="77FC1D6F"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-4 188</w:t>
            </w:r>
          </w:p>
        </w:tc>
      </w:tr>
      <w:tr w:rsidR="0020775D" w:rsidRPr="00D0395E" w14:paraId="204FE3B6" w14:textId="77777777" w:rsidTr="0020775D">
        <w:trPr>
          <w:trHeight w:val="330"/>
        </w:trPr>
        <w:tc>
          <w:tcPr>
            <w:tcW w:w="2212" w:type="pct"/>
            <w:tcBorders>
              <w:top w:val="nil"/>
              <w:left w:val="nil"/>
              <w:bottom w:val="nil"/>
              <w:right w:val="nil"/>
            </w:tcBorders>
            <w:noWrap/>
            <w:vAlign w:val="center"/>
            <w:hideMark/>
          </w:tcPr>
          <w:p w14:paraId="52AEBE69"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súdne poplatky</w:t>
            </w:r>
          </w:p>
        </w:tc>
        <w:tc>
          <w:tcPr>
            <w:tcW w:w="673" w:type="pct"/>
            <w:tcBorders>
              <w:top w:val="nil"/>
              <w:left w:val="nil"/>
              <w:bottom w:val="nil"/>
              <w:right w:val="nil"/>
            </w:tcBorders>
            <w:noWrap/>
            <w:vAlign w:val="center"/>
            <w:hideMark/>
          </w:tcPr>
          <w:p w14:paraId="14CBB47D"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30 518</w:t>
            </w:r>
          </w:p>
        </w:tc>
        <w:tc>
          <w:tcPr>
            <w:tcW w:w="555" w:type="pct"/>
            <w:tcBorders>
              <w:top w:val="nil"/>
              <w:left w:val="nil"/>
              <w:bottom w:val="nil"/>
              <w:right w:val="nil"/>
            </w:tcBorders>
            <w:noWrap/>
            <w:vAlign w:val="center"/>
          </w:tcPr>
          <w:p w14:paraId="65D7D9ED"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34 761</w:t>
            </w:r>
          </w:p>
        </w:tc>
        <w:tc>
          <w:tcPr>
            <w:tcW w:w="497" w:type="pct"/>
            <w:tcBorders>
              <w:top w:val="nil"/>
              <w:left w:val="nil"/>
              <w:bottom w:val="nil"/>
              <w:right w:val="nil"/>
            </w:tcBorders>
            <w:noWrap/>
            <w:vAlign w:val="center"/>
          </w:tcPr>
          <w:p w14:paraId="24D053FB" w14:textId="554ADC46"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42 </w:t>
            </w:r>
            <w:r w:rsidR="00632A05">
              <w:rPr>
                <w:rFonts w:eastAsia="Times New Roman" w:cs="Times New Roman"/>
                <w:color w:val="000000"/>
                <w:sz w:val="18"/>
                <w:szCs w:val="18"/>
                <w:lang w:eastAsia="sk-SK"/>
              </w:rPr>
              <w:t>136</w:t>
            </w:r>
          </w:p>
        </w:tc>
        <w:tc>
          <w:tcPr>
            <w:tcW w:w="497" w:type="pct"/>
            <w:tcBorders>
              <w:top w:val="nil"/>
              <w:left w:val="nil"/>
              <w:bottom w:val="nil"/>
              <w:right w:val="nil"/>
            </w:tcBorders>
            <w:noWrap/>
            <w:vAlign w:val="center"/>
          </w:tcPr>
          <w:p w14:paraId="673299D3"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33 889</w:t>
            </w:r>
          </w:p>
        </w:tc>
        <w:tc>
          <w:tcPr>
            <w:tcW w:w="566" w:type="pct"/>
            <w:tcBorders>
              <w:top w:val="nil"/>
              <w:left w:val="nil"/>
              <w:bottom w:val="nil"/>
              <w:right w:val="nil"/>
            </w:tcBorders>
            <w:vAlign w:val="center"/>
          </w:tcPr>
          <w:p w14:paraId="1B442519" w14:textId="5BB2ABB2"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-8 </w:t>
            </w:r>
            <w:r w:rsidR="00632A05">
              <w:rPr>
                <w:rFonts w:eastAsia="Times New Roman" w:cs="Times New Roman"/>
                <w:color w:val="000000"/>
                <w:sz w:val="18"/>
                <w:szCs w:val="18"/>
                <w:lang w:eastAsia="sk-SK"/>
              </w:rPr>
              <w:t>247</w:t>
            </w:r>
          </w:p>
        </w:tc>
      </w:tr>
      <w:tr w:rsidR="0020775D" w:rsidRPr="00D0395E" w14:paraId="6C56530E" w14:textId="77777777" w:rsidTr="0020775D">
        <w:trPr>
          <w:trHeight w:val="330"/>
        </w:trPr>
        <w:tc>
          <w:tcPr>
            <w:tcW w:w="2212" w:type="pct"/>
            <w:tcBorders>
              <w:top w:val="nil"/>
              <w:left w:val="nil"/>
              <w:bottom w:val="nil"/>
              <w:right w:val="nil"/>
            </w:tcBorders>
            <w:noWrap/>
            <w:vAlign w:val="center"/>
            <w:hideMark/>
          </w:tcPr>
          <w:p w14:paraId="33DF765D"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 poplatky</w:t>
            </w:r>
          </w:p>
        </w:tc>
        <w:tc>
          <w:tcPr>
            <w:tcW w:w="673" w:type="pct"/>
            <w:tcBorders>
              <w:top w:val="nil"/>
              <w:left w:val="nil"/>
              <w:bottom w:val="nil"/>
              <w:right w:val="nil"/>
            </w:tcBorders>
            <w:noWrap/>
            <w:vAlign w:val="center"/>
            <w:hideMark/>
          </w:tcPr>
          <w:p w14:paraId="1ECC9EEF"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29 161</w:t>
            </w:r>
          </w:p>
        </w:tc>
        <w:tc>
          <w:tcPr>
            <w:tcW w:w="555" w:type="pct"/>
            <w:tcBorders>
              <w:top w:val="nil"/>
              <w:left w:val="nil"/>
              <w:bottom w:val="nil"/>
              <w:right w:val="nil"/>
            </w:tcBorders>
            <w:noWrap/>
            <w:vAlign w:val="center"/>
          </w:tcPr>
          <w:p w14:paraId="2AFA05CD"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26 330</w:t>
            </w:r>
          </w:p>
        </w:tc>
        <w:tc>
          <w:tcPr>
            <w:tcW w:w="497" w:type="pct"/>
            <w:tcBorders>
              <w:top w:val="nil"/>
              <w:left w:val="nil"/>
              <w:bottom w:val="nil"/>
              <w:right w:val="nil"/>
            </w:tcBorders>
            <w:noWrap/>
            <w:vAlign w:val="center"/>
          </w:tcPr>
          <w:p w14:paraId="54BD4E2E"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28 406</w:t>
            </w:r>
          </w:p>
        </w:tc>
        <w:tc>
          <w:tcPr>
            <w:tcW w:w="497" w:type="pct"/>
            <w:tcBorders>
              <w:top w:val="nil"/>
              <w:left w:val="nil"/>
              <w:bottom w:val="nil"/>
              <w:right w:val="nil"/>
            </w:tcBorders>
            <w:noWrap/>
            <w:vAlign w:val="center"/>
          </w:tcPr>
          <w:p w14:paraId="7D6D2A33"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20 210</w:t>
            </w:r>
          </w:p>
        </w:tc>
        <w:tc>
          <w:tcPr>
            <w:tcW w:w="566" w:type="pct"/>
            <w:tcBorders>
              <w:top w:val="nil"/>
              <w:left w:val="nil"/>
              <w:bottom w:val="nil"/>
              <w:right w:val="nil"/>
            </w:tcBorders>
            <w:vAlign w:val="center"/>
          </w:tcPr>
          <w:p w14:paraId="5FF8F185"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-8 196</w:t>
            </w:r>
          </w:p>
        </w:tc>
      </w:tr>
      <w:tr w:rsidR="0020775D" w:rsidRPr="00D0395E" w14:paraId="38621DA7" w14:textId="77777777" w:rsidTr="0020775D">
        <w:trPr>
          <w:trHeight w:val="330"/>
        </w:trPr>
        <w:tc>
          <w:tcPr>
            <w:tcW w:w="2212" w:type="pct"/>
            <w:tcBorders>
              <w:top w:val="nil"/>
              <w:left w:val="nil"/>
              <w:bottom w:val="nil"/>
              <w:right w:val="nil"/>
            </w:tcBorders>
            <w:noWrap/>
            <w:vAlign w:val="center"/>
            <w:hideMark/>
          </w:tcPr>
          <w:p w14:paraId="46BD34D3"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pokuty za porušenie predpisov</w:t>
            </w:r>
          </w:p>
        </w:tc>
        <w:tc>
          <w:tcPr>
            <w:tcW w:w="673" w:type="pct"/>
            <w:tcBorders>
              <w:top w:val="nil"/>
              <w:left w:val="nil"/>
              <w:bottom w:val="nil"/>
              <w:right w:val="nil"/>
            </w:tcBorders>
            <w:noWrap/>
            <w:vAlign w:val="center"/>
            <w:hideMark/>
          </w:tcPr>
          <w:p w14:paraId="63A05C7D"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77 763</w:t>
            </w:r>
          </w:p>
        </w:tc>
        <w:tc>
          <w:tcPr>
            <w:tcW w:w="555" w:type="pct"/>
            <w:tcBorders>
              <w:top w:val="nil"/>
              <w:left w:val="nil"/>
              <w:bottom w:val="nil"/>
              <w:right w:val="nil"/>
            </w:tcBorders>
            <w:noWrap/>
            <w:vAlign w:val="center"/>
          </w:tcPr>
          <w:p w14:paraId="1A091F73"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106 026</w:t>
            </w:r>
          </w:p>
        </w:tc>
        <w:tc>
          <w:tcPr>
            <w:tcW w:w="497" w:type="pct"/>
            <w:tcBorders>
              <w:top w:val="nil"/>
              <w:left w:val="nil"/>
              <w:bottom w:val="nil"/>
              <w:right w:val="nil"/>
            </w:tcBorders>
            <w:noWrap/>
            <w:vAlign w:val="center"/>
          </w:tcPr>
          <w:p w14:paraId="6B0831CD"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58 179</w:t>
            </w:r>
          </w:p>
        </w:tc>
        <w:tc>
          <w:tcPr>
            <w:tcW w:w="497" w:type="pct"/>
            <w:tcBorders>
              <w:top w:val="nil"/>
              <w:left w:val="nil"/>
              <w:bottom w:val="nil"/>
              <w:right w:val="nil"/>
            </w:tcBorders>
            <w:noWrap/>
            <w:vAlign w:val="center"/>
          </w:tcPr>
          <w:p w14:paraId="346B7A10"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86 211</w:t>
            </w:r>
          </w:p>
        </w:tc>
        <w:tc>
          <w:tcPr>
            <w:tcW w:w="566" w:type="pct"/>
            <w:tcBorders>
              <w:top w:val="nil"/>
              <w:left w:val="nil"/>
              <w:bottom w:val="nil"/>
              <w:right w:val="nil"/>
            </w:tcBorders>
            <w:vAlign w:val="center"/>
          </w:tcPr>
          <w:p w14:paraId="1A368391"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28 032</w:t>
            </w:r>
          </w:p>
        </w:tc>
      </w:tr>
      <w:tr w:rsidR="0020775D" w:rsidRPr="00D0395E" w14:paraId="7069947A" w14:textId="77777777" w:rsidTr="0020775D">
        <w:trPr>
          <w:trHeight w:val="330"/>
        </w:trPr>
        <w:tc>
          <w:tcPr>
            <w:tcW w:w="2212" w:type="pct"/>
            <w:tcBorders>
              <w:top w:val="nil"/>
              <w:left w:val="nil"/>
              <w:bottom w:val="nil"/>
              <w:right w:val="nil"/>
            </w:tcBorders>
            <w:noWrap/>
            <w:vAlign w:val="center"/>
            <w:hideMark/>
          </w:tcPr>
          <w:p w14:paraId="2718708D"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za predaj tovaru, výrobkov a služby</w:t>
            </w:r>
          </w:p>
        </w:tc>
        <w:tc>
          <w:tcPr>
            <w:tcW w:w="673" w:type="pct"/>
            <w:tcBorders>
              <w:top w:val="nil"/>
              <w:left w:val="nil"/>
              <w:bottom w:val="nil"/>
              <w:right w:val="nil"/>
            </w:tcBorders>
            <w:noWrap/>
            <w:vAlign w:val="center"/>
            <w:hideMark/>
          </w:tcPr>
          <w:p w14:paraId="6FA2A5BD"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60 692</w:t>
            </w:r>
          </w:p>
        </w:tc>
        <w:tc>
          <w:tcPr>
            <w:tcW w:w="555" w:type="pct"/>
            <w:tcBorders>
              <w:top w:val="nil"/>
              <w:left w:val="nil"/>
              <w:bottom w:val="nil"/>
              <w:right w:val="nil"/>
            </w:tcBorders>
            <w:noWrap/>
            <w:vAlign w:val="center"/>
          </w:tcPr>
          <w:p w14:paraId="4DBD3FAA"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75 325</w:t>
            </w:r>
          </w:p>
        </w:tc>
        <w:tc>
          <w:tcPr>
            <w:tcW w:w="497" w:type="pct"/>
            <w:tcBorders>
              <w:top w:val="nil"/>
              <w:left w:val="nil"/>
              <w:bottom w:val="nil"/>
              <w:right w:val="nil"/>
            </w:tcBorders>
            <w:noWrap/>
            <w:vAlign w:val="center"/>
          </w:tcPr>
          <w:p w14:paraId="70404E46"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227 773</w:t>
            </w:r>
          </w:p>
        </w:tc>
        <w:tc>
          <w:tcPr>
            <w:tcW w:w="497" w:type="pct"/>
            <w:tcBorders>
              <w:top w:val="nil"/>
              <w:left w:val="nil"/>
              <w:bottom w:val="nil"/>
              <w:right w:val="nil"/>
            </w:tcBorders>
            <w:noWrap/>
            <w:vAlign w:val="center"/>
          </w:tcPr>
          <w:p w14:paraId="6E07B462"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305 393</w:t>
            </w:r>
          </w:p>
        </w:tc>
        <w:tc>
          <w:tcPr>
            <w:tcW w:w="566" w:type="pct"/>
            <w:tcBorders>
              <w:top w:val="nil"/>
              <w:left w:val="nil"/>
              <w:bottom w:val="nil"/>
              <w:right w:val="nil"/>
            </w:tcBorders>
            <w:vAlign w:val="center"/>
          </w:tcPr>
          <w:p w14:paraId="38A0159A"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77 620</w:t>
            </w:r>
          </w:p>
        </w:tc>
      </w:tr>
      <w:tr w:rsidR="0020775D" w:rsidRPr="00D0395E" w14:paraId="149CC6DE" w14:textId="77777777" w:rsidTr="0020775D">
        <w:trPr>
          <w:trHeight w:val="330"/>
        </w:trPr>
        <w:tc>
          <w:tcPr>
            <w:tcW w:w="2212" w:type="pct"/>
            <w:tcBorders>
              <w:top w:val="nil"/>
              <w:left w:val="nil"/>
              <w:bottom w:val="nil"/>
              <w:right w:val="nil"/>
            </w:tcBorders>
            <w:noWrap/>
            <w:vAlign w:val="center"/>
            <w:hideMark/>
          </w:tcPr>
          <w:p w14:paraId="1D71FCDD"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Kapitálové príjmy</w:t>
            </w:r>
          </w:p>
        </w:tc>
        <w:tc>
          <w:tcPr>
            <w:tcW w:w="673" w:type="pct"/>
            <w:tcBorders>
              <w:top w:val="nil"/>
              <w:left w:val="nil"/>
              <w:bottom w:val="nil"/>
              <w:right w:val="nil"/>
            </w:tcBorders>
            <w:noWrap/>
            <w:vAlign w:val="center"/>
            <w:hideMark/>
          </w:tcPr>
          <w:p w14:paraId="38FE7D88"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16 684</w:t>
            </w:r>
          </w:p>
        </w:tc>
        <w:tc>
          <w:tcPr>
            <w:tcW w:w="555" w:type="pct"/>
            <w:tcBorders>
              <w:top w:val="nil"/>
              <w:left w:val="nil"/>
              <w:bottom w:val="nil"/>
              <w:right w:val="nil"/>
            </w:tcBorders>
            <w:noWrap/>
            <w:vAlign w:val="center"/>
          </w:tcPr>
          <w:p w14:paraId="16229CAE"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15 131</w:t>
            </w:r>
          </w:p>
        </w:tc>
        <w:tc>
          <w:tcPr>
            <w:tcW w:w="497" w:type="pct"/>
            <w:tcBorders>
              <w:top w:val="nil"/>
              <w:left w:val="nil"/>
              <w:bottom w:val="nil"/>
              <w:right w:val="nil"/>
            </w:tcBorders>
            <w:noWrap/>
            <w:vAlign w:val="center"/>
          </w:tcPr>
          <w:p w14:paraId="48E1839F"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8 490</w:t>
            </w:r>
          </w:p>
        </w:tc>
        <w:tc>
          <w:tcPr>
            <w:tcW w:w="497" w:type="pct"/>
            <w:tcBorders>
              <w:top w:val="nil"/>
              <w:left w:val="nil"/>
              <w:bottom w:val="nil"/>
              <w:right w:val="nil"/>
            </w:tcBorders>
            <w:noWrap/>
            <w:vAlign w:val="center"/>
          </w:tcPr>
          <w:p w14:paraId="0E833E63"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8 005</w:t>
            </w:r>
          </w:p>
        </w:tc>
        <w:tc>
          <w:tcPr>
            <w:tcW w:w="566" w:type="pct"/>
            <w:tcBorders>
              <w:top w:val="nil"/>
              <w:left w:val="nil"/>
              <w:bottom w:val="nil"/>
              <w:right w:val="nil"/>
            </w:tcBorders>
            <w:vAlign w:val="center"/>
          </w:tcPr>
          <w:p w14:paraId="5BFD045A"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-485</w:t>
            </w:r>
          </w:p>
        </w:tc>
      </w:tr>
      <w:tr w:rsidR="0020775D" w:rsidRPr="00D0395E" w14:paraId="365FB282" w14:textId="77777777" w:rsidTr="0020775D">
        <w:trPr>
          <w:trHeight w:val="480"/>
        </w:trPr>
        <w:tc>
          <w:tcPr>
            <w:tcW w:w="2212" w:type="pct"/>
            <w:tcBorders>
              <w:top w:val="nil"/>
              <w:left w:val="nil"/>
              <w:bottom w:val="nil"/>
              <w:right w:val="nil"/>
            </w:tcBorders>
            <w:vAlign w:val="center"/>
            <w:hideMark/>
          </w:tcPr>
          <w:p w14:paraId="5D85E1C7"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lastRenderedPageBreak/>
              <w:t>Úroky z úverov, pôžičiek a NFV, z účtov finančného hospodárenia</w:t>
            </w:r>
          </w:p>
        </w:tc>
        <w:tc>
          <w:tcPr>
            <w:tcW w:w="673" w:type="pct"/>
            <w:tcBorders>
              <w:top w:val="nil"/>
              <w:left w:val="nil"/>
              <w:bottom w:val="nil"/>
              <w:right w:val="nil"/>
            </w:tcBorders>
            <w:noWrap/>
            <w:vAlign w:val="center"/>
            <w:hideMark/>
          </w:tcPr>
          <w:p w14:paraId="743372CB"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121 738</w:t>
            </w:r>
          </w:p>
        </w:tc>
        <w:tc>
          <w:tcPr>
            <w:tcW w:w="555" w:type="pct"/>
            <w:tcBorders>
              <w:top w:val="nil"/>
              <w:left w:val="nil"/>
              <w:bottom w:val="nil"/>
              <w:right w:val="nil"/>
            </w:tcBorders>
            <w:noWrap/>
            <w:vAlign w:val="center"/>
          </w:tcPr>
          <w:p w14:paraId="74C7DE56"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139 530</w:t>
            </w:r>
          </w:p>
        </w:tc>
        <w:tc>
          <w:tcPr>
            <w:tcW w:w="497" w:type="pct"/>
            <w:tcBorders>
              <w:top w:val="nil"/>
              <w:left w:val="nil"/>
              <w:bottom w:val="nil"/>
              <w:right w:val="nil"/>
            </w:tcBorders>
            <w:noWrap/>
            <w:vAlign w:val="center"/>
          </w:tcPr>
          <w:p w14:paraId="32A98E8A"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98 123</w:t>
            </w:r>
          </w:p>
        </w:tc>
        <w:tc>
          <w:tcPr>
            <w:tcW w:w="497" w:type="pct"/>
            <w:tcBorders>
              <w:top w:val="nil"/>
              <w:left w:val="nil"/>
              <w:bottom w:val="nil"/>
              <w:right w:val="nil"/>
            </w:tcBorders>
            <w:noWrap/>
            <w:vAlign w:val="center"/>
          </w:tcPr>
          <w:p w14:paraId="2DCE235E"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76 764</w:t>
            </w:r>
          </w:p>
        </w:tc>
        <w:tc>
          <w:tcPr>
            <w:tcW w:w="566" w:type="pct"/>
            <w:tcBorders>
              <w:top w:val="nil"/>
              <w:left w:val="nil"/>
              <w:bottom w:val="nil"/>
              <w:right w:val="nil"/>
            </w:tcBorders>
            <w:vAlign w:val="center"/>
          </w:tcPr>
          <w:p w14:paraId="582FA1D1"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-21 359</w:t>
            </w:r>
          </w:p>
        </w:tc>
      </w:tr>
      <w:tr w:rsidR="0020775D" w:rsidRPr="00D0395E" w14:paraId="38D3517D" w14:textId="77777777" w:rsidTr="0020775D">
        <w:trPr>
          <w:trHeight w:val="330"/>
        </w:trPr>
        <w:tc>
          <w:tcPr>
            <w:tcW w:w="2212" w:type="pct"/>
            <w:tcBorders>
              <w:top w:val="nil"/>
              <w:left w:val="nil"/>
              <w:bottom w:val="nil"/>
              <w:right w:val="nil"/>
            </w:tcBorders>
            <w:noWrap/>
            <w:vAlign w:val="center"/>
            <w:hideMark/>
          </w:tcPr>
          <w:p w14:paraId="104FE811"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Iné nedaňové príjmy</w:t>
            </w:r>
          </w:p>
        </w:tc>
        <w:tc>
          <w:tcPr>
            <w:tcW w:w="673" w:type="pct"/>
            <w:tcBorders>
              <w:top w:val="nil"/>
              <w:left w:val="nil"/>
              <w:bottom w:val="nil"/>
              <w:right w:val="nil"/>
            </w:tcBorders>
            <w:noWrap/>
            <w:vAlign w:val="center"/>
            <w:hideMark/>
          </w:tcPr>
          <w:p w14:paraId="6486888C"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633 551</w:t>
            </w:r>
          </w:p>
        </w:tc>
        <w:tc>
          <w:tcPr>
            <w:tcW w:w="555" w:type="pct"/>
            <w:tcBorders>
              <w:top w:val="nil"/>
              <w:left w:val="nil"/>
              <w:bottom w:val="nil"/>
              <w:right w:val="nil"/>
            </w:tcBorders>
            <w:noWrap/>
            <w:vAlign w:val="center"/>
          </w:tcPr>
          <w:p w14:paraId="183161CA"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776 292</w:t>
            </w:r>
          </w:p>
        </w:tc>
        <w:tc>
          <w:tcPr>
            <w:tcW w:w="497" w:type="pct"/>
            <w:tcBorders>
              <w:top w:val="nil"/>
              <w:left w:val="nil"/>
              <w:bottom w:val="nil"/>
              <w:right w:val="nil"/>
            </w:tcBorders>
            <w:noWrap/>
            <w:vAlign w:val="center"/>
          </w:tcPr>
          <w:p w14:paraId="398150AF"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542 751</w:t>
            </w:r>
          </w:p>
        </w:tc>
        <w:tc>
          <w:tcPr>
            <w:tcW w:w="497" w:type="pct"/>
            <w:tcBorders>
              <w:top w:val="nil"/>
              <w:left w:val="nil"/>
              <w:bottom w:val="nil"/>
              <w:right w:val="nil"/>
            </w:tcBorders>
            <w:noWrap/>
            <w:vAlign w:val="center"/>
          </w:tcPr>
          <w:p w14:paraId="31011C4C"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685 110</w:t>
            </w:r>
          </w:p>
        </w:tc>
        <w:tc>
          <w:tcPr>
            <w:tcW w:w="566" w:type="pct"/>
            <w:tcBorders>
              <w:top w:val="nil"/>
              <w:left w:val="nil"/>
              <w:bottom w:val="nil"/>
              <w:right w:val="nil"/>
            </w:tcBorders>
            <w:vAlign w:val="center"/>
          </w:tcPr>
          <w:p w14:paraId="12A75778"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142 359</w:t>
            </w:r>
          </w:p>
        </w:tc>
      </w:tr>
      <w:tr w:rsidR="0020775D" w:rsidRPr="00D0395E" w14:paraId="2930AE45" w14:textId="77777777" w:rsidTr="0020775D">
        <w:trPr>
          <w:trHeight w:val="330"/>
        </w:trPr>
        <w:tc>
          <w:tcPr>
            <w:tcW w:w="2212" w:type="pct"/>
            <w:tcBorders>
              <w:top w:val="nil"/>
              <w:left w:val="nil"/>
              <w:bottom w:val="nil"/>
              <w:right w:val="nil"/>
            </w:tcBorders>
            <w:noWrap/>
            <w:vAlign w:val="center"/>
            <w:hideMark/>
          </w:tcPr>
          <w:p w14:paraId="1DE9F969"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 tom: </w:t>
            </w:r>
          </w:p>
        </w:tc>
        <w:tc>
          <w:tcPr>
            <w:tcW w:w="673" w:type="pct"/>
            <w:tcBorders>
              <w:top w:val="nil"/>
              <w:left w:val="nil"/>
              <w:bottom w:val="nil"/>
              <w:right w:val="nil"/>
            </w:tcBorders>
            <w:noWrap/>
            <w:vAlign w:val="bottom"/>
            <w:hideMark/>
          </w:tcPr>
          <w:p w14:paraId="3411F22F" w14:textId="77777777" w:rsidR="0020775D" w:rsidRPr="00D0395E" w:rsidRDefault="0020775D" w:rsidP="005442D6">
            <w:pPr>
              <w:spacing w:line="240" w:lineRule="auto"/>
              <w:rPr>
                <w:rFonts w:eastAsia="Times New Roman" w:cs="Times New Roman"/>
                <w:color w:val="000000"/>
                <w:sz w:val="18"/>
                <w:szCs w:val="18"/>
                <w:lang w:eastAsia="sk-SK"/>
              </w:rPr>
            </w:pPr>
          </w:p>
        </w:tc>
        <w:tc>
          <w:tcPr>
            <w:tcW w:w="555" w:type="pct"/>
            <w:tcBorders>
              <w:top w:val="nil"/>
              <w:left w:val="nil"/>
              <w:bottom w:val="nil"/>
              <w:right w:val="nil"/>
            </w:tcBorders>
            <w:noWrap/>
            <w:vAlign w:val="bottom"/>
          </w:tcPr>
          <w:p w14:paraId="2F84C207" w14:textId="77777777" w:rsidR="0020775D" w:rsidRPr="00D0395E" w:rsidRDefault="0020775D" w:rsidP="005442D6">
            <w:pPr>
              <w:spacing w:line="240" w:lineRule="auto"/>
              <w:rPr>
                <w:rFonts w:eastAsia="Times New Roman" w:cs="Times New Roman"/>
                <w:sz w:val="18"/>
                <w:szCs w:val="18"/>
                <w:lang w:eastAsia="sk-SK"/>
              </w:rPr>
            </w:pPr>
          </w:p>
        </w:tc>
        <w:tc>
          <w:tcPr>
            <w:tcW w:w="497" w:type="pct"/>
            <w:tcBorders>
              <w:top w:val="nil"/>
              <w:left w:val="nil"/>
              <w:bottom w:val="nil"/>
              <w:right w:val="nil"/>
            </w:tcBorders>
            <w:noWrap/>
            <w:vAlign w:val="bottom"/>
          </w:tcPr>
          <w:p w14:paraId="13144EED" w14:textId="77777777" w:rsidR="0020775D" w:rsidRPr="00D0395E" w:rsidRDefault="0020775D" w:rsidP="005442D6">
            <w:pPr>
              <w:spacing w:line="240" w:lineRule="auto"/>
              <w:rPr>
                <w:rFonts w:eastAsia="Times New Roman" w:cs="Times New Roman"/>
                <w:sz w:val="18"/>
                <w:szCs w:val="18"/>
                <w:lang w:eastAsia="sk-SK"/>
              </w:rPr>
            </w:pPr>
          </w:p>
        </w:tc>
        <w:tc>
          <w:tcPr>
            <w:tcW w:w="497" w:type="pct"/>
            <w:tcBorders>
              <w:top w:val="nil"/>
              <w:left w:val="nil"/>
              <w:bottom w:val="nil"/>
              <w:right w:val="nil"/>
            </w:tcBorders>
            <w:noWrap/>
            <w:vAlign w:val="bottom"/>
          </w:tcPr>
          <w:p w14:paraId="0D249F69" w14:textId="77777777" w:rsidR="0020775D" w:rsidRPr="00D0395E" w:rsidRDefault="0020775D" w:rsidP="005442D6">
            <w:pPr>
              <w:spacing w:line="240" w:lineRule="auto"/>
              <w:rPr>
                <w:rFonts w:eastAsia="Times New Roman" w:cs="Times New Roman"/>
                <w:sz w:val="18"/>
                <w:szCs w:val="18"/>
                <w:lang w:eastAsia="sk-SK"/>
              </w:rPr>
            </w:pPr>
          </w:p>
        </w:tc>
        <w:tc>
          <w:tcPr>
            <w:tcW w:w="566" w:type="pct"/>
            <w:tcBorders>
              <w:top w:val="nil"/>
              <w:left w:val="nil"/>
              <w:bottom w:val="nil"/>
              <w:right w:val="nil"/>
            </w:tcBorders>
            <w:noWrap/>
            <w:vAlign w:val="bottom"/>
          </w:tcPr>
          <w:p w14:paraId="5104334B" w14:textId="77777777" w:rsidR="0020775D" w:rsidRPr="00D0395E" w:rsidRDefault="0020775D" w:rsidP="005442D6">
            <w:pPr>
              <w:spacing w:line="240" w:lineRule="auto"/>
              <w:rPr>
                <w:rFonts w:eastAsia="Times New Roman" w:cs="Times New Roman"/>
                <w:sz w:val="18"/>
                <w:szCs w:val="18"/>
                <w:lang w:eastAsia="sk-SK"/>
              </w:rPr>
            </w:pPr>
          </w:p>
        </w:tc>
      </w:tr>
      <w:tr w:rsidR="0020775D" w:rsidRPr="00D0395E" w14:paraId="21EFD69A" w14:textId="77777777" w:rsidTr="0020775D">
        <w:trPr>
          <w:trHeight w:val="330"/>
        </w:trPr>
        <w:tc>
          <w:tcPr>
            <w:tcW w:w="2212" w:type="pct"/>
            <w:tcBorders>
              <w:top w:val="nil"/>
              <w:left w:val="nil"/>
              <w:bottom w:val="nil"/>
              <w:right w:val="nil"/>
            </w:tcBorders>
            <w:noWrap/>
            <w:vAlign w:val="center"/>
            <w:hideMark/>
          </w:tcPr>
          <w:p w14:paraId="4B9A67BB"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odvod z hazardných hier</w:t>
            </w:r>
          </w:p>
        </w:tc>
        <w:tc>
          <w:tcPr>
            <w:tcW w:w="673" w:type="pct"/>
            <w:tcBorders>
              <w:top w:val="nil"/>
              <w:left w:val="nil"/>
              <w:bottom w:val="nil"/>
              <w:right w:val="nil"/>
            </w:tcBorders>
            <w:noWrap/>
            <w:vAlign w:val="center"/>
            <w:hideMark/>
          </w:tcPr>
          <w:p w14:paraId="7D8A4287"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301 443</w:t>
            </w:r>
          </w:p>
        </w:tc>
        <w:tc>
          <w:tcPr>
            <w:tcW w:w="555" w:type="pct"/>
            <w:tcBorders>
              <w:top w:val="nil"/>
              <w:left w:val="nil"/>
              <w:bottom w:val="nil"/>
              <w:right w:val="nil"/>
            </w:tcBorders>
            <w:noWrap/>
            <w:vAlign w:val="center"/>
          </w:tcPr>
          <w:p w14:paraId="3C272DD4"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347 256</w:t>
            </w:r>
          </w:p>
        </w:tc>
        <w:tc>
          <w:tcPr>
            <w:tcW w:w="497" w:type="pct"/>
            <w:tcBorders>
              <w:top w:val="nil"/>
              <w:left w:val="nil"/>
              <w:bottom w:val="nil"/>
              <w:right w:val="nil"/>
            </w:tcBorders>
            <w:noWrap/>
            <w:vAlign w:val="center"/>
          </w:tcPr>
          <w:p w14:paraId="4615F05D"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371 090</w:t>
            </w:r>
          </w:p>
        </w:tc>
        <w:tc>
          <w:tcPr>
            <w:tcW w:w="497" w:type="pct"/>
            <w:tcBorders>
              <w:top w:val="nil"/>
              <w:left w:val="nil"/>
              <w:bottom w:val="nil"/>
              <w:right w:val="nil"/>
            </w:tcBorders>
            <w:noWrap/>
            <w:vAlign w:val="center"/>
          </w:tcPr>
          <w:p w14:paraId="52B2EB2A"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369 926</w:t>
            </w:r>
          </w:p>
        </w:tc>
        <w:tc>
          <w:tcPr>
            <w:tcW w:w="566" w:type="pct"/>
            <w:tcBorders>
              <w:top w:val="nil"/>
              <w:left w:val="nil"/>
              <w:bottom w:val="nil"/>
              <w:right w:val="nil"/>
            </w:tcBorders>
            <w:vAlign w:val="center"/>
          </w:tcPr>
          <w:p w14:paraId="34F479C2"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-1 164</w:t>
            </w:r>
          </w:p>
        </w:tc>
      </w:tr>
      <w:tr w:rsidR="0020775D" w:rsidRPr="00D0395E" w14:paraId="5CE4100C" w14:textId="77777777" w:rsidTr="0020775D">
        <w:trPr>
          <w:trHeight w:val="330"/>
        </w:trPr>
        <w:tc>
          <w:tcPr>
            <w:tcW w:w="2212" w:type="pct"/>
            <w:tcBorders>
              <w:top w:val="nil"/>
              <w:left w:val="nil"/>
              <w:bottom w:val="nil"/>
              <w:right w:val="nil"/>
            </w:tcBorders>
            <w:noWrap/>
            <w:vAlign w:val="center"/>
            <w:hideMark/>
          </w:tcPr>
          <w:p w14:paraId="0908A498"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vratky</w:t>
            </w:r>
          </w:p>
        </w:tc>
        <w:tc>
          <w:tcPr>
            <w:tcW w:w="673" w:type="pct"/>
            <w:tcBorders>
              <w:top w:val="nil"/>
              <w:left w:val="nil"/>
              <w:bottom w:val="nil"/>
              <w:right w:val="nil"/>
            </w:tcBorders>
            <w:noWrap/>
            <w:vAlign w:val="center"/>
            <w:hideMark/>
          </w:tcPr>
          <w:p w14:paraId="2B9F1C1C"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22 670</w:t>
            </w:r>
          </w:p>
        </w:tc>
        <w:tc>
          <w:tcPr>
            <w:tcW w:w="555" w:type="pct"/>
            <w:tcBorders>
              <w:top w:val="nil"/>
              <w:left w:val="nil"/>
              <w:bottom w:val="nil"/>
              <w:right w:val="nil"/>
            </w:tcBorders>
            <w:noWrap/>
            <w:vAlign w:val="center"/>
          </w:tcPr>
          <w:p w14:paraId="12061D31"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140 328</w:t>
            </w:r>
          </w:p>
        </w:tc>
        <w:tc>
          <w:tcPr>
            <w:tcW w:w="497" w:type="pct"/>
            <w:tcBorders>
              <w:top w:val="nil"/>
              <w:left w:val="nil"/>
              <w:bottom w:val="nil"/>
              <w:right w:val="nil"/>
            </w:tcBorders>
            <w:noWrap/>
            <w:vAlign w:val="center"/>
          </w:tcPr>
          <w:p w14:paraId="0F9A8B10"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6 244</w:t>
            </w:r>
          </w:p>
        </w:tc>
        <w:tc>
          <w:tcPr>
            <w:tcW w:w="497" w:type="pct"/>
            <w:tcBorders>
              <w:top w:val="nil"/>
              <w:left w:val="nil"/>
              <w:bottom w:val="nil"/>
              <w:right w:val="nil"/>
            </w:tcBorders>
            <w:noWrap/>
            <w:vAlign w:val="center"/>
          </w:tcPr>
          <w:p w14:paraId="36D5A95F"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57 662</w:t>
            </w:r>
          </w:p>
        </w:tc>
        <w:tc>
          <w:tcPr>
            <w:tcW w:w="566" w:type="pct"/>
            <w:tcBorders>
              <w:top w:val="nil"/>
              <w:left w:val="nil"/>
              <w:bottom w:val="nil"/>
              <w:right w:val="nil"/>
            </w:tcBorders>
            <w:vAlign w:val="center"/>
          </w:tcPr>
          <w:p w14:paraId="3DCF8312"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51 418</w:t>
            </w:r>
          </w:p>
        </w:tc>
      </w:tr>
      <w:tr w:rsidR="0020775D" w:rsidRPr="00D0395E" w14:paraId="7345BD33" w14:textId="77777777" w:rsidTr="0020775D">
        <w:trPr>
          <w:trHeight w:val="330"/>
        </w:trPr>
        <w:tc>
          <w:tcPr>
            <w:tcW w:w="2212" w:type="pct"/>
            <w:tcBorders>
              <w:top w:val="nil"/>
              <w:left w:val="nil"/>
              <w:bottom w:val="nil"/>
              <w:right w:val="nil"/>
            </w:tcBorders>
            <w:noWrap/>
            <w:vAlign w:val="center"/>
            <w:hideMark/>
          </w:tcPr>
          <w:p w14:paraId="34487347"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odvodu </w:t>
            </w:r>
          </w:p>
        </w:tc>
        <w:tc>
          <w:tcPr>
            <w:tcW w:w="673" w:type="pct"/>
            <w:tcBorders>
              <w:top w:val="nil"/>
              <w:left w:val="nil"/>
              <w:bottom w:val="nil"/>
              <w:right w:val="nil"/>
            </w:tcBorders>
            <w:noWrap/>
            <w:vAlign w:val="center"/>
            <w:hideMark/>
          </w:tcPr>
          <w:p w14:paraId="5A7B393E"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76 109</w:t>
            </w:r>
          </w:p>
        </w:tc>
        <w:tc>
          <w:tcPr>
            <w:tcW w:w="555" w:type="pct"/>
            <w:tcBorders>
              <w:top w:val="nil"/>
              <w:left w:val="nil"/>
              <w:bottom w:val="nil"/>
              <w:right w:val="nil"/>
            </w:tcBorders>
            <w:noWrap/>
            <w:vAlign w:val="center"/>
          </w:tcPr>
          <w:p w14:paraId="444FE02E"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73 077</w:t>
            </w:r>
          </w:p>
        </w:tc>
        <w:tc>
          <w:tcPr>
            <w:tcW w:w="497" w:type="pct"/>
            <w:tcBorders>
              <w:top w:val="nil"/>
              <w:left w:val="nil"/>
              <w:bottom w:val="nil"/>
              <w:right w:val="nil"/>
            </w:tcBorders>
            <w:noWrap/>
            <w:vAlign w:val="center"/>
          </w:tcPr>
          <w:p w14:paraId="47582AB0"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521</w:t>
            </w:r>
          </w:p>
        </w:tc>
        <w:tc>
          <w:tcPr>
            <w:tcW w:w="497" w:type="pct"/>
            <w:tcBorders>
              <w:top w:val="nil"/>
              <w:left w:val="nil"/>
              <w:bottom w:val="nil"/>
              <w:right w:val="nil"/>
            </w:tcBorders>
            <w:noWrap/>
            <w:vAlign w:val="center"/>
          </w:tcPr>
          <w:p w14:paraId="1C6A83F2"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46 079</w:t>
            </w:r>
          </w:p>
        </w:tc>
        <w:tc>
          <w:tcPr>
            <w:tcW w:w="566" w:type="pct"/>
            <w:tcBorders>
              <w:top w:val="nil"/>
              <w:left w:val="nil"/>
              <w:bottom w:val="nil"/>
              <w:right w:val="nil"/>
            </w:tcBorders>
            <w:vAlign w:val="center"/>
          </w:tcPr>
          <w:p w14:paraId="3D54A4DE"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45 558</w:t>
            </w:r>
          </w:p>
        </w:tc>
      </w:tr>
      <w:tr w:rsidR="0020775D" w:rsidRPr="00D0395E" w14:paraId="08D53C02" w14:textId="77777777" w:rsidTr="0020775D">
        <w:trPr>
          <w:trHeight w:val="330"/>
        </w:trPr>
        <w:tc>
          <w:tcPr>
            <w:tcW w:w="2212" w:type="pct"/>
            <w:tcBorders>
              <w:top w:val="nil"/>
              <w:left w:val="nil"/>
              <w:bottom w:val="nil"/>
              <w:right w:val="nil"/>
            </w:tcBorders>
            <w:noWrap/>
            <w:vAlign w:val="center"/>
            <w:hideMark/>
          </w:tcPr>
          <w:p w14:paraId="55784496"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nezrovnalosti a iné vratky za prostriedky EÚ</w:t>
            </w:r>
          </w:p>
        </w:tc>
        <w:tc>
          <w:tcPr>
            <w:tcW w:w="673" w:type="pct"/>
            <w:tcBorders>
              <w:top w:val="nil"/>
              <w:left w:val="nil"/>
              <w:bottom w:val="nil"/>
              <w:right w:val="nil"/>
            </w:tcBorders>
            <w:noWrap/>
            <w:vAlign w:val="center"/>
            <w:hideMark/>
          </w:tcPr>
          <w:p w14:paraId="01EC2076"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53 093</w:t>
            </w:r>
          </w:p>
        </w:tc>
        <w:tc>
          <w:tcPr>
            <w:tcW w:w="555" w:type="pct"/>
            <w:tcBorders>
              <w:top w:val="nil"/>
              <w:left w:val="nil"/>
              <w:bottom w:val="nil"/>
              <w:right w:val="nil"/>
            </w:tcBorders>
            <w:noWrap/>
            <w:vAlign w:val="center"/>
          </w:tcPr>
          <w:p w14:paraId="5AA60CE8"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54 589</w:t>
            </w:r>
          </w:p>
        </w:tc>
        <w:tc>
          <w:tcPr>
            <w:tcW w:w="497" w:type="pct"/>
            <w:tcBorders>
              <w:top w:val="nil"/>
              <w:left w:val="nil"/>
              <w:bottom w:val="nil"/>
              <w:right w:val="nil"/>
            </w:tcBorders>
            <w:noWrap/>
            <w:vAlign w:val="center"/>
          </w:tcPr>
          <w:p w14:paraId="2F4A0969"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497" w:type="pct"/>
            <w:tcBorders>
              <w:top w:val="nil"/>
              <w:left w:val="nil"/>
              <w:bottom w:val="nil"/>
              <w:right w:val="nil"/>
            </w:tcBorders>
            <w:noWrap/>
            <w:vAlign w:val="center"/>
          </w:tcPr>
          <w:p w14:paraId="4657C58E"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42 316</w:t>
            </w:r>
          </w:p>
        </w:tc>
        <w:tc>
          <w:tcPr>
            <w:tcW w:w="566" w:type="pct"/>
            <w:tcBorders>
              <w:top w:val="nil"/>
              <w:left w:val="nil"/>
              <w:bottom w:val="nil"/>
              <w:right w:val="nil"/>
            </w:tcBorders>
            <w:vAlign w:val="center"/>
          </w:tcPr>
          <w:p w14:paraId="3042AC35"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42 316</w:t>
            </w:r>
          </w:p>
        </w:tc>
      </w:tr>
      <w:tr w:rsidR="0020775D" w:rsidRPr="00D0395E" w14:paraId="5B8310DA" w14:textId="77777777" w:rsidTr="00501BD5">
        <w:trPr>
          <w:trHeight w:val="345"/>
        </w:trPr>
        <w:tc>
          <w:tcPr>
            <w:tcW w:w="2212" w:type="pct"/>
            <w:tcBorders>
              <w:top w:val="nil"/>
              <w:left w:val="nil"/>
              <w:bottom w:val="single" w:sz="4" w:space="0" w:color="auto"/>
              <w:right w:val="nil"/>
            </w:tcBorders>
            <w:noWrap/>
            <w:vAlign w:val="center"/>
            <w:hideMark/>
          </w:tcPr>
          <w:p w14:paraId="776BC887" w14:textId="77777777" w:rsidR="0020775D" w:rsidRPr="00D0395E" w:rsidRDefault="0020775D"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 príjmy - iné</w:t>
            </w:r>
          </w:p>
        </w:tc>
        <w:tc>
          <w:tcPr>
            <w:tcW w:w="673" w:type="pct"/>
            <w:tcBorders>
              <w:top w:val="nil"/>
              <w:left w:val="nil"/>
              <w:bottom w:val="single" w:sz="4" w:space="0" w:color="auto"/>
              <w:right w:val="nil"/>
            </w:tcBorders>
            <w:noWrap/>
            <w:vAlign w:val="center"/>
            <w:hideMark/>
          </w:tcPr>
          <w:p w14:paraId="7CF8DEE5"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180 236</w:t>
            </w:r>
          </w:p>
        </w:tc>
        <w:tc>
          <w:tcPr>
            <w:tcW w:w="555" w:type="pct"/>
            <w:tcBorders>
              <w:top w:val="nil"/>
              <w:left w:val="nil"/>
              <w:bottom w:val="single" w:sz="4" w:space="0" w:color="auto"/>
              <w:right w:val="nil"/>
            </w:tcBorders>
            <w:noWrap/>
            <w:vAlign w:val="center"/>
          </w:tcPr>
          <w:p w14:paraId="728C0122" w14:textId="77777777" w:rsidR="0020775D" w:rsidRPr="00D0395E" w:rsidRDefault="0020775D"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161 042</w:t>
            </w:r>
          </w:p>
        </w:tc>
        <w:tc>
          <w:tcPr>
            <w:tcW w:w="497" w:type="pct"/>
            <w:tcBorders>
              <w:top w:val="nil"/>
              <w:left w:val="nil"/>
              <w:bottom w:val="single" w:sz="4" w:space="0" w:color="auto"/>
              <w:right w:val="nil"/>
            </w:tcBorders>
            <w:noWrap/>
            <w:vAlign w:val="center"/>
          </w:tcPr>
          <w:p w14:paraId="00145EA1"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164 896</w:t>
            </w:r>
          </w:p>
        </w:tc>
        <w:tc>
          <w:tcPr>
            <w:tcW w:w="497" w:type="pct"/>
            <w:tcBorders>
              <w:top w:val="nil"/>
              <w:left w:val="nil"/>
              <w:bottom w:val="single" w:sz="4" w:space="0" w:color="auto"/>
              <w:right w:val="nil"/>
            </w:tcBorders>
            <w:noWrap/>
            <w:vAlign w:val="center"/>
          </w:tcPr>
          <w:p w14:paraId="287F01E8"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169 126</w:t>
            </w:r>
          </w:p>
        </w:tc>
        <w:tc>
          <w:tcPr>
            <w:tcW w:w="566" w:type="pct"/>
            <w:tcBorders>
              <w:top w:val="nil"/>
              <w:left w:val="nil"/>
              <w:bottom w:val="single" w:sz="4" w:space="0" w:color="auto"/>
              <w:right w:val="nil"/>
            </w:tcBorders>
            <w:vAlign w:val="center"/>
          </w:tcPr>
          <w:p w14:paraId="2B78FCB2" w14:textId="77777777" w:rsidR="0020775D" w:rsidRPr="00D0395E" w:rsidRDefault="0020775D"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4 230</w:t>
            </w:r>
          </w:p>
        </w:tc>
      </w:tr>
      <w:tr w:rsidR="0020775D" w:rsidRPr="00D0395E" w14:paraId="448DA4C1" w14:textId="77777777" w:rsidTr="00501BD5">
        <w:trPr>
          <w:trHeight w:val="345"/>
        </w:trPr>
        <w:tc>
          <w:tcPr>
            <w:tcW w:w="2212" w:type="pct"/>
            <w:tcBorders>
              <w:top w:val="single" w:sz="4" w:space="0" w:color="auto"/>
              <w:left w:val="nil"/>
              <w:bottom w:val="single" w:sz="4" w:space="0" w:color="auto"/>
              <w:right w:val="nil"/>
            </w:tcBorders>
            <w:noWrap/>
            <w:vAlign w:val="center"/>
            <w:hideMark/>
          </w:tcPr>
          <w:p w14:paraId="4E2A7361" w14:textId="77777777" w:rsidR="0020775D" w:rsidRPr="00D0395E" w:rsidRDefault="0020775D"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673" w:type="pct"/>
            <w:tcBorders>
              <w:top w:val="single" w:sz="4" w:space="0" w:color="auto"/>
              <w:left w:val="nil"/>
              <w:bottom w:val="single" w:sz="4" w:space="0" w:color="auto"/>
              <w:right w:val="nil"/>
            </w:tcBorders>
            <w:noWrap/>
            <w:vAlign w:val="center"/>
            <w:hideMark/>
          </w:tcPr>
          <w:p w14:paraId="4D993790" w14:textId="77777777" w:rsidR="0020775D" w:rsidRPr="00D0395E" w:rsidRDefault="0020775D"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1 738 326</w:t>
            </w:r>
          </w:p>
        </w:tc>
        <w:tc>
          <w:tcPr>
            <w:tcW w:w="555" w:type="pct"/>
            <w:tcBorders>
              <w:top w:val="single" w:sz="4" w:space="0" w:color="auto"/>
              <w:left w:val="nil"/>
              <w:bottom w:val="single" w:sz="4" w:space="0" w:color="auto"/>
              <w:right w:val="nil"/>
            </w:tcBorders>
            <w:noWrap/>
            <w:vAlign w:val="center"/>
          </w:tcPr>
          <w:p w14:paraId="09F57BAA" w14:textId="77777777" w:rsidR="0020775D" w:rsidRPr="00D0395E" w:rsidRDefault="0020775D"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1 909 893</w:t>
            </w:r>
          </w:p>
        </w:tc>
        <w:tc>
          <w:tcPr>
            <w:tcW w:w="497" w:type="pct"/>
            <w:tcBorders>
              <w:top w:val="single" w:sz="4" w:space="0" w:color="auto"/>
              <w:left w:val="nil"/>
              <w:bottom w:val="single" w:sz="4" w:space="0" w:color="auto"/>
              <w:right w:val="nil"/>
            </w:tcBorders>
            <w:noWrap/>
            <w:vAlign w:val="center"/>
          </w:tcPr>
          <w:p w14:paraId="2995CEE6" w14:textId="77777777" w:rsidR="0020775D" w:rsidRPr="00D0395E" w:rsidRDefault="0020775D"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1 760 515</w:t>
            </w:r>
          </w:p>
        </w:tc>
        <w:tc>
          <w:tcPr>
            <w:tcW w:w="497" w:type="pct"/>
            <w:tcBorders>
              <w:top w:val="single" w:sz="4" w:space="0" w:color="auto"/>
              <w:left w:val="nil"/>
              <w:bottom w:val="single" w:sz="4" w:space="0" w:color="auto"/>
              <w:right w:val="nil"/>
            </w:tcBorders>
            <w:noWrap/>
            <w:vAlign w:val="center"/>
          </w:tcPr>
          <w:p w14:paraId="732F127C" w14:textId="77777777" w:rsidR="0020775D" w:rsidRPr="00D0395E" w:rsidRDefault="0020775D"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2 164 991</w:t>
            </w:r>
          </w:p>
        </w:tc>
        <w:tc>
          <w:tcPr>
            <w:tcW w:w="566" w:type="pct"/>
            <w:tcBorders>
              <w:top w:val="single" w:sz="4" w:space="0" w:color="auto"/>
              <w:left w:val="nil"/>
              <w:bottom w:val="single" w:sz="4" w:space="0" w:color="auto"/>
              <w:right w:val="nil"/>
            </w:tcBorders>
            <w:noWrap/>
            <w:vAlign w:val="center"/>
          </w:tcPr>
          <w:p w14:paraId="6FE52371" w14:textId="1A65E085" w:rsidR="0020775D" w:rsidRPr="00D0395E" w:rsidRDefault="0020775D"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 xml:space="preserve">404 </w:t>
            </w:r>
            <w:r w:rsidR="00632A05">
              <w:rPr>
                <w:rFonts w:eastAsia="Times New Roman" w:cs="Times New Roman"/>
                <w:b/>
                <w:bCs/>
                <w:color w:val="000000"/>
                <w:sz w:val="18"/>
                <w:szCs w:val="18"/>
                <w:lang w:eastAsia="sk-SK"/>
              </w:rPr>
              <w:t>477</w:t>
            </w:r>
          </w:p>
        </w:tc>
      </w:tr>
    </w:tbl>
    <w:p w14:paraId="70B19FEF" w14:textId="540E65BF" w:rsidR="008E1EF3" w:rsidRPr="0020775D" w:rsidRDefault="0020775D" w:rsidP="004942CF">
      <w:pPr>
        <w:tabs>
          <w:tab w:val="right" w:pos="9070"/>
        </w:tabs>
        <w:spacing w:line="240" w:lineRule="auto"/>
        <w:jc w:val="both"/>
        <w:rPr>
          <w:rFonts w:eastAsia="Times New Roman"/>
          <w:color w:val="000000"/>
          <w:sz w:val="18"/>
          <w:szCs w:val="18"/>
          <w:lang w:eastAsia="sk-SK"/>
        </w:rPr>
      </w:pPr>
      <w:r w:rsidRPr="0020775D">
        <w:rPr>
          <w:rFonts w:eastAsia="Times New Roman"/>
          <w:color w:val="000000"/>
          <w:sz w:val="18"/>
          <w:szCs w:val="18"/>
          <w:lang w:eastAsia="sk-SK"/>
        </w:rPr>
        <w:tab/>
      </w:r>
      <w:r w:rsidR="008E1EF3" w:rsidRPr="0020775D">
        <w:rPr>
          <w:rFonts w:eastAsia="Times New Roman"/>
          <w:color w:val="000000"/>
          <w:sz w:val="18"/>
          <w:szCs w:val="18"/>
          <w:lang w:eastAsia="sk-SK"/>
        </w:rPr>
        <w:t>Zdroj: MF SR</w:t>
      </w:r>
    </w:p>
    <w:p w14:paraId="5C3545D3" w14:textId="77777777" w:rsidR="00D46A5E" w:rsidRPr="0020775D" w:rsidRDefault="00D46A5E" w:rsidP="00532D85">
      <w:pPr>
        <w:spacing w:line="240" w:lineRule="auto"/>
        <w:jc w:val="both"/>
        <w:rPr>
          <w:b/>
          <w:color w:val="000000" w:themeColor="text1"/>
          <w:szCs w:val="24"/>
        </w:rPr>
      </w:pPr>
    </w:p>
    <w:p w14:paraId="4B64D374" w14:textId="4E556CCB" w:rsidR="0020775D" w:rsidRDefault="0020775D" w:rsidP="0020775D">
      <w:pPr>
        <w:spacing w:line="240" w:lineRule="auto"/>
        <w:jc w:val="both"/>
        <w:rPr>
          <w:color w:val="000000" w:themeColor="text1"/>
          <w:szCs w:val="24"/>
        </w:rPr>
      </w:pPr>
      <w:r w:rsidRPr="0041550E">
        <w:rPr>
          <w:b/>
          <w:color w:val="000000" w:themeColor="text1"/>
          <w:szCs w:val="24"/>
        </w:rPr>
        <w:t>Príjmy z podnikania a z vlastníctva majetku</w:t>
      </w:r>
      <w:r w:rsidRPr="0041550E">
        <w:rPr>
          <w:color w:val="000000" w:themeColor="text1"/>
          <w:szCs w:val="24"/>
        </w:rPr>
        <w:t xml:space="preserve"> </w:t>
      </w:r>
      <w:r>
        <w:rPr>
          <w:color w:val="000000" w:themeColor="text1"/>
          <w:szCs w:val="24"/>
        </w:rPr>
        <w:t>sú svojou výškou jednou z </w:t>
      </w:r>
      <w:r w:rsidRPr="0041550E">
        <w:rPr>
          <w:color w:val="000000" w:themeColor="text1"/>
          <w:szCs w:val="24"/>
        </w:rPr>
        <w:t>najdôležitejš</w:t>
      </w:r>
      <w:r>
        <w:rPr>
          <w:color w:val="000000" w:themeColor="text1"/>
          <w:szCs w:val="24"/>
        </w:rPr>
        <w:t>ích</w:t>
      </w:r>
      <w:r w:rsidRPr="0041550E">
        <w:rPr>
          <w:color w:val="000000" w:themeColor="text1"/>
          <w:szCs w:val="24"/>
        </w:rPr>
        <w:t xml:space="preserve"> čas</w:t>
      </w:r>
      <w:r>
        <w:rPr>
          <w:color w:val="000000" w:themeColor="text1"/>
          <w:szCs w:val="24"/>
        </w:rPr>
        <w:t>tí</w:t>
      </w:r>
      <w:r w:rsidRPr="0041550E">
        <w:rPr>
          <w:color w:val="000000" w:themeColor="text1"/>
          <w:szCs w:val="24"/>
        </w:rPr>
        <w:t xml:space="preserve"> nedaňových príjmov. Z tejto sumy najpodstatnejšiu časť tvori</w:t>
      </w:r>
      <w:r>
        <w:rPr>
          <w:color w:val="000000" w:themeColor="text1"/>
          <w:szCs w:val="24"/>
        </w:rPr>
        <w:t>li</w:t>
      </w:r>
      <w:r w:rsidRPr="0041550E">
        <w:rPr>
          <w:color w:val="000000" w:themeColor="text1"/>
          <w:szCs w:val="24"/>
        </w:rPr>
        <w:t xml:space="preserve"> </w:t>
      </w:r>
      <w:r w:rsidRPr="0041550E">
        <w:rPr>
          <w:b/>
          <w:i/>
          <w:color w:val="000000" w:themeColor="text1"/>
          <w:szCs w:val="24"/>
        </w:rPr>
        <w:t>prijaté dividendy</w:t>
      </w:r>
      <w:r w:rsidRPr="0041550E">
        <w:rPr>
          <w:b/>
          <w:color w:val="000000" w:themeColor="text1"/>
          <w:szCs w:val="24"/>
        </w:rPr>
        <w:t xml:space="preserve"> </w:t>
      </w:r>
      <w:r w:rsidRPr="0041550E">
        <w:rPr>
          <w:color w:val="000000" w:themeColor="text1"/>
          <w:szCs w:val="24"/>
        </w:rPr>
        <w:t xml:space="preserve">z obchodných spoločností štátu, ktoré vyinkasovali vybrané </w:t>
      </w:r>
      <w:r w:rsidRPr="00433CC6">
        <w:rPr>
          <w:bCs/>
          <w:color w:val="000000" w:themeColor="text1"/>
          <w:szCs w:val="24"/>
        </w:rPr>
        <w:t>kapitoly</w:t>
      </w:r>
      <w:r w:rsidRPr="0041550E">
        <w:rPr>
          <w:color w:val="000000" w:themeColor="text1"/>
          <w:szCs w:val="24"/>
        </w:rPr>
        <w:t xml:space="preserve"> štátneho rozpočtu reálne v roku 202</w:t>
      </w:r>
      <w:r>
        <w:rPr>
          <w:color w:val="000000" w:themeColor="text1"/>
          <w:szCs w:val="24"/>
        </w:rPr>
        <w:t>5,</w:t>
      </w:r>
      <w:r w:rsidRPr="0041550E">
        <w:rPr>
          <w:color w:val="000000" w:themeColor="text1"/>
          <w:szCs w:val="24"/>
        </w:rPr>
        <w:t xml:space="preserve"> najčastejšie rozdelené z výsledk</w:t>
      </w:r>
      <w:r>
        <w:rPr>
          <w:color w:val="000000" w:themeColor="text1"/>
          <w:szCs w:val="24"/>
        </w:rPr>
        <w:t>u</w:t>
      </w:r>
      <w:r w:rsidRPr="0041550E">
        <w:rPr>
          <w:color w:val="000000" w:themeColor="text1"/>
          <w:szCs w:val="24"/>
        </w:rPr>
        <w:t xml:space="preserve"> hospodárenia </w:t>
      </w:r>
      <w:r>
        <w:rPr>
          <w:color w:val="000000" w:themeColor="text1"/>
          <w:szCs w:val="24"/>
        </w:rPr>
        <w:t>dosiahnutého v </w:t>
      </w:r>
      <w:r w:rsidRPr="0041550E">
        <w:rPr>
          <w:color w:val="000000" w:themeColor="text1"/>
          <w:szCs w:val="24"/>
        </w:rPr>
        <w:t>predchádzajúc</w:t>
      </w:r>
      <w:r>
        <w:rPr>
          <w:color w:val="000000" w:themeColor="text1"/>
          <w:szCs w:val="24"/>
        </w:rPr>
        <w:t xml:space="preserve">om </w:t>
      </w:r>
      <w:r w:rsidRPr="0041550E">
        <w:rPr>
          <w:color w:val="000000" w:themeColor="text1"/>
          <w:szCs w:val="24"/>
        </w:rPr>
        <w:t>obdob</w:t>
      </w:r>
      <w:r>
        <w:rPr>
          <w:color w:val="000000" w:themeColor="text1"/>
          <w:szCs w:val="24"/>
        </w:rPr>
        <w:t>í</w:t>
      </w:r>
      <w:r w:rsidRPr="0041550E">
        <w:rPr>
          <w:color w:val="000000" w:themeColor="text1"/>
          <w:szCs w:val="24"/>
        </w:rPr>
        <w:t>.</w:t>
      </w:r>
    </w:p>
    <w:p w14:paraId="0A7739B9" w14:textId="77777777" w:rsidR="0020775D" w:rsidRDefault="0020775D" w:rsidP="0020775D">
      <w:pPr>
        <w:spacing w:line="240" w:lineRule="auto"/>
        <w:jc w:val="both"/>
        <w:rPr>
          <w:color w:val="000000" w:themeColor="text1"/>
          <w:szCs w:val="24"/>
        </w:rPr>
      </w:pPr>
    </w:p>
    <w:p w14:paraId="601EA0D6" w14:textId="1D417A55" w:rsidR="004D69BF" w:rsidRPr="0050710A" w:rsidRDefault="0020775D" w:rsidP="0020775D">
      <w:pPr>
        <w:spacing w:line="240" w:lineRule="auto"/>
        <w:jc w:val="both"/>
        <w:rPr>
          <w:color w:val="000000" w:themeColor="text1"/>
          <w:szCs w:val="24"/>
          <w:highlight w:val="yellow"/>
        </w:rPr>
      </w:pPr>
      <w:r w:rsidRPr="009A0573">
        <w:rPr>
          <w:color w:val="000000" w:themeColor="text1"/>
          <w:szCs w:val="24"/>
        </w:rPr>
        <w:t>Celková výška prijatých dividend v roku 202</w:t>
      </w:r>
      <w:r>
        <w:rPr>
          <w:color w:val="000000" w:themeColor="text1"/>
          <w:szCs w:val="24"/>
        </w:rPr>
        <w:t>5</w:t>
      </w:r>
      <w:r w:rsidRPr="009A0573">
        <w:rPr>
          <w:color w:val="000000" w:themeColor="text1"/>
          <w:szCs w:val="24"/>
        </w:rPr>
        <w:t xml:space="preserve"> bola v sume </w:t>
      </w:r>
      <w:r>
        <w:rPr>
          <w:color w:val="000000" w:themeColor="text1"/>
          <w:szCs w:val="24"/>
        </w:rPr>
        <w:t>686 502 tis. eur, čo je medziročne viac o 238 230 tis. eur.</w:t>
      </w:r>
      <w:r w:rsidRPr="001F0656">
        <w:rPr>
          <w:color w:val="FF0000"/>
          <w:szCs w:val="24"/>
        </w:rPr>
        <w:t xml:space="preserve"> </w:t>
      </w:r>
      <w:r w:rsidRPr="00FE4277">
        <w:rPr>
          <w:rFonts w:cs="Times New Roman"/>
          <w:color w:val="000000" w:themeColor="text1"/>
          <w:szCs w:val="24"/>
        </w:rPr>
        <w:t xml:space="preserve">Výška skutočne dosiahnutých príjmov z dividend </w:t>
      </w:r>
      <w:r>
        <w:rPr>
          <w:rFonts w:cs="Times New Roman"/>
          <w:color w:val="000000" w:themeColor="text1"/>
          <w:szCs w:val="24"/>
        </w:rPr>
        <w:t>závisí</w:t>
      </w:r>
      <w:r w:rsidRPr="00FE4277">
        <w:rPr>
          <w:rFonts w:cs="Times New Roman"/>
          <w:color w:val="000000" w:themeColor="text1"/>
          <w:szCs w:val="24"/>
        </w:rPr>
        <w:t xml:space="preserve"> od</w:t>
      </w:r>
      <w:r>
        <w:rPr>
          <w:rFonts w:cs="Times New Roman"/>
          <w:color w:val="000000" w:themeColor="text1"/>
          <w:szCs w:val="24"/>
        </w:rPr>
        <w:t> </w:t>
      </w:r>
      <w:r w:rsidRPr="00FE4277">
        <w:rPr>
          <w:rFonts w:cs="Times New Roman"/>
          <w:color w:val="000000" w:themeColor="text1"/>
          <w:szCs w:val="24"/>
        </w:rPr>
        <w:t>dosiahnutého hospodárskeho výsl</w:t>
      </w:r>
      <w:r>
        <w:rPr>
          <w:rFonts w:cs="Times New Roman"/>
          <w:color w:val="000000" w:themeColor="text1"/>
          <w:szCs w:val="24"/>
        </w:rPr>
        <w:t>edku za predchádzajúci rok a od </w:t>
      </w:r>
      <w:r w:rsidRPr="00FE4277">
        <w:rPr>
          <w:rFonts w:cs="Times New Roman"/>
          <w:color w:val="000000" w:themeColor="text1"/>
          <w:szCs w:val="24"/>
        </w:rPr>
        <w:t xml:space="preserve">rozhodnutia </w:t>
      </w:r>
      <w:r>
        <w:rPr>
          <w:rFonts w:cs="Times New Roman"/>
          <w:color w:val="000000" w:themeColor="text1"/>
          <w:szCs w:val="24"/>
        </w:rPr>
        <w:t xml:space="preserve">akcionárov rozdeliť tento výsledok na dividendy. </w:t>
      </w:r>
      <w:r w:rsidRPr="00751572">
        <w:rPr>
          <w:color w:val="000000" w:themeColor="text1"/>
          <w:szCs w:val="24"/>
        </w:rPr>
        <w:t xml:space="preserve">Oproti schválenému rozpočtu </w:t>
      </w:r>
      <w:r>
        <w:rPr>
          <w:color w:val="000000" w:themeColor="text1"/>
          <w:szCs w:val="24"/>
        </w:rPr>
        <w:t xml:space="preserve">ide o </w:t>
      </w:r>
      <w:r w:rsidRPr="00751572">
        <w:rPr>
          <w:color w:val="000000" w:themeColor="text1"/>
          <w:szCs w:val="24"/>
        </w:rPr>
        <w:t xml:space="preserve">nárast príjmov v sume </w:t>
      </w:r>
      <w:r>
        <w:rPr>
          <w:color w:val="000000" w:themeColor="text1"/>
          <w:szCs w:val="24"/>
        </w:rPr>
        <w:t>197 083 ti</w:t>
      </w:r>
      <w:r w:rsidRPr="00751572">
        <w:rPr>
          <w:color w:val="000000" w:themeColor="text1"/>
          <w:szCs w:val="24"/>
        </w:rPr>
        <w:t>s. eur</w:t>
      </w:r>
      <w:r>
        <w:rPr>
          <w:color w:val="000000" w:themeColor="text1"/>
          <w:szCs w:val="24"/>
        </w:rPr>
        <w:t>, pričom na tomto prekročení sa podieľali vôbec historicky prvé vyplatené dividendy spoločnosťou Slovenské elektrárne, a. s.</w:t>
      </w:r>
      <w:r w:rsidR="00467F0B">
        <w:rPr>
          <w:color w:val="000000" w:themeColor="text1"/>
          <w:szCs w:val="24"/>
        </w:rPr>
        <w:t>,</w:t>
      </w:r>
      <w:r>
        <w:rPr>
          <w:color w:val="000000" w:themeColor="text1"/>
          <w:szCs w:val="24"/>
        </w:rPr>
        <w:t xml:space="preserve"> (kde má štát vlastnícky podiel 34 %) vo výške 170 000 tis. eur. Významnejšie prekročenie rozpočtovaných dividend zaznamenala Stredoslovenská energetika, a. s.</w:t>
      </w:r>
      <w:r w:rsidR="00467F0B">
        <w:rPr>
          <w:color w:val="000000" w:themeColor="text1"/>
          <w:szCs w:val="24"/>
        </w:rPr>
        <w:t>,</w:t>
      </w:r>
      <w:r>
        <w:rPr>
          <w:color w:val="000000" w:themeColor="text1"/>
          <w:szCs w:val="24"/>
        </w:rPr>
        <w:t xml:space="preserve"> o 14 239 tis. eur (z dôvodu lepšieho ako plánovaného výsledku hospodárenia).</w:t>
      </w:r>
    </w:p>
    <w:p w14:paraId="4BA7383E" w14:textId="77777777" w:rsidR="00D46A5E" w:rsidRPr="0050710A" w:rsidRDefault="00D46A5E" w:rsidP="00532D85">
      <w:pPr>
        <w:spacing w:line="240" w:lineRule="auto"/>
        <w:jc w:val="both"/>
        <w:rPr>
          <w:rFonts w:cs="Times New Roman"/>
          <w:color w:val="000000" w:themeColor="text1"/>
          <w:szCs w:val="24"/>
          <w:highlight w:val="yellow"/>
        </w:rPr>
      </w:pPr>
    </w:p>
    <w:p w14:paraId="725E2286" w14:textId="1F22A2B6" w:rsidR="00A1147F" w:rsidRPr="0043499B" w:rsidRDefault="00A1147F" w:rsidP="00532D85">
      <w:pPr>
        <w:pStyle w:val="Popis"/>
        <w:jc w:val="both"/>
        <w:rPr>
          <w:lang w:eastAsia="sk-SK"/>
        </w:rPr>
      </w:pPr>
      <w:bookmarkStart w:id="110" w:name="_Toc196313654"/>
      <w:bookmarkStart w:id="111" w:name="_Toc227670164"/>
      <w:r w:rsidRPr="0043499B">
        <w:rPr>
          <w:lang w:eastAsia="sk-SK"/>
        </w:rPr>
        <w:t xml:space="preserve">Tabuľka </w:t>
      </w:r>
      <w:r w:rsidRPr="0043499B">
        <w:rPr>
          <w:i/>
          <w:lang w:eastAsia="sk-SK"/>
        </w:rPr>
        <w:fldChar w:fldCharType="begin"/>
      </w:r>
      <w:r w:rsidRPr="0043499B">
        <w:rPr>
          <w:lang w:eastAsia="sk-SK"/>
        </w:rPr>
        <w:instrText xml:space="preserve"> SEQ Tabuľka \* ARABIC </w:instrText>
      </w:r>
      <w:r w:rsidRPr="0043499B">
        <w:rPr>
          <w:i/>
          <w:lang w:eastAsia="sk-SK"/>
        </w:rPr>
        <w:fldChar w:fldCharType="separate"/>
      </w:r>
      <w:r w:rsidR="00396BE8">
        <w:rPr>
          <w:noProof/>
          <w:lang w:eastAsia="sk-SK"/>
        </w:rPr>
        <w:t>28</w:t>
      </w:r>
      <w:r w:rsidRPr="0043499B">
        <w:rPr>
          <w:i/>
          <w:lang w:eastAsia="sk-SK"/>
        </w:rPr>
        <w:fldChar w:fldCharType="end"/>
      </w:r>
      <w:r w:rsidRPr="0043499B">
        <w:rPr>
          <w:lang w:eastAsia="sk-SK"/>
        </w:rPr>
        <w:t xml:space="preserve"> - Hotovostné dividendy podľa kapitol ŠR</w:t>
      </w:r>
      <w:bookmarkEnd w:id="110"/>
      <w:bookmarkEnd w:id="111"/>
    </w:p>
    <w:tbl>
      <w:tblPr>
        <w:tblW w:w="5000" w:type="pct"/>
        <w:tblCellMar>
          <w:left w:w="70" w:type="dxa"/>
          <w:right w:w="70" w:type="dxa"/>
        </w:tblCellMar>
        <w:tblLook w:val="04A0" w:firstRow="1" w:lastRow="0" w:firstColumn="1" w:lastColumn="0" w:noHBand="0" w:noVBand="1"/>
      </w:tblPr>
      <w:tblGrid>
        <w:gridCol w:w="4258"/>
        <w:gridCol w:w="992"/>
        <w:gridCol w:w="992"/>
        <w:gridCol w:w="992"/>
        <w:gridCol w:w="849"/>
        <w:gridCol w:w="987"/>
      </w:tblGrid>
      <w:tr w:rsidR="0043499B" w:rsidRPr="00D0395E" w14:paraId="2E3D4462" w14:textId="77777777" w:rsidTr="0043499B">
        <w:trPr>
          <w:trHeight w:val="330"/>
          <w:tblHeader/>
        </w:trPr>
        <w:tc>
          <w:tcPr>
            <w:tcW w:w="2347" w:type="pct"/>
            <w:tcBorders>
              <w:top w:val="single" w:sz="4" w:space="0" w:color="auto"/>
              <w:left w:val="nil"/>
              <w:bottom w:val="nil"/>
              <w:right w:val="nil"/>
            </w:tcBorders>
            <w:vAlign w:val="center"/>
            <w:hideMark/>
          </w:tcPr>
          <w:p w14:paraId="3BB5464F" w14:textId="77777777" w:rsidR="0043499B" w:rsidRPr="00D0395E" w:rsidRDefault="0043499B"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47" w:type="pct"/>
            <w:tcBorders>
              <w:top w:val="single" w:sz="4" w:space="0" w:color="auto"/>
              <w:left w:val="nil"/>
              <w:bottom w:val="nil"/>
              <w:right w:val="nil"/>
            </w:tcBorders>
            <w:vAlign w:val="center"/>
            <w:hideMark/>
          </w:tcPr>
          <w:p w14:paraId="34571E2A"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547" w:type="pct"/>
            <w:tcBorders>
              <w:top w:val="single" w:sz="4" w:space="0" w:color="auto"/>
              <w:left w:val="nil"/>
              <w:bottom w:val="nil"/>
              <w:right w:val="nil"/>
            </w:tcBorders>
            <w:vAlign w:val="center"/>
            <w:hideMark/>
          </w:tcPr>
          <w:p w14:paraId="0D2D0674"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547" w:type="pct"/>
            <w:tcBorders>
              <w:top w:val="single" w:sz="4" w:space="0" w:color="auto"/>
              <w:left w:val="nil"/>
              <w:bottom w:val="nil"/>
              <w:right w:val="nil"/>
            </w:tcBorders>
            <w:vAlign w:val="center"/>
            <w:hideMark/>
          </w:tcPr>
          <w:p w14:paraId="135D57C6"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R</w:t>
            </w:r>
          </w:p>
        </w:tc>
        <w:tc>
          <w:tcPr>
            <w:tcW w:w="468" w:type="pct"/>
            <w:tcBorders>
              <w:top w:val="single" w:sz="4" w:space="0" w:color="auto"/>
              <w:left w:val="nil"/>
              <w:bottom w:val="nil"/>
              <w:right w:val="nil"/>
            </w:tcBorders>
            <w:vAlign w:val="center"/>
            <w:hideMark/>
          </w:tcPr>
          <w:p w14:paraId="7EFD1347"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c>
          <w:tcPr>
            <w:tcW w:w="544" w:type="pct"/>
            <w:tcBorders>
              <w:top w:val="single" w:sz="4" w:space="0" w:color="auto"/>
              <w:left w:val="nil"/>
              <w:bottom w:val="nil"/>
              <w:right w:val="nil"/>
            </w:tcBorders>
            <w:vAlign w:val="center"/>
            <w:hideMark/>
          </w:tcPr>
          <w:p w14:paraId="4DD98E84"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 xml:space="preserve">Rozdiel </w:t>
            </w:r>
          </w:p>
        </w:tc>
      </w:tr>
      <w:tr w:rsidR="0043499B" w:rsidRPr="00D0395E" w14:paraId="3A97B882" w14:textId="77777777" w:rsidTr="0043499B">
        <w:trPr>
          <w:trHeight w:val="345"/>
          <w:tblHeader/>
        </w:trPr>
        <w:tc>
          <w:tcPr>
            <w:tcW w:w="2347" w:type="pct"/>
            <w:tcBorders>
              <w:top w:val="nil"/>
              <w:left w:val="nil"/>
              <w:bottom w:val="single" w:sz="4" w:space="0" w:color="auto"/>
              <w:right w:val="nil"/>
            </w:tcBorders>
            <w:vAlign w:val="center"/>
            <w:hideMark/>
          </w:tcPr>
          <w:p w14:paraId="7F7522B0" w14:textId="77777777" w:rsidR="0043499B" w:rsidRPr="00D0395E" w:rsidRDefault="0043499B" w:rsidP="005442D6">
            <w:pPr>
              <w:spacing w:line="240" w:lineRule="auto"/>
              <w:rPr>
                <w:rFonts w:eastAsia="Times New Roman" w:cs="Times New Roman"/>
                <w:b/>
                <w:bCs/>
                <w:color w:val="FFFFFF"/>
                <w:sz w:val="18"/>
                <w:szCs w:val="18"/>
                <w:lang w:eastAsia="sk-SK"/>
              </w:rPr>
            </w:pPr>
            <w:r w:rsidRPr="00D0395E">
              <w:rPr>
                <w:rFonts w:eastAsia="Times New Roman" w:cs="Times New Roman"/>
                <w:b/>
                <w:bCs/>
                <w:color w:val="FFFFFF"/>
                <w:sz w:val="18"/>
                <w:szCs w:val="18"/>
                <w:lang w:eastAsia="sk-SK"/>
              </w:rPr>
              <w:t> </w:t>
            </w:r>
          </w:p>
        </w:tc>
        <w:tc>
          <w:tcPr>
            <w:tcW w:w="547" w:type="pct"/>
            <w:tcBorders>
              <w:top w:val="nil"/>
              <w:left w:val="nil"/>
              <w:bottom w:val="single" w:sz="4" w:space="0" w:color="auto"/>
              <w:right w:val="nil"/>
            </w:tcBorders>
            <w:vAlign w:val="center"/>
            <w:hideMark/>
          </w:tcPr>
          <w:p w14:paraId="4BC0B7E4"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47" w:type="pct"/>
            <w:tcBorders>
              <w:top w:val="nil"/>
              <w:left w:val="nil"/>
              <w:bottom w:val="single" w:sz="4" w:space="0" w:color="auto"/>
              <w:right w:val="nil"/>
            </w:tcBorders>
            <w:vAlign w:val="center"/>
            <w:hideMark/>
          </w:tcPr>
          <w:p w14:paraId="3B5B8CB5"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47" w:type="pct"/>
            <w:tcBorders>
              <w:top w:val="nil"/>
              <w:left w:val="nil"/>
              <w:bottom w:val="single" w:sz="4" w:space="0" w:color="auto"/>
              <w:right w:val="nil"/>
            </w:tcBorders>
            <w:vAlign w:val="center"/>
            <w:hideMark/>
          </w:tcPr>
          <w:p w14:paraId="4231BE4A"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468" w:type="pct"/>
            <w:tcBorders>
              <w:top w:val="nil"/>
              <w:left w:val="nil"/>
              <w:bottom w:val="single" w:sz="4" w:space="0" w:color="auto"/>
              <w:right w:val="nil"/>
            </w:tcBorders>
            <w:vAlign w:val="center"/>
            <w:hideMark/>
          </w:tcPr>
          <w:p w14:paraId="095E021D"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44" w:type="pct"/>
            <w:tcBorders>
              <w:top w:val="nil"/>
              <w:left w:val="nil"/>
              <w:bottom w:val="single" w:sz="4" w:space="0" w:color="auto"/>
              <w:right w:val="nil"/>
            </w:tcBorders>
            <w:vAlign w:val="center"/>
            <w:hideMark/>
          </w:tcPr>
          <w:p w14:paraId="7683D538" w14:textId="77777777" w:rsidR="0043499B" w:rsidRPr="00D0395E" w:rsidRDefault="0043499B" w:rsidP="005442D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43499B" w:rsidRPr="00D0395E" w14:paraId="26C6CD6D" w14:textId="77777777" w:rsidTr="0043499B">
        <w:trPr>
          <w:trHeight w:val="330"/>
        </w:trPr>
        <w:tc>
          <w:tcPr>
            <w:tcW w:w="2347" w:type="pct"/>
            <w:tcBorders>
              <w:top w:val="single" w:sz="4" w:space="0" w:color="auto"/>
              <w:left w:val="nil"/>
              <w:bottom w:val="nil"/>
              <w:right w:val="nil"/>
            </w:tcBorders>
            <w:noWrap/>
            <w:vAlign w:val="center"/>
            <w:hideMark/>
          </w:tcPr>
          <w:p w14:paraId="698E341B" w14:textId="77777777" w:rsidR="0043499B" w:rsidRPr="00D0395E" w:rsidRDefault="0043499B"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Ministerstvo zahr. vecí a európ. záležitostí SR</w:t>
            </w:r>
          </w:p>
        </w:tc>
        <w:tc>
          <w:tcPr>
            <w:tcW w:w="547" w:type="pct"/>
            <w:tcBorders>
              <w:top w:val="single" w:sz="4" w:space="0" w:color="auto"/>
              <w:left w:val="nil"/>
              <w:bottom w:val="nil"/>
              <w:right w:val="nil"/>
            </w:tcBorders>
            <w:noWrap/>
            <w:vAlign w:val="center"/>
            <w:hideMark/>
          </w:tcPr>
          <w:p w14:paraId="0F71EAB2"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260</w:t>
            </w:r>
          </w:p>
        </w:tc>
        <w:tc>
          <w:tcPr>
            <w:tcW w:w="547" w:type="pct"/>
            <w:tcBorders>
              <w:top w:val="single" w:sz="4" w:space="0" w:color="auto"/>
              <w:left w:val="nil"/>
              <w:bottom w:val="nil"/>
              <w:right w:val="nil"/>
            </w:tcBorders>
            <w:noWrap/>
            <w:vAlign w:val="center"/>
            <w:hideMark/>
          </w:tcPr>
          <w:p w14:paraId="20455DF2"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260</w:t>
            </w:r>
          </w:p>
        </w:tc>
        <w:tc>
          <w:tcPr>
            <w:tcW w:w="547" w:type="pct"/>
            <w:tcBorders>
              <w:top w:val="single" w:sz="4" w:space="0" w:color="auto"/>
              <w:left w:val="nil"/>
              <w:bottom w:val="nil"/>
              <w:right w:val="nil"/>
            </w:tcBorders>
            <w:noWrap/>
            <w:vAlign w:val="center"/>
            <w:hideMark/>
          </w:tcPr>
          <w:p w14:paraId="2031D7FF"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260</w:t>
            </w:r>
          </w:p>
        </w:tc>
        <w:tc>
          <w:tcPr>
            <w:tcW w:w="468" w:type="pct"/>
            <w:tcBorders>
              <w:top w:val="single" w:sz="4" w:space="0" w:color="auto"/>
              <w:left w:val="nil"/>
              <w:bottom w:val="nil"/>
              <w:right w:val="nil"/>
            </w:tcBorders>
            <w:noWrap/>
            <w:vAlign w:val="center"/>
            <w:hideMark/>
          </w:tcPr>
          <w:p w14:paraId="33380543"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260</w:t>
            </w:r>
          </w:p>
        </w:tc>
        <w:tc>
          <w:tcPr>
            <w:tcW w:w="544" w:type="pct"/>
            <w:tcBorders>
              <w:top w:val="single" w:sz="4" w:space="0" w:color="auto"/>
              <w:left w:val="nil"/>
              <w:bottom w:val="nil"/>
              <w:right w:val="nil"/>
            </w:tcBorders>
            <w:vAlign w:val="center"/>
            <w:hideMark/>
          </w:tcPr>
          <w:p w14:paraId="072EBAF4"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0</w:t>
            </w:r>
          </w:p>
        </w:tc>
      </w:tr>
      <w:tr w:rsidR="0043499B" w:rsidRPr="00D0395E" w14:paraId="3E38A4CA" w14:textId="77777777" w:rsidTr="0043499B">
        <w:trPr>
          <w:trHeight w:val="330"/>
        </w:trPr>
        <w:tc>
          <w:tcPr>
            <w:tcW w:w="2347" w:type="pct"/>
            <w:tcBorders>
              <w:top w:val="nil"/>
              <w:left w:val="nil"/>
              <w:bottom w:val="nil"/>
              <w:right w:val="nil"/>
            </w:tcBorders>
            <w:noWrap/>
            <w:vAlign w:val="center"/>
            <w:hideMark/>
          </w:tcPr>
          <w:p w14:paraId="33C39D93" w14:textId="77777777" w:rsidR="0043499B" w:rsidRPr="00D0395E" w:rsidRDefault="0043499B"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Správa služieb diplomatického zboru, a. s.</w:t>
            </w:r>
          </w:p>
        </w:tc>
        <w:tc>
          <w:tcPr>
            <w:tcW w:w="547" w:type="pct"/>
            <w:tcBorders>
              <w:top w:val="nil"/>
              <w:left w:val="nil"/>
              <w:bottom w:val="nil"/>
              <w:right w:val="nil"/>
            </w:tcBorders>
            <w:noWrap/>
            <w:vAlign w:val="center"/>
            <w:hideMark/>
          </w:tcPr>
          <w:p w14:paraId="7280D51C"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260</w:t>
            </w:r>
          </w:p>
        </w:tc>
        <w:tc>
          <w:tcPr>
            <w:tcW w:w="547" w:type="pct"/>
            <w:tcBorders>
              <w:top w:val="nil"/>
              <w:left w:val="nil"/>
              <w:bottom w:val="nil"/>
              <w:right w:val="nil"/>
            </w:tcBorders>
            <w:noWrap/>
            <w:vAlign w:val="center"/>
            <w:hideMark/>
          </w:tcPr>
          <w:p w14:paraId="537C82AA"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260</w:t>
            </w:r>
          </w:p>
        </w:tc>
        <w:tc>
          <w:tcPr>
            <w:tcW w:w="547" w:type="pct"/>
            <w:tcBorders>
              <w:top w:val="nil"/>
              <w:left w:val="nil"/>
              <w:bottom w:val="nil"/>
              <w:right w:val="nil"/>
            </w:tcBorders>
            <w:noWrap/>
            <w:vAlign w:val="center"/>
            <w:hideMark/>
          </w:tcPr>
          <w:p w14:paraId="6AAD9862"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260</w:t>
            </w:r>
          </w:p>
        </w:tc>
        <w:tc>
          <w:tcPr>
            <w:tcW w:w="468" w:type="pct"/>
            <w:tcBorders>
              <w:top w:val="nil"/>
              <w:left w:val="nil"/>
              <w:bottom w:val="nil"/>
              <w:right w:val="nil"/>
            </w:tcBorders>
            <w:noWrap/>
            <w:vAlign w:val="center"/>
            <w:hideMark/>
          </w:tcPr>
          <w:p w14:paraId="20BBE5A2"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260</w:t>
            </w:r>
          </w:p>
        </w:tc>
        <w:tc>
          <w:tcPr>
            <w:tcW w:w="544" w:type="pct"/>
            <w:tcBorders>
              <w:top w:val="nil"/>
              <w:left w:val="nil"/>
              <w:bottom w:val="nil"/>
              <w:right w:val="nil"/>
            </w:tcBorders>
            <w:vAlign w:val="center"/>
            <w:hideMark/>
          </w:tcPr>
          <w:p w14:paraId="63653F42"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r>
      <w:tr w:rsidR="0043499B" w:rsidRPr="00D0395E" w14:paraId="59F4AA79" w14:textId="77777777" w:rsidTr="0043499B">
        <w:trPr>
          <w:trHeight w:val="330"/>
        </w:trPr>
        <w:tc>
          <w:tcPr>
            <w:tcW w:w="2347" w:type="pct"/>
            <w:tcBorders>
              <w:top w:val="nil"/>
              <w:left w:val="nil"/>
              <w:bottom w:val="nil"/>
              <w:right w:val="nil"/>
            </w:tcBorders>
            <w:noWrap/>
            <w:vAlign w:val="center"/>
            <w:hideMark/>
          </w:tcPr>
          <w:p w14:paraId="1E169CBF" w14:textId="77777777" w:rsidR="0043499B" w:rsidRPr="00346503" w:rsidRDefault="0043499B" w:rsidP="005442D6">
            <w:pPr>
              <w:spacing w:line="240" w:lineRule="auto"/>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Ministerstvo financií SR</w:t>
            </w:r>
          </w:p>
        </w:tc>
        <w:tc>
          <w:tcPr>
            <w:tcW w:w="547" w:type="pct"/>
            <w:tcBorders>
              <w:top w:val="nil"/>
              <w:left w:val="nil"/>
              <w:bottom w:val="nil"/>
              <w:right w:val="nil"/>
            </w:tcBorders>
            <w:noWrap/>
            <w:vAlign w:val="center"/>
            <w:hideMark/>
          </w:tcPr>
          <w:p w14:paraId="64880A2D"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83 012</w:t>
            </w:r>
          </w:p>
        </w:tc>
        <w:tc>
          <w:tcPr>
            <w:tcW w:w="547" w:type="pct"/>
            <w:tcBorders>
              <w:top w:val="nil"/>
              <w:left w:val="nil"/>
              <w:bottom w:val="nil"/>
              <w:right w:val="nil"/>
            </w:tcBorders>
            <w:noWrap/>
            <w:vAlign w:val="center"/>
            <w:hideMark/>
          </w:tcPr>
          <w:p w14:paraId="51FB426E"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47 724</w:t>
            </w:r>
          </w:p>
        </w:tc>
        <w:tc>
          <w:tcPr>
            <w:tcW w:w="547" w:type="pct"/>
            <w:tcBorders>
              <w:top w:val="nil"/>
              <w:left w:val="nil"/>
              <w:bottom w:val="nil"/>
              <w:right w:val="nil"/>
            </w:tcBorders>
            <w:noWrap/>
            <w:vAlign w:val="center"/>
            <w:hideMark/>
          </w:tcPr>
          <w:p w14:paraId="2F3046E3"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40 809</w:t>
            </w:r>
          </w:p>
        </w:tc>
        <w:tc>
          <w:tcPr>
            <w:tcW w:w="468" w:type="pct"/>
            <w:tcBorders>
              <w:top w:val="nil"/>
              <w:left w:val="nil"/>
              <w:bottom w:val="nil"/>
              <w:right w:val="nil"/>
            </w:tcBorders>
            <w:noWrap/>
            <w:vAlign w:val="center"/>
            <w:hideMark/>
          </w:tcPr>
          <w:p w14:paraId="6A1C2C88"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45 014</w:t>
            </w:r>
          </w:p>
        </w:tc>
        <w:tc>
          <w:tcPr>
            <w:tcW w:w="544" w:type="pct"/>
            <w:tcBorders>
              <w:top w:val="nil"/>
              <w:left w:val="nil"/>
              <w:bottom w:val="nil"/>
              <w:right w:val="nil"/>
            </w:tcBorders>
            <w:vAlign w:val="center"/>
            <w:hideMark/>
          </w:tcPr>
          <w:p w14:paraId="55E554D7"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4 205</w:t>
            </w:r>
          </w:p>
        </w:tc>
      </w:tr>
      <w:tr w:rsidR="0043499B" w:rsidRPr="00D0395E" w14:paraId="470D3D30" w14:textId="77777777" w:rsidTr="0043499B">
        <w:trPr>
          <w:trHeight w:val="330"/>
        </w:trPr>
        <w:tc>
          <w:tcPr>
            <w:tcW w:w="2347" w:type="pct"/>
            <w:tcBorders>
              <w:top w:val="nil"/>
              <w:left w:val="nil"/>
              <w:bottom w:val="nil"/>
              <w:right w:val="nil"/>
            </w:tcBorders>
            <w:noWrap/>
            <w:vAlign w:val="center"/>
            <w:hideMark/>
          </w:tcPr>
          <w:p w14:paraId="1A3CD327"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Slovenská konsolidačná, a. s. Bratislava</w:t>
            </w:r>
          </w:p>
        </w:tc>
        <w:tc>
          <w:tcPr>
            <w:tcW w:w="547" w:type="pct"/>
            <w:tcBorders>
              <w:top w:val="nil"/>
              <w:left w:val="nil"/>
              <w:bottom w:val="nil"/>
              <w:right w:val="nil"/>
            </w:tcBorders>
            <w:noWrap/>
            <w:vAlign w:val="center"/>
            <w:hideMark/>
          </w:tcPr>
          <w:p w14:paraId="2A7D47ED"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3 274</w:t>
            </w:r>
          </w:p>
        </w:tc>
        <w:tc>
          <w:tcPr>
            <w:tcW w:w="547" w:type="pct"/>
            <w:tcBorders>
              <w:top w:val="nil"/>
              <w:left w:val="nil"/>
              <w:bottom w:val="nil"/>
              <w:right w:val="nil"/>
            </w:tcBorders>
            <w:noWrap/>
            <w:vAlign w:val="center"/>
            <w:hideMark/>
          </w:tcPr>
          <w:p w14:paraId="233D10E3"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1 904</w:t>
            </w:r>
          </w:p>
        </w:tc>
        <w:tc>
          <w:tcPr>
            <w:tcW w:w="547" w:type="pct"/>
            <w:tcBorders>
              <w:top w:val="nil"/>
              <w:left w:val="nil"/>
              <w:bottom w:val="nil"/>
              <w:right w:val="nil"/>
            </w:tcBorders>
            <w:noWrap/>
            <w:vAlign w:val="center"/>
            <w:hideMark/>
          </w:tcPr>
          <w:p w14:paraId="78BD9A5F"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59</w:t>
            </w:r>
          </w:p>
        </w:tc>
        <w:tc>
          <w:tcPr>
            <w:tcW w:w="468" w:type="pct"/>
            <w:tcBorders>
              <w:top w:val="nil"/>
              <w:left w:val="nil"/>
              <w:bottom w:val="nil"/>
              <w:right w:val="nil"/>
            </w:tcBorders>
            <w:noWrap/>
            <w:vAlign w:val="center"/>
            <w:hideMark/>
          </w:tcPr>
          <w:p w14:paraId="1CD81A69"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1 264</w:t>
            </w:r>
          </w:p>
        </w:tc>
        <w:tc>
          <w:tcPr>
            <w:tcW w:w="544" w:type="pct"/>
            <w:tcBorders>
              <w:top w:val="nil"/>
              <w:left w:val="nil"/>
              <w:bottom w:val="nil"/>
              <w:right w:val="nil"/>
            </w:tcBorders>
            <w:vAlign w:val="center"/>
            <w:hideMark/>
          </w:tcPr>
          <w:p w14:paraId="2979F734"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1 205</w:t>
            </w:r>
          </w:p>
        </w:tc>
      </w:tr>
      <w:tr w:rsidR="0043499B" w:rsidRPr="00D0395E" w14:paraId="772B6723" w14:textId="77777777" w:rsidTr="0043499B">
        <w:trPr>
          <w:trHeight w:val="330"/>
        </w:trPr>
        <w:tc>
          <w:tcPr>
            <w:tcW w:w="2347" w:type="pct"/>
            <w:tcBorders>
              <w:top w:val="nil"/>
              <w:left w:val="nil"/>
              <w:bottom w:val="nil"/>
              <w:right w:val="nil"/>
            </w:tcBorders>
            <w:noWrap/>
            <w:vAlign w:val="center"/>
            <w:hideMark/>
          </w:tcPr>
          <w:p w14:paraId="61F13639"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Slovenská elektrizačná prenosová sústava, a. s.</w:t>
            </w:r>
          </w:p>
        </w:tc>
        <w:tc>
          <w:tcPr>
            <w:tcW w:w="547" w:type="pct"/>
            <w:tcBorders>
              <w:top w:val="nil"/>
              <w:left w:val="nil"/>
              <w:bottom w:val="nil"/>
              <w:right w:val="nil"/>
            </w:tcBorders>
            <w:noWrap/>
            <w:vAlign w:val="center"/>
            <w:hideMark/>
          </w:tcPr>
          <w:p w14:paraId="7DBA1619"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79 338</w:t>
            </w:r>
          </w:p>
        </w:tc>
        <w:tc>
          <w:tcPr>
            <w:tcW w:w="547" w:type="pct"/>
            <w:tcBorders>
              <w:top w:val="nil"/>
              <w:left w:val="nil"/>
              <w:bottom w:val="nil"/>
              <w:right w:val="nil"/>
            </w:tcBorders>
            <w:noWrap/>
            <w:vAlign w:val="center"/>
            <w:hideMark/>
          </w:tcPr>
          <w:p w14:paraId="66EEC4C6"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45 820</w:t>
            </w:r>
          </w:p>
        </w:tc>
        <w:tc>
          <w:tcPr>
            <w:tcW w:w="547" w:type="pct"/>
            <w:tcBorders>
              <w:top w:val="nil"/>
              <w:left w:val="nil"/>
              <w:bottom w:val="nil"/>
              <w:right w:val="nil"/>
            </w:tcBorders>
            <w:noWrap/>
            <w:vAlign w:val="center"/>
            <w:hideMark/>
          </w:tcPr>
          <w:p w14:paraId="70FFDE55"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35 750</w:t>
            </w:r>
          </w:p>
        </w:tc>
        <w:tc>
          <w:tcPr>
            <w:tcW w:w="468" w:type="pct"/>
            <w:tcBorders>
              <w:top w:val="nil"/>
              <w:left w:val="nil"/>
              <w:bottom w:val="nil"/>
              <w:right w:val="nil"/>
            </w:tcBorders>
            <w:noWrap/>
            <w:vAlign w:val="center"/>
            <w:hideMark/>
          </w:tcPr>
          <w:p w14:paraId="23014D21"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35 750</w:t>
            </w:r>
          </w:p>
        </w:tc>
        <w:tc>
          <w:tcPr>
            <w:tcW w:w="544" w:type="pct"/>
            <w:tcBorders>
              <w:top w:val="nil"/>
              <w:left w:val="nil"/>
              <w:bottom w:val="nil"/>
              <w:right w:val="nil"/>
            </w:tcBorders>
            <w:vAlign w:val="center"/>
            <w:hideMark/>
          </w:tcPr>
          <w:p w14:paraId="03F8B459"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r>
      <w:tr w:rsidR="0043499B" w:rsidRPr="00D0395E" w14:paraId="45D63523" w14:textId="77777777" w:rsidTr="0043499B">
        <w:trPr>
          <w:trHeight w:val="330"/>
        </w:trPr>
        <w:tc>
          <w:tcPr>
            <w:tcW w:w="2347" w:type="pct"/>
            <w:tcBorders>
              <w:top w:val="nil"/>
              <w:left w:val="nil"/>
              <w:bottom w:val="nil"/>
              <w:right w:val="nil"/>
            </w:tcBorders>
            <w:noWrap/>
            <w:vAlign w:val="center"/>
            <w:hideMark/>
          </w:tcPr>
          <w:p w14:paraId="57209B61"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Slovenská záručná a rozvojová banka</w:t>
            </w:r>
          </w:p>
        </w:tc>
        <w:tc>
          <w:tcPr>
            <w:tcW w:w="547" w:type="pct"/>
            <w:tcBorders>
              <w:top w:val="nil"/>
              <w:left w:val="nil"/>
              <w:bottom w:val="nil"/>
              <w:right w:val="nil"/>
            </w:tcBorders>
            <w:noWrap/>
            <w:vAlign w:val="center"/>
            <w:hideMark/>
          </w:tcPr>
          <w:p w14:paraId="18F5C736"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400</w:t>
            </w:r>
          </w:p>
        </w:tc>
        <w:tc>
          <w:tcPr>
            <w:tcW w:w="547" w:type="pct"/>
            <w:tcBorders>
              <w:top w:val="nil"/>
              <w:left w:val="nil"/>
              <w:bottom w:val="nil"/>
              <w:right w:val="nil"/>
            </w:tcBorders>
            <w:noWrap/>
            <w:vAlign w:val="center"/>
            <w:hideMark/>
          </w:tcPr>
          <w:p w14:paraId="27E81678"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547" w:type="pct"/>
            <w:tcBorders>
              <w:top w:val="nil"/>
              <w:left w:val="nil"/>
              <w:bottom w:val="nil"/>
              <w:right w:val="nil"/>
            </w:tcBorders>
            <w:noWrap/>
            <w:vAlign w:val="center"/>
            <w:hideMark/>
          </w:tcPr>
          <w:p w14:paraId="0DB2C7BF"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5 000</w:t>
            </w:r>
          </w:p>
        </w:tc>
        <w:tc>
          <w:tcPr>
            <w:tcW w:w="468" w:type="pct"/>
            <w:tcBorders>
              <w:top w:val="nil"/>
              <w:left w:val="nil"/>
              <w:bottom w:val="nil"/>
              <w:right w:val="nil"/>
            </w:tcBorders>
            <w:noWrap/>
            <w:vAlign w:val="center"/>
            <w:hideMark/>
          </w:tcPr>
          <w:p w14:paraId="1EA5AF2C"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8 000</w:t>
            </w:r>
          </w:p>
        </w:tc>
        <w:tc>
          <w:tcPr>
            <w:tcW w:w="544" w:type="pct"/>
            <w:tcBorders>
              <w:top w:val="nil"/>
              <w:left w:val="nil"/>
              <w:bottom w:val="nil"/>
              <w:right w:val="nil"/>
            </w:tcBorders>
            <w:vAlign w:val="center"/>
            <w:hideMark/>
          </w:tcPr>
          <w:p w14:paraId="553DFB15"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3 000</w:t>
            </w:r>
          </w:p>
        </w:tc>
      </w:tr>
      <w:tr w:rsidR="0043499B" w:rsidRPr="00D0395E" w14:paraId="394C2368" w14:textId="77777777" w:rsidTr="0043499B">
        <w:trPr>
          <w:trHeight w:val="330"/>
        </w:trPr>
        <w:tc>
          <w:tcPr>
            <w:tcW w:w="2347" w:type="pct"/>
            <w:tcBorders>
              <w:top w:val="nil"/>
              <w:left w:val="nil"/>
              <w:bottom w:val="nil"/>
              <w:right w:val="nil"/>
            </w:tcBorders>
            <w:noWrap/>
            <w:vAlign w:val="center"/>
          </w:tcPr>
          <w:p w14:paraId="45C157C1" w14:textId="77777777" w:rsidR="0043499B" w:rsidRPr="00D0395E" w:rsidRDefault="0043499B" w:rsidP="005442D6">
            <w:pPr>
              <w:spacing w:line="240" w:lineRule="auto"/>
              <w:rPr>
                <w:rFonts w:eastAsia="Times New Roman" w:cs="Times New Roman"/>
                <w:color w:val="000000"/>
                <w:sz w:val="18"/>
                <w:szCs w:val="18"/>
                <w:lang w:eastAsia="sk-SK"/>
              </w:rPr>
            </w:pPr>
            <w:r w:rsidRPr="00D0395E">
              <w:rPr>
                <w:rFonts w:eastAsia="Times New Roman" w:cs="Times New Roman"/>
                <w:b/>
                <w:bCs/>
                <w:color w:val="000000"/>
                <w:sz w:val="18"/>
                <w:szCs w:val="18"/>
                <w:lang w:eastAsia="sk-SK"/>
              </w:rPr>
              <w:t xml:space="preserve">Ministerstvo </w:t>
            </w:r>
            <w:r>
              <w:rPr>
                <w:rFonts w:eastAsia="Times New Roman" w:cs="Times New Roman"/>
                <w:b/>
                <w:bCs/>
                <w:color w:val="000000"/>
                <w:sz w:val="18"/>
                <w:szCs w:val="18"/>
                <w:lang w:eastAsia="sk-SK"/>
              </w:rPr>
              <w:t>cestovného ruchu a športu</w:t>
            </w:r>
            <w:r w:rsidRPr="00D0395E">
              <w:rPr>
                <w:rFonts w:eastAsia="Times New Roman" w:cs="Times New Roman"/>
                <w:b/>
                <w:bCs/>
                <w:color w:val="000000"/>
                <w:sz w:val="18"/>
                <w:szCs w:val="18"/>
                <w:lang w:eastAsia="sk-SK"/>
              </w:rPr>
              <w:t xml:space="preserve"> SR</w:t>
            </w:r>
          </w:p>
        </w:tc>
        <w:tc>
          <w:tcPr>
            <w:tcW w:w="547" w:type="pct"/>
            <w:tcBorders>
              <w:top w:val="nil"/>
              <w:left w:val="nil"/>
              <w:bottom w:val="nil"/>
              <w:right w:val="nil"/>
            </w:tcBorders>
            <w:noWrap/>
            <w:vAlign w:val="center"/>
          </w:tcPr>
          <w:p w14:paraId="2550715D" w14:textId="77777777" w:rsidR="0043499B" w:rsidRPr="00EC45DD" w:rsidRDefault="0043499B" w:rsidP="005442D6">
            <w:pPr>
              <w:spacing w:line="240" w:lineRule="auto"/>
              <w:jc w:val="right"/>
              <w:rPr>
                <w:rFonts w:eastAsia="Times New Roman" w:cs="Times New Roman"/>
                <w:b/>
                <w:bCs/>
                <w:color w:val="000000"/>
                <w:sz w:val="18"/>
                <w:szCs w:val="18"/>
                <w:lang w:eastAsia="sk-SK"/>
              </w:rPr>
            </w:pPr>
            <w:r w:rsidRPr="00EC45DD">
              <w:rPr>
                <w:rFonts w:eastAsia="Times New Roman" w:cs="Times New Roman"/>
                <w:b/>
                <w:bCs/>
                <w:color w:val="000000"/>
                <w:sz w:val="18"/>
                <w:szCs w:val="18"/>
                <w:lang w:eastAsia="sk-SK"/>
              </w:rPr>
              <w:t>50 000</w:t>
            </w:r>
          </w:p>
        </w:tc>
        <w:tc>
          <w:tcPr>
            <w:tcW w:w="547" w:type="pct"/>
            <w:tcBorders>
              <w:top w:val="nil"/>
              <w:left w:val="nil"/>
              <w:bottom w:val="nil"/>
              <w:right w:val="nil"/>
            </w:tcBorders>
            <w:noWrap/>
            <w:vAlign w:val="center"/>
          </w:tcPr>
          <w:p w14:paraId="1A19C5FE"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20 000</w:t>
            </w:r>
          </w:p>
        </w:tc>
        <w:tc>
          <w:tcPr>
            <w:tcW w:w="547" w:type="pct"/>
            <w:tcBorders>
              <w:top w:val="nil"/>
              <w:left w:val="nil"/>
              <w:bottom w:val="nil"/>
              <w:right w:val="nil"/>
            </w:tcBorders>
            <w:noWrap/>
            <w:vAlign w:val="center"/>
          </w:tcPr>
          <w:p w14:paraId="69CD6681"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20 300</w:t>
            </w:r>
          </w:p>
        </w:tc>
        <w:tc>
          <w:tcPr>
            <w:tcW w:w="468" w:type="pct"/>
            <w:tcBorders>
              <w:top w:val="nil"/>
              <w:left w:val="nil"/>
              <w:bottom w:val="nil"/>
              <w:right w:val="nil"/>
            </w:tcBorders>
            <w:noWrap/>
            <w:vAlign w:val="center"/>
          </w:tcPr>
          <w:p w14:paraId="07E25CC6"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20 300</w:t>
            </w:r>
          </w:p>
        </w:tc>
        <w:tc>
          <w:tcPr>
            <w:tcW w:w="544" w:type="pct"/>
            <w:tcBorders>
              <w:top w:val="nil"/>
              <w:left w:val="nil"/>
              <w:bottom w:val="nil"/>
              <w:right w:val="nil"/>
            </w:tcBorders>
            <w:vAlign w:val="center"/>
          </w:tcPr>
          <w:p w14:paraId="120DDFB7"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0</w:t>
            </w:r>
          </w:p>
        </w:tc>
      </w:tr>
      <w:tr w:rsidR="0043499B" w:rsidRPr="00D0395E" w14:paraId="0C6F6B74" w14:textId="77777777" w:rsidTr="0043499B">
        <w:trPr>
          <w:trHeight w:val="330"/>
        </w:trPr>
        <w:tc>
          <w:tcPr>
            <w:tcW w:w="2347" w:type="pct"/>
            <w:tcBorders>
              <w:top w:val="nil"/>
              <w:left w:val="nil"/>
              <w:bottom w:val="nil"/>
              <w:right w:val="nil"/>
            </w:tcBorders>
            <w:noWrap/>
            <w:vAlign w:val="center"/>
          </w:tcPr>
          <w:p w14:paraId="38F721E7" w14:textId="436AA130" w:rsidR="0043499B" w:rsidRPr="00D0395E" w:rsidRDefault="0043499B"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Tipos, národná lotériová spoločnosť, a. s.</w:t>
            </w:r>
          </w:p>
        </w:tc>
        <w:tc>
          <w:tcPr>
            <w:tcW w:w="547" w:type="pct"/>
            <w:tcBorders>
              <w:top w:val="nil"/>
              <w:left w:val="nil"/>
              <w:bottom w:val="nil"/>
              <w:right w:val="nil"/>
            </w:tcBorders>
            <w:noWrap/>
            <w:vAlign w:val="center"/>
          </w:tcPr>
          <w:p w14:paraId="7BDC5B94"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50 000</w:t>
            </w:r>
          </w:p>
        </w:tc>
        <w:tc>
          <w:tcPr>
            <w:tcW w:w="547" w:type="pct"/>
            <w:tcBorders>
              <w:top w:val="nil"/>
              <w:left w:val="nil"/>
              <w:bottom w:val="nil"/>
              <w:right w:val="nil"/>
            </w:tcBorders>
            <w:noWrap/>
            <w:vAlign w:val="center"/>
          </w:tcPr>
          <w:p w14:paraId="4FB2339A"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20 000</w:t>
            </w:r>
          </w:p>
        </w:tc>
        <w:tc>
          <w:tcPr>
            <w:tcW w:w="547" w:type="pct"/>
            <w:tcBorders>
              <w:top w:val="nil"/>
              <w:left w:val="nil"/>
              <w:bottom w:val="nil"/>
              <w:right w:val="nil"/>
            </w:tcBorders>
            <w:noWrap/>
            <w:vAlign w:val="center"/>
          </w:tcPr>
          <w:p w14:paraId="02727816"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20 300</w:t>
            </w:r>
          </w:p>
        </w:tc>
        <w:tc>
          <w:tcPr>
            <w:tcW w:w="468" w:type="pct"/>
            <w:tcBorders>
              <w:top w:val="nil"/>
              <w:left w:val="nil"/>
              <w:bottom w:val="nil"/>
              <w:right w:val="nil"/>
            </w:tcBorders>
            <w:noWrap/>
            <w:vAlign w:val="center"/>
          </w:tcPr>
          <w:p w14:paraId="7C758EFF"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20 300</w:t>
            </w:r>
          </w:p>
        </w:tc>
        <w:tc>
          <w:tcPr>
            <w:tcW w:w="544" w:type="pct"/>
            <w:tcBorders>
              <w:top w:val="nil"/>
              <w:left w:val="nil"/>
              <w:bottom w:val="nil"/>
              <w:right w:val="nil"/>
            </w:tcBorders>
            <w:vAlign w:val="center"/>
          </w:tcPr>
          <w:p w14:paraId="44FBD6E2"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r>
      <w:tr w:rsidR="0043499B" w:rsidRPr="00D0395E" w14:paraId="4967A804" w14:textId="77777777" w:rsidTr="0043499B">
        <w:trPr>
          <w:trHeight w:val="330"/>
        </w:trPr>
        <w:tc>
          <w:tcPr>
            <w:tcW w:w="2347" w:type="pct"/>
            <w:tcBorders>
              <w:top w:val="nil"/>
              <w:left w:val="nil"/>
              <w:bottom w:val="nil"/>
              <w:right w:val="nil"/>
            </w:tcBorders>
            <w:noWrap/>
            <w:vAlign w:val="center"/>
            <w:hideMark/>
          </w:tcPr>
          <w:p w14:paraId="297A0254" w14:textId="77777777" w:rsidR="0043499B" w:rsidRPr="00BB74E7" w:rsidRDefault="0043499B" w:rsidP="005442D6">
            <w:pPr>
              <w:spacing w:line="240" w:lineRule="auto"/>
              <w:rPr>
                <w:rFonts w:eastAsia="Times New Roman" w:cs="Times New Roman"/>
                <w:b/>
                <w:bCs/>
                <w:color w:val="000000"/>
                <w:sz w:val="18"/>
                <w:szCs w:val="18"/>
                <w:lang w:eastAsia="sk-SK"/>
              </w:rPr>
            </w:pPr>
            <w:r w:rsidRPr="00BB74E7">
              <w:rPr>
                <w:rFonts w:eastAsia="Times New Roman" w:cs="Times New Roman"/>
                <w:b/>
                <w:bCs/>
                <w:color w:val="000000"/>
                <w:sz w:val="18"/>
                <w:szCs w:val="18"/>
                <w:lang w:eastAsia="sk-SK"/>
              </w:rPr>
              <w:t>Ministerstvo hospodárstva SR</w:t>
            </w:r>
          </w:p>
        </w:tc>
        <w:tc>
          <w:tcPr>
            <w:tcW w:w="547" w:type="pct"/>
            <w:tcBorders>
              <w:top w:val="nil"/>
              <w:left w:val="nil"/>
              <w:bottom w:val="nil"/>
              <w:right w:val="nil"/>
            </w:tcBorders>
            <w:noWrap/>
            <w:vAlign w:val="center"/>
            <w:hideMark/>
          </w:tcPr>
          <w:p w14:paraId="48B82B67" w14:textId="77777777" w:rsidR="0043499B" w:rsidRPr="00BB74E7" w:rsidRDefault="0043499B" w:rsidP="005442D6">
            <w:pPr>
              <w:spacing w:line="240" w:lineRule="auto"/>
              <w:jc w:val="right"/>
              <w:rPr>
                <w:rFonts w:eastAsia="Times New Roman" w:cs="Times New Roman"/>
                <w:b/>
                <w:bCs/>
                <w:color w:val="000000"/>
                <w:sz w:val="18"/>
                <w:szCs w:val="18"/>
                <w:lang w:eastAsia="sk-SK"/>
              </w:rPr>
            </w:pPr>
            <w:r w:rsidRPr="00BB74E7">
              <w:rPr>
                <w:rFonts w:eastAsia="Times New Roman" w:cs="Times New Roman"/>
                <w:b/>
                <w:bCs/>
                <w:color w:val="000000"/>
                <w:sz w:val="18"/>
                <w:szCs w:val="18"/>
                <w:lang w:eastAsia="sk-SK"/>
              </w:rPr>
              <w:t>1 990</w:t>
            </w:r>
          </w:p>
        </w:tc>
        <w:tc>
          <w:tcPr>
            <w:tcW w:w="547" w:type="pct"/>
            <w:tcBorders>
              <w:top w:val="nil"/>
              <w:left w:val="nil"/>
              <w:bottom w:val="nil"/>
              <w:right w:val="nil"/>
            </w:tcBorders>
            <w:noWrap/>
            <w:vAlign w:val="center"/>
            <w:hideMark/>
          </w:tcPr>
          <w:p w14:paraId="5C65F4EB" w14:textId="77777777" w:rsidR="0043499B" w:rsidRPr="00BB74E7" w:rsidRDefault="0043499B" w:rsidP="005442D6">
            <w:pPr>
              <w:spacing w:line="240" w:lineRule="auto"/>
              <w:jc w:val="right"/>
              <w:rPr>
                <w:rFonts w:eastAsia="Times New Roman" w:cs="Times New Roman"/>
                <w:b/>
                <w:bCs/>
                <w:color w:val="000000"/>
                <w:sz w:val="18"/>
                <w:szCs w:val="18"/>
                <w:lang w:eastAsia="sk-SK"/>
              </w:rPr>
            </w:pPr>
            <w:r w:rsidRPr="00BB74E7">
              <w:rPr>
                <w:rFonts w:eastAsia="Times New Roman" w:cs="Times New Roman"/>
                <w:b/>
                <w:bCs/>
                <w:color w:val="000000"/>
                <w:sz w:val="18"/>
                <w:szCs w:val="18"/>
                <w:lang w:eastAsia="sk-SK"/>
              </w:rPr>
              <w:t>2 574</w:t>
            </w:r>
          </w:p>
        </w:tc>
        <w:tc>
          <w:tcPr>
            <w:tcW w:w="547" w:type="pct"/>
            <w:tcBorders>
              <w:top w:val="nil"/>
              <w:left w:val="nil"/>
              <w:bottom w:val="nil"/>
              <w:right w:val="nil"/>
            </w:tcBorders>
            <w:noWrap/>
            <w:vAlign w:val="center"/>
            <w:hideMark/>
          </w:tcPr>
          <w:p w14:paraId="4E71C7CB" w14:textId="77777777" w:rsidR="0043499B" w:rsidRPr="00BB74E7" w:rsidRDefault="0043499B" w:rsidP="005442D6">
            <w:pPr>
              <w:spacing w:line="240" w:lineRule="auto"/>
              <w:jc w:val="right"/>
              <w:rPr>
                <w:rFonts w:eastAsia="Times New Roman" w:cs="Times New Roman"/>
                <w:b/>
                <w:bCs/>
                <w:color w:val="000000"/>
                <w:sz w:val="18"/>
                <w:szCs w:val="18"/>
                <w:lang w:eastAsia="sk-SK"/>
              </w:rPr>
            </w:pPr>
            <w:r w:rsidRPr="00BB74E7">
              <w:rPr>
                <w:rFonts w:eastAsia="Times New Roman" w:cs="Times New Roman"/>
                <w:b/>
                <w:bCs/>
                <w:color w:val="000000"/>
                <w:sz w:val="18"/>
                <w:szCs w:val="18"/>
                <w:lang w:eastAsia="sk-SK"/>
              </w:rPr>
              <w:t>82</w:t>
            </w:r>
          </w:p>
        </w:tc>
        <w:tc>
          <w:tcPr>
            <w:tcW w:w="468" w:type="pct"/>
            <w:tcBorders>
              <w:top w:val="nil"/>
              <w:left w:val="nil"/>
              <w:bottom w:val="nil"/>
              <w:right w:val="nil"/>
            </w:tcBorders>
            <w:noWrap/>
            <w:vAlign w:val="center"/>
            <w:hideMark/>
          </w:tcPr>
          <w:p w14:paraId="7E0A8A36" w14:textId="77777777" w:rsidR="0043499B" w:rsidRPr="00BB74E7" w:rsidRDefault="0043499B"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w:t>
            </w:r>
            <w:r w:rsidRPr="00BB74E7">
              <w:rPr>
                <w:rFonts w:eastAsia="Times New Roman" w:cs="Times New Roman"/>
                <w:b/>
                <w:bCs/>
                <w:color w:val="000000"/>
                <w:sz w:val="18"/>
                <w:szCs w:val="18"/>
                <w:lang w:eastAsia="sk-SK"/>
              </w:rPr>
              <w:t xml:space="preserve"> </w:t>
            </w:r>
            <w:r>
              <w:rPr>
                <w:rFonts w:eastAsia="Times New Roman" w:cs="Times New Roman"/>
                <w:b/>
                <w:bCs/>
                <w:color w:val="000000"/>
                <w:sz w:val="18"/>
                <w:szCs w:val="18"/>
                <w:lang w:eastAsia="sk-SK"/>
              </w:rPr>
              <w:t>5</w:t>
            </w:r>
            <w:r w:rsidRPr="00BB74E7">
              <w:rPr>
                <w:rFonts w:eastAsia="Times New Roman" w:cs="Times New Roman"/>
                <w:b/>
                <w:bCs/>
                <w:color w:val="000000"/>
                <w:sz w:val="18"/>
                <w:szCs w:val="18"/>
                <w:lang w:eastAsia="sk-SK"/>
              </w:rPr>
              <w:t>91</w:t>
            </w:r>
          </w:p>
        </w:tc>
        <w:tc>
          <w:tcPr>
            <w:tcW w:w="544" w:type="pct"/>
            <w:tcBorders>
              <w:top w:val="nil"/>
              <w:left w:val="nil"/>
              <w:bottom w:val="nil"/>
              <w:right w:val="nil"/>
            </w:tcBorders>
            <w:vAlign w:val="center"/>
            <w:hideMark/>
          </w:tcPr>
          <w:p w14:paraId="75654727" w14:textId="1C0DD2BD" w:rsidR="0043499B" w:rsidRPr="00BB74E7" w:rsidRDefault="00632A05"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w:t>
            </w:r>
            <w:r w:rsidRPr="00BB74E7">
              <w:rPr>
                <w:rFonts w:eastAsia="Times New Roman" w:cs="Times New Roman"/>
                <w:b/>
                <w:bCs/>
                <w:color w:val="000000"/>
                <w:sz w:val="18"/>
                <w:szCs w:val="18"/>
                <w:lang w:eastAsia="sk-SK"/>
              </w:rPr>
              <w:t xml:space="preserve"> </w:t>
            </w:r>
            <w:r w:rsidR="0043499B">
              <w:rPr>
                <w:rFonts w:eastAsia="Times New Roman" w:cs="Times New Roman"/>
                <w:b/>
                <w:bCs/>
                <w:color w:val="000000"/>
                <w:sz w:val="18"/>
                <w:szCs w:val="18"/>
                <w:lang w:eastAsia="sk-SK"/>
              </w:rPr>
              <w:t>5</w:t>
            </w:r>
            <w:r w:rsidR="0043499B" w:rsidRPr="00BB74E7">
              <w:rPr>
                <w:rFonts w:eastAsia="Times New Roman" w:cs="Times New Roman"/>
                <w:b/>
                <w:bCs/>
                <w:color w:val="000000"/>
                <w:sz w:val="18"/>
                <w:szCs w:val="18"/>
                <w:lang w:eastAsia="sk-SK"/>
              </w:rPr>
              <w:t>09</w:t>
            </w:r>
          </w:p>
        </w:tc>
      </w:tr>
      <w:tr w:rsidR="0043499B" w:rsidRPr="00D0395E" w14:paraId="6D87D6C9" w14:textId="77777777" w:rsidTr="0043499B">
        <w:trPr>
          <w:trHeight w:val="330"/>
        </w:trPr>
        <w:tc>
          <w:tcPr>
            <w:tcW w:w="2347" w:type="pct"/>
            <w:tcBorders>
              <w:top w:val="nil"/>
              <w:left w:val="nil"/>
              <w:bottom w:val="nil"/>
              <w:right w:val="nil"/>
            </w:tcBorders>
            <w:noWrap/>
            <w:vAlign w:val="center"/>
            <w:hideMark/>
          </w:tcPr>
          <w:p w14:paraId="28A57D3E" w14:textId="77777777" w:rsidR="0043499B" w:rsidRPr="00BB74E7" w:rsidRDefault="0043499B" w:rsidP="005442D6">
            <w:pPr>
              <w:spacing w:line="240" w:lineRule="auto"/>
              <w:rPr>
                <w:rFonts w:eastAsia="Times New Roman" w:cs="Times New Roman"/>
                <w:color w:val="000000"/>
                <w:sz w:val="18"/>
                <w:szCs w:val="18"/>
                <w:lang w:eastAsia="sk-SK"/>
              </w:rPr>
            </w:pPr>
            <w:r w:rsidRPr="00BB74E7">
              <w:rPr>
                <w:rFonts w:eastAsia="Times New Roman" w:cs="Times New Roman"/>
                <w:color w:val="000000"/>
                <w:sz w:val="18"/>
                <w:szCs w:val="18"/>
                <w:lang w:eastAsia="sk-SK"/>
              </w:rPr>
              <w:t xml:space="preserve">   JAVYS, a. s.</w:t>
            </w:r>
          </w:p>
        </w:tc>
        <w:tc>
          <w:tcPr>
            <w:tcW w:w="547" w:type="pct"/>
            <w:tcBorders>
              <w:top w:val="nil"/>
              <w:left w:val="nil"/>
              <w:bottom w:val="nil"/>
              <w:right w:val="nil"/>
            </w:tcBorders>
            <w:noWrap/>
            <w:vAlign w:val="center"/>
            <w:hideMark/>
          </w:tcPr>
          <w:p w14:paraId="6FC27A8E"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490</w:t>
            </w:r>
          </w:p>
        </w:tc>
        <w:tc>
          <w:tcPr>
            <w:tcW w:w="547" w:type="pct"/>
            <w:tcBorders>
              <w:top w:val="nil"/>
              <w:left w:val="nil"/>
              <w:bottom w:val="nil"/>
              <w:right w:val="nil"/>
            </w:tcBorders>
            <w:noWrap/>
            <w:vAlign w:val="center"/>
            <w:hideMark/>
          </w:tcPr>
          <w:p w14:paraId="12E47AEC"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1 074</w:t>
            </w:r>
          </w:p>
        </w:tc>
        <w:tc>
          <w:tcPr>
            <w:tcW w:w="547" w:type="pct"/>
            <w:tcBorders>
              <w:top w:val="nil"/>
              <w:left w:val="nil"/>
              <w:bottom w:val="nil"/>
              <w:right w:val="nil"/>
            </w:tcBorders>
            <w:noWrap/>
            <w:vAlign w:val="center"/>
            <w:hideMark/>
          </w:tcPr>
          <w:p w14:paraId="624C6169"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82</w:t>
            </w:r>
          </w:p>
        </w:tc>
        <w:tc>
          <w:tcPr>
            <w:tcW w:w="468" w:type="pct"/>
            <w:tcBorders>
              <w:top w:val="nil"/>
              <w:left w:val="nil"/>
              <w:bottom w:val="nil"/>
              <w:right w:val="nil"/>
            </w:tcBorders>
            <w:noWrap/>
            <w:vAlign w:val="center"/>
            <w:hideMark/>
          </w:tcPr>
          <w:p w14:paraId="2741E365"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3 091</w:t>
            </w:r>
          </w:p>
        </w:tc>
        <w:tc>
          <w:tcPr>
            <w:tcW w:w="544" w:type="pct"/>
            <w:tcBorders>
              <w:top w:val="nil"/>
              <w:left w:val="nil"/>
              <w:bottom w:val="nil"/>
              <w:right w:val="nil"/>
            </w:tcBorders>
            <w:vAlign w:val="center"/>
            <w:hideMark/>
          </w:tcPr>
          <w:p w14:paraId="25BD62E6"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3 009</w:t>
            </w:r>
          </w:p>
        </w:tc>
      </w:tr>
      <w:tr w:rsidR="0043499B" w:rsidRPr="00D0395E" w14:paraId="4DCA28D2" w14:textId="77777777" w:rsidTr="0043499B">
        <w:trPr>
          <w:trHeight w:val="330"/>
        </w:trPr>
        <w:tc>
          <w:tcPr>
            <w:tcW w:w="2347" w:type="pct"/>
            <w:tcBorders>
              <w:top w:val="nil"/>
              <w:left w:val="nil"/>
              <w:bottom w:val="nil"/>
              <w:right w:val="nil"/>
            </w:tcBorders>
            <w:noWrap/>
            <w:vAlign w:val="center"/>
            <w:hideMark/>
          </w:tcPr>
          <w:p w14:paraId="0F47D6EE" w14:textId="77777777" w:rsidR="0043499B" w:rsidRPr="00BB74E7" w:rsidRDefault="0043499B" w:rsidP="005442D6">
            <w:pPr>
              <w:spacing w:line="240" w:lineRule="auto"/>
              <w:rPr>
                <w:rFonts w:eastAsia="Times New Roman" w:cs="Times New Roman"/>
                <w:color w:val="000000"/>
                <w:sz w:val="18"/>
                <w:szCs w:val="18"/>
                <w:lang w:eastAsia="sk-SK"/>
              </w:rPr>
            </w:pPr>
            <w:r w:rsidRPr="00BB74E7">
              <w:rPr>
                <w:rFonts w:eastAsia="Times New Roman" w:cs="Times New Roman"/>
                <w:color w:val="000000"/>
                <w:sz w:val="18"/>
                <w:szCs w:val="18"/>
                <w:lang w:eastAsia="sk-SK"/>
              </w:rPr>
              <w:t xml:space="preserve">   Transpetrol, a. s.</w:t>
            </w:r>
          </w:p>
        </w:tc>
        <w:tc>
          <w:tcPr>
            <w:tcW w:w="547" w:type="pct"/>
            <w:tcBorders>
              <w:top w:val="nil"/>
              <w:left w:val="nil"/>
              <w:bottom w:val="nil"/>
              <w:right w:val="nil"/>
            </w:tcBorders>
            <w:noWrap/>
            <w:vAlign w:val="center"/>
            <w:hideMark/>
          </w:tcPr>
          <w:p w14:paraId="520D3051"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1 500</w:t>
            </w:r>
          </w:p>
        </w:tc>
        <w:tc>
          <w:tcPr>
            <w:tcW w:w="547" w:type="pct"/>
            <w:tcBorders>
              <w:top w:val="nil"/>
              <w:left w:val="nil"/>
              <w:bottom w:val="nil"/>
              <w:right w:val="nil"/>
            </w:tcBorders>
            <w:noWrap/>
            <w:vAlign w:val="center"/>
            <w:hideMark/>
          </w:tcPr>
          <w:p w14:paraId="5F0374AE"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1 500</w:t>
            </w:r>
          </w:p>
        </w:tc>
        <w:tc>
          <w:tcPr>
            <w:tcW w:w="547" w:type="pct"/>
            <w:tcBorders>
              <w:top w:val="nil"/>
              <w:left w:val="nil"/>
              <w:bottom w:val="nil"/>
              <w:right w:val="nil"/>
            </w:tcBorders>
            <w:noWrap/>
            <w:vAlign w:val="center"/>
            <w:hideMark/>
          </w:tcPr>
          <w:p w14:paraId="22A02E93"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0</w:t>
            </w:r>
          </w:p>
        </w:tc>
        <w:tc>
          <w:tcPr>
            <w:tcW w:w="468" w:type="pct"/>
            <w:tcBorders>
              <w:top w:val="nil"/>
              <w:left w:val="nil"/>
              <w:bottom w:val="nil"/>
              <w:right w:val="nil"/>
            </w:tcBorders>
            <w:noWrap/>
            <w:vAlign w:val="center"/>
            <w:hideMark/>
          </w:tcPr>
          <w:p w14:paraId="76277E70"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1 500</w:t>
            </w:r>
          </w:p>
        </w:tc>
        <w:tc>
          <w:tcPr>
            <w:tcW w:w="544" w:type="pct"/>
            <w:tcBorders>
              <w:top w:val="nil"/>
              <w:left w:val="nil"/>
              <w:bottom w:val="nil"/>
              <w:right w:val="nil"/>
            </w:tcBorders>
            <w:vAlign w:val="center"/>
            <w:hideMark/>
          </w:tcPr>
          <w:p w14:paraId="642A8200" w14:textId="77777777" w:rsidR="0043499B" w:rsidRPr="00BB74E7" w:rsidRDefault="0043499B" w:rsidP="005442D6">
            <w:pPr>
              <w:spacing w:line="240" w:lineRule="auto"/>
              <w:jc w:val="right"/>
              <w:rPr>
                <w:rFonts w:eastAsia="Times New Roman" w:cs="Times New Roman"/>
                <w:color w:val="000000"/>
                <w:sz w:val="18"/>
                <w:szCs w:val="18"/>
                <w:lang w:eastAsia="sk-SK"/>
              </w:rPr>
            </w:pPr>
            <w:r w:rsidRPr="00BB74E7">
              <w:rPr>
                <w:rFonts w:eastAsia="Times New Roman" w:cs="Times New Roman"/>
                <w:color w:val="000000"/>
                <w:sz w:val="18"/>
                <w:szCs w:val="18"/>
                <w:lang w:eastAsia="sk-SK"/>
              </w:rPr>
              <w:t>1 500</w:t>
            </w:r>
          </w:p>
        </w:tc>
      </w:tr>
      <w:tr w:rsidR="0043499B" w:rsidRPr="00D0395E" w14:paraId="0B484984" w14:textId="77777777" w:rsidTr="0043499B">
        <w:trPr>
          <w:trHeight w:val="330"/>
        </w:trPr>
        <w:tc>
          <w:tcPr>
            <w:tcW w:w="2347" w:type="pct"/>
            <w:tcBorders>
              <w:top w:val="nil"/>
              <w:left w:val="nil"/>
              <w:bottom w:val="nil"/>
              <w:right w:val="nil"/>
            </w:tcBorders>
            <w:noWrap/>
            <w:vAlign w:val="center"/>
            <w:hideMark/>
          </w:tcPr>
          <w:p w14:paraId="5F8CCC91" w14:textId="77777777" w:rsidR="0043499B" w:rsidRPr="00D0395E" w:rsidRDefault="0043499B"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Ministerstvo dopravy SR</w:t>
            </w:r>
          </w:p>
        </w:tc>
        <w:tc>
          <w:tcPr>
            <w:tcW w:w="547" w:type="pct"/>
            <w:tcBorders>
              <w:top w:val="nil"/>
              <w:left w:val="nil"/>
              <w:bottom w:val="nil"/>
              <w:right w:val="nil"/>
            </w:tcBorders>
            <w:noWrap/>
            <w:vAlign w:val="center"/>
            <w:hideMark/>
          </w:tcPr>
          <w:p w14:paraId="3790AD12"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406</w:t>
            </w:r>
          </w:p>
        </w:tc>
        <w:tc>
          <w:tcPr>
            <w:tcW w:w="547" w:type="pct"/>
            <w:tcBorders>
              <w:top w:val="nil"/>
              <w:left w:val="nil"/>
              <w:bottom w:val="nil"/>
              <w:right w:val="nil"/>
            </w:tcBorders>
            <w:noWrap/>
            <w:vAlign w:val="center"/>
            <w:hideMark/>
          </w:tcPr>
          <w:p w14:paraId="444C4F93"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489</w:t>
            </w:r>
          </w:p>
        </w:tc>
        <w:tc>
          <w:tcPr>
            <w:tcW w:w="547" w:type="pct"/>
            <w:tcBorders>
              <w:top w:val="nil"/>
              <w:left w:val="nil"/>
              <w:bottom w:val="nil"/>
              <w:right w:val="nil"/>
            </w:tcBorders>
            <w:noWrap/>
            <w:vAlign w:val="center"/>
            <w:hideMark/>
          </w:tcPr>
          <w:p w14:paraId="3E95918B"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356</w:t>
            </w:r>
          </w:p>
        </w:tc>
        <w:tc>
          <w:tcPr>
            <w:tcW w:w="468" w:type="pct"/>
            <w:tcBorders>
              <w:top w:val="nil"/>
              <w:left w:val="nil"/>
              <w:bottom w:val="nil"/>
              <w:right w:val="nil"/>
            </w:tcBorders>
            <w:noWrap/>
            <w:vAlign w:val="center"/>
            <w:hideMark/>
          </w:tcPr>
          <w:p w14:paraId="0AFD64DB"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377</w:t>
            </w:r>
          </w:p>
        </w:tc>
        <w:tc>
          <w:tcPr>
            <w:tcW w:w="544" w:type="pct"/>
            <w:tcBorders>
              <w:top w:val="nil"/>
              <w:left w:val="nil"/>
              <w:bottom w:val="nil"/>
              <w:right w:val="nil"/>
            </w:tcBorders>
            <w:vAlign w:val="center"/>
            <w:hideMark/>
          </w:tcPr>
          <w:p w14:paraId="3612D37E"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21</w:t>
            </w:r>
          </w:p>
        </w:tc>
      </w:tr>
      <w:tr w:rsidR="0043499B" w:rsidRPr="00D0395E" w14:paraId="561FD706" w14:textId="77777777" w:rsidTr="0043499B">
        <w:trPr>
          <w:trHeight w:val="330"/>
        </w:trPr>
        <w:tc>
          <w:tcPr>
            <w:tcW w:w="2347" w:type="pct"/>
            <w:tcBorders>
              <w:top w:val="nil"/>
              <w:left w:val="nil"/>
              <w:bottom w:val="nil"/>
              <w:right w:val="nil"/>
            </w:tcBorders>
            <w:vAlign w:val="center"/>
            <w:hideMark/>
          </w:tcPr>
          <w:p w14:paraId="6F38FE07" w14:textId="77777777" w:rsidR="0043499B" w:rsidRPr="00D0395E" w:rsidRDefault="0043499B"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Letisko Košice - Airport Košice, a. s.</w:t>
            </w:r>
          </w:p>
        </w:tc>
        <w:tc>
          <w:tcPr>
            <w:tcW w:w="547" w:type="pct"/>
            <w:tcBorders>
              <w:top w:val="nil"/>
              <w:left w:val="nil"/>
              <w:bottom w:val="nil"/>
              <w:right w:val="nil"/>
            </w:tcBorders>
            <w:noWrap/>
            <w:vAlign w:val="center"/>
            <w:hideMark/>
          </w:tcPr>
          <w:p w14:paraId="787651C5"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346</w:t>
            </w:r>
          </w:p>
        </w:tc>
        <w:tc>
          <w:tcPr>
            <w:tcW w:w="547" w:type="pct"/>
            <w:tcBorders>
              <w:top w:val="nil"/>
              <w:left w:val="nil"/>
              <w:bottom w:val="nil"/>
              <w:right w:val="nil"/>
            </w:tcBorders>
            <w:noWrap/>
            <w:vAlign w:val="center"/>
            <w:hideMark/>
          </w:tcPr>
          <w:p w14:paraId="6E2BDCE3"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426</w:t>
            </w:r>
          </w:p>
        </w:tc>
        <w:tc>
          <w:tcPr>
            <w:tcW w:w="547" w:type="pct"/>
            <w:tcBorders>
              <w:top w:val="nil"/>
              <w:left w:val="nil"/>
              <w:bottom w:val="nil"/>
              <w:right w:val="nil"/>
            </w:tcBorders>
            <w:noWrap/>
            <w:vAlign w:val="center"/>
            <w:hideMark/>
          </w:tcPr>
          <w:p w14:paraId="23C5E714"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356</w:t>
            </w:r>
          </w:p>
        </w:tc>
        <w:tc>
          <w:tcPr>
            <w:tcW w:w="468" w:type="pct"/>
            <w:tcBorders>
              <w:top w:val="nil"/>
              <w:left w:val="nil"/>
              <w:bottom w:val="nil"/>
              <w:right w:val="nil"/>
            </w:tcBorders>
            <w:noWrap/>
            <w:vAlign w:val="center"/>
            <w:hideMark/>
          </w:tcPr>
          <w:p w14:paraId="7A3EB26B"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357</w:t>
            </w:r>
          </w:p>
        </w:tc>
        <w:tc>
          <w:tcPr>
            <w:tcW w:w="544" w:type="pct"/>
            <w:tcBorders>
              <w:top w:val="nil"/>
              <w:left w:val="nil"/>
              <w:bottom w:val="nil"/>
              <w:right w:val="nil"/>
            </w:tcBorders>
            <w:vAlign w:val="center"/>
            <w:hideMark/>
          </w:tcPr>
          <w:p w14:paraId="524FB000"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w:t>
            </w:r>
          </w:p>
        </w:tc>
      </w:tr>
      <w:tr w:rsidR="0043499B" w:rsidRPr="00D0395E" w14:paraId="2F1BF796" w14:textId="77777777" w:rsidTr="0043499B">
        <w:trPr>
          <w:trHeight w:val="330"/>
        </w:trPr>
        <w:tc>
          <w:tcPr>
            <w:tcW w:w="2347" w:type="pct"/>
            <w:tcBorders>
              <w:top w:val="nil"/>
              <w:left w:val="nil"/>
              <w:bottom w:val="nil"/>
              <w:right w:val="nil"/>
            </w:tcBorders>
            <w:vAlign w:val="center"/>
            <w:hideMark/>
          </w:tcPr>
          <w:p w14:paraId="1E88F805" w14:textId="77777777" w:rsidR="0043499B" w:rsidRPr="00D0395E" w:rsidRDefault="0043499B"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lastRenderedPageBreak/>
              <w:t xml:space="preserve">   365.bank, a. s.</w:t>
            </w:r>
          </w:p>
        </w:tc>
        <w:tc>
          <w:tcPr>
            <w:tcW w:w="547" w:type="pct"/>
            <w:tcBorders>
              <w:top w:val="nil"/>
              <w:left w:val="nil"/>
              <w:bottom w:val="nil"/>
              <w:right w:val="nil"/>
            </w:tcBorders>
            <w:noWrap/>
            <w:vAlign w:val="center"/>
            <w:hideMark/>
          </w:tcPr>
          <w:p w14:paraId="079F8E71"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60</w:t>
            </w:r>
          </w:p>
        </w:tc>
        <w:tc>
          <w:tcPr>
            <w:tcW w:w="547" w:type="pct"/>
            <w:tcBorders>
              <w:top w:val="nil"/>
              <w:left w:val="nil"/>
              <w:bottom w:val="nil"/>
              <w:right w:val="nil"/>
            </w:tcBorders>
            <w:noWrap/>
            <w:vAlign w:val="center"/>
            <w:hideMark/>
          </w:tcPr>
          <w:p w14:paraId="0F28487D"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w:t>
            </w:r>
          </w:p>
        </w:tc>
        <w:tc>
          <w:tcPr>
            <w:tcW w:w="547" w:type="pct"/>
            <w:tcBorders>
              <w:top w:val="nil"/>
              <w:left w:val="nil"/>
              <w:bottom w:val="nil"/>
              <w:right w:val="nil"/>
            </w:tcBorders>
            <w:noWrap/>
            <w:vAlign w:val="center"/>
            <w:hideMark/>
          </w:tcPr>
          <w:p w14:paraId="1771A92C"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468" w:type="pct"/>
            <w:tcBorders>
              <w:top w:val="nil"/>
              <w:left w:val="nil"/>
              <w:bottom w:val="nil"/>
              <w:right w:val="nil"/>
            </w:tcBorders>
            <w:noWrap/>
            <w:vAlign w:val="center"/>
            <w:hideMark/>
          </w:tcPr>
          <w:p w14:paraId="7E73B494"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20</w:t>
            </w:r>
          </w:p>
        </w:tc>
        <w:tc>
          <w:tcPr>
            <w:tcW w:w="544" w:type="pct"/>
            <w:tcBorders>
              <w:top w:val="nil"/>
              <w:left w:val="nil"/>
              <w:bottom w:val="nil"/>
              <w:right w:val="nil"/>
            </w:tcBorders>
            <w:vAlign w:val="center"/>
            <w:hideMark/>
          </w:tcPr>
          <w:p w14:paraId="37E3896D"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20</w:t>
            </w:r>
          </w:p>
        </w:tc>
      </w:tr>
      <w:tr w:rsidR="0043499B" w:rsidRPr="00D0395E" w14:paraId="503C2970" w14:textId="77777777" w:rsidTr="0043499B">
        <w:trPr>
          <w:trHeight w:val="330"/>
        </w:trPr>
        <w:tc>
          <w:tcPr>
            <w:tcW w:w="2347" w:type="pct"/>
            <w:tcBorders>
              <w:top w:val="nil"/>
              <w:left w:val="nil"/>
              <w:bottom w:val="nil"/>
              <w:right w:val="nil"/>
            </w:tcBorders>
            <w:vAlign w:val="center"/>
            <w:hideMark/>
          </w:tcPr>
          <w:p w14:paraId="5EF5F8ED" w14:textId="77777777" w:rsidR="0043499B" w:rsidRPr="00D0395E" w:rsidRDefault="0043499B"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Správa štátnych hmotných rezerv SR</w:t>
            </w:r>
          </w:p>
        </w:tc>
        <w:tc>
          <w:tcPr>
            <w:tcW w:w="547" w:type="pct"/>
            <w:tcBorders>
              <w:top w:val="nil"/>
              <w:left w:val="nil"/>
              <w:bottom w:val="nil"/>
              <w:right w:val="nil"/>
            </w:tcBorders>
            <w:noWrap/>
            <w:vAlign w:val="center"/>
            <w:hideMark/>
          </w:tcPr>
          <w:p w14:paraId="1D5B8839"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109</w:t>
            </w:r>
          </w:p>
        </w:tc>
        <w:tc>
          <w:tcPr>
            <w:tcW w:w="547" w:type="pct"/>
            <w:tcBorders>
              <w:top w:val="nil"/>
              <w:left w:val="nil"/>
              <w:bottom w:val="nil"/>
              <w:right w:val="nil"/>
            </w:tcBorders>
            <w:noWrap/>
            <w:vAlign w:val="center"/>
            <w:hideMark/>
          </w:tcPr>
          <w:p w14:paraId="5B85AA4D"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0</w:t>
            </w:r>
          </w:p>
        </w:tc>
        <w:tc>
          <w:tcPr>
            <w:tcW w:w="547" w:type="pct"/>
            <w:tcBorders>
              <w:top w:val="nil"/>
              <w:left w:val="nil"/>
              <w:bottom w:val="nil"/>
              <w:right w:val="nil"/>
            </w:tcBorders>
            <w:noWrap/>
            <w:vAlign w:val="center"/>
            <w:hideMark/>
          </w:tcPr>
          <w:p w14:paraId="31E343A2"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0</w:t>
            </w:r>
          </w:p>
        </w:tc>
        <w:tc>
          <w:tcPr>
            <w:tcW w:w="468" w:type="pct"/>
            <w:tcBorders>
              <w:top w:val="nil"/>
              <w:left w:val="nil"/>
              <w:bottom w:val="nil"/>
              <w:right w:val="nil"/>
            </w:tcBorders>
            <w:noWrap/>
            <w:vAlign w:val="center"/>
            <w:hideMark/>
          </w:tcPr>
          <w:p w14:paraId="76A67AC2"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0</w:t>
            </w:r>
          </w:p>
        </w:tc>
        <w:tc>
          <w:tcPr>
            <w:tcW w:w="544" w:type="pct"/>
            <w:tcBorders>
              <w:top w:val="nil"/>
              <w:left w:val="nil"/>
              <w:bottom w:val="nil"/>
              <w:right w:val="nil"/>
            </w:tcBorders>
            <w:vAlign w:val="center"/>
            <w:hideMark/>
          </w:tcPr>
          <w:p w14:paraId="6BC06DAB"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0</w:t>
            </w:r>
          </w:p>
        </w:tc>
      </w:tr>
      <w:tr w:rsidR="0043499B" w:rsidRPr="00D0395E" w14:paraId="4B2DEA9E" w14:textId="77777777" w:rsidTr="0043499B">
        <w:trPr>
          <w:trHeight w:val="330"/>
        </w:trPr>
        <w:tc>
          <w:tcPr>
            <w:tcW w:w="2347" w:type="pct"/>
            <w:tcBorders>
              <w:top w:val="nil"/>
              <w:left w:val="nil"/>
              <w:bottom w:val="nil"/>
              <w:right w:val="nil"/>
            </w:tcBorders>
            <w:vAlign w:val="center"/>
            <w:hideMark/>
          </w:tcPr>
          <w:p w14:paraId="2F0E9251" w14:textId="77777777" w:rsidR="0043499B" w:rsidRPr="00D0395E" w:rsidRDefault="0043499B" w:rsidP="005442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Spoločnosť pre skladovanie, a. s.</w:t>
            </w:r>
          </w:p>
        </w:tc>
        <w:tc>
          <w:tcPr>
            <w:tcW w:w="547" w:type="pct"/>
            <w:tcBorders>
              <w:top w:val="nil"/>
              <w:left w:val="nil"/>
              <w:bottom w:val="nil"/>
              <w:right w:val="nil"/>
            </w:tcBorders>
            <w:noWrap/>
            <w:vAlign w:val="center"/>
            <w:hideMark/>
          </w:tcPr>
          <w:p w14:paraId="5D100517"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109</w:t>
            </w:r>
          </w:p>
        </w:tc>
        <w:tc>
          <w:tcPr>
            <w:tcW w:w="547" w:type="pct"/>
            <w:tcBorders>
              <w:top w:val="nil"/>
              <w:left w:val="nil"/>
              <w:bottom w:val="nil"/>
              <w:right w:val="nil"/>
            </w:tcBorders>
            <w:noWrap/>
            <w:vAlign w:val="center"/>
            <w:hideMark/>
          </w:tcPr>
          <w:p w14:paraId="4AA03120"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7" w:type="pct"/>
            <w:tcBorders>
              <w:top w:val="nil"/>
              <w:left w:val="nil"/>
              <w:bottom w:val="nil"/>
              <w:right w:val="nil"/>
            </w:tcBorders>
            <w:noWrap/>
            <w:vAlign w:val="center"/>
            <w:hideMark/>
          </w:tcPr>
          <w:p w14:paraId="7E89766F" w14:textId="77777777" w:rsidR="0043499B" w:rsidRPr="00D0395E" w:rsidRDefault="0043499B"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468" w:type="pct"/>
            <w:tcBorders>
              <w:top w:val="nil"/>
              <w:left w:val="nil"/>
              <w:bottom w:val="nil"/>
              <w:right w:val="nil"/>
            </w:tcBorders>
            <w:noWrap/>
            <w:vAlign w:val="center"/>
            <w:hideMark/>
          </w:tcPr>
          <w:p w14:paraId="7A916A0B" w14:textId="77777777" w:rsidR="0043499B" w:rsidRPr="00D0395E" w:rsidRDefault="0043499B" w:rsidP="005442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544" w:type="pct"/>
            <w:tcBorders>
              <w:top w:val="nil"/>
              <w:left w:val="nil"/>
              <w:bottom w:val="nil"/>
              <w:right w:val="nil"/>
            </w:tcBorders>
            <w:vAlign w:val="center"/>
            <w:hideMark/>
          </w:tcPr>
          <w:p w14:paraId="379E3397" w14:textId="77777777" w:rsidR="0043499B" w:rsidRPr="00D0395E" w:rsidRDefault="0043499B" w:rsidP="005442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43499B" w:rsidRPr="00D0395E" w14:paraId="436032C4" w14:textId="77777777" w:rsidTr="0043499B">
        <w:trPr>
          <w:trHeight w:val="330"/>
        </w:trPr>
        <w:tc>
          <w:tcPr>
            <w:tcW w:w="2347" w:type="pct"/>
            <w:tcBorders>
              <w:top w:val="nil"/>
              <w:left w:val="nil"/>
              <w:bottom w:val="nil"/>
              <w:right w:val="nil"/>
            </w:tcBorders>
            <w:vAlign w:val="center"/>
            <w:hideMark/>
          </w:tcPr>
          <w:p w14:paraId="3B8E832B" w14:textId="6CB68713" w:rsidR="0043499B" w:rsidRPr="00346503" w:rsidRDefault="0043499B" w:rsidP="005442D6">
            <w:pPr>
              <w:spacing w:line="240" w:lineRule="auto"/>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Všeobecná pokladničná správa*</w:t>
            </w:r>
          </w:p>
        </w:tc>
        <w:tc>
          <w:tcPr>
            <w:tcW w:w="547" w:type="pct"/>
            <w:tcBorders>
              <w:top w:val="nil"/>
              <w:left w:val="nil"/>
              <w:bottom w:val="nil"/>
              <w:right w:val="nil"/>
            </w:tcBorders>
            <w:noWrap/>
            <w:vAlign w:val="center"/>
            <w:hideMark/>
          </w:tcPr>
          <w:p w14:paraId="654AE54E"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306 585</w:t>
            </w:r>
          </w:p>
        </w:tc>
        <w:tc>
          <w:tcPr>
            <w:tcW w:w="547" w:type="pct"/>
            <w:tcBorders>
              <w:top w:val="nil"/>
              <w:left w:val="nil"/>
              <w:bottom w:val="nil"/>
              <w:right w:val="nil"/>
            </w:tcBorders>
            <w:noWrap/>
            <w:vAlign w:val="center"/>
            <w:hideMark/>
          </w:tcPr>
          <w:p w14:paraId="054BD5A1"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377 225</w:t>
            </w:r>
          </w:p>
        </w:tc>
        <w:tc>
          <w:tcPr>
            <w:tcW w:w="547" w:type="pct"/>
            <w:tcBorders>
              <w:top w:val="nil"/>
              <w:left w:val="nil"/>
              <w:bottom w:val="nil"/>
              <w:right w:val="nil"/>
            </w:tcBorders>
            <w:noWrap/>
            <w:vAlign w:val="center"/>
            <w:hideMark/>
          </w:tcPr>
          <w:p w14:paraId="494F315E"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 xml:space="preserve">427 612 </w:t>
            </w:r>
          </w:p>
        </w:tc>
        <w:tc>
          <w:tcPr>
            <w:tcW w:w="468" w:type="pct"/>
            <w:tcBorders>
              <w:top w:val="nil"/>
              <w:left w:val="nil"/>
              <w:bottom w:val="nil"/>
              <w:right w:val="nil"/>
            </w:tcBorders>
            <w:noWrap/>
            <w:vAlign w:val="center"/>
            <w:hideMark/>
          </w:tcPr>
          <w:p w14:paraId="7E25BF9B"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615 960</w:t>
            </w:r>
          </w:p>
        </w:tc>
        <w:tc>
          <w:tcPr>
            <w:tcW w:w="544" w:type="pct"/>
            <w:tcBorders>
              <w:top w:val="nil"/>
              <w:left w:val="nil"/>
              <w:bottom w:val="nil"/>
              <w:right w:val="nil"/>
            </w:tcBorders>
            <w:vAlign w:val="center"/>
            <w:hideMark/>
          </w:tcPr>
          <w:p w14:paraId="0934A30F" w14:textId="77777777" w:rsidR="0043499B" w:rsidRPr="00346503" w:rsidRDefault="0043499B" w:rsidP="005442D6">
            <w:pPr>
              <w:spacing w:line="240" w:lineRule="auto"/>
              <w:jc w:val="right"/>
              <w:rPr>
                <w:rFonts w:eastAsia="Times New Roman" w:cs="Times New Roman"/>
                <w:b/>
                <w:bCs/>
                <w:color w:val="000000"/>
                <w:sz w:val="18"/>
                <w:szCs w:val="18"/>
                <w:lang w:eastAsia="sk-SK"/>
              </w:rPr>
            </w:pPr>
            <w:r w:rsidRPr="00346503">
              <w:rPr>
                <w:rFonts w:eastAsia="Times New Roman" w:cs="Times New Roman"/>
                <w:b/>
                <w:bCs/>
                <w:color w:val="000000"/>
                <w:sz w:val="18"/>
                <w:szCs w:val="18"/>
                <w:lang w:eastAsia="sk-SK"/>
              </w:rPr>
              <w:t>188 348</w:t>
            </w:r>
          </w:p>
        </w:tc>
      </w:tr>
      <w:tr w:rsidR="0043499B" w:rsidRPr="00D0395E" w14:paraId="075C8013" w14:textId="77777777" w:rsidTr="0043499B">
        <w:trPr>
          <w:trHeight w:val="330"/>
        </w:trPr>
        <w:tc>
          <w:tcPr>
            <w:tcW w:w="2347" w:type="pct"/>
            <w:tcBorders>
              <w:top w:val="nil"/>
              <w:left w:val="nil"/>
              <w:bottom w:val="nil"/>
              <w:right w:val="nil"/>
            </w:tcBorders>
            <w:noWrap/>
            <w:vAlign w:val="center"/>
            <w:hideMark/>
          </w:tcPr>
          <w:p w14:paraId="5C886B82"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Slovenský plynárenský priemysel, a. s.</w:t>
            </w:r>
          </w:p>
        </w:tc>
        <w:tc>
          <w:tcPr>
            <w:tcW w:w="547" w:type="pct"/>
            <w:tcBorders>
              <w:top w:val="nil"/>
              <w:left w:val="nil"/>
              <w:bottom w:val="nil"/>
              <w:right w:val="nil"/>
            </w:tcBorders>
            <w:noWrap/>
            <w:vAlign w:val="center"/>
            <w:hideMark/>
          </w:tcPr>
          <w:p w14:paraId="7891400D"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220 000</w:t>
            </w:r>
          </w:p>
        </w:tc>
        <w:tc>
          <w:tcPr>
            <w:tcW w:w="547" w:type="pct"/>
            <w:tcBorders>
              <w:top w:val="nil"/>
              <w:left w:val="nil"/>
              <w:bottom w:val="nil"/>
              <w:right w:val="nil"/>
            </w:tcBorders>
            <w:noWrap/>
            <w:vAlign w:val="center"/>
            <w:hideMark/>
          </w:tcPr>
          <w:p w14:paraId="77532D27"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290 306</w:t>
            </w:r>
          </w:p>
        </w:tc>
        <w:tc>
          <w:tcPr>
            <w:tcW w:w="547" w:type="pct"/>
            <w:tcBorders>
              <w:top w:val="nil"/>
              <w:left w:val="nil"/>
              <w:bottom w:val="nil"/>
              <w:right w:val="nil"/>
            </w:tcBorders>
            <w:noWrap/>
            <w:vAlign w:val="center"/>
            <w:hideMark/>
          </w:tcPr>
          <w:p w14:paraId="4CF829E1"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214 705</w:t>
            </w:r>
          </w:p>
        </w:tc>
        <w:tc>
          <w:tcPr>
            <w:tcW w:w="468" w:type="pct"/>
            <w:tcBorders>
              <w:top w:val="nil"/>
              <w:left w:val="nil"/>
              <w:bottom w:val="nil"/>
              <w:right w:val="nil"/>
            </w:tcBorders>
            <w:noWrap/>
            <w:vAlign w:val="center"/>
            <w:hideMark/>
          </w:tcPr>
          <w:p w14:paraId="676B6830"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216 241</w:t>
            </w:r>
          </w:p>
        </w:tc>
        <w:tc>
          <w:tcPr>
            <w:tcW w:w="544" w:type="pct"/>
            <w:tcBorders>
              <w:top w:val="nil"/>
              <w:left w:val="nil"/>
              <w:bottom w:val="nil"/>
              <w:right w:val="nil"/>
            </w:tcBorders>
            <w:vAlign w:val="center"/>
            <w:hideMark/>
          </w:tcPr>
          <w:p w14:paraId="1E88F645"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1 536</w:t>
            </w:r>
          </w:p>
        </w:tc>
      </w:tr>
      <w:tr w:rsidR="0043499B" w:rsidRPr="00D0395E" w14:paraId="0705EDEA" w14:textId="77777777" w:rsidTr="0043499B">
        <w:trPr>
          <w:trHeight w:val="330"/>
        </w:trPr>
        <w:tc>
          <w:tcPr>
            <w:tcW w:w="2347" w:type="pct"/>
            <w:tcBorders>
              <w:top w:val="nil"/>
              <w:left w:val="nil"/>
              <w:bottom w:val="nil"/>
              <w:right w:val="nil"/>
            </w:tcBorders>
            <w:noWrap/>
            <w:vAlign w:val="center"/>
            <w:hideMark/>
          </w:tcPr>
          <w:p w14:paraId="02AA0590"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Západoslovenská energetika, a. s.</w:t>
            </w:r>
          </w:p>
        </w:tc>
        <w:tc>
          <w:tcPr>
            <w:tcW w:w="547" w:type="pct"/>
            <w:tcBorders>
              <w:top w:val="nil"/>
              <w:left w:val="nil"/>
              <w:bottom w:val="nil"/>
              <w:right w:val="nil"/>
            </w:tcBorders>
            <w:noWrap/>
            <w:vAlign w:val="center"/>
            <w:hideMark/>
          </w:tcPr>
          <w:p w14:paraId="4FA422AE"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37 091</w:t>
            </w:r>
          </w:p>
        </w:tc>
        <w:tc>
          <w:tcPr>
            <w:tcW w:w="547" w:type="pct"/>
            <w:tcBorders>
              <w:top w:val="nil"/>
              <w:left w:val="nil"/>
              <w:bottom w:val="nil"/>
              <w:right w:val="nil"/>
            </w:tcBorders>
            <w:vAlign w:val="center"/>
            <w:hideMark/>
          </w:tcPr>
          <w:p w14:paraId="66D33DFC"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53 837</w:t>
            </w:r>
          </w:p>
        </w:tc>
        <w:tc>
          <w:tcPr>
            <w:tcW w:w="547" w:type="pct"/>
            <w:tcBorders>
              <w:top w:val="nil"/>
              <w:left w:val="nil"/>
              <w:bottom w:val="nil"/>
              <w:right w:val="nil"/>
            </w:tcBorders>
            <w:noWrap/>
            <w:vAlign w:val="center"/>
            <w:hideMark/>
          </w:tcPr>
          <w:p w14:paraId="50FDD60C"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159 330</w:t>
            </w:r>
          </w:p>
        </w:tc>
        <w:tc>
          <w:tcPr>
            <w:tcW w:w="468" w:type="pct"/>
            <w:tcBorders>
              <w:top w:val="nil"/>
              <w:left w:val="nil"/>
              <w:bottom w:val="nil"/>
              <w:right w:val="nil"/>
            </w:tcBorders>
            <w:vAlign w:val="center"/>
            <w:hideMark/>
          </w:tcPr>
          <w:p w14:paraId="35095A9C"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161 903</w:t>
            </w:r>
          </w:p>
        </w:tc>
        <w:tc>
          <w:tcPr>
            <w:tcW w:w="544" w:type="pct"/>
            <w:tcBorders>
              <w:top w:val="nil"/>
              <w:left w:val="nil"/>
              <w:bottom w:val="nil"/>
              <w:right w:val="nil"/>
            </w:tcBorders>
            <w:vAlign w:val="center"/>
            <w:hideMark/>
          </w:tcPr>
          <w:p w14:paraId="42E5DAC1"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2 573</w:t>
            </w:r>
          </w:p>
        </w:tc>
      </w:tr>
      <w:tr w:rsidR="0043499B" w:rsidRPr="00D0395E" w14:paraId="08BD4CBB" w14:textId="77777777" w:rsidTr="0043499B">
        <w:trPr>
          <w:trHeight w:val="330"/>
        </w:trPr>
        <w:tc>
          <w:tcPr>
            <w:tcW w:w="2347" w:type="pct"/>
            <w:tcBorders>
              <w:top w:val="nil"/>
              <w:left w:val="nil"/>
              <w:right w:val="nil"/>
            </w:tcBorders>
            <w:noWrap/>
            <w:vAlign w:val="center"/>
            <w:hideMark/>
          </w:tcPr>
          <w:p w14:paraId="0984EEA5"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Stredoslovenská energetika, a. s.</w:t>
            </w:r>
          </w:p>
        </w:tc>
        <w:tc>
          <w:tcPr>
            <w:tcW w:w="547" w:type="pct"/>
            <w:tcBorders>
              <w:top w:val="nil"/>
              <w:left w:val="nil"/>
              <w:right w:val="nil"/>
            </w:tcBorders>
            <w:noWrap/>
            <w:vAlign w:val="center"/>
            <w:hideMark/>
          </w:tcPr>
          <w:p w14:paraId="4BC3F21A"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38 784</w:t>
            </w:r>
          </w:p>
        </w:tc>
        <w:tc>
          <w:tcPr>
            <w:tcW w:w="547" w:type="pct"/>
            <w:tcBorders>
              <w:top w:val="nil"/>
              <w:left w:val="nil"/>
              <w:right w:val="nil"/>
            </w:tcBorders>
            <w:vAlign w:val="center"/>
            <w:hideMark/>
          </w:tcPr>
          <w:p w14:paraId="372BB832"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33 082</w:t>
            </w:r>
          </w:p>
        </w:tc>
        <w:tc>
          <w:tcPr>
            <w:tcW w:w="547" w:type="pct"/>
            <w:tcBorders>
              <w:top w:val="nil"/>
              <w:left w:val="nil"/>
              <w:right w:val="nil"/>
            </w:tcBorders>
            <w:noWrap/>
            <w:vAlign w:val="center"/>
            <w:hideMark/>
          </w:tcPr>
          <w:p w14:paraId="23462D75"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53 577</w:t>
            </w:r>
          </w:p>
        </w:tc>
        <w:tc>
          <w:tcPr>
            <w:tcW w:w="468" w:type="pct"/>
            <w:tcBorders>
              <w:top w:val="nil"/>
              <w:left w:val="nil"/>
              <w:right w:val="nil"/>
            </w:tcBorders>
            <w:vAlign w:val="center"/>
            <w:hideMark/>
          </w:tcPr>
          <w:p w14:paraId="564AAC6E"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67 816</w:t>
            </w:r>
          </w:p>
        </w:tc>
        <w:tc>
          <w:tcPr>
            <w:tcW w:w="544" w:type="pct"/>
            <w:tcBorders>
              <w:top w:val="nil"/>
              <w:left w:val="nil"/>
              <w:right w:val="nil"/>
            </w:tcBorders>
            <w:vAlign w:val="center"/>
            <w:hideMark/>
          </w:tcPr>
          <w:p w14:paraId="09C5EA61"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14 239</w:t>
            </w:r>
          </w:p>
        </w:tc>
      </w:tr>
      <w:tr w:rsidR="0043499B" w:rsidRPr="00D0395E" w14:paraId="76C41C09" w14:textId="77777777" w:rsidTr="0043499B">
        <w:trPr>
          <w:trHeight w:val="345"/>
        </w:trPr>
        <w:tc>
          <w:tcPr>
            <w:tcW w:w="2347" w:type="pct"/>
            <w:tcBorders>
              <w:top w:val="nil"/>
              <w:left w:val="nil"/>
              <w:right w:val="nil"/>
            </w:tcBorders>
            <w:noWrap/>
            <w:vAlign w:val="center"/>
            <w:hideMark/>
          </w:tcPr>
          <w:p w14:paraId="61354BF7"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Východoslovenská energetika HOLDING, a. s.</w:t>
            </w:r>
          </w:p>
        </w:tc>
        <w:tc>
          <w:tcPr>
            <w:tcW w:w="547" w:type="pct"/>
            <w:tcBorders>
              <w:top w:val="nil"/>
              <w:left w:val="nil"/>
              <w:right w:val="nil"/>
            </w:tcBorders>
            <w:noWrap/>
            <w:vAlign w:val="center"/>
            <w:hideMark/>
          </w:tcPr>
          <w:p w14:paraId="54B03F1C"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10 710</w:t>
            </w:r>
          </w:p>
        </w:tc>
        <w:tc>
          <w:tcPr>
            <w:tcW w:w="547" w:type="pct"/>
            <w:tcBorders>
              <w:top w:val="nil"/>
              <w:left w:val="nil"/>
              <w:right w:val="nil"/>
            </w:tcBorders>
            <w:vAlign w:val="center"/>
            <w:hideMark/>
          </w:tcPr>
          <w:p w14:paraId="08720318"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547" w:type="pct"/>
            <w:tcBorders>
              <w:top w:val="nil"/>
              <w:left w:val="nil"/>
              <w:right w:val="nil"/>
            </w:tcBorders>
            <w:noWrap/>
            <w:vAlign w:val="center"/>
            <w:hideMark/>
          </w:tcPr>
          <w:p w14:paraId="18ED751B"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468" w:type="pct"/>
            <w:tcBorders>
              <w:top w:val="nil"/>
              <w:left w:val="nil"/>
              <w:right w:val="nil"/>
            </w:tcBorders>
            <w:vAlign w:val="center"/>
            <w:hideMark/>
          </w:tcPr>
          <w:p w14:paraId="68B247ED"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544" w:type="pct"/>
            <w:tcBorders>
              <w:top w:val="nil"/>
              <w:left w:val="nil"/>
              <w:right w:val="nil"/>
            </w:tcBorders>
            <w:vAlign w:val="center"/>
            <w:hideMark/>
          </w:tcPr>
          <w:p w14:paraId="1A7E3501"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r>
      <w:tr w:rsidR="0043499B" w:rsidRPr="00D0395E" w14:paraId="3F2EAF08" w14:textId="77777777" w:rsidTr="0043499B">
        <w:trPr>
          <w:trHeight w:val="345"/>
        </w:trPr>
        <w:tc>
          <w:tcPr>
            <w:tcW w:w="2347" w:type="pct"/>
            <w:tcBorders>
              <w:left w:val="nil"/>
              <w:bottom w:val="single" w:sz="4" w:space="0" w:color="auto"/>
              <w:right w:val="nil"/>
            </w:tcBorders>
            <w:noWrap/>
            <w:vAlign w:val="center"/>
          </w:tcPr>
          <w:p w14:paraId="5C7479B5" w14:textId="77777777" w:rsidR="0043499B" w:rsidRPr="00346503" w:rsidRDefault="0043499B" w:rsidP="005442D6">
            <w:pPr>
              <w:spacing w:line="240" w:lineRule="auto"/>
              <w:rPr>
                <w:rFonts w:eastAsia="Times New Roman" w:cs="Times New Roman"/>
                <w:color w:val="000000"/>
                <w:sz w:val="18"/>
                <w:szCs w:val="18"/>
                <w:lang w:eastAsia="sk-SK"/>
              </w:rPr>
            </w:pPr>
            <w:r w:rsidRPr="00346503">
              <w:rPr>
                <w:rFonts w:eastAsia="Times New Roman" w:cs="Times New Roman"/>
                <w:color w:val="000000"/>
                <w:sz w:val="18"/>
                <w:szCs w:val="18"/>
                <w:lang w:eastAsia="sk-SK"/>
              </w:rPr>
              <w:t xml:space="preserve">   Slovenské elektrárne, a. s.</w:t>
            </w:r>
          </w:p>
        </w:tc>
        <w:tc>
          <w:tcPr>
            <w:tcW w:w="547" w:type="pct"/>
            <w:tcBorders>
              <w:left w:val="nil"/>
              <w:bottom w:val="single" w:sz="4" w:space="0" w:color="auto"/>
              <w:right w:val="nil"/>
            </w:tcBorders>
            <w:noWrap/>
            <w:vAlign w:val="center"/>
          </w:tcPr>
          <w:p w14:paraId="7B6DF914"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547" w:type="pct"/>
            <w:tcBorders>
              <w:left w:val="nil"/>
              <w:bottom w:val="single" w:sz="4" w:space="0" w:color="auto"/>
              <w:right w:val="nil"/>
            </w:tcBorders>
            <w:vAlign w:val="center"/>
          </w:tcPr>
          <w:p w14:paraId="44F97CC9"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547" w:type="pct"/>
            <w:tcBorders>
              <w:left w:val="nil"/>
              <w:bottom w:val="single" w:sz="4" w:space="0" w:color="auto"/>
              <w:right w:val="nil"/>
            </w:tcBorders>
            <w:noWrap/>
            <w:vAlign w:val="center"/>
          </w:tcPr>
          <w:p w14:paraId="32350310"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0</w:t>
            </w:r>
          </w:p>
        </w:tc>
        <w:tc>
          <w:tcPr>
            <w:tcW w:w="468" w:type="pct"/>
            <w:tcBorders>
              <w:left w:val="nil"/>
              <w:bottom w:val="single" w:sz="4" w:space="0" w:color="auto"/>
              <w:right w:val="nil"/>
            </w:tcBorders>
            <w:vAlign w:val="center"/>
          </w:tcPr>
          <w:p w14:paraId="36C340B3"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170 000</w:t>
            </w:r>
          </w:p>
        </w:tc>
        <w:tc>
          <w:tcPr>
            <w:tcW w:w="544" w:type="pct"/>
            <w:tcBorders>
              <w:left w:val="nil"/>
              <w:bottom w:val="single" w:sz="4" w:space="0" w:color="auto"/>
              <w:right w:val="nil"/>
            </w:tcBorders>
            <w:vAlign w:val="center"/>
          </w:tcPr>
          <w:p w14:paraId="7B95DC3B" w14:textId="77777777" w:rsidR="0043499B" w:rsidRPr="00346503" w:rsidRDefault="0043499B" w:rsidP="005442D6">
            <w:pPr>
              <w:spacing w:line="240" w:lineRule="auto"/>
              <w:jc w:val="right"/>
              <w:rPr>
                <w:rFonts w:eastAsia="Times New Roman" w:cs="Times New Roman"/>
                <w:color w:val="000000"/>
                <w:sz w:val="18"/>
                <w:szCs w:val="18"/>
                <w:lang w:eastAsia="sk-SK"/>
              </w:rPr>
            </w:pPr>
            <w:r w:rsidRPr="00346503">
              <w:rPr>
                <w:rFonts w:eastAsia="Times New Roman" w:cs="Times New Roman"/>
                <w:color w:val="000000"/>
                <w:sz w:val="18"/>
                <w:szCs w:val="18"/>
                <w:lang w:eastAsia="sk-SK"/>
              </w:rPr>
              <w:t>170 000</w:t>
            </w:r>
          </w:p>
        </w:tc>
      </w:tr>
      <w:tr w:rsidR="0043499B" w:rsidRPr="00D0395E" w14:paraId="2BA02751" w14:textId="77777777" w:rsidTr="0043499B">
        <w:trPr>
          <w:trHeight w:val="345"/>
        </w:trPr>
        <w:tc>
          <w:tcPr>
            <w:tcW w:w="2347" w:type="pct"/>
            <w:tcBorders>
              <w:top w:val="single" w:sz="4" w:space="0" w:color="auto"/>
              <w:left w:val="nil"/>
              <w:bottom w:val="single" w:sz="4" w:space="0" w:color="auto"/>
              <w:right w:val="nil"/>
            </w:tcBorders>
            <w:noWrap/>
            <w:vAlign w:val="center"/>
            <w:hideMark/>
          </w:tcPr>
          <w:p w14:paraId="7CFD9973" w14:textId="77777777" w:rsidR="0043499B" w:rsidRPr="00D0395E" w:rsidRDefault="0043499B" w:rsidP="005442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547" w:type="pct"/>
            <w:tcBorders>
              <w:top w:val="single" w:sz="4" w:space="0" w:color="auto"/>
              <w:left w:val="nil"/>
              <w:bottom w:val="single" w:sz="4" w:space="0" w:color="auto"/>
              <w:right w:val="nil"/>
            </w:tcBorders>
            <w:noWrap/>
            <w:vAlign w:val="center"/>
            <w:hideMark/>
          </w:tcPr>
          <w:p w14:paraId="27F4BEEC"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442 362</w:t>
            </w:r>
          </w:p>
        </w:tc>
        <w:tc>
          <w:tcPr>
            <w:tcW w:w="547" w:type="pct"/>
            <w:tcBorders>
              <w:top w:val="single" w:sz="4" w:space="0" w:color="auto"/>
              <w:left w:val="nil"/>
              <w:bottom w:val="single" w:sz="4" w:space="0" w:color="auto"/>
              <w:right w:val="nil"/>
            </w:tcBorders>
            <w:noWrap/>
            <w:vAlign w:val="center"/>
            <w:hideMark/>
          </w:tcPr>
          <w:p w14:paraId="734D3E2C" w14:textId="77777777" w:rsidR="0043499B" w:rsidRPr="00FB4CC7" w:rsidRDefault="0043499B" w:rsidP="005442D6">
            <w:pPr>
              <w:spacing w:line="240" w:lineRule="auto"/>
              <w:jc w:val="right"/>
              <w:rPr>
                <w:rFonts w:eastAsia="Times New Roman" w:cs="Times New Roman"/>
                <w:b/>
                <w:bCs/>
                <w:color w:val="000000"/>
                <w:sz w:val="18"/>
                <w:szCs w:val="18"/>
                <w:lang w:eastAsia="sk-SK"/>
              </w:rPr>
            </w:pPr>
            <w:r w:rsidRPr="00FB4CC7">
              <w:rPr>
                <w:rFonts w:eastAsia="Times New Roman" w:cs="Times New Roman"/>
                <w:b/>
                <w:bCs/>
                <w:color w:val="000000"/>
                <w:sz w:val="18"/>
                <w:szCs w:val="18"/>
                <w:lang w:eastAsia="sk-SK"/>
              </w:rPr>
              <w:t>448 272</w:t>
            </w:r>
          </w:p>
        </w:tc>
        <w:tc>
          <w:tcPr>
            <w:tcW w:w="547" w:type="pct"/>
            <w:tcBorders>
              <w:top w:val="single" w:sz="4" w:space="0" w:color="auto"/>
              <w:left w:val="nil"/>
              <w:bottom w:val="single" w:sz="4" w:space="0" w:color="auto"/>
              <w:right w:val="nil"/>
            </w:tcBorders>
            <w:noWrap/>
            <w:vAlign w:val="center"/>
          </w:tcPr>
          <w:p w14:paraId="75570109" w14:textId="77777777" w:rsidR="0043499B" w:rsidRPr="00FB4CC7" w:rsidRDefault="0043499B" w:rsidP="005442D6">
            <w:pPr>
              <w:spacing w:line="240" w:lineRule="auto"/>
              <w:jc w:val="right"/>
              <w:rPr>
                <w:rFonts w:eastAsia="Times New Roman" w:cs="Times New Roman"/>
                <w:b/>
                <w:bCs/>
                <w:color w:val="000000"/>
                <w:sz w:val="18"/>
                <w:szCs w:val="18"/>
                <w:lang w:eastAsia="sk-SK"/>
              </w:rPr>
            </w:pPr>
            <w:r w:rsidRPr="00FB4CC7">
              <w:rPr>
                <w:rFonts w:eastAsia="Times New Roman" w:cs="Times New Roman"/>
                <w:b/>
                <w:bCs/>
                <w:color w:val="000000"/>
                <w:sz w:val="18"/>
                <w:szCs w:val="18"/>
                <w:lang w:eastAsia="sk-SK"/>
              </w:rPr>
              <w:t>489 419</w:t>
            </w:r>
          </w:p>
        </w:tc>
        <w:tc>
          <w:tcPr>
            <w:tcW w:w="468" w:type="pct"/>
            <w:tcBorders>
              <w:top w:val="single" w:sz="4" w:space="0" w:color="auto"/>
              <w:left w:val="nil"/>
              <w:bottom w:val="single" w:sz="4" w:space="0" w:color="auto"/>
              <w:right w:val="nil"/>
            </w:tcBorders>
            <w:noWrap/>
            <w:vAlign w:val="center"/>
          </w:tcPr>
          <w:p w14:paraId="25CFBB92" w14:textId="77777777" w:rsidR="0043499B" w:rsidRPr="00D0395E" w:rsidRDefault="0043499B"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686 502</w:t>
            </w:r>
          </w:p>
        </w:tc>
        <w:tc>
          <w:tcPr>
            <w:tcW w:w="544" w:type="pct"/>
            <w:tcBorders>
              <w:top w:val="single" w:sz="4" w:space="0" w:color="auto"/>
              <w:left w:val="nil"/>
              <w:bottom w:val="single" w:sz="4" w:space="0" w:color="auto"/>
              <w:right w:val="nil"/>
            </w:tcBorders>
            <w:noWrap/>
            <w:vAlign w:val="center"/>
          </w:tcPr>
          <w:p w14:paraId="2D5B88E9" w14:textId="08093C6E" w:rsidR="0043499B" w:rsidRPr="00D0395E" w:rsidRDefault="00632A05" w:rsidP="005442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197 083</w:t>
            </w:r>
          </w:p>
        </w:tc>
      </w:tr>
    </w:tbl>
    <w:p w14:paraId="0D180046" w14:textId="7753408C" w:rsidR="00156341" w:rsidRDefault="00156341" w:rsidP="004942CF">
      <w:pPr>
        <w:tabs>
          <w:tab w:val="right" w:pos="9070"/>
        </w:tabs>
        <w:spacing w:line="240" w:lineRule="auto"/>
        <w:jc w:val="both"/>
        <w:rPr>
          <w:rFonts w:eastAsia="Times New Roman" w:cs="Times New Roman"/>
          <w:color w:val="000000"/>
          <w:sz w:val="18"/>
          <w:szCs w:val="18"/>
          <w:lang w:eastAsia="sk-SK"/>
        </w:rPr>
      </w:pPr>
      <w:r w:rsidRPr="005B4561">
        <w:rPr>
          <w:rFonts w:eastAsia="Times New Roman" w:cs="Times New Roman"/>
          <w:color w:val="000000"/>
          <w:sz w:val="18"/>
          <w:szCs w:val="18"/>
          <w:lang w:eastAsia="sk-SK"/>
        </w:rPr>
        <w:t>*</w:t>
      </w:r>
      <w:r w:rsidR="00501BD5">
        <w:rPr>
          <w:rFonts w:eastAsia="Times New Roman" w:cs="Times New Roman"/>
          <w:color w:val="000000"/>
          <w:sz w:val="18"/>
          <w:szCs w:val="18"/>
          <w:lang w:eastAsia="sk-SK"/>
        </w:rPr>
        <w:t xml:space="preserve"> </w:t>
      </w:r>
      <w:r w:rsidR="005B4561" w:rsidRPr="005B4561">
        <w:rPr>
          <w:rFonts w:eastAsia="Times New Roman" w:cs="Times New Roman"/>
          <w:color w:val="000000"/>
          <w:sz w:val="18"/>
          <w:szCs w:val="18"/>
          <w:lang w:eastAsia="sk-SK"/>
        </w:rPr>
        <w:t>Podiely daných spoločností sú účtovne evidované pod MH SR.</w:t>
      </w:r>
      <w:r w:rsidR="004942CF" w:rsidRPr="005B4561">
        <w:rPr>
          <w:rFonts w:eastAsia="Times New Roman" w:cs="Times New Roman"/>
          <w:color w:val="000000"/>
          <w:sz w:val="18"/>
          <w:szCs w:val="18"/>
          <w:lang w:eastAsia="sk-SK"/>
        </w:rPr>
        <w:tab/>
      </w:r>
      <w:r w:rsidRPr="005B4561">
        <w:rPr>
          <w:rFonts w:eastAsia="Times New Roman" w:cs="Times New Roman"/>
          <w:color w:val="000000"/>
          <w:sz w:val="18"/>
          <w:szCs w:val="18"/>
          <w:lang w:eastAsia="sk-SK"/>
        </w:rPr>
        <w:t>Zdroj: MF SR</w:t>
      </w:r>
    </w:p>
    <w:p w14:paraId="0FD11FC2" w14:textId="64BC0341" w:rsidR="005B4561" w:rsidRPr="005B4561" w:rsidRDefault="005B4561" w:rsidP="004942CF">
      <w:pPr>
        <w:tabs>
          <w:tab w:val="right" w:pos="9070"/>
        </w:tabs>
        <w:spacing w:line="240" w:lineRule="auto"/>
        <w:jc w:val="both"/>
        <w:rPr>
          <w:rFonts w:eastAsia="Times New Roman" w:cs="Times New Roman"/>
          <w:color w:val="000000"/>
          <w:sz w:val="18"/>
          <w:szCs w:val="18"/>
          <w:lang w:eastAsia="sk-SK"/>
        </w:rPr>
      </w:pPr>
      <w:r w:rsidRPr="00D9447B">
        <w:rPr>
          <w:rFonts w:eastAsia="Times New Roman" w:cs="Times New Roman"/>
          <w:color w:val="000000"/>
          <w:sz w:val="18"/>
          <w:szCs w:val="18"/>
          <w:lang w:eastAsia="sk-SK"/>
        </w:rPr>
        <w:t>Dividendy plynú na osobitné účty Všeobecnej pokladničnej správy</w:t>
      </w:r>
      <w:r>
        <w:rPr>
          <w:rFonts w:eastAsia="Times New Roman" w:cs="Times New Roman"/>
          <w:color w:val="000000"/>
          <w:sz w:val="18"/>
          <w:szCs w:val="18"/>
          <w:lang w:eastAsia="sk-SK"/>
        </w:rPr>
        <w:t>.</w:t>
      </w:r>
    </w:p>
    <w:p w14:paraId="13734C9B" w14:textId="77777777" w:rsidR="00D46A5E" w:rsidRPr="005B4561" w:rsidRDefault="00D46A5E" w:rsidP="00532D85">
      <w:pPr>
        <w:tabs>
          <w:tab w:val="left" w:pos="284"/>
        </w:tabs>
        <w:spacing w:line="240" w:lineRule="auto"/>
        <w:jc w:val="both"/>
        <w:rPr>
          <w:bCs/>
          <w:iCs/>
          <w:color w:val="000000" w:themeColor="text1"/>
          <w:szCs w:val="24"/>
          <w:highlight w:val="yellow"/>
        </w:rPr>
      </w:pPr>
    </w:p>
    <w:p w14:paraId="4FBB3B4E" w14:textId="52C2BD2D" w:rsidR="00C86B57" w:rsidRDefault="00C86B57" w:rsidP="00C86B57">
      <w:pPr>
        <w:tabs>
          <w:tab w:val="left" w:pos="284"/>
        </w:tabs>
        <w:spacing w:line="240" w:lineRule="auto"/>
        <w:jc w:val="both"/>
        <w:rPr>
          <w:color w:val="000000" w:themeColor="text1"/>
          <w:szCs w:val="24"/>
        </w:rPr>
      </w:pPr>
      <w:r w:rsidRPr="0068210B">
        <w:rPr>
          <w:b/>
          <w:i/>
          <w:color w:val="000000" w:themeColor="text1"/>
          <w:szCs w:val="24"/>
        </w:rPr>
        <w:t>Iné príjmy z </w:t>
      </w:r>
      <w:r w:rsidRPr="00C779EE">
        <w:rPr>
          <w:b/>
          <w:i/>
          <w:color w:val="000000" w:themeColor="text1"/>
          <w:szCs w:val="24"/>
        </w:rPr>
        <w:t>podnikania a vlastníctva</w:t>
      </w:r>
      <w:r>
        <w:rPr>
          <w:color w:val="000000" w:themeColor="text1"/>
          <w:szCs w:val="24"/>
        </w:rPr>
        <w:t xml:space="preserve"> sú tvorené najmä osobitným odvodom zo zisku po zdanení za rok 2024 štátneho podniku Vodohospodárska výstavba, š. p., ktorá podľa zákona o štátnom rozpočte na rok 2025 odviedla do príjmov rozpočtu zakladateľa podniku, Ministerstva životného prostredia SR, 40 000 tis. eur. V predchádzajúcom roku tento osobitný odvod Vodohospodárskej </w:t>
      </w:r>
      <w:r w:rsidRPr="003D4DE6">
        <w:rPr>
          <w:color w:val="000000" w:themeColor="text1"/>
          <w:szCs w:val="24"/>
        </w:rPr>
        <w:t>výstavby,</w:t>
      </w:r>
      <w:r>
        <w:rPr>
          <w:color w:val="000000" w:themeColor="text1"/>
          <w:szCs w:val="24"/>
        </w:rPr>
        <w:t> š. </w:t>
      </w:r>
      <w:r w:rsidRPr="003D4DE6">
        <w:rPr>
          <w:color w:val="000000" w:themeColor="text1"/>
          <w:szCs w:val="24"/>
        </w:rPr>
        <w:t>p., predstavoval dodatočné príjmy štátneho rozpočtu vo</w:t>
      </w:r>
      <w:r>
        <w:rPr>
          <w:color w:val="000000" w:themeColor="text1"/>
          <w:szCs w:val="24"/>
        </w:rPr>
        <w:t> </w:t>
      </w:r>
      <w:r w:rsidRPr="003D4DE6">
        <w:rPr>
          <w:color w:val="000000" w:themeColor="text1"/>
          <w:szCs w:val="24"/>
        </w:rPr>
        <w:t xml:space="preserve">výške </w:t>
      </w:r>
      <w:r>
        <w:rPr>
          <w:color w:val="000000" w:themeColor="text1"/>
          <w:szCs w:val="24"/>
        </w:rPr>
        <w:t>80 000 tis. eur a v roku 2023</w:t>
      </w:r>
      <w:r w:rsidR="00632A05" w:rsidRPr="00632A05">
        <w:rPr>
          <w:color w:val="000000" w:themeColor="text1"/>
          <w:szCs w:val="24"/>
        </w:rPr>
        <w:t xml:space="preserve"> </w:t>
      </w:r>
      <w:r w:rsidR="00632A05">
        <w:rPr>
          <w:color w:val="000000" w:themeColor="text1"/>
          <w:szCs w:val="24"/>
        </w:rPr>
        <w:t>bol odvod vo výške</w:t>
      </w:r>
      <w:r>
        <w:rPr>
          <w:color w:val="000000" w:themeColor="text1"/>
          <w:szCs w:val="24"/>
        </w:rPr>
        <w:t xml:space="preserve"> </w:t>
      </w:r>
      <w:r w:rsidRPr="003D4DE6">
        <w:rPr>
          <w:color w:val="000000" w:themeColor="text1"/>
          <w:szCs w:val="24"/>
        </w:rPr>
        <w:t>150</w:t>
      </w:r>
      <w:r>
        <w:rPr>
          <w:color w:val="000000" w:themeColor="text1"/>
          <w:szCs w:val="24"/>
        </w:rPr>
        <w:t> </w:t>
      </w:r>
      <w:r w:rsidRPr="003D4DE6">
        <w:rPr>
          <w:color w:val="000000" w:themeColor="text1"/>
          <w:szCs w:val="24"/>
        </w:rPr>
        <w:t>000</w:t>
      </w:r>
      <w:r>
        <w:rPr>
          <w:color w:val="000000" w:themeColor="text1"/>
          <w:szCs w:val="24"/>
        </w:rPr>
        <w:t> </w:t>
      </w:r>
      <w:r w:rsidRPr="003D4DE6">
        <w:rPr>
          <w:color w:val="000000" w:themeColor="text1"/>
          <w:szCs w:val="24"/>
        </w:rPr>
        <w:t>tis.</w:t>
      </w:r>
      <w:r>
        <w:rPr>
          <w:color w:val="000000" w:themeColor="text1"/>
          <w:szCs w:val="24"/>
        </w:rPr>
        <w:t> </w:t>
      </w:r>
      <w:r w:rsidRPr="003D4DE6">
        <w:rPr>
          <w:color w:val="000000" w:themeColor="text1"/>
          <w:szCs w:val="24"/>
        </w:rPr>
        <w:t>eur.</w:t>
      </w:r>
    </w:p>
    <w:p w14:paraId="6716F749" w14:textId="77777777" w:rsidR="00C86B57" w:rsidRPr="003D4DE6" w:rsidRDefault="00C86B57" w:rsidP="00C86B57">
      <w:pPr>
        <w:tabs>
          <w:tab w:val="left" w:pos="284"/>
        </w:tabs>
        <w:spacing w:line="240" w:lineRule="auto"/>
        <w:jc w:val="both"/>
        <w:rPr>
          <w:color w:val="000000" w:themeColor="text1"/>
          <w:szCs w:val="24"/>
        </w:rPr>
      </w:pPr>
    </w:p>
    <w:p w14:paraId="5CDF02C4" w14:textId="3B2E8C3B" w:rsidR="00C86B57" w:rsidRDefault="00C86B57" w:rsidP="00C86B57">
      <w:pPr>
        <w:tabs>
          <w:tab w:val="left" w:pos="284"/>
        </w:tabs>
        <w:spacing w:line="240" w:lineRule="auto"/>
        <w:jc w:val="both"/>
        <w:rPr>
          <w:color w:val="000000" w:themeColor="text1"/>
          <w:szCs w:val="24"/>
        </w:rPr>
      </w:pPr>
      <w:r w:rsidRPr="003D4DE6">
        <w:rPr>
          <w:b/>
          <w:color w:val="000000" w:themeColor="text1"/>
          <w:szCs w:val="24"/>
        </w:rPr>
        <w:t>Príjem z administratívnych poplatkov a iných poplatkov a platieb</w:t>
      </w:r>
      <w:r>
        <w:rPr>
          <w:color w:val="000000" w:themeColor="text1"/>
          <w:szCs w:val="24"/>
        </w:rPr>
        <w:t xml:space="preserve"> závisí od </w:t>
      </w:r>
      <w:r w:rsidRPr="003D4DE6">
        <w:rPr>
          <w:color w:val="000000" w:themeColor="text1"/>
          <w:szCs w:val="24"/>
        </w:rPr>
        <w:t>počtu jednotlivých konaní v priebe</w:t>
      </w:r>
      <w:r>
        <w:rPr>
          <w:color w:val="000000" w:themeColor="text1"/>
          <w:szCs w:val="24"/>
        </w:rPr>
        <w:t>hu roka ako aj od ostatných príjmov, založených na predaji výrobkov, tovarov alebo služieb poskytovaných štátom. Skutočné plnenie k 31.</w:t>
      </w:r>
      <w:r w:rsidRPr="003D4DE6">
        <w:rPr>
          <w:color w:val="000000" w:themeColor="text1"/>
          <w:szCs w:val="24"/>
        </w:rPr>
        <w:t>12.202</w:t>
      </w:r>
      <w:r>
        <w:rPr>
          <w:color w:val="000000" w:themeColor="text1"/>
          <w:szCs w:val="24"/>
        </w:rPr>
        <w:t>5</w:t>
      </w:r>
      <w:r w:rsidRPr="003D4DE6">
        <w:rPr>
          <w:color w:val="000000" w:themeColor="text1"/>
          <w:szCs w:val="24"/>
        </w:rPr>
        <w:t xml:space="preserve"> dosiahlo sumu</w:t>
      </w:r>
      <w:r>
        <w:rPr>
          <w:color w:val="000000" w:themeColor="text1"/>
          <w:szCs w:val="24"/>
        </w:rPr>
        <w:t xml:space="preserve"> </w:t>
      </w:r>
      <w:r w:rsidRPr="00256DEA">
        <w:rPr>
          <w:color w:val="000000" w:themeColor="text1"/>
          <w:szCs w:val="24"/>
        </w:rPr>
        <w:t>660</w:t>
      </w:r>
      <w:r>
        <w:rPr>
          <w:color w:val="000000" w:themeColor="text1"/>
          <w:szCs w:val="24"/>
        </w:rPr>
        <w:t> </w:t>
      </w:r>
      <w:r w:rsidR="00632A05" w:rsidRPr="00256DEA">
        <w:rPr>
          <w:color w:val="000000" w:themeColor="text1"/>
          <w:szCs w:val="24"/>
        </w:rPr>
        <w:t>7</w:t>
      </w:r>
      <w:r w:rsidR="00632A05">
        <w:rPr>
          <w:color w:val="000000" w:themeColor="text1"/>
          <w:szCs w:val="24"/>
        </w:rPr>
        <w:t>10 </w:t>
      </w:r>
      <w:r w:rsidRPr="003D4DE6">
        <w:rPr>
          <w:color w:val="000000" w:themeColor="text1"/>
          <w:szCs w:val="24"/>
        </w:rPr>
        <w:t>tis. eur, čo bolo o</w:t>
      </w:r>
      <w:r>
        <w:rPr>
          <w:color w:val="000000" w:themeColor="text1"/>
          <w:szCs w:val="24"/>
        </w:rPr>
        <w:t>proti schválenému rozpočtu o 85 </w:t>
      </w:r>
      <w:r w:rsidR="00632A05">
        <w:rPr>
          <w:color w:val="000000" w:themeColor="text1"/>
          <w:szCs w:val="24"/>
        </w:rPr>
        <w:t>218 </w:t>
      </w:r>
      <w:r>
        <w:rPr>
          <w:color w:val="000000" w:themeColor="text1"/>
          <w:szCs w:val="24"/>
        </w:rPr>
        <w:t xml:space="preserve">tis. eur viac, a na tomto prekročení rozpočtu sa podieľali </w:t>
      </w:r>
      <w:r w:rsidRPr="004B5EDE">
        <w:rPr>
          <w:color w:val="000000" w:themeColor="text1"/>
          <w:szCs w:val="24"/>
        </w:rPr>
        <w:t>najmä vyššie príjmy z predaja UMTS licencií mobilným operátorom z verejnej súťaže v lete 2025, ktorej predmetom bol predaj licencií na</w:t>
      </w:r>
      <w:r>
        <w:rPr>
          <w:color w:val="000000" w:themeColor="text1"/>
          <w:szCs w:val="24"/>
        </w:rPr>
        <w:t> </w:t>
      </w:r>
      <w:r w:rsidRPr="004B5EDE">
        <w:rPr>
          <w:color w:val="000000" w:themeColor="text1"/>
          <w:szCs w:val="24"/>
        </w:rPr>
        <w:t>20</w:t>
      </w:r>
      <w:r>
        <w:rPr>
          <w:color w:val="000000" w:themeColor="text1"/>
          <w:szCs w:val="24"/>
        </w:rPr>
        <w:t> rokov, pridelených od</w:t>
      </w:r>
      <w:r w:rsidR="00502A9F">
        <w:rPr>
          <w:color w:val="000000" w:themeColor="text1"/>
          <w:szCs w:val="24"/>
        </w:rPr>
        <w:t> </w:t>
      </w:r>
      <w:r>
        <w:rPr>
          <w:color w:val="000000" w:themeColor="text1"/>
          <w:szCs w:val="24"/>
        </w:rPr>
        <w:t>1.1.2029 do 31.12.2048. Za predané frekvenčné pásma budú platiť operátori postupne, takže hotovostný príjem v rámci administratívnych poplatkov sa očakáva aj budúce obdobia.</w:t>
      </w:r>
    </w:p>
    <w:p w14:paraId="03235576" w14:textId="77777777" w:rsidR="00C86B57" w:rsidRDefault="00C86B57" w:rsidP="00C86B57">
      <w:pPr>
        <w:tabs>
          <w:tab w:val="left" w:pos="284"/>
        </w:tabs>
        <w:spacing w:line="240" w:lineRule="auto"/>
        <w:jc w:val="both"/>
        <w:rPr>
          <w:color w:val="000000" w:themeColor="text1"/>
          <w:szCs w:val="24"/>
        </w:rPr>
      </w:pPr>
    </w:p>
    <w:p w14:paraId="7279F477" w14:textId="3F5BB880" w:rsidR="00C86B57" w:rsidRDefault="00C86B57" w:rsidP="00C86B57">
      <w:pPr>
        <w:tabs>
          <w:tab w:val="left" w:pos="284"/>
        </w:tabs>
        <w:spacing w:line="240" w:lineRule="auto"/>
        <w:jc w:val="both"/>
        <w:rPr>
          <w:color w:val="000000" w:themeColor="text1"/>
          <w:szCs w:val="24"/>
        </w:rPr>
      </w:pPr>
      <w:r w:rsidRPr="00AD2B14">
        <w:rPr>
          <w:b/>
          <w:bCs/>
          <w:i/>
          <w:iCs/>
          <w:color w:val="000000" w:themeColor="text1"/>
          <w:szCs w:val="24"/>
        </w:rPr>
        <w:t>Súdne a správne poplatky</w:t>
      </w:r>
      <w:r>
        <w:rPr>
          <w:color w:val="000000" w:themeColor="text1"/>
          <w:szCs w:val="24"/>
        </w:rPr>
        <w:t xml:space="preserve"> sú príjmom štátneho rozpočtu v rozhodujúcej miere prostredníctvom Všeobecnej pokladničnej správy. Kapitola prijala úhrnom 210 540 tis. eur zo správnych poplatkov a 33 885 tis. eur zo súdnych poplatkov. Vyššie plnenie rozpočtu ovplyvnili najmä správne poplatky, a to o 13 318 tis. eur.</w:t>
      </w:r>
    </w:p>
    <w:p w14:paraId="76354ADA" w14:textId="77777777" w:rsidR="00C86B57" w:rsidRDefault="00C86B57" w:rsidP="00C86B57">
      <w:pPr>
        <w:tabs>
          <w:tab w:val="left" w:pos="284"/>
        </w:tabs>
        <w:spacing w:line="240" w:lineRule="auto"/>
        <w:jc w:val="both"/>
        <w:rPr>
          <w:color w:val="000000" w:themeColor="text1"/>
          <w:szCs w:val="24"/>
        </w:rPr>
      </w:pPr>
    </w:p>
    <w:p w14:paraId="4BA45C36" w14:textId="4FC407C5" w:rsidR="00C86B57" w:rsidRDefault="00C86B57" w:rsidP="00C86B57">
      <w:pPr>
        <w:tabs>
          <w:tab w:val="left" w:pos="284"/>
        </w:tabs>
        <w:spacing w:line="240" w:lineRule="auto"/>
        <w:jc w:val="both"/>
        <w:rPr>
          <w:color w:val="000000" w:themeColor="text1"/>
          <w:szCs w:val="24"/>
        </w:rPr>
      </w:pPr>
      <w:r>
        <w:rPr>
          <w:color w:val="000000" w:themeColor="text1"/>
          <w:szCs w:val="24"/>
        </w:rPr>
        <w:t xml:space="preserve">V rámci </w:t>
      </w:r>
      <w:r w:rsidRPr="00664D26">
        <w:rPr>
          <w:b/>
          <w:bCs/>
          <w:i/>
          <w:iCs/>
          <w:color w:val="000000" w:themeColor="text1"/>
          <w:szCs w:val="24"/>
        </w:rPr>
        <w:t>ostatných poplatkov</w:t>
      </w:r>
      <w:r>
        <w:rPr>
          <w:color w:val="000000" w:themeColor="text1"/>
          <w:szCs w:val="24"/>
        </w:rPr>
        <w:t xml:space="preserve"> prijali do rozpočtu najviac Všeobecná pokladničná správa 7 063 tis. eur, Úrad jadrového dozoru SR 8 584 tis. eur a Úrad priemyselného vlastníctva SR 4 063 tis. eur. S výnimkou kapitoly Všeobecná pokladničná správa sa rozpočtované príjmy z ostatných poplatkov uvedených kapitol vyvíjali v súlade s rozpočtom.</w:t>
      </w:r>
    </w:p>
    <w:p w14:paraId="5A28CDC9" w14:textId="77777777" w:rsidR="00C86B57" w:rsidRDefault="00C86B57" w:rsidP="00C86B57">
      <w:pPr>
        <w:tabs>
          <w:tab w:val="left" w:pos="284"/>
        </w:tabs>
        <w:spacing w:line="240" w:lineRule="auto"/>
        <w:jc w:val="both"/>
        <w:rPr>
          <w:color w:val="000000" w:themeColor="text1"/>
          <w:szCs w:val="24"/>
        </w:rPr>
      </w:pPr>
    </w:p>
    <w:p w14:paraId="7B725B81" w14:textId="37A84ED6" w:rsidR="00C86B57" w:rsidRDefault="00C86B57" w:rsidP="00C86B57">
      <w:pPr>
        <w:tabs>
          <w:tab w:val="left" w:pos="284"/>
        </w:tabs>
        <w:spacing w:line="240" w:lineRule="auto"/>
        <w:jc w:val="both"/>
        <w:rPr>
          <w:color w:val="000000" w:themeColor="text1"/>
          <w:szCs w:val="24"/>
        </w:rPr>
      </w:pPr>
      <w:r w:rsidRPr="00B4549A">
        <w:rPr>
          <w:b/>
          <w:i/>
          <w:color w:val="000000" w:themeColor="text1"/>
          <w:szCs w:val="24"/>
        </w:rPr>
        <w:t xml:space="preserve">Pokuty, penále a iné sankcie </w:t>
      </w:r>
      <w:r w:rsidRPr="00B4549A">
        <w:rPr>
          <w:color w:val="000000" w:themeColor="text1"/>
          <w:szCs w:val="24"/>
        </w:rPr>
        <w:t>dosiahli sumu 87</w:t>
      </w:r>
      <w:r>
        <w:rPr>
          <w:color w:val="000000" w:themeColor="text1"/>
          <w:szCs w:val="24"/>
        </w:rPr>
        <w:t> </w:t>
      </w:r>
      <w:r w:rsidRPr="00B4549A">
        <w:rPr>
          <w:color w:val="000000" w:themeColor="text1"/>
          <w:szCs w:val="24"/>
        </w:rPr>
        <w:t>198 tis. eur a sú vyrubované zo strany štátnych úradov najmä v súvislosti s porušením finančnej disciplíny a za porušenie právnych predpisov, napr. rozpočtových pravidiel, zákona o štátnej kontrole vnútorného trhu vo veciach ochrany spotrebiteľa, cenových predpisov</w:t>
      </w:r>
      <w:r>
        <w:rPr>
          <w:color w:val="000000" w:themeColor="text1"/>
          <w:szCs w:val="24"/>
        </w:rPr>
        <w:t>, pokuty za priestupky v oblasti bezpečnosti a plynulosti cestnej premávky (MV SR), pokuty v oblasti ochrany hospodárskej súťaže (Protimonopolný úrad SR) a ďalšie predpisy.</w:t>
      </w:r>
    </w:p>
    <w:p w14:paraId="4C83FD9D" w14:textId="7CD70C9D" w:rsidR="00632A05" w:rsidRDefault="00C86B57" w:rsidP="00632A05">
      <w:pPr>
        <w:spacing w:line="240" w:lineRule="auto"/>
        <w:jc w:val="both"/>
        <w:rPr>
          <w:color w:val="000000" w:themeColor="text1"/>
          <w:szCs w:val="24"/>
        </w:rPr>
      </w:pPr>
      <w:r w:rsidRPr="001F4F94">
        <w:rPr>
          <w:color w:val="000000" w:themeColor="text1"/>
          <w:szCs w:val="24"/>
          <w:u w:val="single"/>
        </w:rPr>
        <w:lastRenderedPageBreak/>
        <w:t>Príjmy za porušenie predpisov</w:t>
      </w:r>
      <w:r>
        <w:rPr>
          <w:color w:val="000000" w:themeColor="text1"/>
          <w:szCs w:val="24"/>
        </w:rPr>
        <w:t xml:space="preserve"> dosiahli 86 </w:t>
      </w:r>
      <w:r w:rsidR="00632A05">
        <w:rPr>
          <w:color w:val="000000" w:themeColor="text1"/>
          <w:szCs w:val="24"/>
        </w:rPr>
        <w:t>211 </w:t>
      </w:r>
      <w:r>
        <w:rPr>
          <w:color w:val="000000" w:themeColor="text1"/>
          <w:szCs w:val="24"/>
        </w:rPr>
        <w:t>tis. eur a oproti rozpočtu boli vyššie o 20 032 tis. eur. V porovnaní so skutočnosťou roku 2024 ide o pokles o 19 815 tis. eur. V roku 2024 boli významné príjmy u Protimonopolného úradu SR za udelené pokuty v oblasti porušovania pravidiel hospodárskej súťaže. Najvýznamnejšiu sumu za skutočnosť roku 2025 vykazuje Ministerstvo vnútra SR, 62</w:t>
      </w:r>
      <w:r w:rsidR="00867FC1">
        <w:rPr>
          <w:color w:val="000000" w:themeColor="text1"/>
          <w:szCs w:val="24"/>
        </w:rPr>
        <w:t> </w:t>
      </w:r>
      <w:r>
        <w:rPr>
          <w:color w:val="000000" w:themeColor="text1"/>
          <w:szCs w:val="24"/>
        </w:rPr>
        <w:t>093 tis. eur</w:t>
      </w:r>
      <w:r w:rsidR="00632A05">
        <w:rPr>
          <w:color w:val="000000" w:themeColor="text1"/>
          <w:szCs w:val="24"/>
        </w:rPr>
        <w:t xml:space="preserve">, Ministerstvo práce, sociálnych vecí a rodiny SR 6 713 tis. eur a Všeobecná pokladničná správa 6 021 tis. eur. </w:t>
      </w:r>
    </w:p>
    <w:p w14:paraId="2F70656A" w14:textId="77777777" w:rsidR="00867FC1" w:rsidRDefault="00867FC1" w:rsidP="00C86B57">
      <w:pPr>
        <w:spacing w:line="240" w:lineRule="auto"/>
        <w:jc w:val="both"/>
        <w:rPr>
          <w:color w:val="000000" w:themeColor="text1"/>
          <w:szCs w:val="24"/>
        </w:rPr>
      </w:pPr>
    </w:p>
    <w:p w14:paraId="01C38D96" w14:textId="336410A2" w:rsidR="00C86B57" w:rsidRDefault="00C86B57" w:rsidP="00C86B57">
      <w:pPr>
        <w:spacing w:line="240" w:lineRule="auto"/>
        <w:jc w:val="both"/>
        <w:rPr>
          <w:color w:val="000000" w:themeColor="text1"/>
          <w:szCs w:val="24"/>
        </w:rPr>
      </w:pPr>
      <w:r w:rsidRPr="008E5091">
        <w:rPr>
          <w:color w:val="000000" w:themeColor="text1"/>
          <w:szCs w:val="24"/>
        </w:rPr>
        <w:t>Ministerstvo vnútra SR dosiahlo príjmy najmä z pokút v blokovom konaní a pokút nezaplatených na mieste, ktoré priestupca uhradil dodatočne, ako aj príjem za porušenie predpisov v súvislosti s prevádzkovaním súkromných bezpečnostných služieb a</w:t>
      </w:r>
      <w:r w:rsidR="00867FC1">
        <w:rPr>
          <w:color w:val="000000" w:themeColor="text1"/>
          <w:szCs w:val="24"/>
        </w:rPr>
        <w:t> </w:t>
      </w:r>
      <w:r w:rsidRPr="008E5091">
        <w:rPr>
          <w:color w:val="000000" w:themeColor="text1"/>
          <w:szCs w:val="24"/>
        </w:rPr>
        <w:t>za</w:t>
      </w:r>
      <w:r w:rsidR="00867FC1">
        <w:rPr>
          <w:color w:val="000000" w:themeColor="text1"/>
          <w:szCs w:val="24"/>
        </w:rPr>
        <w:t> </w:t>
      </w:r>
      <w:r w:rsidRPr="008E5091">
        <w:rPr>
          <w:color w:val="000000" w:themeColor="text1"/>
          <w:szCs w:val="24"/>
        </w:rPr>
        <w:t>porušovanie protipožiarnych predpisov.</w:t>
      </w:r>
    </w:p>
    <w:p w14:paraId="5B37C711" w14:textId="77777777" w:rsidR="00867FC1" w:rsidRDefault="00867FC1" w:rsidP="00C86B57">
      <w:pPr>
        <w:spacing w:line="240" w:lineRule="auto"/>
        <w:jc w:val="both"/>
        <w:rPr>
          <w:color w:val="000000" w:themeColor="text1"/>
          <w:szCs w:val="24"/>
        </w:rPr>
      </w:pPr>
    </w:p>
    <w:p w14:paraId="461B51B0" w14:textId="7A2692A9" w:rsidR="00C86B57" w:rsidRDefault="00C86B57" w:rsidP="00C86B57">
      <w:pPr>
        <w:spacing w:line="240" w:lineRule="auto"/>
        <w:jc w:val="both"/>
        <w:rPr>
          <w:color w:val="000000" w:themeColor="text1"/>
          <w:szCs w:val="24"/>
        </w:rPr>
      </w:pPr>
      <w:r w:rsidRPr="00156BB0">
        <w:rPr>
          <w:b/>
          <w:bCs/>
          <w:i/>
          <w:iCs/>
          <w:color w:val="000000" w:themeColor="text1"/>
          <w:szCs w:val="24"/>
        </w:rPr>
        <w:t>Za predaj tovaru, výrobkov a služieb</w:t>
      </w:r>
      <w:r w:rsidRPr="006F5D5B">
        <w:rPr>
          <w:color w:val="000000" w:themeColor="text1"/>
          <w:szCs w:val="24"/>
        </w:rPr>
        <w:t xml:space="preserve"> </w:t>
      </w:r>
      <w:r>
        <w:rPr>
          <w:color w:val="000000" w:themeColor="text1"/>
          <w:szCs w:val="24"/>
        </w:rPr>
        <w:t>dosiahli príjmy 305</w:t>
      </w:r>
      <w:r w:rsidR="00867FC1">
        <w:rPr>
          <w:color w:val="000000" w:themeColor="text1"/>
          <w:szCs w:val="24"/>
        </w:rPr>
        <w:t> </w:t>
      </w:r>
      <w:r>
        <w:rPr>
          <w:color w:val="000000" w:themeColor="text1"/>
          <w:szCs w:val="24"/>
        </w:rPr>
        <w:t>393</w:t>
      </w:r>
      <w:r w:rsidR="00867FC1">
        <w:rPr>
          <w:color w:val="000000" w:themeColor="text1"/>
          <w:szCs w:val="24"/>
        </w:rPr>
        <w:t> </w:t>
      </w:r>
      <w:r>
        <w:rPr>
          <w:color w:val="000000" w:themeColor="text1"/>
          <w:szCs w:val="24"/>
        </w:rPr>
        <w:t>tis.</w:t>
      </w:r>
      <w:r w:rsidR="00867FC1">
        <w:rPr>
          <w:color w:val="000000" w:themeColor="text1"/>
          <w:szCs w:val="24"/>
        </w:rPr>
        <w:t> </w:t>
      </w:r>
      <w:r>
        <w:rPr>
          <w:color w:val="000000" w:themeColor="text1"/>
          <w:szCs w:val="24"/>
        </w:rPr>
        <w:t>eur, v rámci nich najviac vyinkasovala kapitola Ministerstva dopravy SR (259</w:t>
      </w:r>
      <w:r w:rsidR="00867FC1">
        <w:rPr>
          <w:color w:val="000000" w:themeColor="text1"/>
          <w:szCs w:val="24"/>
        </w:rPr>
        <w:t> </w:t>
      </w:r>
      <w:r>
        <w:rPr>
          <w:color w:val="000000" w:themeColor="text1"/>
          <w:szCs w:val="24"/>
        </w:rPr>
        <w:t>992 tis. eur) a z nej Úrad pre</w:t>
      </w:r>
      <w:r w:rsidR="00867FC1">
        <w:rPr>
          <w:color w:val="000000" w:themeColor="text1"/>
          <w:szCs w:val="24"/>
        </w:rPr>
        <w:t> </w:t>
      </w:r>
      <w:r w:rsidRPr="00C2267A">
        <w:rPr>
          <w:color w:val="000000" w:themeColor="text1"/>
          <w:szCs w:val="24"/>
        </w:rPr>
        <w:t>reguláciu elektronických komunikácií a poštových služieb 249</w:t>
      </w:r>
      <w:r w:rsidR="00867FC1">
        <w:rPr>
          <w:color w:val="000000" w:themeColor="text1"/>
          <w:szCs w:val="24"/>
        </w:rPr>
        <w:t> </w:t>
      </w:r>
      <w:r w:rsidRPr="00C2267A">
        <w:rPr>
          <w:color w:val="000000" w:themeColor="text1"/>
          <w:szCs w:val="24"/>
        </w:rPr>
        <w:t>430</w:t>
      </w:r>
      <w:r w:rsidR="00867FC1">
        <w:rPr>
          <w:color w:val="000000" w:themeColor="text1"/>
          <w:szCs w:val="24"/>
        </w:rPr>
        <w:t> </w:t>
      </w:r>
      <w:r w:rsidRPr="00C2267A">
        <w:rPr>
          <w:color w:val="000000" w:themeColor="text1"/>
          <w:szCs w:val="24"/>
        </w:rPr>
        <w:t>tis. eur, z úhrad za pridelené frekvencie telekomunikačným operátorom (208</w:t>
      </w:r>
      <w:r w:rsidR="00867FC1">
        <w:rPr>
          <w:color w:val="000000" w:themeColor="text1"/>
          <w:szCs w:val="24"/>
        </w:rPr>
        <w:t> </w:t>
      </w:r>
      <w:r w:rsidRPr="00C2267A">
        <w:rPr>
          <w:color w:val="000000" w:themeColor="text1"/>
          <w:szCs w:val="24"/>
        </w:rPr>
        <w:t>193 tis. eur), príjmy z pridelených čísiel a podobne. Samotné Ministerstvo dopravy SR inkasovalo 10</w:t>
      </w:r>
      <w:r w:rsidR="00867FC1">
        <w:rPr>
          <w:color w:val="000000" w:themeColor="text1"/>
          <w:szCs w:val="24"/>
        </w:rPr>
        <w:t> </w:t>
      </w:r>
      <w:r w:rsidRPr="00C2267A">
        <w:rPr>
          <w:color w:val="000000" w:themeColor="text1"/>
          <w:szCs w:val="24"/>
        </w:rPr>
        <w:t>380</w:t>
      </w:r>
      <w:r w:rsidR="00867FC1">
        <w:rPr>
          <w:color w:val="000000" w:themeColor="text1"/>
          <w:szCs w:val="24"/>
        </w:rPr>
        <w:t> </w:t>
      </w:r>
      <w:r w:rsidRPr="00C2267A">
        <w:rPr>
          <w:color w:val="000000" w:themeColor="text1"/>
          <w:szCs w:val="24"/>
        </w:rPr>
        <w:t>tis.</w:t>
      </w:r>
      <w:r w:rsidR="00867FC1">
        <w:rPr>
          <w:color w:val="000000" w:themeColor="text1"/>
          <w:szCs w:val="24"/>
        </w:rPr>
        <w:t> </w:t>
      </w:r>
      <w:r w:rsidRPr="00C2267A">
        <w:rPr>
          <w:color w:val="000000" w:themeColor="text1"/>
          <w:szCs w:val="24"/>
        </w:rPr>
        <w:t>eur najmä ako výnosy z mýta na koncesných cestách od Národnej diaľničnej spoločnosti,</w:t>
      </w:r>
      <w:r w:rsidR="00867FC1">
        <w:rPr>
          <w:color w:val="000000" w:themeColor="text1"/>
          <w:szCs w:val="24"/>
        </w:rPr>
        <w:t> </w:t>
      </w:r>
      <w:r w:rsidRPr="00C2267A">
        <w:rPr>
          <w:color w:val="000000" w:themeColor="text1"/>
          <w:szCs w:val="24"/>
        </w:rPr>
        <w:t>a.</w:t>
      </w:r>
      <w:r w:rsidR="00867FC1">
        <w:rPr>
          <w:color w:val="000000" w:themeColor="text1"/>
          <w:szCs w:val="24"/>
        </w:rPr>
        <w:t> </w:t>
      </w:r>
      <w:r w:rsidRPr="00C2267A">
        <w:rPr>
          <w:color w:val="000000" w:themeColor="text1"/>
          <w:szCs w:val="24"/>
        </w:rPr>
        <w:t>s.</w:t>
      </w:r>
    </w:p>
    <w:p w14:paraId="783B0AEA" w14:textId="77777777" w:rsidR="00867FC1" w:rsidRDefault="00867FC1" w:rsidP="00C86B57">
      <w:pPr>
        <w:spacing w:line="240" w:lineRule="auto"/>
        <w:jc w:val="both"/>
        <w:rPr>
          <w:color w:val="000000" w:themeColor="text1"/>
          <w:szCs w:val="24"/>
        </w:rPr>
      </w:pPr>
    </w:p>
    <w:p w14:paraId="2119AE80" w14:textId="23456252" w:rsidR="00C86B57" w:rsidRDefault="00C86B57" w:rsidP="00C86B57">
      <w:pPr>
        <w:spacing w:line="240" w:lineRule="auto"/>
        <w:jc w:val="both"/>
        <w:rPr>
          <w:color w:val="000000" w:themeColor="text1"/>
          <w:szCs w:val="24"/>
        </w:rPr>
      </w:pPr>
      <w:r>
        <w:rPr>
          <w:color w:val="000000" w:themeColor="text1"/>
          <w:szCs w:val="24"/>
        </w:rPr>
        <w:t>Kapitola Ministerstva spravodlivosti SR vyinkasovala 23</w:t>
      </w:r>
      <w:r w:rsidR="00867FC1">
        <w:rPr>
          <w:color w:val="000000" w:themeColor="text1"/>
          <w:szCs w:val="24"/>
        </w:rPr>
        <w:t> </w:t>
      </w:r>
      <w:r>
        <w:rPr>
          <w:color w:val="000000" w:themeColor="text1"/>
          <w:szCs w:val="24"/>
        </w:rPr>
        <w:t>707 tis. eur a z nej hlavne ústavy na</w:t>
      </w:r>
      <w:r w:rsidR="00867FC1">
        <w:rPr>
          <w:color w:val="000000" w:themeColor="text1"/>
          <w:szCs w:val="24"/>
        </w:rPr>
        <w:t> </w:t>
      </w:r>
      <w:r>
        <w:rPr>
          <w:color w:val="000000" w:themeColor="text1"/>
          <w:szCs w:val="24"/>
        </w:rPr>
        <w:t>výkon trestu odňatia slobody, 16 986 tis. eur napr. z činnosti vedľajšej hospodárskej činnosti. Ďalšie príjmy tvoria náhrady trov výkonu trestu odňatia slobody, úhrada pohľadávok obvinených a odsúdených.</w:t>
      </w:r>
    </w:p>
    <w:p w14:paraId="718F842B" w14:textId="77777777" w:rsidR="00867FC1" w:rsidRDefault="00867FC1" w:rsidP="00C86B57">
      <w:pPr>
        <w:spacing w:line="240" w:lineRule="auto"/>
        <w:jc w:val="both"/>
        <w:rPr>
          <w:color w:val="000000" w:themeColor="text1"/>
          <w:szCs w:val="24"/>
        </w:rPr>
      </w:pPr>
    </w:p>
    <w:p w14:paraId="71481BA5" w14:textId="215E0C62" w:rsidR="00C86B57" w:rsidRDefault="00C86B57" w:rsidP="00C86B57">
      <w:pPr>
        <w:spacing w:line="240" w:lineRule="auto"/>
        <w:jc w:val="both"/>
        <w:rPr>
          <w:color w:val="000000" w:themeColor="text1"/>
          <w:szCs w:val="24"/>
        </w:rPr>
      </w:pPr>
      <w:r w:rsidRPr="00F06901">
        <w:rPr>
          <w:b/>
          <w:color w:val="000000" w:themeColor="text1"/>
          <w:szCs w:val="24"/>
        </w:rPr>
        <w:t>Úroky z</w:t>
      </w:r>
      <w:r>
        <w:rPr>
          <w:b/>
          <w:color w:val="000000" w:themeColor="text1"/>
          <w:szCs w:val="24"/>
        </w:rPr>
        <w:t> </w:t>
      </w:r>
      <w:r w:rsidRPr="00F06901">
        <w:rPr>
          <w:b/>
          <w:color w:val="000000" w:themeColor="text1"/>
          <w:szCs w:val="24"/>
        </w:rPr>
        <w:t>úverov, pôžičiek</w:t>
      </w:r>
      <w:r>
        <w:rPr>
          <w:b/>
          <w:color w:val="000000" w:themeColor="text1"/>
          <w:szCs w:val="24"/>
        </w:rPr>
        <w:t>,</w:t>
      </w:r>
      <w:r w:rsidRPr="00F06901">
        <w:rPr>
          <w:b/>
          <w:color w:val="000000" w:themeColor="text1"/>
          <w:szCs w:val="24"/>
        </w:rPr>
        <w:t> návratných finančných výpomocí</w:t>
      </w:r>
      <w:r>
        <w:rPr>
          <w:b/>
          <w:color w:val="000000" w:themeColor="text1"/>
          <w:szCs w:val="24"/>
        </w:rPr>
        <w:t xml:space="preserve"> a z účtov finančného hospodárenia </w:t>
      </w:r>
      <w:r w:rsidRPr="005A0507">
        <w:rPr>
          <w:color w:val="000000" w:themeColor="text1"/>
          <w:szCs w:val="24"/>
        </w:rPr>
        <w:t>dosiahli 76</w:t>
      </w:r>
      <w:r w:rsidR="00867FC1">
        <w:rPr>
          <w:color w:val="000000" w:themeColor="text1"/>
          <w:szCs w:val="24"/>
        </w:rPr>
        <w:t> </w:t>
      </w:r>
      <w:r w:rsidRPr="005A0507">
        <w:rPr>
          <w:color w:val="000000" w:themeColor="text1"/>
          <w:szCs w:val="24"/>
        </w:rPr>
        <w:t>764 tis. eur, čo je oproti schválenému rozpočtu o</w:t>
      </w:r>
      <w:r w:rsidR="00867FC1">
        <w:rPr>
          <w:color w:val="000000" w:themeColor="text1"/>
          <w:szCs w:val="24"/>
        </w:rPr>
        <w:t> </w:t>
      </w:r>
      <w:r w:rsidRPr="005A0507">
        <w:rPr>
          <w:color w:val="000000" w:themeColor="text1"/>
          <w:szCs w:val="24"/>
        </w:rPr>
        <w:t>21</w:t>
      </w:r>
      <w:r w:rsidR="00867FC1">
        <w:rPr>
          <w:color w:val="000000" w:themeColor="text1"/>
          <w:szCs w:val="24"/>
        </w:rPr>
        <w:t> </w:t>
      </w:r>
      <w:r w:rsidRPr="005A0507">
        <w:rPr>
          <w:color w:val="000000" w:themeColor="text1"/>
          <w:szCs w:val="24"/>
        </w:rPr>
        <w:t>359 tis. eur menej a medziročne menej až o</w:t>
      </w:r>
      <w:r w:rsidR="00867FC1">
        <w:rPr>
          <w:color w:val="000000" w:themeColor="text1"/>
          <w:szCs w:val="24"/>
        </w:rPr>
        <w:t> </w:t>
      </w:r>
      <w:r w:rsidRPr="005A0507">
        <w:rPr>
          <w:color w:val="000000" w:themeColor="text1"/>
          <w:szCs w:val="24"/>
        </w:rPr>
        <w:t>62</w:t>
      </w:r>
      <w:r w:rsidR="00867FC1">
        <w:rPr>
          <w:color w:val="000000" w:themeColor="text1"/>
          <w:szCs w:val="24"/>
        </w:rPr>
        <w:t> </w:t>
      </w:r>
      <w:r w:rsidRPr="005A0507">
        <w:rPr>
          <w:color w:val="000000" w:themeColor="text1"/>
          <w:szCs w:val="24"/>
        </w:rPr>
        <w:t>765 tis. eur. Tak</w:t>
      </w:r>
      <w:r>
        <w:rPr>
          <w:color w:val="000000" w:themeColor="text1"/>
          <w:szCs w:val="24"/>
        </w:rPr>
        <w:t xml:space="preserve"> ako v predchádzajúcich rokoch takmer celú hodnotou tvoria príjmy plynúce do rozpočtu kapitoly Všeobecná pokladničná správa,</w:t>
      </w:r>
      <w:r w:rsidR="00867FC1">
        <w:rPr>
          <w:color w:val="000000" w:themeColor="text1"/>
          <w:szCs w:val="24"/>
        </w:rPr>
        <w:t xml:space="preserve"> </w:t>
      </w:r>
      <w:r>
        <w:rPr>
          <w:color w:val="000000" w:themeColor="text1"/>
          <w:szCs w:val="24"/>
        </w:rPr>
        <w:t>76</w:t>
      </w:r>
      <w:r w:rsidR="00867FC1">
        <w:rPr>
          <w:color w:val="000000" w:themeColor="text1"/>
          <w:szCs w:val="24"/>
        </w:rPr>
        <w:t> </w:t>
      </w:r>
      <w:r>
        <w:rPr>
          <w:color w:val="000000" w:themeColor="text1"/>
          <w:szCs w:val="24"/>
        </w:rPr>
        <w:t>709 tis. </w:t>
      </w:r>
      <w:r w:rsidRPr="00FE1E83">
        <w:rPr>
          <w:color w:val="000000" w:themeColor="text1"/>
          <w:szCs w:val="24"/>
        </w:rPr>
        <w:t xml:space="preserve">eur, z toho úroky z účtov finančného hospodárenia tvorili </w:t>
      </w:r>
      <w:r>
        <w:rPr>
          <w:color w:val="000000" w:themeColor="text1"/>
          <w:szCs w:val="24"/>
        </w:rPr>
        <w:t>71</w:t>
      </w:r>
      <w:r w:rsidR="00867FC1">
        <w:rPr>
          <w:color w:val="000000" w:themeColor="text1"/>
          <w:szCs w:val="24"/>
        </w:rPr>
        <w:t> </w:t>
      </w:r>
      <w:r>
        <w:rPr>
          <w:color w:val="000000" w:themeColor="text1"/>
          <w:szCs w:val="24"/>
        </w:rPr>
        <w:t>647 </w:t>
      </w:r>
      <w:r w:rsidRPr="00FE1E83">
        <w:rPr>
          <w:color w:val="000000" w:themeColor="text1"/>
          <w:szCs w:val="24"/>
        </w:rPr>
        <w:t>tis.</w:t>
      </w:r>
      <w:r>
        <w:rPr>
          <w:color w:val="000000" w:themeColor="text1"/>
          <w:szCs w:val="24"/>
        </w:rPr>
        <w:t> </w:t>
      </w:r>
      <w:r w:rsidRPr="00FE1E83">
        <w:rPr>
          <w:color w:val="000000" w:themeColor="text1"/>
          <w:szCs w:val="24"/>
        </w:rPr>
        <w:t xml:space="preserve">eur a úroky z poskytnutých návratných finančných výpomocí dosiahli </w:t>
      </w:r>
      <w:r>
        <w:rPr>
          <w:color w:val="000000" w:themeColor="text1"/>
          <w:szCs w:val="24"/>
        </w:rPr>
        <w:t>5</w:t>
      </w:r>
      <w:r w:rsidR="00867FC1">
        <w:rPr>
          <w:color w:val="000000" w:themeColor="text1"/>
          <w:szCs w:val="24"/>
        </w:rPr>
        <w:t> </w:t>
      </w:r>
      <w:r>
        <w:rPr>
          <w:color w:val="000000" w:themeColor="text1"/>
          <w:szCs w:val="24"/>
        </w:rPr>
        <w:t>062 </w:t>
      </w:r>
      <w:r w:rsidRPr="00FE1E83">
        <w:rPr>
          <w:color w:val="000000" w:themeColor="text1"/>
          <w:szCs w:val="24"/>
        </w:rPr>
        <w:t>tis.</w:t>
      </w:r>
      <w:r>
        <w:rPr>
          <w:color w:val="000000" w:themeColor="text1"/>
          <w:szCs w:val="24"/>
        </w:rPr>
        <w:t> </w:t>
      </w:r>
      <w:r w:rsidRPr="00FE1E83">
        <w:rPr>
          <w:color w:val="000000" w:themeColor="text1"/>
          <w:szCs w:val="24"/>
        </w:rPr>
        <w:t>eur.</w:t>
      </w:r>
    </w:p>
    <w:p w14:paraId="1D6D7127" w14:textId="77777777" w:rsidR="00867FC1" w:rsidRDefault="00867FC1" w:rsidP="00C86B57">
      <w:pPr>
        <w:spacing w:line="240" w:lineRule="auto"/>
        <w:jc w:val="both"/>
        <w:rPr>
          <w:color w:val="000000" w:themeColor="text1"/>
          <w:szCs w:val="24"/>
        </w:rPr>
      </w:pPr>
    </w:p>
    <w:p w14:paraId="76597D27" w14:textId="1CC33B3F" w:rsidR="00C86B57" w:rsidRDefault="00C86B57" w:rsidP="00C86B57">
      <w:pPr>
        <w:spacing w:line="240" w:lineRule="auto"/>
        <w:jc w:val="both"/>
        <w:rPr>
          <w:color w:val="000000" w:themeColor="text1"/>
          <w:szCs w:val="24"/>
        </w:rPr>
      </w:pPr>
      <w:r w:rsidRPr="00FE1E83">
        <w:rPr>
          <w:color w:val="000000" w:themeColor="text1"/>
          <w:szCs w:val="24"/>
        </w:rPr>
        <w:t>Úroky z finančného hospodárenia predstavuje najmä kladný rozdiel medzi prijatými a platenými úrokmi a kurzové rozdiely z konverzných operácií</w:t>
      </w:r>
      <w:r w:rsidRPr="00C0342E">
        <w:rPr>
          <w:color w:val="000000" w:themeColor="text1"/>
          <w:szCs w:val="24"/>
        </w:rPr>
        <w:t xml:space="preserve"> </w:t>
      </w:r>
      <w:r w:rsidRPr="00FE1E83">
        <w:rPr>
          <w:color w:val="000000" w:themeColor="text1"/>
          <w:szCs w:val="24"/>
        </w:rPr>
        <w:t>v systéme štátnej pokladnice, ktoré prevádza Štátna pokladnica do prí</w:t>
      </w:r>
      <w:r>
        <w:rPr>
          <w:color w:val="000000" w:themeColor="text1"/>
          <w:szCs w:val="24"/>
        </w:rPr>
        <w:t>jmov štátneho rozpočtu, podľa § </w:t>
      </w:r>
      <w:r w:rsidRPr="00FE1E83">
        <w:rPr>
          <w:color w:val="000000" w:themeColor="text1"/>
          <w:szCs w:val="24"/>
        </w:rPr>
        <w:t>6 ods.</w:t>
      </w:r>
      <w:r>
        <w:rPr>
          <w:color w:val="000000" w:themeColor="text1"/>
          <w:szCs w:val="24"/>
        </w:rPr>
        <w:t> </w:t>
      </w:r>
      <w:r w:rsidRPr="00FE1E83">
        <w:rPr>
          <w:color w:val="000000" w:themeColor="text1"/>
          <w:szCs w:val="24"/>
        </w:rPr>
        <w:t>8 zákona č.</w:t>
      </w:r>
      <w:r>
        <w:rPr>
          <w:color w:val="000000" w:themeColor="text1"/>
          <w:szCs w:val="24"/>
        </w:rPr>
        <w:t> 291/2002 Z. </w:t>
      </w:r>
      <w:r w:rsidRPr="00FE1E83">
        <w:rPr>
          <w:color w:val="000000" w:themeColor="text1"/>
          <w:szCs w:val="24"/>
        </w:rPr>
        <w:t xml:space="preserve">z. o Štátnej pokladnici. Rozpočet </w:t>
      </w:r>
      <w:r>
        <w:rPr>
          <w:color w:val="000000" w:themeColor="text1"/>
          <w:szCs w:val="24"/>
        </w:rPr>
        <w:t>nebol naplnený o 19</w:t>
      </w:r>
      <w:r w:rsidR="00867FC1">
        <w:rPr>
          <w:color w:val="000000" w:themeColor="text1"/>
          <w:szCs w:val="24"/>
        </w:rPr>
        <w:t> </w:t>
      </w:r>
      <w:r>
        <w:rPr>
          <w:color w:val="000000" w:themeColor="text1"/>
          <w:szCs w:val="24"/>
        </w:rPr>
        <w:t>928</w:t>
      </w:r>
      <w:r w:rsidR="00867FC1">
        <w:rPr>
          <w:color w:val="000000" w:themeColor="text1"/>
          <w:szCs w:val="24"/>
        </w:rPr>
        <w:t> </w:t>
      </w:r>
      <w:r>
        <w:rPr>
          <w:color w:val="000000" w:themeColor="text1"/>
          <w:szCs w:val="24"/>
        </w:rPr>
        <w:t>tis.</w:t>
      </w:r>
      <w:r w:rsidR="00867FC1">
        <w:rPr>
          <w:color w:val="000000" w:themeColor="text1"/>
          <w:szCs w:val="24"/>
        </w:rPr>
        <w:t> </w:t>
      </w:r>
      <w:r>
        <w:rPr>
          <w:color w:val="000000" w:themeColor="text1"/>
          <w:szCs w:val="24"/>
        </w:rPr>
        <w:t>eur a medziročne boli tieto príjmy nižšie o</w:t>
      </w:r>
      <w:r w:rsidR="00867FC1">
        <w:rPr>
          <w:color w:val="000000" w:themeColor="text1"/>
          <w:szCs w:val="24"/>
        </w:rPr>
        <w:t> </w:t>
      </w:r>
      <w:r>
        <w:rPr>
          <w:color w:val="000000" w:themeColor="text1"/>
          <w:szCs w:val="24"/>
        </w:rPr>
        <w:t>56</w:t>
      </w:r>
      <w:r w:rsidR="00867FC1">
        <w:rPr>
          <w:color w:val="000000" w:themeColor="text1"/>
          <w:szCs w:val="24"/>
        </w:rPr>
        <w:t> </w:t>
      </w:r>
      <w:r>
        <w:rPr>
          <w:color w:val="000000" w:themeColor="text1"/>
          <w:szCs w:val="24"/>
        </w:rPr>
        <w:t>921</w:t>
      </w:r>
      <w:r w:rsidR="00867FC1">
        <w:rPr>
          <w:color w:val="000000" w:themeColor="text1"/>
          <w:szCs w:val="24"/>
        </w:rPr>
        <w:t> </w:t>
      </w:r>
      <w:r>
        <w:rPr>
          <w:color w:val="000000" w:themeColor="text1"/>
          <w:szCs w:val="24"/>
        </w:rPr>
        <w:t>tis.</w:t>
      </w:r>
      <w:r w:rsidR="00867FC1">
        <w:rPr>
          <w:color w:val="000000" w:themeColor="text1"/>
          <w:szCs w:val="24"/>
        </w:rPr>
        <w:t> </w:t>
      </w:r>
      <w:r>
        <w:rPr>
          <w:color w:val="000000" w:themeColor="text1"/>
          <w:szCs w:val="24"/>
        </w:rPr>
        <w:t>eur</w:t>
      </w:r>
      <w:r w:rsidRPr="005A0507">
        <w:rPr>
          <w:color w:val="000000" w:themeColor="text1"/>
          <w:szCs w:val="24"/>
        </w:rPr>
        <w:t>. Pokles príjmov súvisel predovšetkým s vývojom menovej politiky Európskej centrálnej banky, ktorá v priebehu roka 2025 realizovala štyri zníženia kľúčových úrokových sadzieb v celkovom rozsahu 1</w:t>
      </w:r>
      <w:r w:rsidR="00867FC1">
        <w:rPr>
          <w:color w:val="000000" w:themeColor="text1"/>
          <w:szCs w:val="24"/>
        </w:rPr>
        <w:t> </w:t>
      </w:r>
      <w:r w:rsidRPr="005A0507">
        <w:rPr>
          <w:color w:val="000000" w:themeColor="text1"/>
          <w:szCs w:val="24"/>
        </w:rPr>
        <w:t>%, čo sa premietlo do</w:t>
      </w:r>
      <w:r w:rsidR="00867FC1">
        <w:rPr>
          <w:color w:val="000000" w:themeColor="text1"/>
          <w:szCs w:val="24"/>
        </w:rPr>
        <w:t> </w:t>
      </w:r>
      <w:r w:rsidRPr="005A0507">
        <w:rPr>
          <w:color w:val="000000" w:themeColor="text1"/>
          <w:szCs w:val="24"/>
        </w:rPr>
        <w:t>úpravy úrokových sadzieb pre bežné účty a termínované vklady klientov Štátnej pokladnice.</w:t>
      </w:r>
    </w:p>
    <w:p w14:paraId="7C8EF7D4" w14:textId="77777777" w:rsidR="00867FC1" w:rsidRPr="005A0507" w:rsidRDefault="00867FC1" w:rsidP="00C86B57">
      <w:pPr>
        <w:spacing w:line="240" w:lineRule="auto"/>
        <w:jc w:val="both"/>
        <w:rPr>
          <w:color w:val="000000" w:themeColor="text1"/>
          <w:szCs w:val="24"/>
          <w:highlight w:val="yellow"/>
        </w:rPr>
      </w:pPr>
    </w:p>
    <w:p w14:paraId="622336E1" w14:textId="6E7A3B3C" w:rsidR="00C86B57" w:rsidRDefault="00C86B57" w:rsidP="00C86B57">
      <w:pPr>
        <w:spacing w:line="240" w:lineRule="auto"/>
        <w:jc w:val="both"/>
        <w:rPr>
          <w:color w:val="000000" w:themeColor="text1"/>
          <w:szCs w:val="24"/>
        </w:rPr>
      </w:pPr>
      <w:r w:rsidRPr="00084FDC">
        <w:rPr>
          <w:color w:val="000000" w:themeColor="text1"/>
          <w:szCs w:val="24"/>
        </w:rPr>
        <w:t>Z návratných finančných výpomocí boli splatené úroky hlavne od Agentúry pre núdzové zásoby ropy a ropných výrobkov, v sume 4</w:t>
      </w:r>
      <w:r w:rsidR="00867FC1">
        <w:rPr>
          <w:color w:val="000000" w:themeColor="text1"/>
          <w:szCs w:val="24"/>
        </w:rPr>
        <w:t> </w:t>
      </w:r>
      <w:r w:rsidRPr="00084FDC">
        <w:rPr>
          <w:color w:val="000000" w:themeColor="text1"/>
          <w:szCs w:val="24"/>
        </w:rPr>
        <w:t>968 tis. eur.</w:t>
      </w:r>
    </w:p>
    <w:p w14:paraId="33D886AF" w14:textId="77777777" w:rsidR="00867FC1" w:rsidRDefault="00867FC1" w:rsidP="00C86B57">
      <w:pPr>
        <w:spacing w:line="240" w:lineRule="auto"/>
        <w:jc w:val="both"/>
        <w:rPr>
          <w:color w:val="000000" w:themeColor="text1"/>
          <w:szCs w:val="24"/>
        </w:rPr>
      </w:pPr>
    </w:p>
    <w:p w14:paraId="7BFD3D5C" w14:textId="56DA7545" w:rsidR="00C86B57" w:rsidRDefault="00C86B57" w:rsidP="00C86B57">
      <w:pPr>
        <w:tabs>
          <w:tab w:val="left" w:pos="284"/>
        </w:tabs>
        <w:spacing w:line="240" w:lineRule="auto"/>
        <w:jc w:val="both"/>
        <w:rPr>
          <w:color w:val="000000" w:themeColor="text1"/>
          <w:szCs w:val="24"/>
        </w:rPr>
      </w:pPr>
      <w:r w:rsidRPr="00526639">
        <w:rPr>
          <w:b/>
          <w:color w:val="000000" w:themeColor="text1"/>
          <w:szCs w:val="24"/>
        </w:rPr>
        <w:t>Iné nedaňové príjmy</w:t>
      </w:r>
      <w:r w:rsidRPr="00526639">
        <w:rPr>
          <w:color w:val="000000" w:themeColor="text1"/>
          <w:szCs w:val="24"/>
        </w:rPr>
        <w:t xml:space="preserve"> tvoria najmä odvod z hazardných hier, odvod prevádzkovateľov distribučných sústav a prenosovej sústavy, ostatné odvody a príjem z nezrovnalostí a</w:t>
      </w:r>
      <w:r>
        <w:rPr>
          <w:color w:val="000000" w:themeColor="text1"/>
          <w:szCs w:val="24"/>
        </w:rPr>
        <w:t> </w:t>
      </w:r>
      <w:r w:rsidRPr="00526639">
        <w:rPr>
          <w:color w:val="000000" w:themeColor="text1"/>
          <w:szCs w:val="24"/>
        </w:rPr>
        <w:t xml:space="preserve">iných vratiek za prostriedky EÚ. </w:t>
      </w:r>
      <w:r w:rsidRPr="00DE2775">
        <w:rPr>
          <w:color w:val="000000" w:themeColor="text1"/>
          <w:szCs w:val="24"/>
        </w:rPr>
        <w:t>K 31.12.</w:t>
      </w:r>
      <w:r w:rsidR="00632A05" w:rsidRPr="00DE2775">
        <w:rPr>
          <w:color w:val="000000" w:themeColor="text1"/>
          <w:szCs w:val="24"/>
        </w:rPr>
        <w:t>202</w:t>
      </w:r>
      <w:r w:rsidR="00632A05">
        <w:rPr>
          <w:color w:val="000000" w:themeColor="text1"/>
          <w:szCs w:val="24"/>
        </w:rPr>
        <w:t>5</w:t>
      </w:r>
      <w:r w:rsidR="00632A05" w:rsidRPr="00DE2775">
        <w:rPr>
          <w:color w:val="000000" w:themeColor="text1"/>
          <w:szCs w:val="24"/>
        </w:rPr>
        <w:t xml:space="preserve"> </w:t>
      </w:r>
      <w:r w:rsidRPr="00DE2775">
        <w:rPr>
          <w:color w:val="000000" w:themeColor="text1"/>
          <w:szCs w:val="24"/>
        </w:rPr>
        <w:t xml:space="preserve">dosiahli iné nedaňové príjmy sumu </w:t>
      </w:r>
      <w:r>
        <w:rPr>
          <w:color w:val="000000" w:themeColor="text1"/>
          <w:szCs w:val="24"/>
        </w:rPr>
        <w:t>685</w:t>
      </w:r>
      <w:r w:rsidR="00867FC1">
        <w:rPr>
          <w:color w:val="000000" w:themeColor="text1"/>
          <w:szCs w:val="24"/>
        </w:rPr>
        <w:t> </w:t>
      </w:r>
      <w:r>
        <w:rPr>
          <w:color w:val="000000" w:themeColor="text1"/>
          <w:szCs w:val="24"/>
        </w:rPr>
        <w:t>110 tis. eur a oproti schválenému rozpočtu sú vyššie o</w:t>
      </w:r>
      <w:r w:rsidR="00867FC1">
        <w:rPr>
          <w:color w:val="000000" w:themeColor="text1"/>
          <w:szCs w:val="24"/>
        </w:rPr>
        <w:t> </w:t>
      </w:r>
      <w:r>
        <w:rPr>
          <w:color w:val="000000" w:themeColor="text1"/>
          <w:szCs w:val="24"/>
        </w:rPr>
        <w:t>142</w:t>
      </w:r>
      <w:r w:rsidR="00867FC1">
        <w:rPr>
          <w:color w:val="000000" w:themeColor="text1"/>
          <w:szCs w:val="24"/>
        </w:rPr>
        <w:t> </w:t>
      </w:r>
      <w:r>
        <w:rPr>
          <w:color w:val="000000" w:themeColor="text1"/>
          <w:szCs w:val="24"/>
        </w:rPr>
        <w:t>359 tis. eur.</w:t>
      </w:r>
    </w:p>
    <w:p w14:paraId="146EFF91" w14:textId="77777777" w:rsidR="00867FC1" w:rsidRPr="00DE2775" w:rsidRDefault="00867FC1" w:rsidP="00C86B57">
      <w:pPr>
        <w:tabs>
          <w:tab w:val="left" w:pos="284"/>
        </w:tabs>
        <w:spacing w:line="240" w:lineRule="auto"/>
        <w:jc w:val="both"/>
        <w:rPr>
          <w:color w:val="000000" w:themeColor="text1"/>
          <w:szCs w:val="24"/>
        </w:rPr>
      </w:pPr>
    </w:p>
    <w:p w14:paraId="3D27FAA4" w14:textId="07ACB601" w:rsidR="00C86B57" w:rsidRDefault="00C86B57" w:rsidP="00C86B57">
      <w:pPr>
        <w:spacing w:line="240" w:lineRule="auto"/>
        <w:jc w:val="both"/>
        <w:rPr>
          <w:rFonts w:eastAsia="Calibri" w:cs="Times New Roman"/>
          <w:szCs w:val="24"/>
        </w:rPr>
      </w:pPr>
      <w:r w:rsidRPr="0006581C">
        <w:rPr>
          <w:b/>
          <w:i/>
          <w:color w:val="000000" w:themeColor="text1"/>
          <w:szCs w:val="24"/>
        </w:rPr>
        <w:t>Príjem z odvodu z hazardných hier</w:t>
      </w:r>
      <w:r w:rsidRPr="0006581C">
        <w:rPr>
          <w:color w:val="000000" w:themeColor="text1"/>
          <w:szCs w:val="24"/>
        </w:rPr>
        <w:t xml:space="preserve"> dosiahol </w:t>
      </w:r>
      <w:r>
        <w:rPr>
          <w:color w:val="000000" w:themeColor="text1"/>
          <w:szCs w:val="24"/>
        </w:rPr>
        <w:t>369</w:t>
      </w:r>
      <w:r w:rsidR="00867FC1">
        <w:rPr>
          <w:color w:val="000000" w:themeColor="text1"/>
          <w:szCs w:val="24"/>
        </w:rPr>
        <w:t> </w:t>
      </w:r>
      <w:r>
        <w:rPr>
          <w:color w:val="000000" w:themeColor="text1"/>
          <w:szCs w:val="24"/>
        </w:rPr>
        <w:t>926</w:t>
      </w:r>
      <w:r w:rsidRPr="0006581C">
        <w:rPr>
          <w:color w:val="000000" w:themeColor="text1"/>
          <w:szCs w:val="24"/>
        </w:rPr>
        <w:t> tis. eu</w:t>
      </w:r>
      <w:r>
        <w:rPr>
          <w:color w:val="000000" w:themeColor="text1"/>
          <w:szCs w:val="24"/>
        </w:rPr>
        <w:t>r, čo predstavovalo takmer 100</w:t>
      </w:r>
      <w:r w:rsidR="00867FC1">
        <w:rPr>
          <w:color w:val="000000" w:themeColor="text1"/>
          <w:szCs w:val="24"/>
        </w:rPr>
        <w:t> </w:t>
      </w:r>
      <w:r>
        <w:rPr>
          <w:color w:val="000000" w:themeColor="text1"/>
          <w:szCs w:val="24"/>
        </w:rPr>
        <w:t>% rozpočtu.</w:t>
      </w:r>
      <w:r w:rsidRPr="0006581C">
        <w:rPr>
          <w:color w:val="000000" w:themeColor="text1"/>
          <w:szCs w:val="24"/>
        </w:rPr>
        <w:t xml:space="preserve"> </w:t>
      </w:r>
      <w:r>
        <w:rPr>
          <w:rFonts w:eastAsia="Calibri" w:cs="Times New Roman"/>
          <w:szCs w:val="24"/>
        </w:rPr>
        <w:t>Oproti predchádzajúcemu roku sú príjmy vyššie o 22</w:t>
      </w:r>
      <w:r w:rsidR="00867FC1">
        <w:rPr>
          <w:rFonts w:eastAsia="Calibri" w:cs="Times New Roman"/>
          <w:szCs w:val="24"/>
        </w:rPr>
        <w:t> </w:t>
      </w:r>
      <w:r>
        <w:rPr>
          <w:rFonts w:eastAsia="Calibri" w:cs="Times New Roman"/>
          <w:szCs w:val="24"/>
        </w:rPr>
        <w:t>670</w:t>
      </w:r>
      <w:r w:rsidR="00867FC1">
        <w:rPr>
          <w:rFonts w:eastAsia="Calibri" w:cs="Times New Roman"/>
          <w:szCs w:val="24"/>
        </w:rPr>
        <w:t> </w:t>
      </w:r>
      <w:r>
        <w:rPr>
          <w:rFonts w:eastAsia="Calibri" w:cs="Times New Roman"/>
          <w:szCs w:val="24"/>
        </w:rPr>
        <w:t>tis.</w:t>
      </w:r>
      <w:r w:rsidR="00867FC1">
        <w:rPr>
          <w:rFonts w:eastAsia="Calibri" w:cs="Times New Roman"/>
          <w:szCs w:val="24"/>
        </w:rPr>
        <w:t> </w:t>
      </w:r>
      <w:r>
        <w:rPr>
          <w:rFonts w:eastAsia="Calibri" w:cs="Times New Roman"/>
          <w:szCs w:val="24"/>
        </w:rPr>
        <w:t xml:space="preserve">eur, čo mierne zaostáva </w:t>
      </w:r>
      <w:r>
        <w:rPr>
          <w:rFonts w:eastAsia="Calibri" w:cs="Times New Roman"/>
          <w:szCs w:val="24"/>
        </w:rPr>
        <w:lastRenderedPageBreak/>
        <w:t xml:space="preserve">za predpokladom rozpočtu na dlhodobejšom horizonte, </w:t>
      </w:r>
      <w:r w:rsidRPr="004D3C88">
        <w:rPr>
          <w:rFonts w:eastAsia="Calibri" w:cs="Times New Roman"/>
          <w:szCs w:val="24"/>
        </w:rPr>
        <w:t>kde sa predpokladá medziročný rast 8</w:t>
      </w:r>
      <w:r w:rsidR="00867FC1">
        <w:rPr>
          <w:rFonts w:eastAsia="Calibri" w:cs="Times New Roman"/>
          <w:szCs w:val="24"/>
        </w:rPr>
        <w:t> </w:t>
      </w:r>
      <w:r w:rsidRPr="004D3C88">
        <w:rPr>
          <w:rFonts w:eastAsia="Calibri" w:cs="Times New Roman"/>
          <w:szCs w:val="24"/>
        </w:rPr>
        <w:t>-</w:t>
      </w:r>
      <w:r w:rsidR="00867FC1">
        <w:rPr>
          <w:rFonts w:eastAsia="Calibri" w:cs="Times New Roman"/>
          <w:szCs w:val="24"/>
        </w:rPr>
        <w:t> </w:t>
      </w:r>
      <w:r w:rsidRPr="004D3C88">
        <w:rPr>
          <w:rFonts w:eastAsia="Calibri" w:cs="Times New Roman"/>
          <w:szCs w:val="24"/>
        </w:rPr>
        <w:t>9</w:t>
      </w:r>
      <w:r w:rsidR="00867FC1">
        <w:rPr>
          <w:rFonts w:eastAsia="Calibri" w:cs="Times New Roman"/>
          <w:szCs w:val="24"/>
        </w:rPr>
        <w:t> </w:t>
      </w:r>
      <w:r w:rsidRPr="004D3C88">
        <w:rPr>
          <w:rFonts w:eastAsia="Calibri" w:cs="Times New Roman"/>
          <w:szCs w:val="24"/>
        </w:rPr>
        <w:t>% ročne.</w:t>
      </w:r>
      <w:bookmarkStart w:id="112" w:name="_2et92p0"/>
      <w:bookmarkEnd w:id="112"/>
    </w:p>
    <w:p w14:paraId="2C90678D" w14:textId="77777777" w:rsidR="00867FC1" w:rsidRPr="00B67062" w:rsidRDefault="00867FC1" w:rsidP="00C86B57">
      <w:pPr>
        <w:spacing w:line="240" w:lineRule="auto"/>
        <w:jc w:val="both"/>
        <w:rPr>
          <w:color w:val="000000" w:themeColor="text1"/>
          <w:szCs w:val="24"/>
        </w:rPr>
      </w:pPr>
    </w:p>
    <w:p w14:paraId="41C7481C" w14:textId="3DE8A97D" w:rsidR="00C86B57" w:rsidRDefault="00C86B57" w:rsidP="00C86B57">
      <w:pPr>
        <w:tabs>
          <w:tab w:val="left" w:pos="284"/>
        </w:tabs>
        <w:spacing w:line="240" w:lineRule="auto"/>
        <w:jc w:val="both"/>
        <w:rPr>
          <w:rFonts w:cs="Times New Roman"/>
          <w:color w:val="000000" w:themeColor="text1"/>
          <w:szCs w:val="24"/>
        </w:rPr>
      </w:pPr>
      <w:r w:rsidRPr="005A3132">
        <w:rPr>
          <w:b/>
          <w:i/>
          <w:color w:val="000000" w:themeColor="text1"/>
          <w:szCs w:val="24"/>
        </w:rPr>
        <w:t xml:space="preserve">Príjmy z vratiek </w:t>
      </w:r>
      <w:r w:rsidRPr="005A3132">
        <w:rPr>
          <w:color w:val="000000" w:themeColor="text1"/>
          <w:szCs w:val="24"/>
        </w:rPr>
        <w:t xml:space="preserve">dosiahli celkovú sumu </w:t>
      </w:r>
      <w:r>
        <w:rPr>
          <w:color w:val="000000" w:themeColor="text1"/>
          <w:szCs w:val="24"/>
        </w:rPr>
        <w:t>57</w:t>
      </w:r>
      <w:r w:rsidR="00867FC1">
        <w:rPr>
          <w:color w:val="000000" w:themeColor="text1"/>
          <w:szCs w:val="24"/>
        </w:rPr>
        <w:t> </w:t>
      </w:r>
      <w:r>
        <w:rPr>
          <w:color w:val="000000" w:themeColor="text1"/>
          <w:szCs w:val="24"/>
        </w:rPr>
        <w:t>662</w:t>
      </w:r>
      <w:r w:rsidRPr="005A3132">
        <w:rPr>
          <w:color w:val="000000" w:themeColor="text1"/>
          <w:szCs w:val="24"/>
        </w:rPr>
        <w:t xml:space="preserve"> tis. eur, z toho </w:t>
      </w:r>
      <w:r w:rsidRPr="005A3132">
        <w:rPr>
          <w:rFonts w:cs="Times New Roman"/>
          <w:color w:val="000000" w:themeColor="text1"/>
          <w:szCs w:val="24"/>
        </w:rPr>
        <w:t>najviac</w:t>
      </w:r>
      <w:r>
        <w:rPr>
          <w:rFonts w:cs="Times New Roman"/>
          <w:color w:val="000000" w:themeColor="text1"/>
          <w:szCs w:val="24"/>
        </w:rPr>
        <w:t xml:space="preserve"> Ministerstvo kultúry SR 12</w:t>
      </w:r>
      <w:r w:rsidR="00867FC1">
        <w:rPr>
          <w:rFonts w:cs="Times New Roman"/>
          <w:color w:val="000000" w:themeColor="text1"/>
          <w:szCs w:val="24"/>
        </w:rPr>
        <w:t> </w:t>
      </w:r>
      <w:r>
        <w:rPr>
          <w:rFonts w:cs="Times New Roman"/>
          <w:color w:val="000000" w:themeColor="text1"/>
          <w:szCs w:val="24"/>
        </w:rPr>
        <w:t>568 tis. eur, Ministerstvo školstva, výskumu a vývoja SR 10</w:t>
      </w:r>
      <w:r w:rsidR="00867FC1">
        <w:rPr>
          <w:rFonts w:cs="Times New Roman"/>
          <w:color w:val="000000" w:themeColor="text1"/>
          <w:szCs w:val="24"/>
        </w:rPr>
        <w:t> </w:t>
      </w:r>
      <w:r>
        <w:rPr>
          <w:rFonts w:cs="Times New Roman"/>
          <w:color w:val="000000" w:themeColor="text1"/>
          <w:szCs w:val="24"/>
        </w:rPr>
        <w:t>319</w:t>
      </w:r>
      <w:r w:rsidR="00867FC1">
        <w:rPr>
          <w:rFonts w:cs="Times New Roman"/>
          <w:color w:val="000000" w:themeColor="text1"/>
          <w:szCs w:val="24"/>
        </w:rPr>
        <w:t> </w:t>
      </w:r>
      <w:r>
        <w:rPr>
          <w:rFonts w:cs="Times New Roman"/>
          <w:color w:val="000000" w:themeColor="text1"/>
          <w:szCs w:val="24"/>
        </w:rPr>
        <w:t>tis.</w:t>
      </w:r>
      <w:r w:rsidR="00867FC1">
        <w:rPr>
          <w:rFonts w:cs="Times New Roman"/>
          <w:color w:val="000000" w:themeColor="text1"/>
          <w:szCs w:val="24"/>
        </w:rPr>
        <w:t> </w:t>
      </w:r>
      <w:r>
        <w:rPr>
          <w:rFonts w:cs="Times New Roman"/>
          <w:color w:val="000000" w:themeColor="text1"/>
          <w:szCs w:val="24"/>
        </w:rPr>
        <w:t>eur, Ministerstvo zdravotníctva SR 9</w:t>
      </w:r>
      <w:r w:rsidR="00867FC1">
        <w:rPr>
          <w:rFonts w:cs="Times New Roman"/>
          <w:color w:val="000000" w:themeColor="text1"/>
          <w:szCs w:val="24"/>
        </w:rPr>
        <w:t> </w:t>
      </w:r>
      <w:r>
        <w:rPr>
          <w:rFonts w:cs="Times New Roman"/>
          <w:color w:val="000000" w:themeColor="text1"/>
          <w:szCs w:val="24"/>
        </w:rPr>
        <w:t>872</w:t>
      </w:r>
      <w:r w:rsidR="00867FC1">
        <w:rPr>
          <w:rFonts w:cs="Times New Roman"/>
          <w:color w:val="000000" w:themeColor="text1"/>
          <w:szCs w:val="24"/>
        </w:rPr>
        <w:t> </w:t>
      </w:r>
      <w:r>
        <w:rPr>
          <w:rFonts w:cs="Times New Roman"/>
          <w:color w:val="000000" w:themeColor="text1"/>
          <w:szCs w:val="24"/>
        </w:rPr>
        <w:t>tis.</w:t>
      </w:r>
      <w:r w:rsidR="00867FC1">
        <w:rPr>
          <w:rFonts w:cs="Times New Roman"/>
          <w:color w:val="000000" w:themeColor="text1"/>
          <w:szCs w:val="24"/>
        </w:rPr>
        <w:t> </w:t>
      </w:r>
      <w:r>
        <w:rPr>
          <w:rFonts w:cs="Times New Roman"/>
          <w:color w:val="000000" w:themeColor="text1"/>
          <w:szCs w:val="24"/>
        </w:rPr>
        <w:t>eur, Ministerstvo hospodárstva SR 9</w:t>
      </w:r>
      <w:r w:rsidR="00867FC1">
        <w:rPr>
          <w:rFonts w:cs="Times New Roman"/>
          <w:color w:val="000000" w:themeColor="text1"/>
          <w:szCs w:val="24"/>
        </w:rPr>
        <w:t> </w:t>
      </w:r>
      <w:r>
        <w:rPr>
          <w:rFonts w:cs="Times New Roman"/>
          <w:color w:val="000000" w:themeColor="text1"/>
          <w:szCs w:val="24"/>
        </w:rPr>
        <w:t>754</w:t>
      </w:r>
      <w:r w:rsidR="00867FC1">
        <w:rPr>
          <w:rFonts w:cs="Times New Roman"/>
          <w:color w:val="000000" w:themeColor="text1"/>
          <w:szCs w:val="24"/>
        </w:rPr>
        <w:t> </w:t>
      </w:r>
      <w:r>
        <w:rPr>
          <w:rFonts w:cs="Times New Roman"/>
          <w:color w:val="000000" w:themeColor="text1"/>
          <w:szCs w:val="24"/>
        </w:rPr>
        <w:t>tis.</w:t>
      </w:r>
      <w:r w:rsidR="00867FC1">
        <w:rPr>
          <w:rFonts w:cs="Times New Roman"/>
          <w:color w:val="000000" w:themeColor="text1"/>
          <w:szCs w:val="24"/>
        </w:rPr>
        <w:t> </w:t>
      </w:r>
      <w:r>
        <w:rPr>
          <w:rFonts w:cs="Times New Roman"/>
          <w:color w:val="000000" w:themeColor="text1"/>
          <w:szCs w:val="24"/>
        </w:rPr>
        <w:t>eur. Ide o vrátenia prostriedkov z nevyčerpaných bežných príspevkov, dotácií, transferov, finančných príspevkov od zamestnávateľov, z vrátených platieb za odškodnenie osôb, z ročného zúčtovania zdravotného poistenia za zamestnávateľa, z DPH minulých rokov a ďalšie vratky.</w:t>
      </w:r>
    </w:p>
    <w:p w14:paraId="1EEB263B" w14:textId="77777777" w:rsidR="00867FC1" w:rsidRDefault="00867FC1" w:rsidP="00C86B57">
      <w:pPr>
        <w:tabs>
          <w:tab w:val="left" w:pos="284"/>
        </w:tabs>
        <w:spacing w:line="240" w:lineRule="auto"/>
        <w:jc w:val="both"/>
        <w:rPr>
          <w:rFonts w:cs="Times New Roman"/>
          <w:color w:val="000000" w:themeColor="text1"/>
          <w:szCs w:val="24"/>
        </w:rPr>
      </w:pPr>
    </w:p>
    <w:p w14:paraId="15262E8B" w14:textId="64C83F4A" w:rsidR="00C86B57" w:rsidRDefault="00C86B57" w:rsidP="00C86B57">
      <w:pPr>
        <w:tabs>
          <w:tab w:val="left" w:pos="284"/>
        </w:tabs>
        <w:spacing w:line="240" w:lineRule="auto"/>
        <w:jc w:val="both"/>
        <w:rPr>
          <w:color w:val="000000" w:themeColor="text1"/>
          <w:szCs w:val="24"/>
        </w:rPr>
      </w:pPr>
      <w:r w:rsidRPr="001D4167">
        <w:rPr>
          <w:b/>
          <w:i/>
          <w:color w:val="000000" w:themeColor="text1"/>
          <w:szCs w:val="24"/>
        </w:rPr>
        <w:t>Príjmy z odvodu</w:t>
      </w:r>
      <w:r w:rsidRPr="001D4167">
        <w:rPr>
          <w:color w:val="000000" w:themeColor="text1"/>
          <w:szCs w:val="24"/>
        </w:rPr>
        <w:t xml:space="preserve"> tvorili finančné prostriedky zo zúčtovania vzťahov so</w:t>
      </w:r>
      <w:r w:rsidR="00867FC1">
        <w:rPr>
          <w:color w:val="000000" w:themeColor="text1"/>
          <w:szCs w:val="24"/>
        </w:rPr>
        <w:t> </w:t>
      </w:r>
      <w:r w:rsidRPr="001D4167">
        <w:rPr>
          <w:color w:val="000000" w:themeColor="text1"/>
          <w:szCs w:val="24"/>
        </w:rPr>
        <w:t xml:space="preserve">štátnym rozpočtom zo strany podnikateľských subjektov, príspevkových a rozpočtových organizácií, ústredných orgánov, neziskových organizácií, obcí a vyšších územných celkov, ktorým tieto prostriedky </w:t>
      </w:r>
      <w:r w:rsidRPr="007008E8">
        <w:rPr>
          <w:color w:val="000000" w:themeColor="text1"/>
          <w:szCs w:val="24"/>
        </w:rPr>
        <w:t>štátneho rozpočtu boli poskytnuté.</w:t>
      </w:r>
    </w:p>
    <w:p w14:paraId="7EA67348" w14:textId="77777777" w:rsidR="00867FC1" w:rsidRPr="007008E8" w:rsidRDefault="00867FC1" w:rsidP="00C86B57">
      <w:pPr>
        <w:tabs>
          <w:tab w:val="left" w:pos="284"/>
        </w:tabs>
        <w:spacing w:line="240" w:lineRule="auto"/>
        <w:jc w:val="both"/>
        <w:rPr>
          <w:color w:val="000000" w:themeColor="text1"/>
          <w:szCs w:val="24"/>
        </w:rPr>
      </w:pPr>
    </w:p>
    <w:p w14:paraId="74D45233" w14:textId="5F614802" w:rsidR="00C86B57" w:rsidRDefault="00C86B57" w:rsidP="00C86B57">
      <w:pPr>
        <w:tabs>
          <w:tab w:val="left" w:pos="284"/>
        </w:tabs>
        <w:spacing w:line="240" w:lineRule="auto"/>
        <w:jc w:val="both"/>
        <w:rPr>
          <w:color w:val="000000" w:themeColor="text1"/>
          <w:szCs w:val="24"/>
        </w:rPr>
      </w:pPr>
      <w:r w:rsidRPr="003424A1">
        <w:rPr>
          <w:color w:val="000000" w:themeColor="text1"/>
          <w:szCs w:val="24"/>
        </w:rPr>
        <w:t xml:space="preserve">Objem príjmov z odvodov dosiahol </w:t>
      </w:r>
      <w:r>
        <w:rPr>
          <w:color w:val="000000" w:themeColor="text1"/>
          <w:szCs w:val="24"/>
        </w:rPr>
        <w:t>46</w:t>
      </w:r>
      <w:r w:rsidR="00867FC1">
        <w:rPr>
          <w:color w:val="000000" w:themeColor="text1"/>
          <w:szCs w:val="24"/>
        </w:rPr>
        <w:t> </w:t>
      </w:r>
      <w:r>
        <w:rPr>
          <w:color w:val="000000" w:themeColor="text1"/>
          <w:szCs w:val="24"/>
        </w:rPr>
        <w:t>079</w:t>
      </w:r>
      <w:r w:rsidRPr="003424A1">
        <w:rPr>
          <w:color w:val="000000" w:themeColor="text1"/>
          <w:szCs w:val="24"/>
        </w:rPr>
        <w:t> tis. eur a takmer celú hodnotu vyinkasovalo Ministerstvo práce, soci</w:t>
      </w:r>
      <w:r>
        <w:rPr>
          <w:color w:val="000000" w:themeColor="text1"/>
          <w:szCs w:val="24"/>
        </w:rPr>
        <w:t>álnych vecí a rodiny SR, 44</w:t>
      </w:r>
      <w:r w:rsidR="00867FC1">
        <w:rPr>
          <w:color w:val="000000" w:themeColor="text1"/>
          <w:szCs w:val="24"/>
        </w:rPr>
        <w:t> </w:t>
      </w:r>
      <w:r>
        <w:rPr>
          <w:color w:val="000000" w:themeColor="text1"/>
          <w:szCs w:val="24"/>
        </w:rPr>
        <w:t>855</w:t>
      </w:r>
      <w:r w:rsidR="00867FC1">
        <w:rPr>
          <w:color w:val="000000" w:themeColor="text1"/>
          <w:szCs w:val="24"/>
        </w:rPr>
        <w:t> </w:t>
      </w:r>
      <w:r>
        <w:rPr>
          <w:color w:val="000000" w:themeColor="text1"/>
          <w:szCs w:val="24"/>
        </w:rPr>
        <w:t>tis. </w:t>
      </w:r>
      <w:r w:rsidRPr="003424A1">
        <w:rPr>
          <w:color w:val="000000" w:themeColor="text1"/>
          <w:szCs w:val="24"/>
        </w:rPr>
        <w:t>eur, pričom išlo práve o</w:t>
      </w:r>
      <w:r>
        <w:rPr>
          <w:color w:val="000000" w:themeColor="text1"/>
          <w:szCs w:val="24"/>
        </w:rPr>
        <w:t> </w:t>
      </w:r>
      <w:r w:rsidRPr="003424A1">
        <w:rPr>
          <w:color w:val="000000" w:themeColor="text1"/>
          <w:szCs w:val="24"/>
        </w:rPr>
        <w:t xml:space="preserve">odvody z finančného zúčtovania príspevkov a dotácií poskytnutých </w:t>
      </w:r>
      <w:r>
        <w:rPr>
          <w:color w:val="000000" w:themeColor="text1"/>
          <w:szCs w:val="24"/>
        </w:rPr>
        <w:t>v</w:t>
      </w:r>
      <w:r w:rsidRPr="003424A1">
        <w:rPr>
          <w:color w:val="000000" w:themeColor="text1"/>
          <w:szCs w:val="24"/>
        </w:rPr>
        <w:t> minulých obdob</w:t>
      </w:r>
      <w:r>
        <w:rPr>
          <w:color w:val="000000" w:themeColor="text1"/>
          <w:szCs w:val="24"/>
        </w:rPr>
        <w:t>iach</w:t>
      </w:r>
      <w:r w:rsidRPr="003424A1">
        <w:rPr>
          <w:color w:val="000000" w:themeColor="text1"/>
          <w:szCs w:val="24"/>
        </w:rPr>
        <w:t>, najmä zo</w:t>
      </w:r>
      <w:r>
        <w:rPr>
          <w:color w:val="000000" w:themeColor="text1"/>
          <w:szCs w:val="24"/>
        </w:rPr>
        <w:t> </w:t>
      </w:r>
      <w:r w:rsidRPr="003424A1">
        <w:rPr>
          <w:color w:val="000000" w:themeColor="text1"/>
          <w:szCs w:val="24"/>
        </w:rPr>
        <w:t>Sociá</w:t>
      </w:r>
      <w:r>
        <w:rPr>
          <w:color w:val="000000" w:themeColor="text1"/>
          <w:szCs w:val="24"/>
        </w:rPr>
        <w:t>lnej poisťovne z vyplácania 13. </w:t>
      </w:r>
      <w:r w:rsidRPr="003424A1">
        <w:rPr>
          <w:color w:val="000000" w:themeColor="text1"/>
          <w:szCs w:val="24"/>
        </w:rPr>
        <w:t>dôchodku</w:t>
      </w:r>
      <w:r>
        <w:rPr>
          <w:color w:val="000000" w:themeColor="text1"/>
          <w:szCs w:val="24"/>
        </w:rPr>
        <w:t>, nesystémové dávky sociálneho poistenia, poistné platené štátom (14</w:t>
      </w:r>
      <w:r w:rsidR="00867FC1">
        <w:rPr>
          <w:color w:val="000000" w:themeColor="text1"/>
          <w:szCs w:val="24"/>
        </w:rPr>
        <w:t> </w:t>
      </w:r>
      <w:r>
        <w:rPr>
          <w:color w:val="000000" w:themeColor="text1"/>
          <w:szCs w:val="24"/>
        </w:rPr>
        <w:t>100</w:t>
      </w:r>
      <w:r w:rsidR="00867FC1">
        <w:rPr>
          <w:color w:val="000000" w:themeColor="text1"/>
          <w:szCs w:val="24"/>
        </w:rPr>
        <w:t> </w:t>
      </w:r>
      <w:r>
        <w:rPr>
          <w:color w:val="000000" w:themeColor="text1"/>
          <w:szCs w:val="24"/>
        </w:rPr>
        <w:t>tis.</w:t>
      </w:r>
      <w:r w:rsidR="00867FC1">
        <w:rPr>
          <w:color w:val="000000" w:themeColor="text1"/>
          <w:szCs w:val="24"/>
        </w:rPr>
        <w:t> </w:t>
      </w:r>
      <w:r>
        <w:rPr>
          <w:color w:val="000000" w:themeColor="text1"/>
          <w:szCs w:val="24"/>
        </w:rPr>
        <w:t>eur)</w:t>
      </w:r>
      <w:r w:rsidRPr="003424A1">
        <w:rPr>
          <w:color w:val="000000" w:themeColor="text1"/>
          <w:szCs w:val="24"/>
        </w:rPr>
        <w:t xml:space="preserve"> a z Ústredia práce, sociálnych vecí a rodiny SR z poskytnutej dotácie na podporu výchovy k stra</w:t>
      </w:r>
      <w:r>
        <w:rPr>
          <w:color w:val="000000" w:themeColor="text1"/>
          <w:szCs w:val="24"/>
        </w:rPr>
        <w:t>vovacím návykom dieťaťa (25</w:t>
      </w:r>
      <w:r w:rsidR="00867FC1">
        <w:rPr>
          <w:color w:val="000000" w:themeColor="text1"/>
          <w:szCs w:val="24"/>
        </w:rPr>
        <w:t> </w:t>
      </w:r>
      <w:r>
        <w:rPr>
          <w:color w:val="000000" w:themeColor="text1"/>
          <w:szCs w:val="24"/>
        </w:rPr>
        <w:t>300 </w:t>
      </w:r>
      <w:r w:rsidRPr="003424A1">
        <w:rPr>
          <w:color w:val="000000" w:themeColor="text1"/>
          <w:szCs w:val="24"/>
        </w:rPr>
        <w:t>tis.</w:t>
      </w:r>
      <w:r>
        <w:rPr>
          <w:color w:val="000000" w:themeColor="text1"/>
          <w:szCs w:val="24"/>
        </w:rPr>
        <w:t> </w:t>
      </w:r>
      <w:r w:rsidRPr="003424A1">
        <w:rPr>
          <w:color w:val="000000" w:themeColor="text1"/>
          <w:szCs w:val="24"/>
        </w:rPr>
        <w:t>eur).</w:t>
      </w:r>
    </w:p>
    <w:p w14:paraId="4FF18407" w14:textId="77777777" w:rsidR="00867FC1" w:rsidRDefault="00867FC1" w:rsidP="00C86B57">
      <w:pPr>
        <w:tabs>
          <w:tab w:val="left" w:pos="284"/>
        </w:tabs>
        <w:spacing w:line="240" w:lineRule="auto"/>
        <w:jc w:val="both"/>
        <w:rPr>
          <w:color w:val="000000" w:themeColor="text1"/>
          <w:szCs w:val="24"/>
        </w:rPr>
      </w:pPr>
    </w:p>
    <w:p w14:paraId="10626837" w14:textId="3CE6AA47" w:rsidR="00C86B57" w:rsidRDefault="00C86B57" w:rsidP="00C86B57">
      <w:pPr>
        <w:spacing w:line="240" w:lineRule="auto"/>
        <w:jc w:val="both"/>
        <w:rPr>
          <w:bCs/>
          <w:iCs/>
          <w:color w:val="000000" w:themeColor="text1"/>
          <w:szCs w:val="24"/>
        </w:rPr>
      </w:pPr>
      <w:r>
        <w:rPr>
          <w:b/>
          <w:i/>
          <w:color w:val="000000" w:themeColor="text1"/>
          <w:szCs w:val="24"/>
        </w:rPr>
        <w:t>Nezrovnalosti a iné vratky za prostriedky EÚ zaradené do štátneho rozpočtu a za prostriedky spolufinancovania</w:t>
      </w:r>
      <w:r>
        <w:rPr>
          <w:bCs/>
          <w:iCs/>
          <w:color w:val="000000" w:themeColor="text1"/>
          <w:szCs w:val="24"/>
        </w:rPr>
        <w:t xml:space="preserve"> boli príjmom kapitol štátneho rozpočtu, na ktorých sú zriadené platobné jednotky. Z celkovej hodnoty 42</w:t>
      </w:r>
      <w:r w:rsidR="00867FC1">
        <w:rPr>
          <w:bCs/>
          <w:iCs/>
          <w:color w:val="000000" w:themeColor="text1"/>
          <w:szCs w:val="24"/>
        </w:rPr>
        <w:t> </w:t>
      </w:r>
      <w:r>
        <w:rPr>
          <w:bCs/>
          <w:iCs/>
          <w:color w:val="000000" w:themeColor="text1"/>
          <w:szCs w:val="24"/>
        </w:rPr>
        <w:t>316 tis. eur tvorili nezrovnalosti za zdroje rozpočtu EÚ 6</w:t>
      </w:r>
      <w:r w:rsidR="00867FC1">
        <w:rPr>
          <w:bCs/>
          <w:iCs/>
          <w:color w:val="000000" w:themeColor="text1"/>
          <w:szCs w:val="24"/>
        </w:rPr>
        <w:t> </w:t>
      </w:r>
      <w:r>
        <w:rPr>
          <w:bCs/>
          <w:iCs/>
          <w:color w:val="000000" w:themeColor="text1"/>
          <w:szCs w:val="24"/>
        </w:rPr>
        <w:t>634 tis. eur, za spolufinancovanie 12</w:t>
      </w:r>
      <w:r w:rsidR="00867FC1">
        <w:rPr>
          <w:bCs/>
          <w:iCs/>
          <w:color w:val="000000" w:themeColor="text1"/>
          <w:szCs w:val="24"/>
        </w:rPr>
        <w:t> </w:t>
      </w:r>
      <w:r>
        <w:rPr>
          <w:bCs/>
          <w:iCs/>
          <w:color w:val="000000" w:themeColor="text1"/>
          <w:szCs w:val="24"/>
        </w:rPr>
        <w:t>532 </w:t>
      </w:r>
      <w:r w:rsidRPr="00B40CA5">
        <w:rPr>
          <w:bCs/>
          <w:iCs/>
          <w:color w:val="000000" w:themeColor="text1"/>
          <w:szCs w:val="24"/>
        </w:rPr>
        <w:t>tis.</w:t>
      </w:r>
      <w:r>
        <w:rPr>
          <w:bCs/>
          <w:iCs/>
          <w:color w:val="000000" w:themeColor="text1"/>
          <w:szCs w:val="24"/>
        </w:rPr>
        <w:t> </w:t>
      </w:r>
      <w:r w:rsidRPr="00B40CA5">
        <w:rPr>
          <w:bCs/>
          <w:iCs/>
          <w:color w:val="000000" w:themeColor="text1"/>
          <w:szCs w:val="24"/>
        </w:rPr>
        <w:t>eur a z </w:t>
      </w:r>
      <w:r>
        <w:rPr>
          <w:bCs/>
          <w:iCs/>
          <w:color w:val="000000" w:themeColor="text1"/>
          <w:szCs w:val="24"/>
        </w:rPr>
        <w:t>POO (bez DPH) 19</w:t>
      </w:r>
      <w:r w:rsidR="00867FC1">
        <w:rPr>
          <w:bCs/>
          <w:iCs/>
          <w:color w:val="000000" w:themeColor="text1"/>
          <w:szCs w:val="24"/>
        </w:rPr>
        <w:t> </w:t>
      </w:r>
      <w:r>
        <w:rPr>
          <w:bCs/>
          <w:iCs/>
          <w:color w:val="000000" w:themeColor="text1"/>
          <w:szCs w:val="24"/>
        </w:rPr>
        <w:t>761 </w:t>
      </w:r>
      <w:r w:rsidRPr="00B40CA5">
        <w:rPr>
          <w:bCs/>
          <w:iCs/>
          <w:color w:val="000000" w:themeColor="text1"/>
          <w:szCs w:val="24"/>
        </w:rPr>
        <w:t>tis.</w:t>
      </w:r>
      <w:r>
        <w:rPr>
          <w:bCs/>
          <w:iCs/>
          <w:color w:val="000000" w:themeColor="text1"/>
          <w:szCs w:val="24"/>
        </w:rPr>
        <w:t> </w:t>
      </w:r>
      <w:r w:rsidRPr="00B40CA5">
        <w:rPr>
          <w:bCs/>
          <w:iCs/>
          <w:color w:val="000000" w:themeColor="text1"/>
          <w:szCs w:val="24"/>
        </w:rPr>
        <w:t>eur.</w:t>
      </w:r>
    </w:p>
    <w:p w14:paraId="623D96FF" w14:textId="77777777" w:rsidR="00867FC1" w:rsidRPr="00B40CA5" w:rsidRDefault="00867FC1" w:rsidP="00C86B57">
      <w:pPr>
        <w:spacing w:line="240" w:lineRule="auto"/>
        <w:jc w:val="both"/>
        <w:rPr>
          <w:bCs/>
          <w:iCs/>
          <w:color w:val="000000" w:themeColor="text1"/>
          <w:szCs w:val="24"/>
        </w:rPr>
      </w:pPr>
    </w:p>
    <w:p w14:paraId="2A44B8DC" w14:textId="46361793" w:rsidR="00C86B57" w:rsidRDefault="00C86B57" w:rsidP="00C86B57">
      <w:pPr>
        <w:spacing w:line="240" w:lineRule="auto"/>
        <w:jc w:val="both"/>
        <w:rPr>
          <w:rFonts w:cs="Times New Roman"/>
          <w:color w:val="000000" w:themeColor="text1"/>
          <w:szCs w:val="24"/>
        </w:rPr>
      </w:pPr>
      <w:r w:rsidRPr="00516DC4">
        <w:rPr>
          <w:b/>
          <w:i/>
          <w:color w:val="000000" w:themeColor="text1"/>
          <w:szCs w:val="24"/>
        </w:rPr>
        <w:t xml:space="preserve">Z ostatných nedaňových príjmov </w:t>
      </w:r>
      <w:r w:rsidRPr="00516DC4">
        <w:rPr>
          <w:bCs/>
          <w:iCs/>
          <w:color w:val="000000" w:themeColor="text1"/>
          <w:szCs w:val="24"/>
        </w:rPr>
        <w:t>vykazuje najvyššiu hodnotu Ministerstvo hospodárstva SR 87</w:t>
      </w:r>
      <w:r w:rsidR="00B92889" w:rsidRPr="00516DC4">
        <w:rPr>
          <w:bCs/>
          <w:iCs/>
          <w:color w:val="000000" w:themeColor="text1"/>
          <w:szCs w:val="24"/>
        </w:rPr>
        <w:t> </w:t>
      </w:r>
      <w:r w:rsidRPr="00516DC4">
        <w:rPr>
          <w:bCs/>
          <w:iCs/>
          <w:color w:val="000000" w:themeColor="text1"/>
          <w:szCs w:val="24"/>
        </w:rPr>
        <w:t>858 tis. eur, najmä z titulu odvodov od prevádzkovateľov distribučných sústav a prenosovej sústavy, ktorí sú povinní odvádzať do štátneho rozpočtu odvod z množstva elektriny dodanej koncovým odberateľom elektriny, Ministerstvo obrany SR 10</w:t>
      </w:r>
      <w:r w:rsidR="00B92889" w:rsidRPr="00516DC4">
        <w:rPr>
          <w:bCs/>
          <w:iCs/>
          <w:color w:val="000000" w:themeColor="text1"/>
          <w:szCs w:val="24"/>
        </w:rPr>
        <w:t> </w:t>
      </w:r>
      <w:r w:rsidRPr="00516DC4">
        <w:rPr>
          <w:bCs/>
          <w:iCs/>
          <w:color w:val="000000" w:themeColor="text1"/>
          <w:szCs w:val="24"/>
        </w:rPr>
        <w:t>924 tis. eur</w:t>
      </w:r>
      <w:r w:rsidRPr="002C6D1B">
        <w:rPr>
          <w:bCs/>
          <w:iCs/>
          <w:color w:val="000000" w:themeColor="text1"/>
          <w:szCs w:val="24"/>
        </w:rPr>
        <w:t xml:space="preserve"> </w:t>
      </w:r>
      <w:r w:rsidR="00E3075F">
        <w:rPr>
          <w:bCs/>
          <w:iCs/>
          <w:color w:val="000000" w:themeColor="text1"/>
          <w:szCs w:val="24"/>
        </w:rPr>
        <w:t xml:space="preserve">(hlavne z príjmu prostriedkov zo zahraničia) </w:t>
      </w:r>
      <w:r w:rsidRPr="002C6D1B">
        <w:rPr>
          <w:bCs/>
          <w:iCs/>
          <w:color w:val="000000" w:themeColor="text1"/>
          <w:szCs w:val="24"/>
        </w:rPr>
        <w:t xml:space="preserve">a Ministerstvo vnútra </w:t>
      </w:r>
      <w:r w:rsidRPr="00B92889">
        <w:rPr>
          <w:bCs/>
          <w:iCs/>
          <w:color w:val="000000" w:themeColor="text1"/>
          <w:szCs w:val="24"/>
        </w:rPr>
        <w:t>SR 10</w:t>
      </w:r>
      <w:r w:rsidR="00B92889">
        <w:rPr>
          <w:bCs/>
          <w:iCs/>
          <w:color w:val="000000" w:themeColor="text1"/>
          <w:szCs w:val="24"/>
        </w:rPr>
        <w:t> </w:t>
      </w:r>
      <w:r w:rsidRPr="00B92889">
        <w:rPr>
          <w:bCs/>
          <w:iCs/>
          <w:color w:val="000000" w:themeColor="text1"/>
          <w:szCs w:val="24"/>
        </w:rPr>
        <w:t xml:space="preserve">908 tis. eur, hlavne ako odvody </w:t>
      </w:r>
      <w:r w:rsidRPr="00B92889">
        <w:rPr>
          <w:color w:val="000000" w:themeColor="text1"/>
          <w:szCs w:val="24"/>
        </w:rPr>
        <w:t>za</w:t>
      </w:r>
      <w:r w:rsidR="00242609">
        <w:rPr>
          <w:color w:val="000000" w:themeColor="text1"/>
          <w:szCs w:val="24"/>
        </w:rPr>
        <w:t> </w:t>
      </w:r>
      <w:r w:rsidRPr="00B92889">
        <w:rPr>
          <w:color w:val="000000" w:themeColor="text1"/>
          <w:szCs w:val="24"/>
        </w:rPr>
        <w:t>odňatie poľnohospodárskej pôdy a vyňatie lesných pozemkov (</w:t>
      </w:r>
      <w:r w:rsidR="00251BD7" w:rsidRPr="00B92889">
        <w:rPr>
          <w:color w:val="000000" w:themeColor="text1"/>
          <w:szCs w:val="24"/>
        </w:rPr>
        <w:t>5</w:t>
      </w:r>
      <w:r w:rsidR="00B92889">
        <w:rPr>
          <w:color w:val="000000" w:themeColor="text1"/>
          <w:szCs w:val="24"/>
        </w:rPr>
        <w:t> </w:t>
      </w:r>
      <w:r w:rsidR="00251BD7" w:rsidRPr="00B92889">
        <w:rPr>
          <w:color w:val="000000" w:themeColor="text1"/>
          <w:szCs w:val="24"/>
        </w:rPr>
        <w:t>357</w:t>
      </w:r>
      <w:r w:rsidRPr="00B92889">
        <w:rPr>
          <w:color w:val="000000" w:themeColor="text1"/>
          <w:szCs w:val="24"/>
        </w:rPr>
        <w:t> tis. eur), príjmy z predpísaných mánk a škôd, príjmy z</w:t>
      </w:r>
      <w:r w:rsidR="00502A9F">
        <w:rPr>
          <w:color w:val="000000" w:themeColor="text1"/>
          <w:szCs w:val="24"/>
        </w:rPr>
        <w:t> </w:t>
      </w:r>
      <w:r w:rsidRPr="00B92889">
        <w:rPr>
          <w:color w:val="000000" w:themeColor="text1"/>
          <w:szCs w:val="24"/>
        </w:rPr>
        <w:t xml:space="preserve">trov konania, prepadnuté prostriedky v prospech </w:t>
      </w:r>
      <w:r w:rsidRPr="002C6D1B">
        <w:rPr>
          <w:color w:val="000000" w:themeColor="text1"/>
          <w:szCs w:val="24"/>
        </w:rPr>
        <w:t xml:space="preserve">štátu, príjmy z dedičského konania, príjmy </w:t>
      </w:r>
      <w:r w:rsidRPr="002C6D1B">
        <w:rPr>
          <w:rFonts w:cs="Times New Roman"/>
          <w:color w:val="000000" w:themeColor="text1"/>
          <w:szCs w:val="24"/>
        </w:rPr>
        <w:t xml:space="preserve">z poplatkov za obnovu evidencie pozemkov a iné. </w:t>
      </w:r>
    </w:p>
    <w:p w14:paraId="1677E0BC" w14:textId="77777777" w:rsidR="00867FC1" w:rsidRPr="00645B22" w:rsidRDefault="00867FC1" w:rsidP="00C86B57">
      <w:pPr>
        <w:spacing w:line="240" w:lineRule="auto"/>
        <w:jc w:val="both"/>
        <w:rPr>
          <w:bCs/>
          <w:iCs/>
          <w:color w:val="000000" w:themeColor="text1"/>
          <w:szCs w:val="24"/>
        </w:rPr>
      </w:pPr>
    </w:p>
    <w:p w14:paraId="5376292F" w14:textId="262575F3" w:rsidR="002C6D1B" w:rsidRDefault="00C86B57" w:rsidP="00AA59AD">
      <w:pPr>
        <w:spacing w:line="240" w:lineRule="auto"/>
        <w:jc w:val="both"/>
        <w:rPr>
          <w:bCs/>
          <w:iCs/>
          <w:color w:val="000000" w:themeColor="text1"/>
          <w:szCs w:val="24"/>
        </w:rPr>
      </w:pPr>
      <w:r w:rsidRPr="000B463A">
        <w:rPr>
          <w:bCs/>
          <w:iCs/>
          <w:color w:val="000000" w:themeColor="text1"/>
          <w:szCs w:val="24"/>
        </w:rPr>
        <w:t xml:space="preserve">Ďalšie iné nedaňové príjmy tvorili najmä </w:t>
      </w:r>
      <w:r>
        <w:rPr>
          <w:bCs/>
          <w:iCs/>
          <w:color w:val="000000" w:themeColor="text1"/>
          <w:szCs w:val="24"/>
          <w:u w:val="single"/>
        </w:rPr>
        <w:t>p</w:t>
      </w:r>
      <w:r w:rsidRPr="00290ACC">
        <w:rPr>
          <w:bCs/>
          <w:iCs/>
          <w:color w:val="000000" w:themeColor="text1"/>
          <w:szCs w:val="24"/>
          <w:u w:val="single"/>
        </w:rPr>
        <w:t>ríspevok prevádzkovateľa hazardnej hry</w:t>
      </w:r>
      <w:r w:rsidRPr="00DA6E74">
        <w:rPr>
          <w:bCs/>
          <w:iCs/>
          <w:color w:val="000000" w:themeColor="text1"/>
          <w:szCs w:val="24"/>
        </w:rPr>
        <w:t xml:space="preserve"> </w:t>
      </w:r>
      <w:r w:rsidRPr="008E785C">
        <w:rPr>
          <w:rFonts w:cs="Times New Roman"/>
          <w:color w:val="000000" w:themeColor="text1"/>
          <w:szCs w:val="24"/>
        </w:rPr>
        <w:t>v zmysle zákona č. 30/2019 Z. z. o hazardných hrách od prevádzkovateľov hazardných hier</w:t>
      </w:r>
      <w:r>
        <w:rPr>
          <w:rFonts w:cs="Times New Roman"/>
          <w:color w:val="000000" w:themeColor="text1"/>
          <w:szCs w:val="24"/>
        </w:rPr>
        <w:t xml:space="preserve"> 10</w:t>
      </w:r>
      <w:r w:rsidR="00867FC1">
        <w:rPr>
          <w:rFonts w:cs="Times New Roman"/>
          <w:color w:val="000000" w:themeColor="text1"/>
          <w:szCs w:val="24"/>
        </w:rPr>
        <w:t> </w:t>
      </w:r>
      <w:r>
        <w:rPr>
          <w:rFonts w:cs="Times New Roman"/>
          <w:color w:val="000000" w:themeColor="text1"/>
          <w:szCs w:val="24"/>
        </w:rPr>
        <w:t>831</w:t>
      </w:r>
      <w:r>
        <w:rPr>
          <w:bCs/>
          <w:iCs/>
          <w:color w:val="000000" w:themeColor="text1"/>
          <w:szCs w:val="24"/>
        </w:rPr>
        <w:t> </w:t>
      </w:r>
      <w:r w:rsidRPr="00DA6E74">
        <w:rPr>
          <w:bCs/>
          <w:iCs/>
          <w:color w:val="000000" w:themeColor="text1"/>
          <w:szCs w:val="24"/>
        </w:rPr>
        <w:t>tis.</w:t>
      </w:r>
      <w:r>
        <w:rPr>
          <w:bCs/>
          <w:iCs/>
          <w:color w:val="000000" w:themeColor="text1"/>
          <w:szCs w:val="24"/>
        </w:rPr>
        <w:t> </w:t>
      </w:r>
      <w:r w:rsidRPr="00DA6E74">
        <w:rPr>
          <w:bCs/>
          <w:iCs/>
          <w:color w:val="000000" w:themeColor="text1"/>
          <w:szCs w:val="24"/>
        </w:rPr>
        <w:t>eur</w:t>
      </w:r>
      <w:r>
        <w:rPr>
          <w:bCs/>
          <w:iCs/>
          <w:color w:val="000000" w:themeColor="text1"/>
          <w:szCs w:val="24"/>
        </w:rPr>
        <w:t xml:space="preserve">, </w:t>
      </w:r>
      <w:r w:rsidRPr="005E1FD5">
        <w:rPr>
          <w:bCs/>
          <w:iCs/>
          <w:color w:val="000000" w:themeColor="text1"/>
          <w:szCs w:val="24"/>
          <w:u w:val="single"/>
        </w:rPr>
        <w:t>vrátené neoprávnene použité alebo zadržané prostriedky</w:t>
      </w:r>
      <w:r>
        <w:rPr>
          <w:bCs/>
          <w:iCs/>
          <w:color w:val="000000" w:themeColor="text1"/>
          <w:szCs w:val="24"/>
        </w:rPr>
        <w:t xml:space="preserve"> 11</w:t>
      </w:r>
      <w:r w:rsidR="00867FC1">
        <w:rPr>
          <w:bCs/>
          <w:iCs/>
          <w:color w:val="000000" w:themeColor="text1"/>
          <w:szCs w:val="24"/>
        </w:rPr>
        <w:t> </w:t>
      </w:r>
      <w:r>
        <w:rPr>
          <w:bCs/>
          <w:iCs/>
          <w:color w:val="000000" w:themeColor="text1"/>
          <w:szCs w:val="24"/>
        </w:rPr>
        <w:t>841</w:t>
      </w:r>
      <w:r w:rsidR="00867FC1">
        <w:rPr>
          <w:bCs/>
          <w:iCs/>
          <w:color w:val="000000" w:themeColor="text1"/>
          <w:szCs w:val="24"/>
        </w:rPr>
        <w:t> </w:t>
      </w:r>
      <w:r>
        <w:rPr>
          <w:bCs/>
          <w:iCs/>
          <w:color w:val="000000" w:themeColor="text1"/>
          <w:szCs w:val="24"/>
        </w:rPr>
        <w:t>tis. eur a </w:t>
      </w:r>
      <w:r w:rsidRPr="000B463A">
        <w:rPr>
          <w:bCs/>
          <w:iCs/>
          <w:color w:val="000000" w:themeColor="text1"/>
          <w:szCs w:val="24"/>
          <w:u w:val="single"/>
        </w:rPr>
        <w:t>dobropisy</w:t>
      </w:r>
      <w:r>
        <w:rPr>
          <w:bCs/>
          <w:iCs/>
          <w:color w:val="000000" w:themeColor="text1"/>
          <w:szCs w:val="24"/>
        </w:rPr>
        <w:t xml:space="preserve"> 7</w:t>
      </w:r>
      <w:r w:rsidR="00867FC1">
        <w:rPr>
          <w:bCs/>
          <w:iCs/>
          <w:color w:val="000000" w:themeColor="text1"/>
          <w:szCs w:val="24"/>
        </w:rPr>
        <w:t> </w:t>
      </w:r>
      <w:r>
        <w:rPr>
          <w:bCs/>
          <w:iCs/>
          <w:color w:val="000000" w:themeColor="text1"/>
          <w:szCs w:val="24"/>
        </w:rPr>
        <w:t>491</w:t>
      </w:r>
      <w:r w:rsidR="00867FC1">
        <w:rPr>
          <w:bCs/>
          <w:iCs/>
          <w:color w:val="000000" w:themeColor="text1"/>
          <w:szCs w:val="24"/>
        </w:rPr>
        <w:t> </w:t>
      </w:r>
      <w:r>
        <w:rPr>
          <w:bCs/>
          <w:iCs/>
          <w:color w:val="000000" w:themeColor="text1"/>
          <w:szCs w:val="24"/>
        </w:rPr>
        <w:t>tis.</w:t>
      </w:r>
      <w:r w:rsidR="00867FC1">
        <w:rPr>
          <w:bCs/>
          <w:iCs/>
          <w:color w:val="000000" w:themeColor="text1"/>
          <w:szCs w:val="24"/>
        </w:rPr>
        <w:t> </w:t>
      </w:r>
      <w:r>
        <w:rPr>
          <w:bCs/>
          <w:iCs/>
          <w:color w:val="000000" w:themeColor="text1"/>
          <w:szCs w:val="24"/>
        </w:rPr>
        <w:t>eur.</w:t>
      </w:r>
    </w:p>
    <w:p w14:paraId="56D77E80" w14:textId="77777777" w:rsidR="00AA59AD" w:rsidRDefault="00AA59AD" w:rsidP="00AA59AD">
      <w:pPr>
        <w:spacing w:line="240" w:lineRule="auto"/>
        <w:jc w:val="both"/>
        <w:rPr>
          <w:bCs/>
          <w:iCs/>
          <w:color w:val="000000" w:themeColor="text1"/>
          <w:szCs w:val="24"/>
        </w:rPr>
      </w:pPr>
    </w:p>
    <w:p w14:paraId="003A74FA" w14:textId="77777777" w:rsidR="004D69BF" w:rsidRPr="00DA100D" w:rsidRDefault="004D69BF" w:rsidP="00532D85">
      <w:pPr>
        <w:pStyle w:val="Nadpis3"/>
        <w:spacing w:before="0"/>
        <w:jc w:val="both"/>
      </w:pPr>
      <w:bookmarkStart w:id="113" w:name="_Toc6415644"/>
      <w:bookmarkStart w:id="114" w:name="_Toc227758906"/>
      <w:r w:rsidRPr="00DA100D">
        <w:t>Granty a transfery</w:t>
      </w:r>
      <w:bookmarkEnd w:id="113"/>
      <w:bookmarkEnd w:id="114"/>
    </w:p>
    <w:p w14:paraId="5C3C4868" w14:textId="77777777" w:rsidR="00D46A5E" w:rsidRPr="0050710A" w:rsidRDefault="00D46A5E" w:rsidP="00532D85">
      <w:pPr>
        <w:spacing w:line="240" w:lineRule="auto"/>
        <w:jc w:val="both"/>
        <w:rPr>
          <w:szCs w:val="24"/>
          <w:highlight w:val="yellow"/>
        </w:rPr>
      </w:pPr>
    </w:p>
    <w:p w14:paraId="67B36D52" w14:textId="784BC89D" w:rsidR="00387EE0" w:rsidRDefault="00387EE0" w:rsidP="00387EE0">
      <w:pPr>
        <w:spacing w:line="240" w:lineRule="auto"/>
        <w:jc w:val="both"/>
        <w:rPr>
          <w:szCs w:val="24"/>
        </w:rPr>
      </w:pPr>
      <w:r w:rsidRPr="001464E5">
        <w:rPr>
          <w:szCs w:val="24"/>
        </w:rPr>
        <w:t xml:space="preserve">Hotovostný príjem z grantov a transferov </w:t>
      </w:r>
      <w:r>
        <w:rPr>
          <w:szCs w:val="24"/>
        </w:rPr>
        <w:t xml:space="preserve">za všetky zdroje </w:t>
      </w:r>
      <w:r w:rsidRPr="001464E5">
        <w:rPr>
          <w:szCs w:val="24"/>
        </w:rPr>
        <w:t>bol na rok 202</w:t>
      </w:r>
      <w:r>
        <w:rPr>
          <w:szCs w:val="24"/>
        </w:rPr>
        <w:t>5 rozpočtovaný v </w:t>
      </w:r>
      <w:r w:rsidRPr="001464E5">
        <w:rPr>
          <w:szCs w:val="24"/>
        </w:rPr>
        <w:t xml:space="preserve">celkovej výške </w:t>
      </w:r>
      <w:r>
        <w:rPr>
          <w:szCs w:val="24"/>
        </w:rPr>
        <w:t>3 407 830</w:t>
      </w:r>
      <w:r w:rsidRPr="001464E5">
        <w:rPr>
          <w:szCs w:val="24"/>
        </w:rPr>
        <w:t> tis.</w:t>
      </w:r>
      <w:r>
        <w:rPr>
          <w:szCs w:val="24"/>
        </w:rPr>
        <w:t> </w:t>
      </w:r>
      <w:r w:rsidRPr="001464E5">
        <w:rPr>
          <w:szCs w:val="24"/>
        </w:rPr>
        <w:t>eur</w:t>
      </w:r>
      <w:r>
        <w:rPr>
          <w:szCs w:val="24"/>
        </w:rPr>
        <w:t xml:space="preserve">, </w:t>
      </w:r>
      <w:r w:rsidRPr="001464E5">
        <w:rPr>
          <w:szCs w:val="24"/>
        </w:rPr>
        <w:t xml:space="preserve">z toho tuzemské v čiastke </w:t>
      </w:r>
      <w:r>
        <w:rPr>
          <w:szCs w:val="24"/>
        </w:rPr>
        <w:t>60 033 </w:t>
      </w:r>
      <w:r w:rsidRPr="001464E5">
        <w:rPr>
          <w:szCs w:val="24"/>
        </w:rPr>
        <w:t>tis.</w:t>
      </w:r>
      <w:r>
        <w:rPr>
          <w:szCs w:val="24"/>
        </w:rPr>
        <w:t> </w:t>
      </w:r>
      <w:r w:rsidRPr="001464E5">
        <w:rPr>
          <w:szCs w:val="24"/>
        </w:rPr>
        <w:t>eur</w:t>
      </w:r>
      <w:r>
        <w:rPr>
          <w:szCs w:val="24"/>
        </w:rPr>
        <w:t>. Oproti predchádzajúcemu roku sa tieto príjmy rozpočtovali vyššie o 889 291 tis. eur z dôvodu vyššieho očakávaného plnenia príjmov zo 4. programového obdobia (hlavne Európsky fond regionálneho rozvoja, Európsky sociálny fond a Kohézny fond).</w:t>
      </w:r>
    </w:p>
    <w:p w14:paraId="0205C37B" w14:textId="77777777" w:rsidR="00387EE0" w:rsidRDefault="00387EE0" w:rsidP="00387EE0">
      <w:pPr>
        <w:spacing w:line="240" w:lineRule="auto"/>
        <w:jc w:val="both"/>
        <w:rPr>
          <w:szCs w:val="24"/>
        </w:rPr>
      </w:pPr>
    </w:p>
    <w:p w14:paraId="6975D43A" w14:textId="3B37E537" w:rsidR="00387EE0" w:rsidRDefault="00387EE0" w:rsidP="00387EE0">
      <w:pPr>
        <w:spacing w:line="240" w:lineRule="auto"/>
        <w:jc w:val="both"/>
        <w:rPr>
          <w:szCs w:val="24"/>
        </w:rPr>
      </w:pPr>
      <w:r w:rsidRPr="007506C3">
        <w:rPr>
          <w:szCs w:val="24"/>
        </w:rPr>
        <w:lastRenderedPageBreak/>
        <w:t xml:space="preserve">Rozhodujúcu časť </w:t>
      </w:r>
      <w:r>
        <w:rPr>
          <w:szCs w:val="24"/>
        </w:rPr>
        <w:t xml:space="preserve">grantov a transferov </w:t>
      </w:r>
      <w:r w:rsidRPr="007506C3">
        <w:rPr>
          <w:szCs w:val="24"/>
        </w:rPr>
        <w:t>v s</w:t>
      </w:r>
      <w:r>
        <w:rPr>
          <w:szCs w:val="24"/>
        </w:rPr>
        <w:t>kutočnom plnení tvoria zdroje z </w:t>
      </w:r>
      <w:r w:rsidRPr="007506C3">
        <w:rPr>
          <w:szCs w:val="24"/>
        </w:rPr>
        <w:t>rozpočtu EÚ</w:t>
      </w:r>
      <w:r>
        <w:rPr>
          <w:szCs w:val="24"/>
        </w:rPr>
        <w:t>, alokované a </w:t>
      </w:r>
      <w:r w:rsidRPr="007506C3">
        <w:rPr>
          <w:szCs w:val="24"/>
        </w:rPr>
        <w:t>čerpané v</w:t>
      </w:r>
      <w:r>
        <w:rPr>
          <w:szCs w:val="24"/>
        </w:rPr>
        <w:t> </w:t>
      </w:r>
      <w:r w:rsidRPr="007506C3">
        <w:rPr>
          <w:szCs w:val="24"/>
        </w:rPr>
        <w:t>rámci príslušných programových období</w:t>
      </w:r>
      <w:r>
        <w:rPr>
          <w:szCs w:val="24"/>
        </w:rPr>
        <w:t>, pričom</w:t>
      </w:r>
      <w:r w:rsidRPr="007506C3">
        <w:rPr>
          <w:szCs w:val="24"/>
        </w:rPr>
        <w:t xml:space="preserve"> </w:t>
      </w:r>
      <w:r>
        <w:rPr>
          <w:szCs w:val="24"/>
        </w:rPr>
        <w:t>rastúci vývoj objemu príjmov majú aj zdroje z </w:t>
      </w:r>
      <w:r w:rsidR="00C4036E">
        <w:rPr>
          <w:szCs w:val="24"/>
        </w:rPr>
        <w:t>POO</w:t>
      </w:r>
      <w:r>
        <w:rPr>
          <w:szCs w:val="24"/>
        </w:rPr>
        <w:t>.</w:t>
      </w:r>
    </w:p>
    <w:p w14:paraId="66F46233" w14:textId="77777777" w:rsidR="00387EE0" w:rsidRPr="008C7844" w:rsidRDefault="00387EE0" w:rsidP="00387EE0">
      <w:pPr>
        <w:spacing w:line="240" w:lineRule="auto"/>
        <w:jc w:val="both"/>
        <w:rPr>
          <w:szCs w:val="24"/>
        </w:rPr>
      </w:pPr>
    </w:p>
    <w:p w14:paraId="53554A94" w14:textId="685BB56C" w:rsidR="00D46A5E" w:rsidRDefault="00387EE0" w:rsidP="00387EE0">
      <w:pPr>
        <w:spacing w:line="240" w:lineRule="auto"/>
        <w:jc w:val="both"/>
        <w:rPr>
          <w:szCs w:val="24"/>
        </w:rPr>
      </w:pPr>
      <w:r w:rsidRPr="008D7604">
        <w:rPr>
          <w:szCs w:val="24"/>
        </w:rPr>
        <w:t>Súhrnný prehľad o plnení grantov a transferov poskytuje nasledovná tabuľka:</w:t>
      </w:r>
    </w:p>
    <w:p w14:paraId="38F1B1C7" w14:textId="77777777" w:rsidR="00387EE0" w:rsidRPr="0050710A" w:rsidRDefault="00387EE0" w:rsidP="00387EE0">
      <w:pPr>
        <w:spacing w:line="240" w:lineRule="auto"/>
        <w:jc w:val="both"/>
        <w:rPr>
          <w:szCs w:val="24"/>
          <w:highlight w:val="yellow"/>
        </w:rPr>
      </w:pPr>
    </w:p>
    <w:p w14:paraId="1D63FFA8" w14:textId="78779EA7" w:rsidR="00A1147F" w:rsidRPr="00387EE0" w:rsidRDefault="00A1147F" w:rsidP="00532D85">
      <w:pPr>
        <w:pStyle w:val="Popis"/>
        <w:jc w:val="both"/>
        <w:rPr>
          <w:lang w:eastAsia="sk-SK"/>
        </w:rPr>
      </w:pPr>
      <w:bookmarkStart w:id="115" w:name="_Toc196313655"/>
      <w:bookmarkStart w:id="116" w:name="_Toc227670165"/>
      <w:r w:rsidRPr="00387EE0">
        <w:rPr>
          <w:lang w:eastAsia="sk-SK"/>
        </w:rPr>
        <w:t xml:space="preserve">Tabuľka </w:t>
      </w:r>
      <w:r w:rsidRPr="00387EE0">
        <w:rPr>
          <w:i/>
          <w:lang w:eastAsia="sk-SK"/>
        </w:rPr>
        <w:fldChar w:fldCharType="begin"/>
      </w:r>
      <w:r w:rsidRPr="00387EE0">
        <w:rPr>
          <w:lang w:eastAsia="sk-SK"/>
        </w:rPr>
        <w:instrText xml:space="preserve"> SEQ Tabuľka \* ARABIC </w:instrText>
      </w:r>
      <w:r w:rsidRPr="00387EE0">
        <w:rPr>
          <w:i/>
          <w:lang w:eastAsia="sk-SK"/>
        </w:rPr>
        <w:fldChar w:fldCharType="separate"/>
      </w:r>
      <w:r w:rsidR="00396BE8">
        <w:rPr>
          <w:noProof/>
          <w:lang w:eastAsia="sk-SK"/>
        </w:rPr>
        <w:t>29</w:t>
      </w:r>
      <w:r w:rsidRPr="00387EE0">
        <w:rPr>
          <w:i/>
          <w:lang w:eastAsia="sk-SK"/>
        </w:rPr>
        <w:fldChar w:fldCharType="end"/>
      </w:r>
      <w:r w:rsidRPr="00387EE0">
        <w:rPr>
          <w:lang w:eastAsia="sk-SK"/>
        </w:rPr>
        <w:t xml:space="preserve"> - Granty a</w:t>
      </w:r>
      <w:r w:rsidR="006031B2" w:rsidRPr="00387EE0">
        <w:rPr>
          <w:lang w:eastAsia="sk-SK"/>
        </w:rPr>
        <w:t> </w:t>
      </w:r>
      <w:r w:rsidRPr="00387EE0">
        <w:rPr>
          <w:lang w:eastAsia="sk-SK"/>
        </w:rPr>
        <w:t>transfery</w:t>
      </w:r>
      <w:bookmarkEnd w:id="115"/>
      <w:r w:rsidR="006031B2" w:rsidRPr="00387EE0">
        <w:rPr>
          <w:lang w:eastAsia="sk-SK"/>
        </w:rPr>
        <w:t xml:space="preserve"> štátneho rozpočtu na hotovostnej báze</w:t>
      </w:r>
      <w:bookmarkEnd w:id="116"/>
    </w:p>
    <w:tbl>
      <w:tblPr>
        <w:tblW w:w="5000" w:type="pct"/>
        <w:tblCellMar>
          <w:left w:w="70" w:type="dxa"/>
          <w:right w:w="70" w:type="dxa"/>
        </w:tblCellMar>
        <w:tblLook w:val="04A0" w:firstRow="1" w:lastRow="0" w:firstColumn="1" w:lastColumn="0" w:noHBand="0" w:noVBand="1"/>
      </w:tblPr>
      <w:tblGrid>
        <w:gridCol w:w="4770"/>
        <w:gridCol w:w="860"/>
        <w:gridCol w:w="860"/>
        <w:gridCol w:w="860"/>
        <w:gridCol w:w="860"/>
        <w:gridCol w:w="860"/>
      </w:tblGrid>
      <w:tr w:rsidR="00387EE0" w:rsidRPr="00963B72" w14:paraId="5D273D9E" w14:textId="77777777" w:rsidTr="00387EE0">
        <w:trPr>
          <w:trHeight w:val="330"/>
          <w:tblHeader/>
        </w:trPr>
        <w:tc>
          <w:tcPr>
            <w:tcW w:w="2630" w:type="pct"/>
            <w:vMerge w:val="restart"/>
            <w:tcBorders>
              <w:top w:val="single" w:sz="4" w:space="0" w:color="auto"/>
              <w:left w:val="nil"/>
              <w:bottom w:val="single" w:sz="8" w:space="0" w:color="000000"/>
              <w:right w:val="nil"/>
            </w:tcBorders>
            <w:vAlign w:val="center"/>
            <w:hideMark/>
          </w:tcPr>
          <w:p w14:paraId="3F847D89" w14:textId="77777777" w:rsidR="00387EE0" w:rsidRPr="00963B72" w:rsidRDefault="00387EE0" w:rsidP="00433832">
            <w:pPr>
              <w:spacing w:line="240" w:lineRule="auto"/>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v tis. eur</w:t>
            </w:r>
          </w:p>
        </w:tc>
        <w:tc>
          <w:tcPr>
            <w:tcW w:w="474" w:type="pct"/>
            <w:tcBorders>
              <w:top w:val="single" w:sz="4" w:space="0" w:color="auto"/>
              <w:left w:val="nil"/>
              <w:bottom w:val="nil"/>
              <w:right w:val="nil"/>
            </w:tcBorders>
            <w:vAlign w:val="center"/>
            <w:hideMark/>
          </w:tcPr>
          <w:p w14:paraId="58D0C00B"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963B72">
              <w:rPr>
                <w:rFonts w:eastAsia="Times New Roman" w:cs="Times New Roman"/>
                <w:b/>
                <w:bCs/>
                <w:color w:val="000000"/>
                <w:sz w:val="18"/>
                <w:szCs w:val="18"/>
                <w:lang w:eastAsia="sk-SK"/>
              </w:rPr>
              <w:t xml:space="preserve"> S</w:t>
            </w:r>
          </w:p>
        </w:tc>
        <w:tc>
          <w:tcPr>
            <w:tcW w:w="474" w:type="pct"/>
            <w:tcBorders>
              <w:top w:val="single" w:sz="4" w:space="0" w:color="auto"/>
              <w:left w:val="nil"/>
              <w:bottom w:val="nil"/>
              <w:right w:val="nil"/>
            </w:tcBorders>
            <w:vAlign w:val="center"/>
            <w:hideMark/>
          </w:tcPr>
          <w:p w14:paraId="5B644694"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963B72">
              <w:rPr>
                <w:rFonts w:eastAsia="Times New Roman" w:cs="Times New Roman"/>
                <w:b/>
                <w:bCs/>
                <w:color w:val="000000"/>
                <w:sz w:val="18"/>
                <w:szCs w:val="18"/>
                <w:lang w:eastAsia="sk-SK"/>
              </w:rPr>
              <w:t xml:space="preserve"> S</w:t>
            </w:r>
          </w:p>
        </w:tc>
        <w:tc>
          <w:tcPr>
            <w:tcW w:w="474" w:type="pct"/>
            <w:tcBorders>
              <w:top w:val="single" w:sz="4" w:space="0" w:color="auto"/>
              <w:left w:val="nil"/>
              <w:bottom w:val="nil"/>
              <w:right w:val="nil"/>
            </w:tcBorders>
            <w:vAlign w:val="center"/>
            <w:hideMark/>
          </w:tcPr>
          <w:p w14:paraId="30F47AC7"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963B72">
              <w:rPr>
                <w:rFonts w:eastAsia="Times New Roman" w:cs="Times New Roman"/>
                <w:b/>
                <w:bCs/>
                <w:color w:val="000000"/>
                <w:sz w:val="18"/>
                <w:szCs w:val="18"/>
                <w:lang w:eastAsia="sk-SK"/>
              </w:rPr>
              <w:t xml:space="preserve"> R</w:t>
            </w:r>
          </w:p>
        </w:tc>
        <w:tc>
          <w:tcPr>
            <w:tcW w:w="474" w:type="pct"/>
            <w:tcBorders>
              <w:top w:val="single" w:sz="4" w:space="0" w:color="auto"/>
              <w:left w:val="nil"/>
              <w:bottom w:val="nil"/>
              <w:right w:val="nil"/>
            </w:tcBorders>
            <w:vAlign w:val="center"/>
            <w:hideMark/>
          </w:tcPr>
          <w:p w14:paraId="2E16E40F"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963B72">
              <w:rPr>
                <w:rFonts w:eastAsia="Times New Roman" w:cs="Times New Roman"/>
                <w:b/>
                <w:bCs/>
                <w:color w:val="000000"/>
                <w:sz w:val="18"/>
                <w:szCs w:val="18"/>
                <w:lang w:eastAsia="sk-SK"/>
              </w:rPr>
              <w:t xml:space="preserve"> S</w:t>
            </w:r>
          </w:p>
        </w:tc>
        <w:tc>
          <w:tcPr>
            <w:tcW w:w="474" w:type="pct"/>
            <w:tcBorders>
              <w:top w:val="single" w:sz="4" w:space="0" w:color="auto"/>
              <w:left w:val="nil"/>
              <w:bottom w:val="nil"/>
              <w:right w:val="nil"/>
            </w:tcBorders>
            <w:vAlign w:val="center"/>
            <w:hideMark/>
          </w:tcPr>
          <w:p w14:paraId="3F37DD07"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Rozdiel</w:t>
            </w:r>
          </w:p>
        </w:tc>
      </w:tr>
      <w:tr w:rsidR="00387EE0" w:rsidRPr="00963B72" w14:paraId="2E68A5D6" w14:textId="77777777" w:rsidTr="00387EE0">
        <w:trPr>
          <w:trHeight w:val="345"/>
          <w:tblHeader/>
        </w:trPr>
        <w:tc>
          <w:tcPr>
            <w:tcW w:w="2630" w:type="pct"/>
            <w:vMerge/>
            <w:tcBorders>
              <w:top w:val="nil"/>
              <w:left w:val="nil"/>
              <w:bottom w:val="single" w:sz="4" w:space="0" w:color="auto"/>
              <w:right w:val="nil"/>
            </w:tcBorders>
            <w:vAlign w:val="center"/>
            <w:hideMark/>
          </w:tcPr>
          <w:p w14:paraId="4573BBB4" w14:textId="77777777" w:rsidR="00387EE0" w:rsidRPr="00963B72" w:rsidRDefault="00387EE0" w:rsidP="00433832">
            <w:pPr>
              <w:spacing w:line="240" w:lineRule="auto"/>
              <w:rPr>
                <w:rFonts w:eastAsia="Times New Roman" w:cs="Times New Roman"/>
                <w:b/>
                <w:bCs/>
                <w:color w:val="000000"/>
                <w:sz w:val="18"/>
                <w:szCs w:val="18"/>
                <w:lang w:eastAsia="sk-SK"/>
              </w:rPr>
            </w:pPr>
          </w:p>
        </w:tc>
        <w:tc>
          <w:tcPr>
            <w:tcW w:w="474" w:type="pct"/>
            <w:tcBorders>
              <w:top w:val="nil"/>
              <w:left w:val="nil"/>
              <w:bottom w:val="single" w:sz="4" w:space="0" w:color="auto"/>
              <w:right w:val="nil"/>
            </w:tcBorders>
            <w:vAlign w:val="center"/>
            <w:hideMark/>
          </w:tcPr>
          <w:p w14:paraId="03F4B20D"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1</w:t>
            </w:r>
          </w:p>
        </w:tc>
        <w:tc>
          <w:tcPr>
            <w:tcW w:w="474" w:type="pct"/>
            <w:tcBorders>
              <w:top w:val="nil"/>
              <w:left w:val="nil"/>
              <w:bottom w:val="single" w:sz="4" w:space="0" w:color="auto"/>
              <w:right w:val="nil"/>
            </w:tcBorders>
            <w:vAlign w:val="center"/>
            <w:hideMark/>
          </w:tcPr>
          <w:p w14:paraId="5D5F3F0A"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2</w:t>
            </w:r>
          </w:p>
        </w:tc>
        <w:tc>
          <w:tcPr>
            <w:tcW w:w="474" w:type="pct"/>
            <w:tcBorders>
              <w:top w:val="nil"/>
              <w:left w:val="nil"/>
              <w:bottom w:val="single" w:sz="4" w:space="0" w:color="auto"/>
              <w:right w:val="nil"/>
            </w:tcBorders>
            <w:vAlign w:val="center"/>
            <w:hideMark/>
          </w:tcPr>
          <w:p w14:paraId="2A0243D1"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3</w:t>
            </w:r>
          </w:p>
        </w:tc>
        <w:tc>
          <w:tcPr>
            <w:tcW w:w="474" w:type="pct"/>
            <w:tcBorders>
              <w:top w:val="nil"/>
              <w:left w:val="nil"/>
              <w:bottom w:val="single" w:sz="4" w:space="0" w:color="auto"/>
              <w:right w:val="nil"/>
            </w:tcBorders>
            <w:vAlign w:val="center"/>
            <w:hideMark/>
          </w:tcPr>
          <w:p w14:paraId="33F072F5"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w:t>
            </w:r>
          </w:p>
        </w:tc>
        <w:tc>
          <w:tcPr>
            <w:tcW w:w="474" w:type="pct"/>
            <w:tcBorders>
              <w:top w:val="nil"/>
              <w:left w:val="nil"/>
              <w:bottom w:val="single" w:sz="4" w:space="0" w:color="auto"/>
              <w:right w:val="nil"/>
            </w:tcBorders>
            <w:vAlign w:val="center"/>
            <w:hideMark/>
          </w:tcPr>
          <w:p w14:paraId="2A76E62A" w14:textId="77777777" w:rsidR="00387EE0" w:rsidRPr="00963B72" w:rsidRDefault="00387EE0" w:rsidP="00433832">
            <w:pPr>
              <w:spacing w:line="240" w:lineRule="auto"/>
              <w:jc w:val="center"/>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5=4-3</w:t>
            </w:r>
          </w:p>
        </w:tc>
      </w:tr>
      <w:tr w:rsidR="00387EE0" w:rsidRPr="00963B72" w14:paraId="22C15646" w14:textId="77777777" w:rsidTr="00387EE0">
        <w:trPr>
          <w:trHeight w:val="497"/>
        </w:trPr>
        <w:tc>
          <w:tcPr>
            <w:tcW w:w="2630" w:type="pct"/>
            <w:tcBorders>
              <w:top w:val="nil"/>
              <w:left w:val="nil"/>
              <w:bottom w:val="nil"/>
              <w:right w:val="nil"/>
            </w:tcBorders>
            <w:noWrap/>
            <w:vAlign w:val="center"/>
            <w:hideMark/>
          </w:tcPr>
          <w:p w14:paraId="7FAECEA4" w14:textId="77777777" w:rsidR="00387EE0" w:rsidRPr="00963B72" w:rsidRDefault="00387EE0" w:rsidP="00433832">
            <w:pPr>
              <w:spacing w:line="240" w:lineRule="auto"/>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Zahraničné granty a transfery</w:t>
            </w:r>
          </w:p>
        </w:tc>
        <w:tc>
          <w:tcPr>
            <w:tcW w:w="474" w:type="pct"/>
            <w:tcBorders>
              <w:top w:val="nil"/>
              <w:left w:val="nil"/>
              <w:bottom w:val="nil"/>
              <w:right w:val="nil"/>
            </w:tcBorders>
            <w:noWrap/>
            <w:vAlign w:val="center"/>
            <w:hideMark/>
          </w:tcPr>
          <w:p w14:paraId="703A69DA"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4 509 274</w:t>
            </w:r>
          </w:p>
        </w:tc>
        <w:tc>
          <w:tcPr>
            <w:tcW w:w="474" w:type="pct"/>
            <w:tcBorders>
              <w:top w:val="nil"/>
              <w:left w:val="nil"/>
              <w:bottom w:val="nil"/>
              <w:right w:val="nil"/>
            </w:tcBorders>
            <w:noWrap/>
            <w:vAlign w:val="center"/>
          </w:tcPr>
          <w:p w14:paraId="0BFBCF34"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4 132 692</w:t>
            </w:r>
          </w:p>
        </w:tc>
        <w:tc>
          <w:tcPr>
            <w:tcW w:w="474" w:type="pct"/>
            <w:tcBorders>
              <w:top w:val="nil"/>
              <w:left w:val="nil"/>
              <w:bottom w:val="nil"/>
              <w:right w:val="nil"/>
            </w:tcBorders>
            <w:noWrap/>
            <w:vAlign w:val="center"/>
          </w:tcPr>
          <w:p w14:paraId="5648ACDF" w14:textId="72862CC0" w:rsidR="00387EE0" w:rsidRPr="00963B72" w:rsidRDefault="00387EE0"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 xml:space="preserve">3 347 </w:t>
            </w:r>
            <w:r w:rsidR="00632A05">
              <w:rPr>
                <w:rFonts w:eastAsia="Times New Roman" w:cs="Times New Roman"/>
                <w:b/>
                <w:bCs/>
                <w:color w:val="000000"/>
                <w:sz w:val="18"/>
                <w:szCs w:val="18"/>
                <w:lang w:eastAsia="sk-SK"/>
              </w:rPr>
              <w:t>798</w:t>
            </w:r>
          </w:p>
        </w:tc>
        <w:tc>
          <w:tcPr>
            <w:tcW w:w="474" w:type="pct"/>
            <w:tcBorders>
              <w:top w:val="nil"/>
              <w:left w:val="nil"/>
              <w:bottom w:val="nil"/>
              <w:right w:val="nil"/>
            </w:tcBorders>
            <w:noWrap/>
            <w:vAlign w:val="center"/>
          </w:tcPr>
          <w:p w14:paraId="3D1CBC95" w14:textId="4E7B630E" w:rsidR="00387EE0" w:rsidRPr="00963B72" w:rsidRDefault="00387EE0"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 xml:space="preserve">4 377 </w:t>
            </w:r>
            <w:r w:rsidR="00632A05">
              <w:rPr>
                <w:rFonts w:eastAsia="Times New Roman" w:cs="Times New Roman"/>
                <w:b/>
                <w:bCs/>
                <w:color w:val="000000"/>
                <w:sz w:val="18"/>
                <w:szCs w:val="18"/>
                <w:lang w:eastAsia="sk-SK"/>
              </w:rPr>
              <w:t>310</w:t>
            </w:r>
          </w:p>
        </w:tc>
        <w:tc>
          <w:tcPr>
            <w:tcW w:w="474" w:type="pct"/>
            <w:tcBorders>
              <w:top w:val="nil"/>
              <w:left w:val="nil"/>
              <w:bottom w:val="nil"/>
              <w:right w:val="nil"/>
            </w:tcBorders>
            <w:vAlign w:val="center"/>
          </w:tcPr>
          <w:p w14:paraId="127B643E"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1 029 512</w:t>
            </w:r>
          </w:p>
        </w:tc>
      </w:tr>
      <w:tr w:rsidR="00387EE0" w:rsidRPr="00963B72" w14:paraId="1FD92DC4" w14:textId="77777777" w:rsidTr="00387EE0">
        <w:trPr>
          <w:trHeight w:val="330"/>
        </w:trPr>
        <w:tc>
          <w:tcPr>
            <w:tcW w:w="2630" w:type="pct"/>
            <w:tcBorders>
              <w:top w:val="nil"/>
              <w:left w:val="nil"/>
              <w:bottom w:val="nil"/>
              <w:right w:val="nil"/>
            </w:tcBorders>
            <w:noWrap/>
            <w:vAlign w:val="center"/>
            <w:hideMark/>
          </w:tcPr>
          <w:p w14:paraId="6E17744C"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 toho: Zahraničné transfery</w:t>
            </w:r>
          </w:p>
        </w:tc>
        <w:tc>
          <w:tcPr>
            <w:tcW w:w="474" w:type="pct"/>
            <w:tcBorders>
              <w:top w:val="nil"/>
              <w:left w:val="nil"/>
              <w:bottom w:val="nil"/>
              <w:right w:val="nil"/>
            </w:tcBorders>
            <w:noWrap/>
            <w:vAlign w:val="center"/>
            <w:hideMark/>
          </w:tcPr>
          <w:p w14:paraId="14D582A5"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4 509 274</w:t>
            </w:r>
          </w:p>
        </w:tc>
        <w:tc>
          <w:tcPr>
            <w:tcW w:w="474" w:type="pct"/>
            <w:tcBorders>
              <w:top w:val="nil"/>
              <w:left w:val="nil"/>
              <w:bottom w:val="nil"/>
              <w:right w:val="nil"/>
            </w:tcBorders>
            <w:noWrap/>
            <w:vAlign w:val="center"/>
          </w:tcPr>
          <w:p w14:paraId="5E01B14E"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4 132 692</w:t>
            </w:r>
          </w:p>
        </w:tc>
        <w:tc>
          <w:tcPr>
            <w:tcW w:w="474" w:type="pct"/>
            <w:tcBorders>
              <w:top w:val="nil"/>
              <w:left w:val="nil"/>
              <w:bottom w:val="nil"/>
              <w:right w:val="nil"/>
            </w:tcBorders>
            <w:noWrap/>
            <w:vAlign w:val="center"/>
          </w:tcPr>
          <w:p w14:paraId="01FBF47A" w14:textId="16447023" w:rsidR="00387EE0" w:rsidRPr="00DF7856" w:rsidRDefault="00387EE0" w:rsidP="00433832">
            <w:pPr>
              <w:spacing w:line="240" w:lineRule="auto"/>
              <w:jc w:val="right"/>
              <w:rPr>
                <w:rFonts w:eastAsia="Times New Roman" w:cs="Times New Roman"/>
                <w:color w:val="000000"/>
                <w:sz w:val="18"/>
                <w:szCs w:val="18"/>
                <w:lang w:eastAsia="sk-SK"/>
              </w:rPr>
            </w:pPr>
            <w:r w:rsidRPr="00DF7856">
              <w:rPr>
                <w:rFonts w:eastAsia="Times New Roman" w:cs="Times New Roman"/>
                <w:color w:val="000000"/>
                <w:sz w:val="18"/>
                <w:szCs w:val="18"/>
                <w:lang w:eastAsia="sk-SK"/>
              </w:rPr>
              <w:t xml:space="preserve">3 347 </w:t>
            </w:r>
            <w:r w:rsidR="00632A05" w:rsidRPr="00DF7856">
              <w:rPr>
                <w:rFonts w:eastAsia="Times New Roman" w:cs="Times New Roman"/>
                <w:color w:val="000000"/>
                <w:sz w:val="18"/>
                <w:szCs w:val="18"/>
                <w:lang w:eastAsia="sk-SK"/>
              </w:rPr>
              <w:t>79</w:t>
            </w:r>
            <w:r w:rsidR="00632A05">
              <w:rPr>
                <w:rFonts w:eastAsia="Times New Roman" w:cs="Times New Roman"/>
                <w:color w:val="000000"/>
                <w:sz w:val="18"/>
                <w:szCs w:val="18"/>
                <w:lang w:eastAsia="sk-SK"/>
              </w:rPr>
              <w:t>8</w:t>
            </w:r>
          </w:p>
        </w:tc>
        <w:tc>
          <w:tcPr>
            <w:tcW w:w="474" w:type="pct"/>
            <w:tcBorders>
              <w:top w:val="nil"/>
              <w:left w:val="nil"/>
              <w:bottom w:val="nil"/>
              <w:right w:val="nil"/>
            </w:tcBorders>
            <w:noWrap/>
            <w:vAlign w:val="center"/>
          </w:tcPr>
          <w:p w14:paraId="39DE9874" w14:textId="77777777" w:rsidR="00387EE0" w:rsidRPr="00DF7856" w:rsidRDefault="00387EE0" w:rsidP="00433832">
            <w:pPr>
              <w:spacing w:line="240" w:lineRule="auto"/>
              <w:jc w:val="right"/>
              <w:rPr>
                <w:rFonts w:eastAsia="Times New Roman" w:cs="Times New Roman"/>
                <w:color w:val="000000"/>
                <w:sz w:val="18"/>
                <w:szCs w:val="18"/>
                <w:lang w:eastAsia="sk-SK"/>
              </w:rPr>
            </w:pPr>
            <w:r w:rsidRPr="00DF7856">
              <w:rPr>
                <w:rFonts w:eastAsia="Times New Roman" w:cs="Times New Roman"/>
                <w:color w:val="000000"/>
                <w:sz w:val="18"/>
                <w:szCs w:val="18"/>
                <w:lang w:eastAsia="sk-SK"/>
              </w:rPr>
              <w:t>4 377 309</w:t>
            </w:r>
          </w:p>
        </w:tc>
        <w:tc>
          <w:tcPr>
            <w:tcW w:w="474" w:type="pct"/>
            <w:tcBorders>
              <w:top w:val="nil"/>
              <w:left w:val="nil"/>
              <w:bottom w:val="nil"/>
              <w:right w:val="nil"/>
            </w:tcBorders>
            <w:vAlign w:val="center"/>
          </w:tcPr>
          <w:p w14:paraId="2B8B7376" w14:textId="77777777" w:rsidR="00387EE0" w:rsidRPr="00DF7856" w:rsidRDefault="00387EE0" w:rsidP="00433832">
            <w:pPr>
              <w:spacing w:line="240" w:lineRule="auto"/>
              <w:jc w:val="right"/>
              <w:rPr>
                <w:rFonts w:eastAsia="Times New Roman" w:cs="Times New Roman"/>
                <w:color w:val="000000"/>
                <w:sz w:val="18"/>
                <w:szCs w:val="18"/>
                <w:lang w:eastAsia="sk-SK"/>
              </w:rPr>
            </w:pPr>
            <w:r w:rsidRPr="00DF7856">
              <w:rPr>
                <w:rFonts w:eastAsia="Times New Roman" w:cs="Times New Roman"/>
                <w:color w:val="000000"/>
                <w:sz w:val="18"/>
                <w:szCs w:val="18"/>
                <w:lang w:eastAsia="sk-SK"/>
              </w:rPr>
              <w:t>1 029 51</w:t>
            </w:r>
            <w:r>
              <w:rPr>
                <w:rFonts w:eastAsia="Times New Roman" w:cs="Times New Roman"/>
                <w:color w:val="000000"/>
                <w:sz w:val="18"/>
                <w:szCs w:val="18"/>
                <w:lang w:eastAsia="sk-SK"/>
              </w:rPr>
              <w:t>2</w:t>
            </w:r>
          </w:p>
        </w:tc>
      </w:tr>
      <w:tr w:rsidR="00387EE0" w:rsidRPr="00963B72" w14:paraId="0B1F9417" w14:textId="77777777" w:rsidTr="00387EE0">
        <w:trPr>
          <w:trHeight w:val="330"/>
        </w:trPr>
        <w:tc>
          <w:tcPr>
            <w:tcW w:w="2630" w:type="pct"/>
            <w:tcBorders>
              <w:top w:val="nil"/>
              <w:left w:val="nil"/>
              <w:bottom w:val="nil"/>
              <w:right w:val="nil"/>
            </w:tcBorders>
            <w:noWrap/>
            <w:vAlign w:val="center"/>
            <w:hideMark/>
          </w:tcPr>
          <w:p w14:paraId="69BD7F02"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v tom:</w:t>
            </w:r>
          </w:p>
        </w:tc>
        <w:tc>
          <w:tcPr>
            <w:tcW w:w="474" w:type="pct"/>
            <w:tcBorders>
              <w:top w:val="nil"/>
              <w:left w:val="nil"/>
              <w:bottom w:val="nil"/>
              <w:right w:val="nil"/>
            </w:tcBorders>
            <w:noWrap/>
            <w:vAlign w:val="center"/>
            <w:hideMark/>
          </w:tcPr>
          <w:p w14:paraId="25BE6285" w14:textId="77777777" w:rsidR="00387EE0" w:rsidRPr="00963B72" w:rsidRDefault="00387EE0" w:rsidP="00433832">
            <w:pPr>
              <w:spacing w:line="240" w:lineRule="auto"/>
              <w:rPr>
                <w:rFonts w:eastAsia="Times New Roman" w:cs="Times New Roman"/>
                <w:color w:val="000000"/>
                <w:sz w:val="18"/>
                <w:szCs w:val="18"/>
                <w:lang w:eastAsia="sk-SK"/>
              </w:rPr>
            </w:pPr>
          </w:p>
        </w:tc>
        <w:tc>
          <w:tcPr>
            <w:tcW w:w="474" w:type="pct"/>
            <w:tcBorders>
              <w:top w:val="nil"/>
              <w:left w:val="nil"/>
              <w:bottom w:val="nil"/>
              <w:right w:val="nil"/>
            </w:tcBorders>
            <w:noWrap/>
            <w:vAlign w:val="center"/>
          </w:tcPr>
          <w:p w14:paraId="13D64649" w14:textId="77777777" w:rsidR="00387EE0" w:rsidRPr="00963B72" w:rsidRDefault="00387EE0" w:rsidP="00433832">
            <w:pPr>
              <w:spacing w:line="240" w:lineRule="auto"/>
              <w:jc w:val="right"/>
              <w:rPr>
                <w:rFonts w:eastAsia="Times New Roman" w:cs="Times New Roman"/>
                <w:sz w:val="18"/>
                <w:szCs w:val="18"/>
                <w:lang w:eastAsia="sk-SK"/>
              </w:rPr>
            </w:pPr>
          </w:p>
        </w:tc>
        <w:tc>
          <w:tcPr>
            <w:tcW w:w="474" w:type="pct"/>
            <w:tcBorders>
              <w:top w:val="nil"/>
              <w:left w:val="nil"/>
              <w:bottom w:val="nil"/>
              <w:right w:val="nil"/>
            </w:tcBorders>
            <w:noWrap/>
            <w:vAlign w:val="center"/>
          </w:tcPr>
          <w:p w14:paraId="1E531A51" w14:textId="77777777" w:rsidR="00387EE0" w:rsidRPr="00963B72" w:rsidRDefault="00387EE0" w:rsidP="00433832">
            <w:pPr>
              <w:spacing w:line="240" w:lineRule="auto"/>
              <w:jc w:val="right"/>
              <w:rPr>
                <w:rFonts w:eastAsia="Times New Roman" w:cs="Times New Roman"/>
                <w:sz w:val="18"/>
                <w:szCs w:val="18"/>
                <w:lang w:eastAsia="sk-SK"/>
              </w:rPr>
            </w:pPr>
          </w:p>
        </w:tc>
        <w:tc>
          <w:tcPr>
            <w:tcW w:w="474" w:type="pct"/>
            <w:tcBorders>
              <w:top w:val="nil"/>
              <w:left w:val="nil"/>
              <w:bottom w:val="nil"/>
              <w:right w:val="nil"/>
            </w:tcBorders>
            <w:noWrap/>
            <w:vAlign w:val="center"/>
          </w:tcPr>
          <w:p w14:paraId="752546F3" w14:textId="77777777" w:rsidR="00387EE0" w:rsidRPr="00963B72" w:rsidRDefault="00387EE0" w:rsidP="00433832">
            <w:pPr>
              <w:spacing w:line="240" w:lineRule="auto"/>
              <w:jc w:val="right"/>
              <w:rPr>
                <w:rFonts w:eastAsia="Times New Roman" w:cs="Times New Roman"/>
                <w:sz w:val="18"/>
                <w:szCs w:val="18"/>
                <w:lang w:eastAsia="sk-SK"/>
              </w:rPr>
            </w:pPr>
          </w:p>
        </w:tc>
        <w:tc>
          <w:tcPr>
            <w:tcW w:w="474" w:type="pct"/>
            <w:tcBorders>
              <w:top w:val="nil"/>
              <w:left w:val="nil"/>
              <w:bottom w:val="nil"/>
              <w:right w:val="nil"/>
            </w:tcBorders>
            <w:vAlign w:val="center"/>
          </w:tcPr>
          <w:p w14:paraId="321FDAF4" w14:textId="77777777" w:rsidR="00387EE0" w:rsidRPr="00963B72" w:rsidRDefault="00387EE0" w:rsidP="00433832">
            <w:pPr>
              <w:spacing w:line="240" w:lineRule="auto"/>
              <w:jc w:val="right"/>
              <w:rPr>
                <w:rFonts w:eastAsia="Times New Roman" w:cs="Times New Roman"/>
                <w:sz w:val="18"/>
                <w:szCs w:val="18"/>
                <w:lang w:eastAsia="sk-SK"/>
              </w:rPr>
            </w:pPr>
          </w:p>
        </w:tc>
      </w:tr>
      <w:tr w:rsidR="00387EE0" w:rsidRPr="00963B72" w14:paraId="1E76511C" w14:textId="77777777" w:rsidTr="00387EE0">
        <w:trPr>
          <w:trHeight w:val="330"/>
        </w:trPr>
        <w:tc>
          <w:tcPr>
            <w:tcW w:w="2630" w:type="pct"/>
            <w:tcBorders>
              <w:top w:val="nil"/>
              <w:left w:val="nil"/>
              <w:bottom w:val="nil"/>
              <w:right w:val="nil"/>
            </w:tcBorders>
            <w:noWrap/>
            <w:vAlign w:val="center"/>
            <w:hideMark/>
          </w:tcPr>
          <w:p w14:paraId="5580FAD7"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prostriedky z rozpočtu EÚ</w:t>
            </w:r>
          </w:p>
        </w:tc>
        <w:tc>
          <w:tcPr>
            <w:tcW w:w="474" w:type="pct"/>
            <w:tcBorders>
              <w:top w:val="nil"/>
              <w:left w:val="nil"/>
              <w:bottom w:val="nil"/>
              <w:right w:val="nil"/>
            </w:tcBorders>
            <w:vAlign w:val="center"/>
            <w:hideMark/>
          </w:tcPr>
          <w:p w14:paraId="5023E4B1"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4 141 996</w:t>
            </w:r>
          </w:p>
        </w:tc>
        <w:tc>
          <w:tcPr>
            <w:tcW w:w="474" w:type="pct"/>
            <w:tcBorders>
              <w:top w:val="nil"/>
              <w:left w:val="nil"/>
              <w:bottom w:val="nil"/>
              <w:right w:val="nil"/>
            </w:tcBorders>
            <w:vAlign w:val="center"/>
          </w:tcPr>
          <w:p w14:paraId="0C094B4C"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3 225 492</w:t>
            </w:r>
          </w:p>
        </w:tc>
        <w:tc>
          <w:tcPr>
            <w:tcW w:w="474" w:type="pct"/>
            <w:tcBorders>
              <w:top w:val="nil"/>
              <w:left w:val="nil"/>
              <w:bottom w:val="nil"/>
              <w:right w:val="nil"/>
            </w:tcBorders>
            <w:vAlign w:val="center"/>
          </w:tcPr>
          <w:p w14:paraId="5B9A52C9" w14:textId="6DF4A15E"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2 142 </w:t>
            </w:r>
            <w:r w:rsidR="00632A05">
              <w:rPr>
                <w:rFonts w:eastAsia="Times New Roman" w:cs="Times New Roman"/>
                <w:color w:val="000000"/>
                <w:sz w:val="18"/>
                <w:szCs w:val="18"/>
                <w:lang w:eastAsia="sk-SK"/>
              </w:rPr>
              <w:t>252</w:t>
            </w:r>
          </w:p>
        </w:tc>
        <w:tc>
          <w:tcPr>
            <w:tcW w:w="474" w:type="pct"/>
            <w:tcBorders>
              <w:top w:val="nil"/>
              <w:left w:val="nil"/>
              <w:bottom w:val="nil"/>
              <w:right w:val="nil"/>
            </w:tcBorders>
            <w:vAlign w:val="center"/>
          </w:tcPr>
          <w:p w14:paraId="4A66E15B"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2 407 529</w:t>
            </w:r>
          </w:p>
        </w:tc>
        <w:tc>
          <w:tcPr>
            <w:tcW w:w="474" w:type="pct"/>
            <w:tcBorders>
              <w:top w:val="nil"/>
              <w:left w:val="nil"/>
              <w:bottom w:val="nil"/>
              <w:right w:val="nil"/>
            </w:tcBorders>
            <w:vAlign w:val="center"/>
          </w:tcPr>
          <w:p w14:paraId="67E02EF5" w14:textId="093FE062"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265 </w:t>
            </w:r>
            <w:r w:rsidR="00632A05">
              <w:rPr>
                <w:rFonts w:eastAsia="Times New Roman" w:cs="Times New Roman"/>
                <w:color w:val="000000"/>
                <w:sz w:val="18"/>
                <w:szCs w:val="18"/>
                <w:lang w:eastAsia="sk-SK"/>
              </w:rPr>
              <w:t>277</w:t>
            </w:r>
          </w:p>
        </w:tc>
      </w:tr>
      <w:tr w:rsidR="00387EE0" w:rsidRPr="00963B72" w14:paraId="08E42F98" w14:textId="77777777" w:rsidTr="00387EE0">
        <w:trPr>
          <w:trHeight w:val="345"/>
        </w:trPr>
        <w:tc>
          <w:tcPr>
            <w:tcW w:w="2630" w:type="pct"/>
            <w:tcBorders>
              <w:top w:val="nil"/>
              <w:left w:val="nil"/>
              <w:right w:val="nil"/>
            </w:tcBorders>
            <w:noWrap/>
            <w:vAlign w:val="center"/>
            <w:hideMark/>
          </w:tcPr>
          <w:p w14:paraId="3C126C6C"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prostriedky z rozpočtu EÚ</w:t>
            </w:r>
            <w:r>
              <w:rPr>
                <w:rFonts w:eastAsia="Times New Roman" w:cs="Times New Roman"/>
                <w:color w:val="000000"/>
                <w:sz w:val="18"/>
                <w:szCs w:val="18"/>
                <w:lang w:eastAsia="sk-SK"/>
              </w:rPr>
              <w:t>-</w:t>
            </w:r>
            <w:r w:rsidRPr="00963B72">
              <w:rPr>
                <w:rFonts w:eastAsia="Times New Roman" w:cs="Times New Roman"/>
                <w:color w:val="000000"/>
                <w:sz w:val="18"/>
                <w:szCs w:val="18"/>
                <w:lang w:eastAsia="sk-SK"/>
              </w:rPr>
              <w:t>POO</w:t>
            </w:r>
          </w:p>
        </w:tc>
        <w:tc>
          <w:tcPr>
            <w:tcW w:w="474" w:type="pct"/>
            <w:tcBorders>
              <w:top w:val="nil"/>
              <w:left w:val="nil"/>
              <w:right w:val="nil"/>
            </w:tcBorders>
            <w:vAlign w:val="center"/>
            <w:hideMark/>
          </w:tcPr>
          <w:p w14:paraId="29D64F7D"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367 278</w:t>
            </w:r>
          </w:p>
        </w:tc>
        <w:tc>
          <w:tcPr>
            <w:tcW w:w="474" w:type="pct"/>
            <w:tcBorders>
              <w:top w:val="nil"/>
              <w:left w:val="nil"/>
              <w:right w:val="nil"/>
            </w:tcBorders>
            <w:vAlign w:val="center"/>
          </w:tcPr>
          <w:p w14:paraId="1DB4499A"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907 200</w:t>
            </w:r>
          </w:p>
        </w:tc>
        <w:tc>
          <w:tcPr>
            <w:tcW w:w="474" w:type="pct"/>
            <w:tcBorders>
              <w:top w:val="nil"/>
              <w:left w:val="nil"/>
              <w:right w:val="nil"/>
            </w:tcBorders>
            <w:vAlign w:val="center"/>
          </w:tcPr>
          <w:p w14:paraId="28784E99"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1 205 546</w:t>
            </w:r>
          </w:p>
        </w:tc>
        <w:tc>
          <w:tcPr>
            <w:tcW w:w="474" w:type="pct"/>
            <w:tcBorders>
              <w:top w:val="nil"/>
              <w:left w:val="nil"/>
              <w:right w:val="nil"/>
            </w:tcBorders>
            <w:vAlign w:val="center"/>
          </w:tcPr>
          <w:p w14:paraId="2A6BF928" w14:textId="2D25E323"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1 969 </w:t>
            </w:r>
            <w:r w:rsidR="00632A05">
              <w:rPr>
                <w:rFonts w:eastAsia="Times New Roman" w:cs="Times New Roman"/>
                <w:color w:val="000000"/>
                <w:sz w:val="18"/>
                <w:szCs w:val="18"/>
                <w:lang w:eastAsia="sk-SK"/>
              </w:rPr>
              <w:t>781</w:t>
            </w:r>
          </w:p>
        </w:tc>
        <w:tc>
          <w:tcPr>
            <w:tcW w:w="474" w:type="pct"/>
            <w:tcBorders>
              <w:top w:val="nil"/>
              <w:left w:val="nil"/>
              <w:right w:val="nil"/>
            </w:tcBorders>
            <w:vAlign w:val="center"/>
          </w:tcPr>
          <w:p w14:paraId="0B424881" w14:textId="1EC8D1DD"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764 </w:t>
            </w:r>
            <w:r w:rsidR="00632A05">
              <w:rPr>
                <w:rFonts w:eastAsia="Times New Roman" w:cs="Times New Roman"/>
                <w:color w:val="000000"/>
                <w:sz w:val="18"/>
                <w:szCs w:val="18"/>
                <w:lang w:eastAsia="sk-SK"/>
              </w:rPr>
              <w:t>235</w:t>
            </w:r>
          </w:p>
        </w:tc>
      </w:tr>
      <w:tr w:rsidR="00387EE0" w:rsidRPr="00963B72" w14:paraId="2B763C50" w14:textId="77777777" w:rsidTr="00387EE0">
        <w:trPr>
          <w:trHeight w:hRule="exact" w:val="646"/>
        </w:trPr>
        <w:tc>
          <w:tcPr>
            <w:tcW w:w="2630" w:type="pct"/>
            <w:tcBorders>
              <w:left w:val="nil"/>
              <w:bottom w:val="nil"/>
              <w:right w:val="nil"/>
            </w:tcBorders>
            <w:noWrap/>
            <w:vAlign w:val="center"/>
            <w:hideMark/>
          </w:tcPr>
          <w:p w14:paraId="35028C92" w14:textId="77777777" w:rsidR="00387EE0" w:rsidRPr="00963B72" w:rsidRDefault="00387EE0" w:rsidP="00433832">
            <w:pPr>
              <w:spacing w:line="240" w:lineRule="auto"/>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Tuzemské granty a transfery</w:t>
            </w:r>
          </w:p>
        </w:tc>
        <w:tc>
          <w:tcPr>
            <w:tcW w:w="474" w:type="pct"/>
            <w:tcBorders>
              <w:left w:val="nil"/>
              <w:bottom w:val="nil"/>
              <w:right w:val="nil"/>
            </w:tcBorders>
            <w:noWrap/>
            <w:vAlign w:val="center"/>
            <w:hideMark/>
          </w:tcPr>
          <w:p w14:paraId="3DD79947"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69</w:t>
            </w:r>
          </w:p>
        </w:tc>
        <w:tc>
          <w:tcPr>
            <w:tcW w:w="474" w:type="pct"/>
            <w:tcBorders>
              <w:left w:val="nil"/>
              <w:bottom w:val="nil"/>
              <w:right w:val="nil"/>
            </w:tcBorders>
            <w:noWrap/>
            <w:vAlign w:val="center"/>
          </w:tcPr>
          <w:p w14:paraId="13200346"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64 411</w:t>
            </w:r>
          </w:p>
        </w:tc>
        <w:tc>
          <w:tcPr>
            <w:tcW w:w="474" w:type="pct"/>
            <w:tcBorders>
              <w:left w:val="nil"/>
              <w:bottom w:val="nil"/>
              <w:right w:val="nil"/>
            </w:tcBorders>
            <w:noWrap/>
            <w:vAlign w:val="center"/>
          </w:tcPr>
          <w:p w14:paraId="4E2A5D09"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60 033</w:t>
            </w:r>
          </w:p>
        </w:tc>
        <w:tc>
          <w:tcPr>
            <w:tcW w:w="474" w:type="pct"/>
            <w:tcBorders>
              <w:left w:val="nil"/>
              <w:bottom w:val="nil"/>
              <w:right w:val="nil"/>
            </w:tcBorders>
            <w:noWrap/>
            <w:vAlign w:val="center"/>
          </w:tcPr>
          <w:p w14:paraId="4A3FFC7C"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58 737</w:t>
            </w:r>
          </w:p>
        </w:tc>
        <w:tc>
          <w:tcPr>
            <w:tcW w:w="474" w:type="pct"/>
            <w:tcBorders>
              <w:left w:val="nil"/>
              <w:bottom w:val="nil"/>
              <w:right w:val="nil"/>
            </w:tcBorders>
            <w:vAlign w:val="center"/>
          </w:tcPr>
          <w:p w14:paraId="13C5EF33"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-1 296</w:t>
            </w:r>
          </w:p>
        </w:tc>
      </w:tr>
      <w:tr w:rsidR="00387EE0" w:rsidRPr="00963B72" w14:paraId="2318E082" w14:textId="77777777" w:rsidTr="00387EE0">
        <w:trPr>
          <w:trHeight w:val="330"/>
        </w:trPr>
        <w:tc>
          <w:tcPr>
            <w:tcW w:w="2630" w:type="pct"/>
            <w:tcBorders>
              <w:top w:val="nil"/>
              <w:left w:val="nil"/>
              <w:bottom w:val="nil"/>
              <w:right w:val="nil"/>
            </w:tcBorders>
            <w:noWrap/>
            <w:vAlign w:val="center"/>
            <w:hideMark/>
          </w:tcPr>
          <w:p w14:paraId="71F49928"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z toho: Transfery v rámci verejnej správy</w:t>
            </w:r>
          </w:p>
        </w:tc>
        <w:tc>
          <w:tcPr>
            <w:tcW w:w="474" w:type="pct"/>
            <w:tcBorders>
              <w:top w:val="nil"/>
              <w:left w:val="nil"/>
              <w:bottom w:val="nil"/>
              <w:right w:val="nil"/>
            </w:tcBorders>
            <w:noWrap/>
            <w:vAlign w:val="center"/>
            <w:hideMark/>
          </w:tcPr>
          <w:p w14:paraId="4FA49A67"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69</w:t>
            </w:r>
          </w:p>
        </w:tc>
        <w:tc>
          <w:tcPr>
            <w:tcW w:w="474" w:type="pct"/>
            <w:tcBorders>
              <w:top w:val="nil"/>
              <w:left w:val="nil"/>
              <w:bottom w:val="nil"/>
              <w:right w:val="nil"/>
            </w:tcBorders>
            <w:noWrap/>
            <w:vAlign w:val="center"/>
          </w:tcPr>
          <w:p w14:paraId="78C43975"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64 411</w:t>
            </w:r>
          </w:p>
        </w:tc>
        <w:tc>
          <w:tcPr>
            <w:tcW w:w="474" w:type="pct"/>
            <w:tcBorders>
              <w:top w:val="nil"/>
              <w:left w:val="nil"/>
              <w:bottom w:val="nil"/>
              <w:right w:val="nil"/>
            </w:tcBorders>
            <w:noWrap/>
            <w:vAlign w:val="center"/>
          </w:tcPr>
          <w:p w14:paraId="1ADD27C1"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60 033</w:t>
            </w:r>
          </w:p>
        </w:tc>
        <w:tc>
          <w:tcPr>
            <w:tcW w:w="474" w:type="pct"/>
            <w:tcBorders>
              <w:top w:val="nil"/>
              <w:left w:val="nil"/>
              <w:bottom w:val="nil"/>
              <w:right w:val="nil"/>
            </w:tcBorders>
            <w:noWrap/>
            <w:vAlign w:val="center"/>
          </w:tcPr>
          <w:p w14:paraId="314AE078"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58 729</w:t>
            </w:r>
          </w:p>
        </w:tc>
        <w:tc>
          <w:tcPr>
            <w:tcW w:w="474" w:type="pct"/>
            <w:tcBorders>
              <w:top w:val="nil"/>
              <w:left w:val="nil"/>
              <w:bottom w:val="nil"/>
              <w:right w:val="nil"/>
            </w:tcBorders>
            <w:vAlign w:val="center"/>
          </w:tcPr>
          <w:p w14:paraId="20922EC4"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-1 304</w:t>
            </w:r>
          </w:p>
        </w:tc>
      </w:tr>
      <w:tr w:rsidR="00387EE0" w:rsidRPr="00963B72" w14:paraId="535F233A" w14:textId="77777777" w:rsidTr="00387EE0">
        <w:trPr>
          <w:trHeight w:val="330"/>
        </w:trPr>
        <w:tc>
          <w:tcPr>
            <w:tcW w:w="2630" w:type="pct"/>
            <w:tcBorders>
              <w:top w:val="nil"/>
              <w:left w:val="nil"/>
              <w:bottom w:val="nil"/>
              <w:right w:val="nil"/>
            </w:tcBorders>
            <w:noWrap/>
            <w:vAlign w:val="center"/>
            <w:hideMark/>
          </w:tcPr>
          <w:p w14:paraId="0C69A3C3"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v tom:</w:t>
            </w:r>
          </w:p>
        </w:tc>
        <w:tc>
          <w:tcPr>
            <w:tcW w:w="474" w:type="pct"/>
            <w:tcBorders>
              <w:top w:val="nil"/>
              <w:left w:val="nil"/>
              <w:bottom w:val="nil"/>
              <w:right w:val="nil"/>
            </w:tcBorders>
            <w:noWrap/>
            <w:vAlign w:val="center"/>
            <w:hideMark/>
          </w:tcPr>
          <w:p w14:paraId="4BBC1CB9" w14:textId="77777777" w:rsidR="00387EE0" w:rsidRPr="00963B72" w:rsidRDefault="00387EE0" w:rsidP="00433832">
            <w:pPr>
              <w:spacing w:line="240" w:lineRule="auto"/>
              <w:rPr>
                <w:rFonts w:eastAsia="Times New Roman" w:cs="Times New Roman"/>
                <w:color w:val="000000"/>
                <w:sz w:val="18"/>
                <w:szCs w:val="18"/>
                <w:lang w:eastAsia="sk-SK"/>
              </w:rPr>
            </w:pPr>
          </w:p>
        </w:tc>
        <w:tc>
          <w:tcPr>
            <w:tcW w:w="474" w:type="pct"/>
            <w:tcBorders>
              <w:top w:val="nil"/>
              <w:left w:val="nil"/>
              <w:bottom w:val="nil"/>
              <w:right w:val="nil"/>
            </w:tcBorders>
            <w:noWrap/>
            <w:vAlign w:val="center"/>
          </w:tcPr>
          <w:p w14:paraId="0AA6B77B" w14:textId="77777777" w:rsidR="00387EE0" w:rsidRPr="00963B72" w:rsidRDefault="00387EE0" w:rsidP="00433832">
            <w:pPr>
              <w:spacing w:line="240" w:lineRule="auto"/>
              <w:jc w:val="right"/>
              <w:rPr>
                <w:rFonts w:eastAsia="Times New Roman" w:cs="Times New Roman"/>
                <w:sz w:val="18"/>
                <w:szCs w:val="18"/>
                <w:lang w:eastAsia="sk-SK"/>
              </w:rPr>
            </w:pPr>
          </w:p>
        </w:tc>
        <w:tc>
          <w:tcPr>
            <w:tcW w:w="474" w:type="pct"/>
            <w:tcBorders>
              <w:top w:val="nil"/>
              <w:left w:val="nil"/>
              <w:bottom w:val="nil"/>
              <w:right w:val="nil"/>
            </w:tcBorders>
            <w:noWrap/>
            <w:vAlign w:val="center"/>
          </w:tcPr>
          <w:p w14:paraId="38D9AE18" w14:textId="77777777" w:rsidR="00387EE0" w:rsidRPr="00963B72" w:rsidRDefault="00387EE0" w:rsidP="00433832">
            <w:pPr>
              <w:spacing w:line="240" w:lineRule="auto"/>
              <w:jc w:val="right"/>
              <w:rPr>
                <w:rFonts w:eastAsia="Times New Roman" w:cs="Times New Roman"/>
                <w:sz w:val="18"/>
                <w:szCs w:val="18"/>
                <w:lang w:eastAsia="sk-SK"/>
              </w:rPr>
            </w:pPr>
          </w:p>
        </w:tc>
        <w:tc>
          <w:tcPr>
            <w:tcW w:w="474" w:type="pct"/>
            <w:tcBorders>
              <w:top w:val="nil"/>
              <w:left w:val="nil"/>
              <w:bottom w:val="nil"/>
              <w:right w:val="nil"/>
            </w:tcBorders>
            <w:noWrap/>
            <w:vAlign w:val="center"/>
          </w:tcPr>
          <w:p w14:paraId="11F8A258" w14:textId="77777777" w:rsidR="00387EE0" w:rsidRPr="00963B72" w:rsidRDefault="00387EE0" w:rsidP="00433832">
            <w:pPr>
              <w:spacing w:line="240" w:lineRule="auto"/>
              <w:jc w:val="right"/>
              <w:rPr>
                <w:rFonts w:eastAsia="Times New Roman" w:cs="Times New Roman"/>
                <w:sz w:val="18"/>
                <w:szCs w:val="18"/>
                <w:lang w:eastAsia="sk-SK"/>
              </w:rPr>
            </w:pPr>
          </w:p>
        </w:tc>
        <w:tc>
          <w:tcPr>
            <w:tcW w:w="474" w:type="pct"/>
            <w:tcBorders>
              <w:top w:val="nil"/>
              <w:left w:val="nil"/>
              <w:bottom w:val="nil"/>
              <w:right w:val="nil"/>
            </w:tcBorders>
            <w:vAlign w:val="center"/>
          </w:tcPr>
          <w:p w14:paraId="0A78B25C" w14:textId="77777777" w:rsidR="00387EE0" w:rsidRPr="00963B72" w:rsidRDefault="00387EE0" w:rsidP="00433832">
            <w:pPr>
              <w:spacing w:line="240" w:lineRule="auto"/>
              <w:jc w:val="right"/>
              <w:rPr>
                <w:rFonts w:eastAsia="Times New Roman" w:cs="Times New Roman"/>
                <w:color w:val="000000"/>
                <w:sz w:val="18"/>
                <w:szCs w:val="18"/>
                <w:lang w:eastAsia="sk-SK"/>
              </w:rPr>
            </w:pPr>
          </w:p>
        </w:tc>
      </w:tr>
      <w:tr w:rsidR="00387EE0" w:rsidRPr="00963B72" w14:paraId="7C0B8F3E" w14:textId="77777777" w:rsidTr="00387EE0">
        <w:trPr>
          <w:trHeight w:val="330"/>
        </w:trPr>
        <w:tc>
          <w:tcPr>
            <w:tcW w:w="2630" w:type="pct"/>
            <w:tcBorders>
              <w:top w:val="nil"/>
              <w:left w:val="nil"/>
              <w:bottom w:val="nil"/>
              <w:right w:val="nil"/>
            </w:tcBorders>
            <w:noWrap/>
            <w:vAlign w:val="center"/>
            <w:hideMark/>
          </w:tcPr>
          <w:p w14:paraId="03D73D91"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zo zdravotných poisťovní</w:t>
            </w:r>
          </w:p>
        </w:tc>
        <w:tc>
          <w:tcPr>
            <w:tcW w:w="474" w:type="pct"/>
            <w:tcBorders>
              <w:top w:val="nil"/>
              <w:left w:val="nil"/>
              <w:bottom w:val="nil"/>
              <w:right w:val="nil"/>
            </w:tcBorders>
            <w:noWrap/>
            <w:vAlign w:val="center"/>
            <w:hideMark/>
          </w:tcPr>
          <w:p w14:paraId="7361A0D1"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c>
          <w:tcPr>
            <w:tcW w:w="474" w:type="pct"/>
            <w:tcBorders>
              <w:top w:val="nil"/>
              <w:left w:val="nil"/>
              <w:bottom w:val="nil"/>
              <w:right w:val="nil"/>
            </w:tcBorders>
            <w:noWrap/>
            <w:vAlign w:val="center"/>
          </w:tcPr>
          <w:p w14:paraId="03635429"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64 287</w:t>
            </w:r>
          </w:p>
        </w:tc>
        <w:tc>
          <w:tcPr>
            <w:tcW w:w="474" w:type="pct"/>
            <w:tcBorders>
              <w:top w:val="nil"/>
              <w:left w:val="nil"/>
              <w:bottom w:val="nil"/>
              <w:right w:val="nil"/>
            </w:tcBorders>
            <w:noWrap/>
            <w:vAlign w:val="center"/>
          </w:tcPr>
          <w:p w14:paraId="14A06178"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58 421</w:t>
            </w:r>
          </w:p>
        </w:tc>
        <w:tc>
          <w:tcPr>
            <w:tcW w:w="474" w:type="pct"/>
            <w:tcBorders>
              <w:top w:val="nil"/>
              <w:left w:val="nil"/>
              <w:bottom w:val="nil"/>
              <w:right w:val="nil"/>
            </w:tcBorders>
            <w:noWrap/>
            <w:vAlign w:val="center"/>
          </w:tcPr>
          <w:p w14:paraId="67C7F163"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57 167</w:t>
            </w:r>
          </w:p>
        </w:tc>
        <w:tc>
          <w:tcPr>
            <w:tcW w:w="474" w:type="pct"/>
            <w:tcBorders>
              <w:top w:val="nil"/>
              <w:left w:val="nil"/>
              <w:bottom w:val="nil"/>
              <w:right w:val="nil"/>
            </w:tcBorders>
            <w:vAlign w:val="center"/>
          </w:tcPr>
          <w:p w14:paraId="7C845707"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-1 254</w:t>
            </w:r>
          </w:p>
        </w:tc>
      </w:tr>
      <w:tr w:rsidR="00387EE0" w:rsidRPr="00963B72" w14:paraId="7D89421F" w14:textId="77777777" w:rsidTr="00387EE0">
        <w:trPr>
          <w:trHeight w:val="330"/>
        </w:trPr>
        <w:tc>
          <w:tcPr>
            <w:tcW w:w="2630" w:type="pct"/>
            <w:tcBorders>
              <w:top w:val="nil"/>
              <w:left w:val="nil"/>
              <w:bottom w:val="nil"/>
              <w:right w:val="nil"/>
            </w:tcBorders>
            <w:noWrap/>
            <w:vAlign w:val="center"/>
            <w:hideMark/>
          </w:tcPr>
          <w:p w14:paraId="62832659" w14:textId="77777777" w:rsidR="00387EE0" w:rsidRPr="00963B72" w:rsidRDefault="00387EE0" w:rsidP="00433832">
            <w:pPr>
              <w:spacing w:line="240" w:lineRule="auto"/>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zo Slovenského pozemkového fondu</w:t>
            </w:r>
          </w:p>
        </w:tc>
        <w:tc>
          <w:tcPr>
            <w:tcW w:w="474" w:type="pct"/>
            <w:tcBorders>
              <w:top w:val="nil"/>
              <w:left w:val="nil"/>
              <w:bottom w:val="nil"/>
              <w:right w:val="nil"/>
            </w:tcBorders>
            <w:noWrap/>
            <w:vAlign w:val="center"/>
            <w:hideMark/>
          </w:tcPr>
          <w:p w14:paraId="5C6302AA"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c>
          <w:tcPr>
            <w:tcW w:w="474" w:type="pct"/>
            <w:tcBorders>
              <w:top w:val="nil"/>
              <w:left w:val="nil"/>
              <w:bottom w:val="nil"/>
              <w:right w:val="nil"/>
            </w:tcBorders>
            <w:noWrap/>
            <w:vAlign w:val="center"/>
          </w:tcPr>
          <w:p w14:paraId="5D6A27E5"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0</w:t>
            </w:r>
          </w:p>
        </w:tc>
        <w:tc>
          <w:tcPr>
            <w:tcW w:w="474" w:type="pct"/>
            <w:tcBorders>
              <w:top w:val="nil"/>
              <w:left w:val="nil"/>
              <w:bottom w:val="nil"/>
              <w:right w:val="nil"/>
            </w:tcBorders>
            <w:noWrap/>
            <w:vAlign w:val="center"/>
          </w:tcPr>
          <w:p w14:paraId="4C896ADC"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1 500</w:t>
            </w:r>
          </w:p>
        </w:tc>
        <w:tc>
          <w:tcPr>
            <w:tcW w:w="474" w:type="pct"/>
            <w:tcBorders>
              <w:top w:val="nil"/>
              <w:left w:val="nil"/>
              <w:bottom w:val="nil"/>
              <w:right w:val="nil"/>
            </w:tcBorders>
            <w:noWrap/>
            <w:vAlign w:val="center"/>
          </w:tcPr>
          <w:p w14:paraId="4ED55EA0"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1 500</w:t>
            </w:r>
          </w:p>
        </w:tc>
        <w:tc>
          <w:tcPr>
            <w:tcW w:w="474" w:type="pct"/>
            <w:tcBorders>
              <w:top w:val="nil"/>
              <w:left w:val="nil"/>
              <w:bottom w:val="nil"/>
              <w:right w:val="nil"/>
            </w:tcBorders>
            <w:vAlign w:val="center"/>
          </w:tcPr>
          <w:p w14:paraId="6A9BFEC2"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387EE0" w:rsidRPr="00963B72" w14:paraId="03E33912" w14:textId="77777777" w:rsidTr="00387EE0">
        <w:trPr>
          <w:trHeight w:val="480"/>
        </w:trPr>
        <w:tc>
          <w:tcPr>
            <w:tcW w:w="2630" w:type="pct"/>
            <w:tcBorders>
              <w:top w:val="nil"/>
              <w:left w:val="nil"/>
              <w:bottom w:val="nil"/>
              <w:right w:val="nil"/>
            </w:tcBorders>
            <w:noWrap/>
            <w:vAlign w:val="center"/>
            <w:hideMark/>
          </w:tcPr>
          <w:p w14:paraId="15BAA3D0" w14:textId="77777777" w:rsidR="00387EE0" w:rsidRDefault="00387EE0" w:rsidP="00433832">
            <w:pPr>
              <w:spacing w:line="240" w:lineRule="auto"/>
              <w:ind w:left="356" w:hanging="356"/>
              <w:rPr>
                <w:rFonts w:eastAsia="Times New Roman" w:cs="Times New Roman"/>
                <w:color w:val="000000"/>
                <w:sz w:val="18"/>
                <w:szCs w:val="18"/>
                <w:lang w:eastAsia="sk-SK"/>
              </w:rPr>
            </w:pPr>
            <w:r w:rsidRPr="00963B72">
              <w:rPr>
                <w:rFonts w:eastAsia="Times New Roman" w:cs="Times New Roman"/>
                <w:color w:val="000000"/>
                <w:sz w:val="18"/>
                <w:szCs w:val="18"/>
                <w:lang w:eastAsia="sk-SK"/>
              </w:rPr>
              <w:t xml:space="preserve">       zo štátneho rozpočtu okrem transferu na úhradu nákladov </w:t>
            </w:r>
          </w:p>
          <w:p w14:paraId="342B227A" w14:textId="77777777" w:rsidR="00387EE0" w:rsidRPr="00963B72" w:rsidRDefault="00387EE0" w:rsidP="00433832">
            <w:pPr>
              <w:spacing w:line="240" w:lineRule="auto"/>
              <w:rPr>
                <w:rFonts w:eastAsia="Times New Roman" w:cs="Times New Roman"/>
                <w:color w:val="000000"/>
                <w:sz w:val="18"/>
                <w:szCs w:val="18"/>
                <w:lang w:eastAsia="sk-SK"/>
              </w:rPr>
            </w:pPr>
            <w:r>
              <w:rPr>
                <w:rFonts w:eastAsia="Times New Roman" w:cs="Times New Roman"/>
                <w:color w:val="000000"/>
                <w:sz w:val="18"/>
                <w:szCs w:val="18"/>
                <w:lang w:eastAsia="sk-SK"/>
              </w:rPr>
              <w:t xml:space="preserve">       </w:t>
            </w:r>
            <w:r w:rsidRPr="00963B72">
              <w:rPr>
                <w:rFonts w:eastAsia="Times New Roman" w:cs="Times New Roman"/>
                <w:color w:val="000000"/>
                <w:sz w:val="18"/>
                <w:szCs w:val="18"/>
                <w:lang w:eastAsia="sk-SK"/>
              </w:rPr>
              <w:t>preneseného výkonu štátnej správy</w:t>
            </w:r>
          </w:p>
        </w:tc>
        <w:tc>
          <w:tcPr>
            <w:tcW w:w="474" w:type="pct"/>
            <w:tcBorders>
              <w:top w:val="nil"/>
              <w:left w:val="nil"/>
              <w:bottom w:val="nil"/>
              <w:right w:val="nil"/>
            </w:tcBorders>
            <w:noWrap/>
            <w:vAlign w:val="center"/>
            <w:hideMark/>
          </w:tcPr>
          <w:p w14:paraId="75D679D5"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69</w:t>
            </w:r>
          </w:p>
        </w:tc>
        <w:tc>
          <w:tcPr>
            <w:tcW w:w="474" w:type="pct"/>
            <w:tcBorders>
              <w:top w:val="nil"/>
              <w:left w:val="nil"/>
              <w:bottom w:val="nil"/>
              <w:right w:val="nil"/>
            </w:tcBorders>
            <w:noWrap/>
            <w:vAlign w:val="center"/>
          </w:tcPr>
          <w:p w14:paraId="400CE693" w14:textId="77777777" w:rsidR="00387EE0" w:rsidRPr="00963B72" w:rsidRDefault="00387EE0" w:rsidP="00433832">
            <w:pPr>
              <w:spacing w:line="240" w:lineRule="auto"/>
              <w:jc w:val="right"/>
              <w:rPr>
                <w:rFonts w:eastAsia="Times New Roman" w:cs="Times New Roman"/>
                <w:color w:val="000000"/>
                <w:sz w:val="18"/>
                <w:szCs w:val="18"/>
                <w:lang w:eastAsia="sk-SK"/>
              </w:rPr>
            </w:pPr>
            <w:r w:rsidRPr="00963B72">
              <w:rPr>
                <w:rFonts w:eastAsia="Times New Roman" w:cs="Times New Roman"/>
                <w:color w:val="000000"/>
                <w:sz w:val="18"/>
                <w:szCs w:val="18"/>
                <w:lang w:eastAsia="sk-SK"/>
              </w:rPr>
              <w:t>124</w:t>
            </w:r>
          </w:p>
        </w:tc>
        <w:tc>
          <w:tcPr>
            <w:tcW w:w="474" w:type="pct"/>
            <w:tcBorders>
              <w:top w:val="nil"/>
              <w:left w:val="nil"/>
              <w:bottom w:val="nil"/>
              <w:right w:val="nil"/>
            </w:tcBorders>
            <w:noWrap/>
            <w:vAlign w:val="center"/>
          </w:tcPr>
          <w:p w14:paraId="49F67B88"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112</w:t>
            </w:r>
          </w:p>
        </w:tc>
        <w:tc>
          <w:tcPr>
            <w:tcW w:w="474" w:type="pct"/>
            <w:tcBorders>
              <w:top w:val="nil"/>
              <w:left w:val="nil"/>
              <w:bottom w:val="nil"/>
              <w:right w:val="nil"/>
            </w:tcBorders>
            <w:noWrap/>
            <w:vAlign w:val="center"/>
          </w:tcPr>
          <w:p w14:paraId="0FEDD9FD"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62</w:t>
            </w:r>
          </w:p>
        </w:tc>
        <w:tc>
          <w:tcPr>
            <w:tcW w:w="474" w:type="pct"/>
            <w:tcBorders>
              <w:top w:val="nil"/>
              <w:left w:val="nil"/>
              <w:bottom w:val="nil"/>
              <w:right w:val="nil"/>
            </w:tcBorders>
            <w:vAlign w:val="center"/>
          </w:tcPr>
          <w:p w14:paraId="32D080A0" w14:textId="77777777" w:rsidR="00387EE0" w:rsidRPr="00963B72" w:rsidRDefault="00387EE0"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-50</w:t>
            </w:r>
          </w:p>
        </w:tc>
      </w:tr>
      <w:tr w:rsidR="00387EE0" w:rsidRPr="00963B72" w14:paraId="1A03CA47" w14:textId="77777777" w:rsidTr="00387EE0">
        <w:trPr>
          <w:trHeight w:val="345"/>
        </w:trPr>
        <w:tc>
          <w:tcPr>
            <w:tcW w:w="2630" w:type="pct"/>
            <w:tcBorders>
              <w:top w:val="single" w:sz="4" w:space="0" w:color="auto"/>
              <w:left w:val="nil"/>
              <w:bottom w:val="single" w:sz="4" w:space="0" w:color="auto"/>
              <w:right w:val="nil"/>
            </w:tcBorders>
            <w:noWrap/>
            <w:vAlign w:val="center"/>
            <w:hideMark/>
          </w:tcPr>
          <w:p w14:paraId="3F110AD5" w14:textId="77777777" w:rsidR="00387EE0" w:rsidRPr="00963B72" w:rsidRDefault="00387EE0" w:rsidP="00433832">
            <w:pPr>
              <w:spacing w:line="240" w:lineRule="auto"/>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Spolu</w:t>
            </w:r>
          </w:p>
        </w:tc>
        <w:tc>
          <w:tcPr>
            <w:tcW w:w="474" w:type="pct"/>
            <w:tcBorders>
              <w:top w:val="single" w:sz="4" w:space="0" w:color="auto"/>
              <w:left w:val="nil"/>
              <w:bottom w:val="single" w:sz="4" w:space="0" w:color="auto"/>
              <w:right w:val="nil"/>
            </w:tcBorders>
            <w:noWrap/>
            <w:vAlign w:val="center"/>
            <w:hideMark/>
          </w:tcPr>
          <w:p w14:paraId="0BD95610"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4 509 343</w:t>
            </w:r>
          </w:p>
        </w:tc>
        <w:tc>
          <w:tcPr>
            <w:tcW w:w="474" w:type="pct"/>
            <w:tcBorders>
              <w:top w:val="single" w:sz="4" w:space="0" w:color="auto"/>
              <w:left w:val="nil"/>
              <w:bottom w:val="single" w:sz="4" w:space="0" w:color="auto"/>
              <w:right w:val="nil"/>
            </w:tcBorders>
            <w:noWrap/>
            <w:vAlign w:val="center"/>
          </w:tcPr>
          <w:p w14:paraId="2BC75EA2" w14:textId="77777777" w:rsidR="00387EE0" w:rsidRPr="00963B72" w:rsidRDefault="00387EE0" w:rsidP="00433832">
            <w:pPr>
              <w:spacing w:line="240" w:lineRule="auto"/>
              <w:jc w:val="right"/>
              <w:rPr>
                <w:rFonts w:eastAsia="Times New Roman" w:cs="Times New Roman"/>
                <w:b/>
                <w:bCs/>
                <w:color w:val="000000"/>
                <w:sz w:val="18"/>
                <w:szCs w:val="18"/>
                <w:lang w:eastAsia="sk-SK"/>
              </w:rPr>
            </w:pPr>
            <w:r w:rsidRPr="00963B72">
              <w:rPr>
                <w:rFonts w:eastAsia="Times New Roman" w:cs="Times New Roman"/>
                <w:b/>
                <w:bCs/>
                <w:color w:val="000000"/>
                <w:sz w:val="18"/>
                <w:szCs w:val="18"/>
                <w:lang w:eastAsia="sk-SK"/>
              </w:rPr>
              <w:t>4 197 103</w:t>
            </w:r>
          </w:p>
        </w:tc>
        <w:tc>
          <w:tcPr>
            <w:tcW w:w="474" w:type="pct"/>
            <w:tcBorders>
              <w:top w:val="single" w:sz="4" w:space="0" w:color="auto"/>
              <w:left w:val="nil"/>
              <w:bottom w:val="single" w:sz="4" w:space="0" w:color="auto"/>
              <w:right w:val="nil"/>
            </w:tcBorders>
            <w:noWrap/>
            <w:vAlign w:val="center"/>
          </w:tcPr>
          <w:p w14:paraId="1A8636E2" w14:textId="77777777" w:rsidR="00387EE0" w:rsidRPr="007A093F" w:rsidRDefault="00387EE0" w:rsidP="00433832">
            <w:pPr>
              <w:spacing w:line="240" w:lineRule="auto"/>
              <w:jc w:val="right"/>
              <w:rPr>
                <w:rFonts w:eastAsia="Times New Roman" w:cs="Times New Roman"/>
                <w:b/>
                <w:bCs/>
                <w:color w:val="000000"/>
                <w:sz w:val="18"/>
                <w:szCs w:val="18"/>
                <w:lang w:eastAsia="sk-SK"/>
              </w:rPr>
            </w:pPr>
            <w:r w:rsidRPr="007A093F">
              <w:rPr>
                <w:rFonts w:eastAsia="Times New Roman" w:cs="Times New Roman"/>
                <w:b/>
                <w:bCs/>
                <w:color w:val="000000"/>
                <w:sz w:val="18"/>
                <w:szCs w:val="18"/>
                <w:lang w:eastAsia="sk-SK"/>
              </w:rPr>
              <w:t>3 407 830</w:t>
            </w:r>
          </w:p>
        </w:tc>
        <w:tc>
          <w:tcPr>
            <w:tcW w:w="474" w:type="pct"/>
            <w:tcBorders>
              <w:top w:val="single" w:sz="4" w:space="0" w:color="auto"/>
              <w:left w:val="nil"/>
              <w:bottom w:val="single" w:sz="4" w:space="0" w:color="auto"/>
              <w:right w:val="nil"/>
            </w:tcBorders>
            <w:noWrap/>
            <w:vAlign w:val="center"/>
          </w:tcPr>
          <w:p w14:paraId="29F44143" w14:textId="77777777" w:rsidR="00387EE0" w:rsidRPr="007A093F" w:rsidRDefault="00387EE0" w:rsidP="00433832">
            <w:pPr>
              <w:spacing w:line="240" w:lineRule="auto"/>
              <w:jc w:val="right"/>
              <w:rPr>
                <w:rFonts w:eastAsia="Times New Roman" w:cs="Times New Roman"/>
                <w:b/>
                <w:bCs/>
                <w:color w:val="000000"/>
                <w:sz w:val="18"/>
                <w:szCs w:val="18"/>
                <w:lang w:eastAsia="sk-SK"/>
              </w:rPr>
            </w:pPr>
            <w:r w:rsidRPr="007A093F">
              <w:rPr>
                <w:rFonts w:eastAsia="Times New Roman" w:cs="Times New Roman"/>
                <w:b/>
                <w:bCs/>
                <w:color w:val="000000"/>
                <w:sz w:val="18"/>
                <w:szCs w:val="18"/>
                <w:lang w:eastAsia="sk-SK"/>
              </w:rPr>
              <w:t>4 436 046</w:t>
            </w:r>
          </w:p>
        </w:tc>
        <w:tc>
          <w:tcPr>
            <w:tcW w:w="474" w:type="pct"/>
            <w:tcBorders>
              <w:top w:val="single" w:sz="4" w:space="0" w:color="auto"/>
              <w:left w:val="nil"/>
              <w:bottom w:val="single" w:sz="4" w:space="0" w:color="auto"/>
              <w:right w:val="nil"/>
            </w:tcBorders>
            <w:noWrap/>
            <w:vAlign w:val="center"/>
          </w:tcPr>
          <w:p w14:paraId="1A7873EB" w14:textId="77777777" w:rsidR="00387EE0" w:rsidRPr="007A093F" w:rsidRDefault="00387EE0" w:rsidP="00433832">
            <w:pPr>
              <w:spacing w:line="240" w:lineRule="auto"/>
              <w:jc w:val="right"/>
              <w:rPr>
                <w:rFonts w:eastAsia="Times New Roman" w:cs="Times New Roman"/>
                <w:b/>
                <w:bCs/>
                <w:color w:val="000000"/>
                <w:sz w:val="18"/>
                <w:szCs w:val="18"/>
                <w:lang w:eastAsia="sk-SK"/>
              </w:rPr>
            </w:pPr>
            <w:r w:rsidRPr="007A093F">
              <w:rPr>
                <w:rFonts w:eastAsia="Times New Roman" w:cs="Times New Roman"/>
                <w:b/>
                <w:bCs/>
                <w:color w:val="000000"/>
                <w:sz w:val="18"/>
                <w:szCs w:val="18"/>
                <w:lang w:eastAsia="sk-SK"/>
              </w:rPr>
              <w:t>1 028 216</w:t>
            </w:r>
          </w:p>
        </w:tc>
      </w:tr>
    </w:tbl>
    <w:p w14:paraId="72F53B8D" w14:textId="6C307260" w:rsidR="004C20D6" w:rsidRPr="0050710A" w:rsidRDefault="004942CF" w:rsidP="004942CF">
      <w:pPr>
        <w:tabs>
          <w:tab w:val="right" w:pos="9070"/>
        </w:tabs>
        <w:spacing w:line="240" w:lineRule="auto"/>
        <w:jc w:val="both"/>
        <w:rPr>
          <w:sz w:val="18"/>
          <w:szCs w:val="18"/>
          <w:highlight w:val="yellow"/>
        </w:rPr>
      </w:pPr>
      <w:r w:rsidRPr="00387EE0">
        <w:rPr>
          <w:sz w:val="18"/>
          <w:szCs w:val="18"/>
        </w:rPr>
        <w:tab/>
      </w:r>
      <w:r w:rsidR="00F53DFF" w:rsidRPr="00387EE0">
        <w:rPr>
          <w:sz w:val="18"/>
          <w:szCs w:val="18"/>
        </w:rPr>
        <w:t>Zdroj: MF SR</w:t>
      </w:r>
    </w:p>
    <w:p w14:paraId="09E4FB42" w14:textId="77777777" w:rsidR="00D46A5E" w:rsidRPr="0050710A" w:rsidRDefault="00D46A5E" w:rsidP="00532D85">
      <w:pPr>
        <w:spacing w:line="240" w:lineRule="auto"/>
        <w:jc w:val="both"/>
        <w:rPr>
          <w:szCs w:val="24"/>
          <w:highlight w:val="yellow"/>
        </w:rPr>
      </w:pPr>
    </w:p>
    <w:p w14:paraId="67BE65E1" w14:textId="37EB41A0" w:rsidR="00765387" w:rsidRDefault="00765387" w:rsidP="00D5791A">
      <w:pPr>
        <w:spacing w:line="240" w:lineRule="auto"/>
        <w:jc w:val="both"/>
        <w:rPr>
          <w:szCs w:val="24"/>
        </w:rPr>
      </w:pPr>
      <w:r w:rsidRPr="00734866">
        <w:rPr>
          <w:szCs w:val="24"/>
        </w:rPr>
        <w:t xml:space="preserve">Schválený rozpočet príjmov zo zahraničných transferov na rok </w:t>
      </w:r>
      <w:r w:rsidR="00632A05" w:rsidRPr="00734866">
        <w:rPr>
          <w:szCs w:val="24"/>
        </w:rPr>
        <w:t>202</w:t>
      </w:r>
      <w:r w:rsidR="00632A05">
        <w:rPr>
          <w:szCs w:val="24"/>
        </w:rPr>
        <w:t xml:space="preserve">5 </w:t>
      </w:r>
      <w:r>
        <w:rPr>
          <w:szCs w:val="24"/>
        </w:rPr>
        <w:t>bol vo </w:t>
      </w:r>
      <w:r w:rsidRPr="00734866">
        <w:rPr>
          <w:szCs w:val="24"/>
        </w:rPr>
        <w:t xml:space="preserve">výške </w:t>
      </w:r>
      <w:r>
        <w:rPr>
          <w:szCs w:val="24"/>
        </w:rPr>
        <w:t>3 347 </w:t>
      </w:r>
      <w:r w:rsidR="00632A05">
        <w:rPr>
          <w:szCs w:val="24"/>
        </w:rPr>
        <w:t>798 </w:t>
      </w:r>
      <w:r>
        <w:rPr>
          <w:szCs w:val="24"/>
        </w:rPr>
        <w:t>tis. eur</w:t>
      </w:r>
      <w:r w:rsidRPr="00734866">
        <w:rPr>
          <w:szCs w:val="24"/>
        </w:rPr>
        <w:t xml:space="preserve">, z toho príjmy za prostriedky </w:t>
      </w:r>
      <w:r>
        <w:rPr>
          <w:szCs w:val="24"/>
        </w:rPr>
        <w:t>EŠIF boli rozpočtované vo </w:t>
      </w:r>
      <w:r w:rsidRPr="00734866">
        <w:rPr>
          <w:szCs w:val="24"/>
        </w:rPr>
        <w:t xml:space="preserve">výške </w:t>
      </w:r>
      <w:r>
        <w:rPr>
          <w:szCs w:val="24"/>
        </w:rPr>
        <w:t>2 142 </w:t>
      </w:r>
      <w:r w:rsidR="00632A05">
        <w:rPr>
          <w:szCs w:val="24"/>
        </w:rPr>
        <w:t>252 </w:t>
      </w:r>
      <w:r>
        <w:rPr>
          <w:szCs w:val="24"/>
        </w:rPr>
        <w:t xml:space="preserve">tis. eur </w:t>
      </w:r>
      <w:r w:rsidRPr="00734866">
        <w:rPr>
          <w:szCs w:val="24"/>
        </w:rPr>
        <w:t xml:space="preserve">a príjmy za POO vo výške </w:t>
      </w:r>
      <w:r>
        <w:rPr>
          <w:szCs w:val="24"/>
        </w:rPr>
        <w:t>1 205 546 tis. eur</w:t>
      </w:r>
      <w:r w:rsidRPr="00734866">
        <w:rPr>
          <w:szCs w:val="24"/>
        </w:rPr>
        <w:t xml:space="preserve">. Skutočné plnenie týchto príjmov bolo vo výške </w:t>
      </w:r>
      <w:r>
        <w:rPr>
          <w:szCs w:val="24"/>
        </w:rPr>
        <w:t>4 377 </w:t>
      </w:r>
      <w:r w:rsidR="00632A05">
        <w:rPr>
          <w:szCs w:val="24"/>
        </w:rPr>
        <w:t>310 </w:t>
      </w:r>
      <w:r>
        <w:rPr>
          <w:szCs w:val="24"/>
        </w:rPr>
        <w:t>tis. eur</w:t>
      </w:r>
      <w:r w:rsidRPr="00734866">
        <w:rPr>
          <w:szCs w:val="24"/>
        </w:rPr>
        <w:t xml:space="preserve">, z toho </w:t>
      </w:r>
      <w:r>
        <w:rPr>
          <w:szCs w:val="24"/>
        </w:rPr>
        <w:t>EŠIF 2 407 529 tis. eur a </w:t>
      </w:r>
      <w:r w:rsidRPr="00734866">
        <w:rPr>
          <w:szCs w:val="24"/>
        </w:rPr>
        <w:t xml:space="preserve">POO </w:t>
      </w:r>
      <w:r>
        <w:rPr>
          <w:szCs w:val="24"/>
        </w:rPr>
        <w:t>1 969 780 tis. eur. Plnenie týchto príjmov bolo na úrovni 130,7 % rozpočtu.</w:t>
      </w:r>
    </w:p>
    <w:p w14:paraId="6ADE0815" w14:textId="77777777" w:rsidR="00765387" w:rsidRDefault="00765387" w:rsidP="00D5791A">
      <w:pPr>
        <w:spacing w:line="240" w:lineRule="auto"/>
        <w:jc w:val="both"/>
        <w:rPr>
          <w:szCs w:val="24"/>
        </w:rPr>
      </w:pPr>
    </w:p>
    <w:p w14:paraId="0E5762A6" w14:textId="77777777" w:rsidR="00765387" w:rsidRDefault="00765387" w:rsidP="00D5791A">
      <w:pPr>
        <w:spacing w:line="240" w:lineRule="auto"/>
        <w:jc w:val="both"/>
        <w:rPr>
          <w:szCs w:val="24"/>
        </w:rPr>
      </w:pPr>
      <w:r w:rsidRPr="009D7890">
        <w:rPr>
          <w:b/>
          <w:bCs/>
          <w:szCs w:val="24"/>
        </w:rPr>
        <w:t>Skutočné plnenie zahraničných transferov</w:t>
      </w:r>
      <w:r>
        <w:rPr>
          <w:szCs w:val="24"/>
        </w:rPr>
        <w:t xml:space="preserve"> presiahlo rozpočet o 1 029 512 tis. eur, a dosiahlo 106 % skutočnosti roku 2024. Na vyššie medziročné rozpočtovanie príjmov malo vplyv očakávané čerpanie príjmov za 4. programové obdobie. Z tohto programového obdobia sa medziročne vyššie rozpočtovali prostriedky napr. za Európsky fond regionálneho rozvoja o 641 034 tis. eur, za Európsky sociálny fond 278 222 tis. eur a za Kohézny fond 148 429 tis. eur. Skutočné plnenie príjmov bolo však viac ovplyvnené zdrojmi z 3. programového obdobia (čerpanie programu rozvoja vidieka 3. PO až do 31.12.2025, fázované projekty štrukturálnych operácií) a plán rozpočtu 4. programového obdobia sa nenaplnil o 333 777 tis. eur.</w:t>
      </w:r>
    </w:p>
    <w:p w14:paraId="1E605D2F" w14:textId="77777777" w:rsidR="00765387" w:rsidRDefault="00765387" w:rsidP="00D5791A">
      <w:pPr>
        <w:spacing w:line="240" w:lineRule="auto"/>
        <w:jc w:val="both"/>
        <w:rPr>
          <w:szCs w:val="24"/>
        </w:rPr>
      </w:pPr>
    </w:p>
    <w:p w14:paraId="49704216" w14:textId="77777777" w:rsidR="00765387" w:rsidRDefault="00765387" w:rsidP="00D5791A">
      <w:pPr>
        <w:spacing w:line="240" w:lineRule="auto"/>
        <w:jc w:val="both"/>
        <w:rPr>
          <w:szCs w:val="24"/>
        </w:rPr>
      </w:pPr>
      <w:r>
        <w:rPr>
          <w:szCs w:val="24"/>
        </w:rPr>
        <w:t>Prostriedky za 3. programové obdobie, ktoré neboli súčasťou rozpočtu, naplnili príjmy z transferov v celkovej výške 576 565 tis. eur, išlo najmä o poľnohospodárske fondy 458 652 tis.</w:t>
      </w:r>
      <w:r>
        <w:t> </w:t>
      </w:r>
      <w:r>
        <w:rPr>
          <w:szCs w:val="24"/>
        </w:rPr>
        <w:t>eur, Európsky fond regionálneho rozvoja 62 200 tis. eur a Kohézny fond 54 125 tis. eur.</w:t>
      </w:r>
    </w:p>
    <w:p w14:paraId="4457B56A" w14:textId="77777777" w:rsidR="00765387" w:rsidRDefault="00765387" w:rsidP="00D5791A">
      <w:pPr>
        <w:spacing w:line="240" w:lineRule="auto"/>
        <w:jc w:val="both"/>
        <w:rPr>
          <w:szCs w:val="24"/>
        </w:rPr>
      </w:pPr>
    </w:p>
    <w:p w14:paraId="72A42047" w14:textId="77777777" w:rsidR="00765387" w:rsidRDefault="00765387" w:rsidP="00D5791A">
      <w:pPr>
        <w:spacing w:line="240" w:lineRule="auto"/>
        <w:jc w:val="both"/>
        <w:rPr>
          <w:szCs w:val="24"/>
        </w:rPr>
      </w:pPr>
      <w:r w:rsidRPr="006409B3">
        <w:rPr>
          <w:szCs w:val="24"/>
          <w:u w:val="single"/>
        </w:rPr>
        <w:lastRenderedPageBreak/>
        <w:t xml:space="preserve">Prostriedky </w:t>
      </w:r>
      <w:r>
        <w:rPr>
          <w:szCs w:val="24"/>
          <w:u w:val="single"/>
        </w:rPr>
        <w:t>EÚ</w:t>
      </w:r>
      <w:r w:rsidRPr="006409B3">
        <w:rPr>
          <w:szCs w:val="24"/>
          <w:u w:val="single"/>
        </w:rPr>
        <w:t xml:space="preserve"> </w:t>
      </w:r>
      <w:r>
        <w:rPr>
          <w:szCs w:val="24"/>
          <w:u w:val="single"/>
        </w:rPr>
        <w:t>sú</w:t>
      </w:r>
      <w:r w:rsidRPr="006409B3">
        <w:rPr>
          <w:szCs w:val="24"/>
          <w:u w:val="single"/>
        </w:rPr>
        <w:t xml:space="preserve"> súčasťou príjmov štátneho rozpočtu na úrovni platobných jednotiek</w:t>
      </w:r>
      <w:r>
        <w:rPr>
          <w:szCs w:val="24"/>
        </w:rPr>
        <w:t>, hlavne Ministerstva pôdohospodárstva a rozvoja vidieka SR (1 016 097 tis. eur), Ministerstva životného prostredia SR (83 501 tis. eur),</w:t>
      </w:r>
      <w:r w:rsidRPr="007963CA">
        <w:rPr>
          <w:szCs w:val="24"/>
        </w:rPr>
        <w:t xml:space="preserve"> </w:t>
      </w:r>
      <w:r>
        <w:rPr>
          <w:szCs w:val="24"/>
        </w:rPr>
        <w:t>Ministerstva dopravy SR (476 139 tis. eur), Ministerstva investícií, regionálneho rozvoja a investícií SR (281 994 tis. eur), Ministerstva práce, sociálnych vecí a rodiny SR (314 365 tis. eur), Ministerstvo školstva, výskumu, vývoja a mládeže SR (127 160 tis. eur).</w:t>
      </w:r>
    </w:p>
    <w:p w14:paraId="2F0CF8B1" w14:textId="77777777" w:rsidR="00765387" w:rsidRPr="0086767F" w:rsidRDefault="00765387" w:rsidP="00D5791A">
      <w:pPr>
        <w:spacing w:line="240" w:lineRule="auto"/>
        <w:jc w:val="both"/>
        <w:rPr>
          <w:szCs w:val="24"/>
        </w:rPr>
      </w:pPr>
    </w:p>
    <w:p w14:paraId="1D773F47" w14:textId="2079F545" w:rsidR="00765387" w:rsidRDefault="00765387" w:rsidP="00D5791A">
      <w:pPr>
        <w:spacing w:line="240" w:lineRule="auto"/>
        <w:jc w:val="both"/>
        <w:rPr>
          <w:szCs w:val="24"/>
          <w:highlight w:val="yellow"/>
        </w:rPr>
      </w:pPr>
      <w:r w:rsidRPr="008B6E81">
        <w:rPr>
          <w:bCs/>
          <w:szCs w:val="24"/>
          <w:u w:val="single"/>
        </w:rPr>
        <w:t>Prostriedky z </w:t>
      </w:r>
      <w:r w:rsidR="00C4036E">
        <w:rPr>
          <w:bCs/>
          <w:szCs w:val="24"/>
          <w:u w:val="single"/>
        </w:rPr>
        <w:t>POO</w:t>
      </w:r>
      <w:r w:rsidRPr="00DF419F">
        <w:rPr>
          <w:szCs w:val="24"/>
        </w:rPr>
        <w:t xml:space="preserve"> </w:t>
      </w:r>
      <w:r>
        <w:rPr>
          <w:szCs w:val="24"/>
        </w:rPr>
        <w:t>sa stávajú príjmami štátneho rozpočtu podľa § 9 ods. 3 zákona č. 368/2021 Z. z. o mechanizme na podporu obnovy a odolnosti a o zmene a doplnení niektorých zákonov. Národná implementačná a</w:t>
      </w:r>
      <w:r w:rsidRPr="00A84845">
        <w:rPr>
          <w:szCs w:val="24"/>
        </w:rPr>
        <w:t xml:space="preserve"> </w:t>
      </w:r>
      <w:r>
        <w:rPr>
          <w:szCs w:val="24"/>
        </w:rPr>
        <w:t>koordinačná autorita prevádza po dohode s Ministerstvom financií SR prostriedky POO do príjmov kapitoly Všeobecná pokladničná správa, ktoré zdrojovo zabezpečujú krytie výdavkov, rozpočtované v štátnom rozpočte.</w:t>
      </w:r>
    </w:p>
    <w:p w14:paraId="134C81CF" w14:textId="77777777" w:rsidR="00765387" w:rsidRDefault="00765387" w:rsidP="00D5791A">
      <w:pPr>
        <w:spacing w:line="240" w:lineRule="auto"/>
        <w:jc w:val="both"/>
        <w:rPr>
          <w:szCs w:val="24"/>
          <w:highlight w:val="yellow"/>
        </w:rPr>
      </w:pPr>
    </w:p>
    <w:p w14:paraId="781B700F" w14:textId="1259C8C5" w:rsidR="00765387" w:rsidRPr="00E318B7" w:rsidRDefault="00765387" w:rsidP="00D5791A">
      <w:pPr>
        <w:spacing w:line="240" w:lineRule="auto"/>
        <w:jc w:val="both"/>
        <w:rPr>
          <w:szCs w:val="24"/>
        </w:rPr>
      </w:pPr>
      <w:r w:rsidRPr="00E318B7">
        <w:rPr>
          <w:szCs w:val="24"/>
        </w:rPr>
        <w:t>Príjmy POO sa naplnili oproti rozpočtu viac o 764 </w:t>
      </w:r>
      <w:r w:rsidR="00632A05" w:rsidRPr="00E318B7">
        <w:rPr>
          <w:szCs w:val="24"/>
        </w:rPr>
        <w:t>23</w:t>
      </w:r>
      <w:r w:rsidR="00632A05">
        <w:rPr>
          <w:szCs w:val="24"/>
        </w:rPr>
        <w:t>5</w:t>
      </w:r>
      <w:r w:rsidR="00632A05" w:rsidRPr="00E318B7">
        <w:rPr>
          <w:szCs w:val="24"/>
        </w:rPr>
        <w:t> </w:t>
      </w:r>
      <w:r w:rsidRPr="00E318B7">
        <w:rPr>
          <w:szCs w:val="24"/>
        </w:rPr>
        <w:t>tis. eur, pričom boli tvorené najmä zdrojmi z predchádzajúcich období vo výške 1 659 746 tis. eur a zdrojmi bežného roka vo výške 310 034 tis. eur.</w:t>
      </w:r>
      <w:r w:rsidR="00E318B7">
        <w:rPr>
          <w:szCs w:val="24"/>
        </w:rPr>
        <w:t xml:space="preserve"> </w:t>
      </w:r>
      <w:r w:rsidR="00E318B7" w:rsidRPr="00806A1A">
        <w:rPr>
          <w:b/>
          <w:bCs/>
          <w:i/>
          <w:iCs/>
          <w:szCs w:val="24"/>
        </w:rPr>
        <w:t xml:space="preserve">Bližšie informácie k prostriedkom </w:t>
      </w:r>
      <w:r w:rsidR="00C4036E">
        <w:rPr>
          <w:b/>
          <w:bCs/>
          <w:i/>
          <w:iCs/>
          <w:szCs w:val="24"/>
        </w:rPr>
        <w:t>POO</w:t>
      </w:r>
      <w:r w:rsidR="00E318B7" w:rsidRPr="00806A1A">
        <w:rPr>
          <w:b/>
          <w:bCs/>
          <w:i/>
          <w:iCs/>
          <w:szCs w:val="24"/>
        </w:rPr>
        <w:t xml:space="preserve"> sú prezentované v časti </w:t>
      </w:r>
      <w:r w:rsidR="00806A1A" w:rsidRPr="00806A1A">
        <w:rPr>
          <w:b/>
          <w:bCs/>
          <w:i/>
          <w:iCs/>
          <w:szCs w:val="24"/>
        </w:rPr>
        <w:t>3.4. Vzťahy štátneho rozpočtu k Európskej únii.</w:t>
      </w:r>
    </w:p>
    <w:p w14:paraId="200953A1" w14:textId="77777777" w:rsidR="00765387" w:rsidRDefault="00765387" w:rsidP="00D5791A">
      <w:pPr>
        <w:spacing w:line="240" w:lineRule="auto"/>
        <w:jc w:val="both"/>
        <w:rPr>
          <w:szCs w:val="24"/>
          <w:highlight w:val="yellow"/>
        </w:rPr>
      </w:pPr>
    </w:p>
    <w:p w14:paraId="1DE5FC7E" w14:textId="6E512C3F" w:rsidR="00632A05" w:rsidRDefault="00765387" w:rsidP="00EA47D2">
      <w:pPr>
        <w:rPr>
          <w:szCs w:val="24"/>
        </w:rPr>
      </w:pPr>
      <w:r w:rsidRPr="009D7890">
        <w:rPr>
          <w:b/>
          <w:bCs/>
          <w:szCs w:val="24"/>
        </w:rPr>
        <w:t>V rámci tuzemských grantov a transferov</w:t>
      </w:r>
      <w:r>
        <w:rPr>
          <w:szCs w:val="24"/>
        </w:rPr>
        <w:t xml:space="preserve"> je najväčšou položkou transfer zo zdravotných poisťovní vo výške </w:t>
      </w:r>
      <w:r w:rsidR="00632A05">
        <w:rPr>
          <w:szCs w:val="24"/>
        </w:rPr>
        <w:t>57 167</w:t>
      </w:r>
      <w:r>
        <w:rPr>
          <w:szCs w:val="24"/>
        </w:rPr>
        <w:t> tis. eur. Ide o príspevok na správu a rozvoj národného zdravotníckeho informačného systému a príspevok na činnosť operačných stredísk tiesňového volania záchrannej zdravotnej služby (OS ZZS), ktorý podľa zákona č. 581/2004 Z. z. o </w:t>
      </w:r>
      <w:r w:rsidRPr="00A24DAB">
        <w:rPr>
          <w:szCs w:val="24"/>
        </w:rPr>
        <w:t>zdravotných poisťovniach, dohľade nad zdravotnou starostlivosťou a</w:t>
      </w:r>
      <w:r>
        <w:rPr>
          <w:szCs w:val="24"/>
        </w:rPr>
        <w:t> </w:t>
      </w:r>
      <w:r w:rsidRPr="00A24DAB">
        <w:rPr>
          <w:szCs w:val="24"/>
        </w:rPr>
        <w:t>o</w:t>
      </w:r>
      <w:r>
        <w:rPr>
          <w:szCs w:val="24"/>
        </w:rPr>
        <w:t> </w:t>
      </w:r>
      <w:r w:rsidRPr="00A24DAB">
        <w:rPr>
          <w:szCs w:val="24"/>
        </w:rPr>
        <w:t>zmene a</w:t>
      </w:r>
      <w:r>
        <w:rPr>
          <w:szCs w:val="24"/>
        </w:rPr>
        <w:t> </w:t>
      </w:r>
      <w:r w:rsidRPr="00A24DAB">
        <w:rPr>
          <w:szCs w:val="24"/>
        </w:rPr>
        <w:t>doplnení niektorých zákonov v znení neskorších predpisov</w:t>
      </w:r>
      <w:r w:rsidR="00EA47D2">
        <w:rPr>
          <w:szCs w:val="24"/>
        </w:rPr>
        <w:t>.</w:t>
      </w:r>
      <w:r w:rsidR="00632A05">
        <w:rPr>
          <w:rStyle w:val="Odkaznapoznmkupodiarou"/>
          <w:szCs w:val="24"/>
        </w:rPr>
        <w:footnoteReference w:id="22"/>
      </w:r>
      <w:r w:rsidR="00632A05">
        <w:rPr>
          <w:szCs w:val="24"/>
        </w:rPr>
        <w:t xml:space="preserve"> </w:t>
      </w:r>
    </w:p>
    <w:p w14:paraId="0BD216D9" w14:textId="77777777" w:rsidR="00765387" w:rsidRDefault="00765387" w:rsidP="00D5791A">
      <w:pPr>
        <w:spacing w:line="240" w:lineRule="auto"/>
        <w:jc w:val="both"/>
        <w:rPr>
          <w:szCs w:val="24"/>
        </w:rPr>
      </w:pPr>
    </w:p>
    <w:p w14:paraId="4ECFC48B" w14:textId="1C01E05D" w:rsidR="00765387" w:rsidRDefault="00765387" w:rsidP="00D5791A">
      <w:pPr>
        <w:spacing w:line="240" w:lineRule="auto"/>
        <w:jc w:val="both"/>
        <w:rPr>
          <w:szCs w:val="24"/>
        </w:rPr>
      </w:pPr>
      <w:r>
        <w:rPr>
          <w:szCs w:val="24"/>
        </w:rPr>
        <w:t xml:space="preserve">Transfer zo Slovenského pozemkového fondu </w:t>
      </w:r>
      <w:r w:rsidRPr="00191765">
        <w:rPr>
          <w:szCs w:val="24"/>
        </w:rPr>
        <w:t>do kapitoly Ministerstva pôdohospodárstva a</w:t>
      </w:r>
      <w:r>
        <w:rPr>
          <w:szCs w:val="24"/>
        </w:rPr>
        <w:t> </w:t>
      </w:r>
      <w:r w:rsidRPr="00191765">
        <w:rPr>
          <w:szCs w:val="24"/>
        </w:rPr>
        <w:t xml:space="preserve">rozvoja vidieka SR </w:t>
      </w:r>
      <w:r>
        <w:rPr>
          <w:szCs w:val="24"/>
        </w:rPr>
        <w:t xml:space="preserve">bol </w:t>
      </w:r>
      <w:r w:rsidRPr="00191765">
        <w:rPr>
          <w:szCs w:val="24"/>
        </w:rPr>
        <w:t>určený na zabezpečenie projektov pozemkových úprav v</w:t>
      </w:r>
      <w:r>
        <w:rPr>
          <w:szCs w:val="24"/>
        </w:rPr>
        <w:t> </w:t>
      </w:r>
      <w:r w:rsidRPr="00191765">
        <w:rPr>
          <w:szCs w:val="24"/>
        </w:rPr>
        <w:t>zmysle zákona č.</w:t>
      </w:r>
      <w:r>
        <w:rPr>
          <w:szCs w:val="24"/>
        </w:rPr>
        <w:t> </w:t>
      </w:r>
      <w:r w:rsidRPr="00191765">
        <w:rPr>
          <w:szCs w:val="24"/>
        </w:rPr>
        <w:t>330/1991</w:t>
      </w:r>
      <w:r>
        <w:rPr>
          <w:szCs w:val="24"/>
        </w:rPr>
        <w:t> </w:t>
      </w:r>
      <w:r w:rsidRPr="00191765">
        <w:rPr>
          <w:szCs w:val="24"/>
        </w:rPr>
        <w:t>Zb. o pozemkových úpravách, usporiadaní pozemkového vlastníctva, pozemkových úradoch, pozemkovom fonde a o pozemkových spoločenstvách.</w:t>
      </w:r>
    </w:p>
    <w:p w14:paraId="5DC7AF07" w14:textId="77777777" w:rsidR="00765387" w:rsidRDefault="00765387" w:rsidP="00D5791A">
      <w:pPr>
        <w:spacing w:line="240" w:lineRule="auto"/>
        <w:jc w:val="both"/>
        <w:rPr>
          <w:szCs w:val="24"/>
        </w:rPr>
      </w:pPr>
    </w:p>
    <w:p w14:paraId="39D8CA20" w14:textId="55D172EA" w:rsidR="00E318B7" w:rsidRDefault="00765387" w:rsidP="00A972FB">
      <w:pPr>
        <w:spacing w:line="240" w:lineRule="auto"/>
        <w:jc w:val="both"/>
        <w:rPr>
          <w:b/>
          <w:bCs/>
          <w:i/>
          <w:iCs/>
          <w:szCs w:val="24"/>
        </w:rPr>
      </w:pPr>
      <w:r w:rsidRPr="00E6667D">
        <w:rPr>
          <w:b/>
          <w:bCs/>
          <w:i/>
          <w:iCs/>
          <w:szCs w:val="24"/>
        </w:rPr>
        <w:t>Bližšie informácie o príjmoch z rozpočtu EÚ</w:t>
      </w:r>
      <w:r>
        <w:rPr>
          <w:b/>
          <w:bCs/>
          <w:i/>
          <w:iCs/>
          <w:szCs w:val="24"/>
        </w:rPr>
        <w:t xml:space="preserve"> (vrátane POO a podľa jednotlivých programov)</w:t>
      </w:r>
      <w:r w:rsidRPr="00E6667D">
        <w:rPr>
          <w:b/>
          <w:bCs/>
          <w:i/>
          <w:iCs/>
          <w:szCs w:val="24"/>
        </w:rPr>
        <w:t xml:space="preserve"> sú uvedené v samostatnej kapitole 3.4. Vzťahy štátneho rozpočtu k Európskej únii.</w:t>
      </w:r>
      <w:bookmarkStart w:id="117" w:name="_Toc6415645"/>
    </w:p>
    <w:p w14:paraId="2B88BC80" w14:textId="77777777" w:rsidR="00AA59AD" w:rsidRDefault="00AA59AD" w:rsidP="00A972FB">
      <w:pPr>
        <w:spacing w:line="240" w:lineRule="auto"/>
        <w:jc w:val="both"/>
        <w:rPr>
          <w:rFonts w:eastAsiaTheme="majorEastAsia" w:cstheme="majorBidi"/>
          <w:b/>
          <w:color w:val="5B9BD5" w:themeColor="accent1"/>
          <w:szCs w:val="26"/>
        </w:rPr>
      </w:pPr>
    </w:p>
    <w:p w14:paraId="09AF8BED" w14:textId="3180EB8A" w:rsidR="004D69BF" w:rsidRPr="00DA100D" w:rsidRDefault="004D69BF" w:rsidP="00A972FB">
      <w:pPr>
        <w:pStyle w:val="Nadpis2"/>
        <w:spacing w:after="0"/>
      </w:pPr>
      <w:bookmarkStart w:id="118" w:name="_Toc227758907"/>
      <w:r w:rsidRPr="00DA100D">
        <w:t>Výdavky štátneho rozpočtu</w:t>
      </w:r>
      <w:bookmarkEnd w:id="117"/>
      <w:bookmarkEnd w:id="118"/>
    </w:p>
    <w:p w14:paraId="75FB0050" w14:textId="77777777" w:rsidR="00D46A5E" w:rsidRPr="00DA100D" w:rsidRDefault="00D46A5E" w:rsidP="00A972FB">
      <w:pPr>
        <w:spacing w:line="240" w:lineRule="auto"/>
        <w:jc w:val="both"/>
        <w:rPr>
          <w:szCs w:val="24"/>
        </w:rPr>
      </w:pPr>
    </w:p>
    <w:p w14:paraId="2E97B9CC" w14:textId="77777777" w:rsidR="004D69BF" w:rsidRDefault="004D69BF" w:rsidP="00A972FB">
      <w:pPr>
        <w:pStyle w:val="Nadpis3"/>
        <w:spacing w:before="0"/>
        <w:jc w:val="both"/>
      </w:pPr>
      <w:bookmarkStart w:id="119" w:name="_Toc227758908"/>
      <w:r w:rsidRPr="00DA100D">
        <w:t>Bežné výdavky</w:t>
      </w:r>
      <w:bookmarkEnd w:id="119"/>
    </w:p>
    <w:p w14:paraId="04ADE907" w14:textId="77777777" w:rsidR="00D5791A" w:rsidRPr="00D5791A" w:rsidRDefault="00D5791A" w:rsidP="00A972FB">
      <w:pPr>
        <w:spacing w:line="240" w:lineRule="auto"/>
        <w:jc w:val="both"/>
      </w:pPr>
    </w:p>
    <w:p w14:paraId="7FEFB892" w14:textId="57FAFB06" w:rsidR="00FD291E" w:rsidRDefault="00FD291E" w:rsidP="00A972FB">
      <w:pPr>
        <w:spacing w:line="240" w:lineRule="auto"/>
        <w:jc w:val="both"/>
        <w:rPr>
          <w:rFonts w:eastAsia="Calibri" w:cs="Times New Roman"/>
          <w:szCs w:val="24"/>
        </w:rPr>
      </w:pPr>
      <w:r w:rsidRPr="00360BCD">
        <w:rPr>
          <w:rFonts w:eastAsia="Calibri" w:cs="Times New Roman"/>
          <w:szCs w:val="24"/>
        </w:rPr>
        <w:t xml:space="preserve">Bežné výdavky </w:t>
      </w:r>
      <w:r>
        <w:rPr>
          <w:rFonts w:eastAsia="Calibri" w:cs="Times New Roman"/>
          <w:szCs w:val="24"/>
        </w:rPr>
        <w:t xml:space="preserve">štátneho rozpočtu </w:t>
      </w:r>
      <w:r w:rsidRPr="00360BCD">
        <w:rPr>
          <w:rFonts w:eastAsia="Calibri" w:cs="Times New Roman"/>
          <w:szCs w:val="24"/>
        </w:rPr>
        <w:t>boli rozpočtované v</w:t>
      </w:r>
      <w:r>
        <w:rPr>
          <w:rFonts w:eastAsia="Calibri" w:cs="Times New Roman"/>
          <w:szCs w:val="24"/>
        </w:rPr>
        <w:t xml:space="preserve"> celkovej </w:t>
      </w:r>
      <w:r w:rsidRPr="003E7D2A">
        <w:rPr>
          <w:rFonts w:eastAsia="Calibri" w:cs="Times New Roman"/>
          <w:szCs w:val="24"/>
        </w:rPr>
        <w:t xml:space="preserve">sume </w:t>
      </w:r>
      <w:r w:rsidR="00632A05">
        <w:rPr>
          <w:rFonts w:eastAsia="Calibri" w:cs="Times New Roman"/>
          <w:szCs w:val="24"/>
        </w:rPr>
        <w:t>30 182 420</w:t>
      </w:r>
      <w:r w:rsidR="00502A9F">
        <w:rPr>
          <w:rFonts w:eastAsia="Calibri" w:cs="Times New Roman"/>
          <w:szCs w:val="24"/>
        </w:rPr>
        <w:t> </w:t>
      </w:r>
      <w:r w:rsidRPr="003E7D2A">
        <w:rPr>
          <w:rFonts w:eastAsia="Calibri" w:cs="Times New Roman"/>
          <w:szCs w:val="24"/>
        </w:rPr>
        <w:t>tis.</w:t>
      </w:r>
      <w:r w:rsidR="00502A9F">
        <w:rPr>
          <w:rFonts w:eastAsia="Calibri" w:cs="Times New Roman"/>
          <w:szCs w:val="24"/>
        </w:rPr>
        <w:t> </w:t>
      </w:r>
      <w:r w:rsidRPr="003E7D2A">
        <w:rPr>
          <w:rFonts w:eastAsia="Calibri" w:cs="Times New Roman"/>
          <w:szCs w:val="24"/>
        </w:rPr>
        <w:t xml:space="preserve">eur </w:t>
      </w:r>
      <w:r w:rsidRPr="00E3577F">
        <w:rPr>
          <w:rFonts w:eastAsia="Calibri" w:cs="Times New Roman"/>
          <w:szCs w:val="24"/>
        </w:rPr>
        <w:t>a</w:t>
      </w:r>
      <w:r w:rsidR="00502A9F">
        <w:rPr>
          <w:rFonts w:eastAsia="Calibri" w:cs="Times New Roman"/>
          <w:szCs w:val="24"/>
        </w:rPr>
        <w:t> </w:t>
      </w:r>
      <w:r w:rsidRPr="00E3577F">
        <w:rPr>
          <w:rFonts w:eastAsia="Calibri" w:cs="Times New Roman"/>
          <w:szCs w:val="24"/>
        </w:rPr>
        <w:t xml:space="preserve">ich skutočné čerpanie predstavovalo sumu </w:t>
      </w:r>
      <w:r>
        <w:rPr>
          <w:rFonts w:eastAsia="Calibri" w:cs="Times New Roman"/>
          <w:szCs w:val="24"/>
        </w:rPr>
        <w:t>28 455</w:t>
      </w:r>
      <w:r w:rsidR="00502A9F">
        <w:rPr>
          <w:rFonts w:eastAsia="Calibri" w:cs="Times New Roman"/>
          <w:szCs w:val="24"/>
        </w:rPr>
        <w:t> </w:t>
      </w:r>
      <w:r>
        <w:rPr>
          <w:rFonts w:eastAsia="Calibri" w:cs="Times New Roman"/>
          <w:szCs w:val="24"/>
        </w:rPr>
        <w:t>594</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w:t>
      </w:r>
      <w:r w:rsidRPr="00E3577F">
        <w:rPr>
          <w:rFonts w:eastAsia="Calibri" w:cs="Times New Roman"/>
          <w:szCs w:val="24"/>
        </w:rPr>
        <w:t>. Rozdiel skutočnosti oproti schválenému rozpočtu znamenalo nižšie čerpanie o</w:t>
      </w:r>
      <w:r>
        <w:rPr>
          <w:rFonts w:eastAsia="Calibri" w:cs="Times New Roman"/>
          <w:szCs w:val="24"/>
        </w:rPr>
        <w:t> 1 726</w:t>
      </w:r>
      <w:r w:rsidR="00502A9F">
        <w:rPr>
          <w:rFonts w:eastAsia="Calibri" w:cs="Times New Roman"/>
          <w:szCs w:val="24"/>
        </w:rPr>
        <w:t> </w:t>
      </w:r>
      <w:r>
        <w:rPr>
          <w:rFonts w:eastAsia="Calibri" w:cs="Times New Roman"/>
          <w:szCs w:val="24"/>
        </w:rPr>
        <w:t>826</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Pri porovnaní údajov s</w:t>
      </w:r>
      <w:r w:rsidR="00502A9F">
        <w:rPr>
          <w:rFonts w:eastAsia="Calibri" w:cs="Times New Roman"/>
          <w:szCs w:val="24"/>
        </w:rPr>
        <w:t> </w:t>
      </w:r>
      <w:r>
        <w:rPr>
          <w:rFonts w:eastAsia="Calibri" w:cs="Times New Roman"/>
          <w:szCs w:val="24"/>
        </w:rPr>
        <w:t>predchádzajúcim rokom, boli bežné výdavky rozpočtované vyššie o</w:t>
      </w:r>
      <w:r w:rsidR="00502A9F">
        <w:rPr>
          <w:rFonts w:eastAsia="Calibri" w:cs="Times New Roman"/>
          <w:szCs w:val="24"/>
        </w:rPr>
        <w:t> </w:t>
      </w:r>
      <w:r>
        <w:rPr>
          <w:rFonts w:eastAsia="Calibri" w:cs="Times New Roman"/>
          <w:szCs w:val="24"/>
        </w:rPr>
        <w:t>11</w:t>
      </w:r>
      <w:r w:rsidR="00502A9F">
        <w:rPr>
          <w:rFonts w:eastAsia="Calibri" w:cs="Times New Roman"/>
          <w:szCs w:val="24"/>
        </w:rPr>
        <w:t> </w:t>
      </w:r>
      <w:r>
        <w:rPr>
          <w:rFonts w:eastAsia="Calibri" w:cs="Times New Roman"/>
          <w:szCs w:val="24"/>
        </w:rPr>
        <w:t>% a skutočné plnenie bolo vyššie medziročne o 5,4</w:t>
      </w:r>
      <w:r w:rsidR="00502A9F">
        <w:rPr>
          <w:rFonts w:eastAsia="Calibri" w:cs="Times New Roman"/>
          <w:szCs w:val="24"/>
        </w:rPr>
        <w:t> </w:t>
      </w:r>
      <w:r>
        <w:rPr>
          <w:rFonts w:eastAsia="Calibri" w:cs="Times New Roman"/>
          <w:szCs w:val="24"/>
        </w:rPr>
        <w:t xml:space="preserve">%. Obdobne ako v roku 2024, tak aj v roku 2025 sa rozpočtované bežné výdavky vo veľkej miere prejavujú v reálnom čerpaní iných vecných výdavkov, prípadne </w:t>
      </w:r>
      <w:r>
        <w:rPr>
          <w:rFonts w:eastAsia="Calibri" w:cs="Times New Roman"/>
          <w:szCs w:val="24"/>
        </w:rPr>
        <w:lastRenderedPageBreak/>
        <w:t>dochádza k presunu do čerpania kapitálových výdavkov. V roku 2024 boli bežné výdavky v skutočnosti nižšie oproti rozpočtu o 2 444</w:t>
      </w:r>
      <w:r w:rsidR="00502A9F">
        <w:rPr>
          <w:rFonts w:eastAsia="Calibri" w:cs="Times New Roman"/>
          <w:szCs w:val="24"/>
        </w:rPr>
        <w:t> </w:t>
      </w:r>
      <w:r>
        <w:rPr>
          <w:rFonts w:eastAsia="Calibri" w:cs="Times New Roman"/>
          <w:szCs w:val="24"/>
        </w:rPr>
        <w:t>634</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w:t>
      </w:r>
    </w:p>
    <w:p w14:paraId="56F2D6D4" w14:textId="77777777" w:rsidR="00FD291E" w:rsidRDefault="00FD291E" w:rsidP="00FD291E">
      <w:pPr>
        <w:spacing w:line="240" w:lineRule="auto"/>
        <w:jc w:val="both"/>
        <w:rPr>
          <w:rFonts w:eastAsia="Calibri" w:cs="Times New Roman"/>
          <w:szCs w:val="24"/>
        </w:rPr>
      </w:pPr>
    </w:p>
    <w:p w14:paraId="4B6C608C" w14:textId="2A88A370" w:rsidR="00FD291E" w:rsidRDefault="00FD291E" w:rsidP="00FD291E">
      <w:pPr>
        <w:spacing w:line="240" w:lineRule="auto"/>
        <w:jc w:val="both"/>
        <w:rPr>
          <w:rFonts w:eastAsia="Calibri" w:cs="Times New Roman"/>
          <w:szCs w:val="24"/>
        </w:rPr>
      </w:pPr>
      <w:r w:rsidRPr="00E3577F">
        <w:rPr>
          <w:rFonts w:eastAsia="Calibri" w:cs="Times New Roman"/>
          <w:szCs w:val="24"/>
        </w:rPr>
        <w:t>Prehľad bežných výdavkov v štruktúre ekonomickej klasifikácie je uvedený v nasledovnej tabuľke:</w:t>
      </w:r>
    </w:p>
    <w:p w14:paraId="19BD8C2D" w14:textId="77777777" w:rsidR="00D46A5E" w:rsidRPr="0050710A" w:rsidRDefault="00D46A5E" w:rsidP="00532D85">
      <w:pPr>
        <w:spacing w:line="240" w:lineRule="auto"/>
        <w:jc w:val="both"/>
        <w:rPr>
          <w:rFonts w:eastAsia="Calibri" w:cs="Times New Roman"/>
          <w:szCs w:val="24"/>
          <w:highlight w:val="yellow"/>
        </w:rPr>
      </w:pPr>
    </w:p>
    <w:p w14:paraId="03135EFB" w14:textId="49ED56B8" w:rsidR="00D45EDB" w:rsidRPr="00F67586" w:rsidRDefault="00D45EDB" w:rsidP="00532D85">
      <w:pPr>
        <w:pStyle w:val="Popis"/>
        <w:jc w:val="both"/>
        <w:rPr>
          <w:i/>
          <w:lang w:eastAsia="sk-SK"/>
        </w:rPr>
      </w:pPr>
      <w:bookmarkStart w:id="120" w:name="_Toc196313656"/>
      <w:bookmarkStart w:id="121" w:name="_Toc227670166"/>
      <w:r w:rsidRPr="00F67586">
        <w:rPr>
          <w:lang w:eastAsia="sk-SK"/>
        </w:rPr>
        <w:t xml:space="preserve">Tabuľka </w:t>
      </w:r>
      <w:r w:rsidRPr="00F67586">
        <w:rPr>
          <w:i/>
          <w:lang w:eastAsia="sk-SK"/>
        </w:rPr>
        <w:fldChar w:fldCharType="begin"/>
      </w:r>
      <w:r w:rsidRPr="00F67586">
        <w:rPr>
          <w:lang w:eastAsia="sk-SK"/>
        </w:rPr>
        <w:instrText xml:space="preserve"> SEQ Tabuľka \* ARABIC </w:instrText>
      </w:r>
      <w:r w:rsidRPr="00F67586">
        <w:rPr>
          <w:i/>
          <w:lang w:eastAsia="sk-SK"/>
        </w:rPr>
        <w:fldChar w:fldCharType="separate"/>
      </w:r>
      <w:r w:rsidR="00396BE8">
        <w:rPr>
          <w:noProof/>
          <w:lang w:eastAsia="sk-SK"/>
        </w:rPr>
        <w:t>30</w:t>
      </w:r>
      <w:r w:rsidRPr="00F67586">
        <w:rPr>
          <w:i/>
          <w:lang w:eastAsia="sk-SK"/>
        </w:rPr>
        <w:fldChar w:fldCharType="end"/>
      </w:r>
      <w:r w:rsidRPr="00F67586">
        <w:rPr>
          <w:lang w:eastAsia="sk-SK"/>
        </w:rPr>
        <w:t xml:space="preserve"> - Bežné výdavky </w:t>
      </w:r>
      <w:bookmarkEnd w:id="120"/>
      <w:r w:rsidR="00685F68" w:rsidRPr="00F67586">
        <w:rPr>
          <w:lang w:eastAsia="sk-SK"/>
        </w:rPr>
        <w:t>štátneho rozpočtu</w:t>
      </w:r>
      <w:bookmarkEnd w:id="121"/>
    </w:p>
    <w:tbl>
      <w:tblPr>
        <w:tblW w:w="5000" w:type="pct"/>
        <w:tblCellMar>
          <w:left w:w="70" w:type="dxa"/>
          <w:right w:w="70" w:type="dxa"/>
        </w:tblCellMar>
        <w:tblLook w:val="04A0" w:firstRow="1" w:lastRow="0" w:firstColumn="1" w:lastColumn="0" w:noHBand="0" w:noVBand="1"/>
      </w:tblPr>
      <w:tblGrid>
        <w:gridCol w:w="4350"/>
        <w:gridCol w:w="950"/>
        <w:gridCol w:w="950"/>
        <w:gridCol w:w="950"/>
        <w:gridCol w:w="950"/>
        <w:gridCol w:w="920"/>
      </w:tblGrid>
      <w:tr w:rsidR="00F67586" w:rsidRPr="00D0395E" w14:paraId="1BD39B98" w14:textId="77777777" w:rsidTr="00BA6BE6">
        <w:trPr>
          <w:trHeight w:val="330"/>
          <w:tblHeader/>
        </w:trPr>
        <w:tc>
          <w:tcPr>
            <w:tcW w:w="2399" w:type="pct"/>
            <w:vMerge w:val="restart"/>
            <w:tcBorders>
              <w:top w:val="single" w:sz="4" w:space="0" w:color="auto"/>
              <w:left w:val="nil"/>
              <w:bottom w:val="single" w:sz="8" w:space="0" w:color="000000"/>
              <w:right w:val="nil"/>
            </w:tcBorders>
            <w:vAlign w:val="center"/>
            <w:hideMark/>
          </w:tcPr>
          <w:p w14:paraId="65ECD881" w14:textId="77777777" w:rsidR="00F67586" w:rsidRPr="00D0395E" w:rsidRDefault="00F67586" w:rsidP="00BA6BE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24" w:type="pct"/>
            <w:tcBorders>
              <w:top w:val="single" w:sz="4" w:space="0" w:color="auto"/>
              <w:left w:val="nil"/>
              <w:bottom w:val="nil"/>
              <w:right w:val="nil"/>
            </w:tcBorders>
            <w:noWrap/>
            <w:vAlign w:val="center"/>
            <w:hideMark/>
          </w:tcPr>
          <w:p w14:paraId="4A3AC1FA"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524" w:type="pct"/>
            <w:tcBorders>
              <w:top w:val="single" w:sz="4" w:space="0" w:color="auto"/>
              <w:left w:val="nil"/>
              <w:bottom w:val="nil"/>
              <w:right w:val="nil"/>
            </w:tcBorders>
            <w:noWrap/>
            <w:vAlign w:val="center"/>
            <w:hideMark/>
          </w:tcPr>
          <w:p w14:paraId="4B3069FD"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524" w:type="pct"/>
            <w:tcBorders>
              <w:top w:val="single" w:sz="4" w:space="0" w:color="auto"/>
              <w:left w:val="nil"/>
              <w:bottom w:val="nil"/>
              <w:right w:val="nil"/>
            </w:tcBorders>
            <w:noWrap/>
            <w:vAlign w:val="center"/>
            <w:hideMark/>
          </w:tcPr>
          <w:p w14:paraId="1B5EE468"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R</w:t>
            </w:r>
          </w:p>
        </w:tc>
        <w:tc>
          <w:tcPr>
            <w:tcW w:w="524" w:type="pct"/>
            <w:tcBorders>
              <w:top w:val="single" w:sz="4" w:space="0" w:color="auto"/>
              <w:left w:val="nil"/>
              <w:bottom w:val="nil"/>
              <w:right w:val="nil"/>
            </w:tcBorders>
            <w:noWrap/>
            <w:vAlign w:val="center"/>
            <w:hideMark/>
          </w:tcPr>
          <w:p w14:paraId="226D26ED"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c>
          <w:tcPr>
            <w:tcW w:w="507" w:type="pct"/>
            <w:tcBorders>
              <w:top w:val="single" w:sz="4" w:space="0" w:color="auto"/>
              <w:left w:val="nil"/>
              <w:bottom w:val="nil"/>
              <w:right w:val="nil"/>
            </w:tcBorders>
            <w:noWrap/>
            <w:vAlign w:val="center"/>
            <w:hideMark/>
          </w:tcPr>
          <w:p w14:paraId="507B0DF7"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F67586" w:rsidRPr="00D0395E" w14:paraId="2F6F9CCA" w14:textId="77777777" w:rsidTr="00BA6BE6">
        <w:trPr>
          <w:trHeight w:val="85"/>
          <w:tblHeader/>
        </w:trPr>
        <w:tc>
          <w:tcPr>
            <w:tcW w:w="2399" w:type="pct"/>
            <w:vMerge/>
            <w:tcBorders>
              <w:top w:val="nil"/>
              <w:left w:val="nil"/>
              <w:bottom w:val="single" w:sz="4" w:space="0" w:color="auto"/>
              <w:right w:val="nil"/>
            </w:tcBorders>
            <w:vAlign w:val="center"/>
            <w:hideMark/>
          </w:tcPr>
          <w:p w14:paraId="2004C80C" w14:textId="77777777" w:rsidR="00F67586" w:rsidRPr="00D0395E" w:rsidRDefault="00F67586" w:rsidP="00BA6BE6">
            <w:pPr>
              <w:spacing w:line="240" w:lineRule="auto"/>
              <w:rPr>
                <w:rFonts w:eastAsia="Times New Roman" w:cs="Times New Roman"/>
                <w:b/>
                <w:bCs/>
                <w:color w:val="000000"/>
                <w:sz w:val="18"/>
                <w:szCs w:val="18"/>
                <w:lang w:eastAsia="sk-SK"/>
              </w:rPr>
            </w:pPr>
          </w:p>
        </w:tc>
        <w:tc>
          <w:tcPr>
            <w:tcW w:w="524" w:type="pct"/>
            <w:tcBorders>
              <w:top w:val="nil"/>
              <w:left w:val="nil"/>
              <w:bottom w:val="single" w:sz="4" w:space="0" w:color="auto"/>
              <w:right w:val="nil"/>
            </w:tcBorders>
            <w:noWrap/>
            <w:vAlign w:val="center"/>
            <w:hideMark/>
          </w:tcPr>
          <w:p w14:paraId="727B462E"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24" w:type="pct"/>
            <w:tcBorders>
              <w:top w:val="nil"/>
              <w:left w:val="nil"/>
              <w:bottom w:val="single" w:sz="4" w:space="0" w:color="auto"/>
              <w:right w:val="nil"/>
            </w:tcBorders>
            <w:noWrap/>
            <w:vAlign w:val="center"/>
            <w:hideMark/>
          </w:tcPr>
          <w:p w14:paraId="7E403A09"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24" w:type="pct"/>
            <w:tcBorders>
              <w:top w:val="nil"/>
              <w:left w:val="nil"/>
              <w:bottom w:val="single" w:sz="4" w:space="0" w:color="auto"/>
              <w:right w:val="nil"/>
            </w:tcBorders>
            <w:noWrap/>
            <w:vAlign w:val="center"/>
            <w:hideMark/>
          </w:tcPr>
          <w:p w14:paraId="00FF57B2"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524" w:type="pct"/>
            <w:tcBorders>
              <w:top w:val="nil"/>
              <w:left w:val="nil"/>
              <w:bottom w:val="single" w:sz="4" w:space="0" w:color="auto"/>
              <w:right w:val="nil"/>
            </w:tcBorders>
            <w:noWrap/>
            <w:vAlign w:val="center"/>
            <w:hideMark/>
          </w:tcPr>
          <w:p w14:paraId="5ED3F4D8"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07" w:type="pct"/>
            <w:tcBorders>
              <w:top w:val="nil"/>
              <w:left w:val="nil"/>
              <w:bottom w:val="single" w:sz="4" w:space="0" w:color="auto"/>
              <w:right w:val="nil"/>
            </w:tcBorders>
            <w:noWrap/>
            <w:vAlign w:val="center"/>
            <w:hideMark/>
          </w:tcPr>
          <w:p w14:paraId="0464F09E" w14:textId="77777777" w:rsidR="00F67586" w:rsidRPr="00D0395E" w:rsidRDefault="00F67586" w:rsidP="00BA6BE6">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F67586" w:rsidRPr="00D0395E" w14:paraId="1A88968F" w14:textId="77777777" w:rsidTr="00BA6BE6">
        <w:trPr>
          <w:trHeight w:val="330"/>
        </w:trPr>
        <w:tc>
          <w:tcPr>
            <w:tcW w:w="2399" w:type="pct"/>
            <w:tcBorders>
              <w:top w:val="single" w:sz="4" w:space="0" w:color="auto"/>
              <w:left w:val="nil"/>
              <w:bottom w:val="nil"/>
              <w:right w:val="nil"/>
            </w:tcBorders>
            <w:vAlign w:val="center"/>
            <w:hideMark/>
          </w:tcPr>
          <w:p w14:paraId="67DEBE7B"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Mzdy, platy, služobné príjmy a ostatné osobné vyrovnania</w:t>
            </w:r>
          </w:p>
        </w:tc>
        <w:tc>
          <w:tcPr>
            <w:tcW w:w="524" w:type="pct"/>
            <w:tcBorders>
              <w:top w:val="single" w:sz="4" w:space="0" w:color="auto"/>
              <w:left w:val="nil"/>
              <w:bottom w:val="nil"/>
              <w:right w:val="nil"/>
            </w:tcBorders>
            <w:noWrap/>
            <w:vAlign w:val="center"/>
            <w:hideMark/>
          </w:tcPr>
          <w:p w14:paraId="673E715D"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3 019 434</w:t>
            </w:r>
          </w:p>
        </w:tc>
        <w:tc>
          <w:tcPr>
            <w:tcW w:w="524" w:type="pct"/>
            <w:tcBorders>
              <w:top w:val="single" w:sz="4" w:space="0" w:color="auto"/>
              <w:left w:val="nil"/>
              <w:bottom w:val="nil"/>
              <w:right w:val="nil"/>
            </w:tcBorders>
            <w:noWrap/>
            <w:vAlign w:val="center"/>
          </w:tcPr>
          <w:p w14:paraId="618FE037"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3 239 873</w:t>
            </w:r>
          </w:p>
        </w:tc>
        <w:tc>
          <w:tcPr>
            <w:tcW w:w="524" w:type="pct"/>
            <w:tcBorders>
              <w:top w:val="single" w:sz="4" w:space="0" w:color="auto"/>
              <w:left w:val="nil"/>
              <w:bottom w:val="nil"/>
              <w:right w:val="nil"/>
            </w:tcBorders>
            <w:noWrap/>
            <w:vAlign w:val="center"/>
          </w:tcPr>
          <w:p w14:paraId="6799793E"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3 320 676</w:t>
            </w:r>
          </w:p>
        </w:tc>
        <w:tc>
          <w:tcPr>
            <w:tcW w:w="524" w:type="pct"/>
            <w:tcBorders>
              <w:top w:val="single" w:sz="4" w:space="0" w:color="auto"/>
              <w:left w:val="nil"/>
              <w:bottom w:val="nil"/>
              <w:right w:val="nil"/>
            </w:tcBorders>
            <w:noWrap/>
            <w:vAlign w:val="center"/>
          </w:tcPr>
          <w:p w14:paraId="05CD2282" w14:textId="40CE7424"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3 411 </w:t>
            </w:r>
            <w:r w:rsidR="00632A05">
              <w:rPr>
                <w:rFonts w:eastAsia="Times New Roman" w:cs="Times New Roman"/>
                <w:color w:val="000000"/>
                <w:sz w:val="18"/>
                <w:szCs w:val="18"/>
                <w:lang w:eastAsia="sk-SK"/>
              </w:rPr>
              <w:t>236</w:t>
            </w:r>
          </w:p>
        </w:tc>
        <w:tc>
          <w:tcPr>
            <w:tcW w:w="507" w:type="pct"/>
            <w:tcBorders>
              <w:top w:val="single" w:sz="4" w:space="0" w:color="auto"/>
              <w:left w:val="nil"/>
              <w:bottom w:val="nil"/>
              <w:right w:val="nil"/>
            </w:tcBorders>
            <w:noWrap/>
            <w:vAlign w:val="center"/>
          </w:tcPr>
          <w:p w14:paraId="29B186AE" w14:textId="413AEB73"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90 </w:t>
            </w:r>
            <w:r w:rsidR="00632A05">
              <w:rPr>
                <w:rFonts w:eastAsia="Times New Roman" w:cs="Times New Roman"/>
                <w:color w:val="000000"/>
                <w:sz w:val="18"/>
                <w:szCs w:val="18"/>
                <w:lang w:eastAsia="sk-SK"/>
              </w:rPr>
              <w:t>560</w:t>
            </w:r>
          </w:p>
        </w:tc>
      </w:tr>
      <w:tr w:rsidR="00F67586" w:rsidRPr="00D0395E" w14:paraId="32D16129" w14:textId="77777777" w:rsidTr="00BA6BE6">
        <w:trPr>
          <w:trHeight w:val="330"/>
        </w:trPr>
        <w:tc>
          <w:tcPr>
            <w:tcW w:w="2399" w:type="pct"/>
            <w:tcBorders>
              <w:top w:val="nil"/>
              <w:left w:val="nil"/>
              <w:bottom w:val="nil"/>
              <w:right w:val="nil"/>
            </w:tcBorders>
            <w:vAlign w:val="center"/>
            <w:hideMark/>
          </w:tcPr>
          <w:p w14:paraId="05049B28"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Poistné a príspevok do poisťovní</w:t>
            </w:r>
          </w:p>
        </w:tc>
        <w:tc>
          <w:tcPr>
            <w:tcW w:w="524" w:type="pct"/>
            <w:tcBorders>
              <w:top w:val="nil"/>
              <w:left w:val="nil"/>
              <w:bottom w:val="nil"/>
              <w:right w:val="nil"/>
            </w:tcBorders>
            <w:noWrap/>
            <w:vAlign w:val="center"/>
            <w:hideMark/>
          </w:tcPr>
          <w:p w14:paraId="1CC111A5"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1 093 590</w:t>
            </w:r>
          </w:p>
        </w:tc>
        <w:tc>
          <w:tcPr>
            <w:tcW w:w="524" w:type="pct"/>
            <w:tcBorders>
              <w:top w:val="nil"/>
              <w:left w:val="nil"/>
              <w:bottom w:val="nil"/>
              <w:right w:val="nil"/>
            </w:tcBorders>
            <w:noWrap/>
            <w:vAlign w:val="center"/>
          </w:tcPr>
          <w:p w14:paraId="35CE9EB0"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1 204 808</w:t>
            </w:r>
          </w:p>
        </w:tc>
        <w:tc>
          <w:tcPr>
            <w:tcW w:w="524" w:type="pct"/>
            <w:tcBorders>
              <w:top w:val="nil"/>
              <w:left w:val="nil"/>
              <w:bottom w:val="nil"/>
              <w:right w:val="nil"/>
            </w:tcBorders>
            <w:noWrap/>
            <w:vAlign w:val="center"/>
          </w:tcPr>
          <w:p w14:paraId="52AAA52C"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1 221 194</w:t>
            </w:r>
          </w:p>
        </w:tc>
        <w:tc>
          <w:tcPr>
            <w:tcW w:w="524" w:type="pct"/>
            <w:tcBorders>
              <w:top w:val="nil"/>
              <w:left w:val="nil"/>
              <w:bottom w:val="nil"/>
              <w:right w:val="nil"/>
            </w:tcBorders>
            <w:noWrap/>
            <w:vAlign w:val="center"/>
          </w:tcPr>
          <w:p w14:paraId="778F5DA6"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1 285 755</w:t>
            </w:r>
          </w:p>
        </w:tc>
        <w:tc>
          <w:tcPr>
            <w:tcW w:w="507" w:type="pct"/>
            <w:tcBorders>
              <w:top w:val="nil"/>
              <w:left w:val="nil"/>
              <w:bottom w:val="nil"/>
              <w:right w:val="nil"/>
            </w:tcBorders>
            <w:noWrap/>
            <w:vAlign w:val="center"/>
          </w:tcPr>
          <w:p w14:paraId="5208B33F"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64 561</w:t>
            </w:r>
          </w:p>
        </w:tc>
      </w:tr>
      <w:tr w:rsidR="00F67586" w:rsidRPr="00D0395E" w14:paraId="2AF16DD3" w14:textId="77777777" w:rsidTr="00BA6BE6">
        <w:trPr>
          <w:trHeight w:val="330"/>
        </w:trPr>
        <w:tc>
          <w:tcPr>
            <w:tcW w:w="2399" w:type="pct"/>
            <w:tcBorders>
              <w:top w:val="nil"/>
              <w:left w:val="nil"/>
              <w:bottom w:val="nil"/>
              <w:right w:val="nil"/>
            </w:tcBorders>
            <w:vAlign w:val="center"/>
            <w:hideMark/>
          </w:tcPr>
          <w:p w14:paraId="2589439A"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Tovary a služby</w:t>
            </w:r>
          </w:p>
        </w:tc>
        <w:tc>
          <w:tcPr>
            <w:tcW w:w="524" w:type="pct"/>
            <w:tcBorders>
              <w:top w:val="nil"/>
              <w:left w:val="nil"/>
              <w:bottom w:val="nil"/>
              <w:right w:val="nil"/>
            </w:tcBorders>
            <w:noWrap/>
            <w:vAlign w:val="center"/>
            <w:hideMark/>
          </w:tcPr>
          <w:p w14:paraId="1DF33F64"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2 490 382</w:t>
            </w:r>
          </w:p>
        </w:tc>
        <w:tc>
          <w:tcPr>
            <w:tcW w:w="524" w:type="pct"/>
            <w:tcBorders>
              <w:top w:val="nil"/>
              <w:left w:val="nil"/>
              <w:bottom w:val="nil"/>
              <w:right w:val="nil"/>
            </w:tcBorders>
            <w:noWrap/>
            <w:vAlign w:val="center"/>
          </w:tcPr>
          <w:p w14:paraId="17D3AE01"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2 490 200</w:t>
            </w:r>
          </w:p>
        </w:tc>
        <w:tc>
          <w:tcPr>
            <w:tcW w:w="524" w:type="pct"/>
            <w:tcBorders>
              <w:top w:val="nil"/>
              <w:left w:val="nil"/>
              <w:bottom w:val="nil"/>
              <w:right w:val="nil"/>
            </w:tcBorders>
            <w:noWrap/>
            <w:vAlign w:val="center"/>
          </w:tcPr>
          <w:p w14:paraId="2EC72B90" w14:textId="1A4F2BFF"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4 222 </w:t>
            </w:r>
            <w:r w:rsidR="00632A05">
              <w:rPr>
                <w:rFonts w:eastAsia="Times New Roman" w:cs="Times New Roman"/>
                <w:color w:val="000000"/>
                <w:sz w:val="18"/>
                <w:szCs w:val="18"/>
                <w:lang w:eastAsia="sk-SK"/>
              </w:rPr>
              <w:t>067</w:t>
            </w:r>
          </w:p>
        </w:tc>
        <w:tc>
          <w:tcPr>
            <w:tcW w:w="524" w:type="pct"/>
            <w:tcBorders>
              <w:top w:val="nil"/>
              <w:left w:val="nil"/>
              <w:bottom w:val="nil"/>
              <w:right w:val="nil"/>
            </w:tcBorders>
            <w:noWrap/>
            <w:vAlign w:val="center"/>
          </w:tcPr>
          <w:p w14:paraId="29DF0CEE"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2 776 337</w:t>
            </w:r>
          </w:p>
        </w:tc>
        <w:tc>
          <w:tcPr>
            <w:tcW w:w="507" w:type="pct"/>
            <w:tcBorders>
              <w:top w:val="nil"/>
              <w:left w:val="nil"/>
              <w:bottom w:val="nil"/>
              <w:right w:val="nil"/>
            </w:tcBorders>
            <w:noWrap/>
            <w:vAlign w:val="center"/>
          </w:tcPr>
          <w:p w14:paraId="6CFFC33A" w14:textId="0F449544"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-1 445 </w:t>
            </w:r>
            <w:r w:rsidR="00632A05">
              <w:rPr>
                <w:rFonts w:eastAsia="Times New Roman" w:cs="Times New Roman"/>
                <w:color w:val="000000"/>
                <w:sz w:val="18"/>
                <w:szCs w:val="18"/>
                <w:lang w:eastAsia="sk-SK"/>
              </w:rPr>
              <w:t>730</w:t>
            </w:r>
          </w:p>
        </w:tc>
      </w:tr>
      <w:tr w:rsidR="00F67586" w:rsidRPr="00D0395E" w14:paraId="375CE379" w14:textId="77777777" w:rsidTr="00BA6BE6">
        <w:trPr>
          <w:trHeight w:val="330"/>
        </w:trPr>
        <w:tc>
          <w:tcPr>
            <w:tcW w:w="2399" w:type="pct"/>
            <w:tcBorders>
              <w:top w:val="nil"/>
              <w:left w:val="nil"/>
              <w:bottom w:val="nil"/>
              <w:right w:val="nil"/>
            </w:tcBorders>
            <w:vAlign w:val="center"/>
            <w:hideMark/>
          </w:tcPr>
          <w:p w14:paraId="0B0F04E8"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w:t>
            </w:r>
          </w:p>
        </w:tc>
        <w:tc>
          <w:tcPr>
            <w:tcW w:w="524" w:type="pct"/>
            <w:tcBorders>
              <w:top w:val="nil"/>
              <w:left w:val="nil"/>
              <w:bottom w:val="nil"/>
              <w:right w:val="nil"/>
            </w:tcBorders>
            <w:noWrap/>
            <w:vAlign w:val="center"/>
            <w:hideMark/>
          </w:tcPr>
          <w:p w14:paraId="5A3BF62C" w14:textId="77777777" w:rsidR="00F67586" w:rsidRPr="00D0395E" w:rsidRDefault="00F67586" w:rsidP="00BA6BE6">
            <w:pPr>
              <w:spacing w:line="240" w:lineRule="auto"/>
              <w:rPr>
                <w:rFonts w:eastAsia="Times New Roman" w:cs="Times New Roman"/>
                <w:color w:val="000000"/>
                <w:sz w:val="18"/>
                <w:szCs w:val="18"/>
                <w:lang w:eastAsia="sk-SK"/>
              </w:rPr>
            </w:pPr>
          </w:p>
        </w:tc>
        <w:tc>
          <w:tcPr>
            <w:tcW w:w="524" w:type="pct"/>
            <w:tcBorders>
              <w:top w:val="nil"/>
              <w:left w:val="nil"/>
              <w:bottom w:val="nil"/>
              <w:right w:val="nil"/>
            </w:tcBorders>
            <w:noWrap/>
            <w:vAlign w:val="center"/>
          </w:tcPr>
          <w:p w14:paraId="495FD12C" w14:textId="77777777" w:rsidR="00F67586" w:rsidRPr="00D0395E" w:rsidRDefault="00F67586" w:rsidP="00BA6BE6">
            <w:pPr>
              <w:spacing w:line="240" w:lineRule="auto"/>
              <w:jc w:val="right"/>
              <w:rPr>
                <w:rFonts w:eastAsia="Times New Roman" w:cs="Times New Roman"/>
                <w:sz w:val="18"/>
                <w:szCs w:val="18"/>
                <w:lang w:eastAsia="sk-SK"/>
              </w:rPr>
            </w:pPr>
          </w:p>
        </w:tc>
        <w:tc>
          <w:tcPr>
            <w:tcW w:w="524" w:type="pct"/>
            <w:tcBorders>
              <w:top w:val="nil"/>
              <w:left w:val="nil"/>
              <w:bottom w:val="nil"/>
              <w:right w:val="nil"/>
            </w:tcBorders>
            <w:noWrap/>
            <w:vAlign w:val="center"/>
          </w:tcPr>
          <w:p w14:paraId="7BE860FE" w14:textId="77777777" w:rsidR="00F67586" w:rsidRPr="00D0395E" w:rsidRDefault="00F67586" w:rsidP="00BA6BE6">
            <w:pPr>
              <w:spacing w:line="240" w:lineRule="auto"/>
              <w:jc w:val="right"/>
              <w:rPr>
                <w:rFonts w:eastAsia="Times New Roman" w:cs="Times New Roman"/>
                <w:sz w:val="18"/>
                <w:szCs w:val="18"/>
                <w:lang w:eastAsia="sk-SK"/>
              </w:rPr>
            </w:pPr>
          </w:p>
        </w:tc>
        <w:tc>
          <w:tcPr>
            <w:tcW w:w="524" w:type="pct"/>
            <w:tcBorders>
              <w:top w:val="nil"/>
              <w:left w:val="nil"/>
              <w:bottom w:val="nil"/>
              <w:right w:val="nil"/>
            </w:tcBorders>
            <w:noWrap/>
            <w:vAlign w:val="center"/>
          </w:tcPr>
          <w:p w14:paraId="1CDDF294" w14:textId="77777777" w:rsidR="00F67586" w:rsidRPr="00D0395E" w:rsidRDefault="00F67586" w:rsidP="00BA6BE6">
            <w:pPr>
              <w:spacing w:line="240" w:lineRule="auto"/>
              <w:jc w:val="right"/>
              <w:rPr>
                <w:rFonts w:eastAsia="Times New Roman" w:cs="Times New Roman"/>
                <w:sz w:val="18"/>
                <w:szCs w:val="18"/>
                <w:lang w:eastAsia="sk-SK"/>
              </w:rPr>
            </w:pPr>
          </w:p>
        </w:tc>
        <w:tc>
          <w:tcPr>
            <w:tcW w:w="507" w:type="pct"/>
            <w:tcBorders>
              <w:top w:val="nil"/>
              <w:left w:val="nil"/>
              <w:bottom w:val="nil"/>
              <w:right w:val="nil"/>
            </w:tcBorders>
            <w:noWrap/>
            <w:vAlign w:val="center"/>
          </w:tcPr>
          <w:p w14:paraId="09AFC673" w14:textId="77777777" w:rsidR="00F67586" w:rsidRPr="00D0395E" w:rsidRDefault="00F67586" w:rsidP="00BA6BE6">
            <w:pPr>
              <w:spacing w:line="240" w:lineRule="auto"/>
              <w:jc w:val="right"/>
              <w:rPr>
                <w:rFonts w:eastAsia="Times New Roman" w:cs="Times New Roman"/>
                <w:sz w:val="18"/>
                <w:szCs w:val="18"/>
                <w:lang w:eastAsia="sk-SK"/>
              </w:rPr>
            </w:pPr>
          </w:p>
        </w:tc>
      </w:tr>
      <w:tr w:rsidR="00F67586" w:rsidRPr="00D0395E" w14:paraId="59E56CAC" w14:textId="77777777" w:rsidTr="00BA6BE6">
        <w:trPr>
          <w:trHeight w:val="330"/>
        </w:trPr>
        <w:tc>
          <w:tcPr>
            <w:tcW w:w="2399" w:type="pct"/>
            <w:tcBorders>
              <w:top w:val="nil"/>
              <w:left w:val="nil"/>
              <w:bottom w:val="nil"/>
              <w:right w:val="nil"/>
            </w:tcBorders>
            <w:vAlign w:val="center"/>
            <w:hideMark/>
          </w:tcPr>
          <w:p w14:paraId="018F6D8E"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služby</w:t>
            </w:r>
          </w:p>
        </w:tc>
        <w:tc>
          <w:tcPr>
            <w:tcW w:w="524" w:type="pct"/>
            <w:tcBorders>
              <w:top w:val="nil"/>
              <w:left w:val="nil"/>
              <w:bottom w:val="nil"/>
              <w:right w:val="nil"/>
            </w:tcBorders>
            <w:noWrap/>
            <w:vAlign w:val="center"/>
            <w:hideMark/>
          </w:tcPr>
          <w:p w14:paraId="766A96D5"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1 036 637</w:t>
            </w:r>
          </w:p>
        </w:tc>
        <w:tc>
          <w:tcPr>
            <w:tcW w:w="524" w:type="pct"/>
            <w:tcBorders>
              <w:top w:val="nil"/>
              <w:left w:val="nil"/>
              <w:bottom w:val="nil"/>
              <w:right w:val="nil"/>
            </w:tcBorders>
            <w:noWrap/>
            <w:vAlign w:val="center"/>
          </w:tcPr>
          <w:p w14:paraId="722956B3"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1 256 652</w:t>
            </w:r>
          </w:p>
        </w:tc>
        <w:tc>
          <w:tcPr>
            <w:tcW w:w="524" w:type="pct"/>
            <w:tcBorders>
              <w:top w:val="nil"/>
              <w:left w:val="nil"/>
              <w:bottom w:val="nil"/>
              <w:right w:val="nil"/>
            </w:tcBorders>
            <w:noWrap/>
            <w:vAlign w:val="center"/>
          </w:tcPr>
          <w:p w14:paraId="36EFF701"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2 799 579</w:t>
            </w:r>
          </w:p>
        </w:tc>
        <w:tc>
          <w:tcPr>
            <w:tcW w:w="524" w:type="pct"/>
            <w:tcBorders>
              <w:top w:val="nil"/>
              <w:left w:val="nil"/>
              <w:bottom w:val="nil"/>
              <w:right w:val="nil"/>
            </w:tcBorders>
            <w:noWrap/>
            <w:vAlign w:val="center"/>
          </w:tcPr>
          <w:p w14:paraId="2EE3C372"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1 368 515</w:t>
            </w:r>
          </w:p>
        </w:tc>
        <w:tc>
          <w:tcPr>
            <w:tcW w:w="507" w:type="pct"/>
            <w:tcBorders>
              <w:top w:val="nil"/>
              <w:left w:val="nil"/>
              <w:bottom w:val="nil"/>
              <w:right w:val="nil"/>
            </w:tcBorders>
            <w:noWrap/>
            <w:vAlign w:val="center"/>
          </w:tcPr>
          <w:p w14:paraId="72CDBD55"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-1 431 064</w:t>
            </w:r>
          </w:p>
        </w:tc>
      </w:tr>
      <w:tr w:rsidR="00F67586" w:rsidRPr="00D0395E" w14:paraId="343A3984" w14:textId="77777777" w:rsidTr="00BA6BE6">
        <w:trPr>
          <w:trHeight w:val="330"/>
        </w:trPr>
        <w:tc>
          <w:tcPr>
            <w:tcW w:w="2399" w:type="pct"/>
            <w:tcBorders>
              <w:top w:val="nil"/>
              <w:left w:val="nil"/>
              <w:bottom w:val="nil"/>
              <w:right w:val="nil"/>
            </w:tcBorders>
            <w:vAlign w:val="center"/>
            <w:hideMark/>
          </w:tcPr>
          <w:p w14:paraId="5186F9FF"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rutinná a štandardná údržba</w:t>
            </w:r>
          </w:p>
        </w:tc>
        <w:tc>
          <w:tcPr>
            <w:tcW w:w="524" w:type="pct"/>
            <w:tcBorders>
              <w:top w:val="nil"/>
              <w:left w:val="nil"/>
              <w:bottom w:val="nil"/>
              <w:right w:val="nil"/>
            </w:tcBorders>
            <w:noWrap/>
            <w:vAlign w:val="center"/>
            <w:hideMark/>
          </w:tcPr>
          <w:p w14:paraId="42317A9D"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431 502</w:t>
            </w:r>
          </w:p>
        </w:tc>
        <w:tc>
          <w:tcPr>
            <w:tcW w:w="524" w:type="pct"/>
            <w:tcBorders>
              <w:top w:val="nil"/>
              <w:left w:val="nil"/>
              <w:bottom w:val="nil"/>
              <w:right w:val="nil"/>
            </w:tcBorders>
            <w:noWrap/>
            <w:vAlign w:val="center"/>
          </w:tcPr>
          <w:p w14:paraId="7F399DBE"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449 189</w:t>
            </w:r>
          </w:p>
        </w:tc>
        <w:tc>
          <w:tcPr>
            <w:tcW w:w="524" w:type="pct"/>
            <w:tcBorders>
              <w:top w:val="nil"/>
              <w:left w:val="nil"/>
              <w:bottom w:val="nil"/>
              <w:right w:val="nil"/>
            </w:tcBorders>
            <w:noWrap/>
            <w:vAlign w:val="center"/>
          </w:tcPr>
          <w:p w14:paraId="60657184"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608 364</w:t>
            </w:r>
          </w:p>
        </w:tc>
        <w:tc>
          <w:tcPr>
            <w:tcW w:w="524" w:type="pct"/>
            <w:tcBorders>
              <w:top w:val="nil"/>
              <w:left w:val="nil"/>
              <w:bottom w:val="nil"/>
              <w:right w:val="nil"/>
            </w:tcBorders>
            <w:noWrap/>
            <w:vAlign w:val="center"/>
          </w:tcPr>
          <w:p w14:paraId="2EC0B995"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487 001</w:t>
            </w:r>
          </w:p>
        </w:tc>
        <w:tc>
          <w:tcPr>
            <w:tcW w:w="507" w:type="pct"/>
            <w:tcBorders>
              <w:top w:val="nil"/>
              <w:left w:val="nil"/>
              <w:bottom w:val="nil"/>
              <w:right w:val="nil"/>
            </w:tcBorders>
            <w:noWrap/>
            <w:vAlign w:val="center"/>
          </w:tcPr>
          <w:p w14:paraId="329C60CC"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-121 363</w:t>
            </w:r>
          </w:p>
        </w:tc>
      </w:tr>
      <w:tr w:rsidR="00F67586" w:rsidRPr="00D0395E" w14:paraId="63983A41" w14:textId="77777777" w:rsidTr="00BA6BE6">
        <w:trPr>
          <w:trHeight w:val="330"/>
        </w:trPr>
        <w:tc>
          <w:tcPr>
            <w:tcW w:w="2399" w:type="pct"/>
            <w:tcBorders>
              <w:top w:val="nil"/>
              <w:left w:val="nil"/>
              <w:bottom w:val="nil"/>
              <w:right w:val="nil"/>
            </w:tcBorders>
            <w:vAlign w:val="center"/>
            <w:hideMark/>
          </w:tcPr>
          <w:p w14:paraId="38BD5AC4"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materiál</w:t>
            </w:r>
          </w:p>
        </w:tc>
        <w:tc>
          <w:tcPr>
            <w:tcW w:w="524" w:type="pct"/>
            <w:tcBorders>
              <w:top w:val="nil"/>
              <w:left w:val="nil"/>
              <w:bottom w:val="nil"/>
              <w:right w:val="nil"/>
            </w:tcBorders>
            <w:noWrap/>
            <w:vAlign w:val="center"/>
            <w:hideMark/>
          </w:tcPr>
          <w:p w14:paraId="534FD490"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513 125</w:t>
            </w:r>
          </w:p>
        </w:tc>
        <w:tc>
          <w:tcPr>
            <w:tcW w:w="524" w:type="pct"/>
            <w:tcBorders>
              <w:top w:val="nil"/>
              <w:left w:val="nil"/>
              <w:bottom w:val="nil"/>
              <w:right w:val="nil"/>
            </w:tcBorders>
            <w:noWrap/>
            <w:vAlign w:val="center"/>
          </w:tcPr>
          <w:p w14:paraId="389A7D77"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304 234</w:t>
            </w:r>
          </w:p>
        </w:tc>
        <w:tc>
          <w:tcPr>
            <w:tcW w:w="524" w:type="pct"/>
            <w:tcBorders>
              <w:top w:val="nil"/>
              <w:left w:val="nil"/>
              <w:bottom w:val="nil"/>
              <w:right w:val="nil"/>
            </w:tcBorders>
            <w:noWrap/>
            <w:vAlign w:val="center"/>
          </w:tcPr>
          <w:p w14:paraId="19CC2050"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313 497</w:t>
            </w:r>
          </w:p>
        </w:tc>
        <w:tc>
          <w:tcPr>
            <w:tcW w:w="524" w:type="pct"/>
            <w:tcBorders>
              <w:top w:val="nil"/>
              <w:left w:val="nil"/>
              <w:bottom w:val="nil"/>
              <w:right w:val="nil"/>
            </w:tcBorders>
            <w:noWrap/>
            <w:vAlign w:val="center"/>
          </w:tcPr>
          <w:p w14:paraId="47006DFC"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411 801</w:t>
            </w:r>
          </w:p>
        </w:tc>
        <w:tc>
          <w:tcPr>
            <w:tcW w:w="507" w:type="pct"/>
            <w:tcBorders>
              <w:top w:val="nil"/>
              <w:left w:val="nil"/>
              <w:bottom w:val="nil"/>
              <w:right w:val="nil"/>
            </w:tcBorders>
            <w:noWrap/>
            <w:vAlign w:val="center"/>
          </w:tcPr>
          <w:p w14:paraId="76883CFA"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98 304</w:t>
            </w:r>
          </w:p>
        </w:tc>
      </w:tr>
      <w:tr w:rsidR="00F67586" w:rsidRPr="00D0395E" w14:paraId="231BFF5B" w14:textId="77777777" w:rsidTr="00BA6BE6">
        <w:trPr>
          <w:trHeight w:val="330"/>
        </w:trPr>
        <w:tc>
          <w:tcPr>
            <w:tcW w:w="2399" w:type="pct"/>
            <w:tcBorders>
              <w:top w:val="nil"/>
              <w:left w:val="nil"/>
              <w:bottom w:val="nil"/>
              <w:right w:val="nil"/>
            </w:tcBorders>
            <w:vAlign w:val="center"/>
            <w:hideMark/>
          </w:tcPr>
          <w:p w14:paraId="61FFBE21"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energie, voda a komunikácie</w:t>
            </w:r>
          </w:p>
        </w:tc>
        <w:tc>
          <w:tcPr>
            <w:tcW w:w="524" w:type="pct"/>
            <w:tcBorders>
              <w:top w:val="nil"/>
              <w:left w:val="nil"/>
              <w:bottom w:val="nil"/>
              <w:right w:val="nil"/>
            </w:tcBorders>
            <w:noWrap/>
            <w:vAlign w:val="center"/>
            <w:hideMark/>
          </w:tcPr>
          <w:p w14:paraId="2B2DF51F"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282 664</w:t>
            </w:r>
          </w:p>
        </w:tc>
        <w:tc>
          <w:tcPr>
            <w:tcW w:w="524" w:type="pct"/>
            <w:tcBorders>
              <w:top w:val="nil"/>
              <w:left w:val="nil"/>
              <w:bottom w:val="nil"/>
              <w:right w:val="nil"/>
            </w:tcBorders>
            <w:noWrap/>
            <w:vAlign w:val="center"/>
          </w:tcPr>
          <w:p w14:paraId="1D2166C7"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231 781</w:t>
            </w:r>
          </w:p>
        </w:tc>
        <w:tc>
          <w:tcPr>
            <w:tcW w:w="524" w:type="pct"/>
            <w:tcBorders>
              <w:top w:val="nil"/>
              <w:left w:val="nil"/>
              <w:bottom w:val="nil"/>
              <w:right w:val="nil"/>
            </w:tcBorders>
            <w:noWrap/>
            <w:vAlign w:val="center"/>
          </w:tcPr>
          <w:p w14:paraId="2570A2D5"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258 809</w:t>
            </w:r>
          </w:p>
        </w:tc>
        <w:tc>
          <w:tcPr>
            <w:tcW w:w="524" w:type="pct"/>
            <w:tcBorders>
              <w:top w:val="nil"/>
              <w:left w:val="nil"/>
              <w:bottom w:val="nil"/>
              <w:right w:val="nil"/>
            </w:tcBorders>
            <w:noWrap/>
            <w:vAlign w:val="center"/>
          </w:tcPr>
          <w:p w14:paraId="6D23843E"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238 088</w:t>
            </w:r>
          </w:p>
        </w:tc>
        <w:tc>
          <w:tcPr>
            <w:tcW w:w="507" w:type="pct"/>
            <w:tcBorders>
              <w:top w:val="nil"/>
              <w:left w:val="nil"/>
              <w:bottom w:val="nil"/>
              <w:right w:val="nil"/>
            </w:tcBorders>
            <w:noWrap/>
            <w:vAlign w:val="center"/>
          </w:tcPr>
          <w:p w14:paraId="06952794"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-20 721</w:t>
            </w:r>
          </w:p>
        </w:tc>
      </w:tr>
      <w:tr w:rsidR="00F67586" w:rsidRPr="00D0395E" w14:paraId="017C21B9" w14:textId="77777777" w:rsidTr="00BA6BE6">
        <w:trPr>
          <w:trHeight w:val="330"/>
        </w:trPr>
        <w:tc>
          <w:tcPr>
            <w:tcW w:w="2399" w:type="pct"/>
            <w:tcBorders>
              <w:top w:val="nil"/>
              <w:left w:val="nil"/>
              <w:bottom w:val="nil"/>
              <w:right w:val="nil"/>
            </w:tcBorders>
            <w:vAlign w:val="center"/>
            <w:hideMark/>
          </w:tcPr>
          <w:p w14:paraId="04200E71"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nájomné za nájom nehnuteľných a hnuteľných vecí</w:t>
            </w:r>
          </w:p>
        </w:tc>
        <w:tc>
          <w:tcPr>
            <w:tcW w:w="524" w:type="pct"/>
            <w:tcBorders>
              <w:top w:val="nil"/>
              <w:left w:val="nil"/>
              <w:bottom w:val="nil"/>
              <w:right w:val="nil"/>
            </w:tcBorders>
            <w:noWrap/>
            <w:vAlign w:val="center"/>
            <w:hideMark/>
          </w:tcPr>
          <w:p w14:paraId="5CD6CA5C"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87 352</w:t>
            </w:r>
          </w:p>
        </w:tc>
        <w:tc>
          <w:tcPr>
            <w:tcW w:w="524" w:type="pct"/>
            <w:tcBorders>
              <w:top w:val="nil"/>
              <w:left w:val="nil"/>
              <w:bottom w:val="nil"/>
              <w:right w:val="nil"/>
            </w:tcBorders>
            <w:noWrap/>
            <w:vAlign w:val="center"/>
          </w:tcPr>
          <w:p w14:paraId="371E05F0"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105 868</w:t>
            </w:r>
          </w:p>
        </w:tc>
        <w:tc>
          <w:tcPr>
            <w:tcW w:w="524" w:type="pct"/>
            <w:tcBorders>
              <w:top w:val="nil"/>
              <w:left w:val="nil"/>
              <w:bottom w:val="nil"/>
              <w:right w:val="nil"/>
            </w:tcBorders>
            <w:noWrap/>
            <w:vAlign w:val="center"/>
          </w:tcPr>
          <w:p w14:paraId="15D68BDA"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90 901</w:t>
            </w:r>
          </w:p>
        </w:tc>
        <w:tc>
          <w:tcPr>
            <w:tcW w:w="524" w:type="pct"/>
            <w:tcBorders>
              <w:top w:val="nil"/>
              <w:left w:val="nil"/>
              <w:bottom w:val="nil"/>
              <w:right w:val="nil"/>
            </w:tcBorders>
            <w:noWrap/>
            <w:vAlign w:val="center"/>
          </w:tcPr>
          <w:p w14:paraId="62BFDE7E"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122 543</w:t>
            </w:r>
          </w:p>
        </w:tc>
        <w:tc>
          <w:tcPr>
            <w:tcW w:w="507" w:type="pct"/>
            <w:tcBorders>
              <w:top w:val="nil"/>
              <w:left w:val="nil"/>
              <w:bottom w:val="nil"/>
              <w:right w:val="nil"/>
            </w:tcBorders>
            <w:noWrap/>
            <w:vAlign w:val="center"/>
          </w:tcPr>
          <w:p w14:paraId="75C77FBB"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31 642</w:t>
            </w:r>
          </w:p>
        </w:tc>
      </w:tr>
      <w:tr w:rsidR="00F67586" w:rsidRPr="00D0395E" w14:paraId="2A58C622" w14:textId="77777777" w:rsidTr="00BA6BE6">
        <w:trPr>
          <w:trHeight w:val="330"/>
        </w:trPr>
        <w:tc>
          <w:tcPr>
            <w:tcW w:w="2399" w:type="pct"/>
            <w:tcBorders>
              <w:top w:val="nil"/>
              <w:left w:val="nil"/>
              <w:bottom w:val="nil"/>
              <w:right w:val="nil"/>
            </w:tcBorders>
            <w:vAlign w:val="center"/>
            <w:hideMark/>
          </w:tcPr>
          <w:p w14:paraId="12266231"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dopravné</w:t>
            </w:r>
          </w:p>
        </w:tc>
        <w:tc>
          <w:tcPr>
            <w:tcW w:w="524" w:type="pct"/>
            <w:tcBorders>
              <w:top w:val="nil"/>
              <w:left w:val="nil"/>
              <w:bottom w:val="nil"/>
              <w:right w:val="nil"/>
            </w:tcBorders>
            <w:noWrap/>
            <w:vAlign w:val="center"/>
            <w:hideMark/>
          </w:tcPr>
          <w:p w14:paraId="6591BD2E"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91 500</w:t>
            </w:r>
          </w:p>
        </w:tc>
        <w:tc>
          <w:tcPr>
            <w:tcW w:w="524" w:type="pct"/>
            <w:tcBorders>
              <w:top w:val="nil"/>
              <w:left w:val="nil"/>
              <w:bottom w:val="nil"/>
              <w:right w:val="nil"/>
            </w:tcBorders>
            <w:noWrap/>
            <w:vAlign w:val="center"/>
          </w:tcPr>
          <w:p w14:paraId="231368B7"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91 823</w:t>
            </w:r>
          </w:p>
        </w:tc>
        <w:tc>
          <w:tcPr>
            <w:tcW w:w="524" w:type="pct"/>
            <w:tcBorders>
              <w:top w:val="nil"/>
              <w:left w:val="nil"/>
              <w:bottom w:val="nil"/>
              <w:right w:val="nil"/>
            </w:tcBorders>
            <w:noWrap/>
            <w:vAlign w:val="center"/>
          </w:tcPr>
          <w:p w14:paraId="3AA4EBEE"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97 290</w:t>
            </w:r>
          </w:p>
        </w:tc>
        <w:tc>
          <w:tcPr>
            <w:tcW w:w="524" w:type="pct"/>
            <w:tcBorders>
              <w:top w:val="nil"/>
              <w:left w:val="nil"/>
              <w:bottom w:val="nil"/>
              <w:right w:val="nil"/>
            </w:tcBorders>
            <w:noWrap/>
            <w:vAlign w:val="center"/>
          </w:tcPr>
          <w:p w14:paraId="63FBCCD2"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94 665</w:t>
            </w:r>
          </w:p>
        </w:tc>
        <w:tc>
          <w:tcPr>
            <w:tcW w:w="507" w:type="pct"/>
            <w:tcBorders>
              <w:top w:val="nil"/>
              <w:left w:val="nil"/>
              <w:bottom w:val="nil"/>
              <w:right w:val="nil"/>
            </w:tcBorders>
            <w:noWrap/>
            <w:vAlign w:val="center"/>
          </w:tcPr>
          <w:p w14:paraId="4DED7971"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-2 625</w:t>
            </w:r>
          </w:p>
        </w:tc>
      </w:tr>
      <w:tr w:rsidR="00F67586" w:rsidRPr="00D0395E" w14:paraId="6C8D6AA6" w14:textId="77777777" w:rsidTr="00BA6BE6">
        <w:trPr>
          <w:trHeight w:val="330"/>
        </w:trPr>
        <w:tc>
          <w:tcPr>
            <w:tcW w:w="2399" w:type="pct"/>
            <w:tcBorders>
              <w:top w:val="nil"/>
              <w:left w:val="nil"/>
              <w:bottom w:val="nil"/>
              <w:right w:val="nil"/>
            </w:tcBorders>
            <w:vAlign w:val="center"/>
            <w:hideMark/>
          </w:tcPr>
          <w:p w14:paraId="2AB5D747"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cestovné náhrady</w:t>
            </w:r>
          </w:p>
        </w:tc>
        <w:tc>
          <w:tcPr>
            <w:tcW w:w="524" w:type="pct"/>
            <w:tcBorders>
              <w:top w:val="nil"/>
              <w:left w:val="nil"/>
              <w:bottom w:val="nil"/>
              <w:right w:val="nil"/>
            </w:tcBorders>
            <w:noWrap/>
            <w:vAlign w:val="center"/>
            <w:hideMark/>
          </w:tcPr>
          <w:p w14:paraId="1D1078DD"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47 602</w:t>
            </w:r>
          </w:p>
        </w:tc>
        <w:tc>
          <w:tcPr>
            <w:tcW w:w="524" w:type="pct"/>
            <w:tcBorders>
              <w:top w:val="nil"/>
              <w:left w:val="nil"/>
              <w:bottom w:val="nil"/>
              <w:right w:val="nil"/>
            </w:tcBorders>
            <w:noWrap/>
            <w:vAlign w:val="center"/>
          </w:tcPr>
          <w:p w14:paraId="1BF9875C"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50 653</w:t>
            </w:r>
          </w:p>
        </w:tc>
        <w:tc>
          <w:tcPr>
            <w:tcW w:w="524" w:type="pct"/>
            <w:tcBorders>
              <w:top w:val="nil"/>
              <w:left w:val="nil"/>
              <w:bottom w:val="nil"/>
              <w:right w:val="nil"/>
            </w:tcBorders>
            <w:noWrap/>
            <w:vAlign w:val="center"/>
          </w:tcPr>
          <w:p w14:paraId="4ECA9C6D"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53 628</w:t>
            </w:r>
          </w:p>
        </w:tc>
        <w:tc>
          <w:tcPr>
            <w:tcW w:w="524" w:type="pct"/>
            <w:tcBorders>
              <w:top w:val="nil"/>
              <w:left w:val="nil"/>
              <w:bottom w:val="nil"/>
              <w:right w:val="nil"/>
            </w:tcBorders>
            <w:noWrap/>
            <w:vAlign w:val="center"/>
          </w:tcPr>
          <w:p w14:paraId="4DDFF0CA"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53 724</w:t>
            </w:r>
          </w:p>
        </w:tc>
        <w:tc>
          <w:tcPr>
            <w:tcW w:w="507" w:type="pct"/>
            <w:tcBorders>
              <w:top w:val="nil"/>
              <w:left w:val="nil"/>
              <w:bottom w:val="nil"/>
              <w:right w:val="nil"/>
            </w:tcBorders>
            <w:noWrap/>
            <w:vAlign w:val="center"/>
          </w:tcPr>
          <w:p w14:paraId="23256481"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96</w:t>
            </w:r>
          </w:p>
        </w:tc>
      </w:tr>
      <w:tr w:rsidR="00F67586" w:rsidRPr="00D0395E" w14:paraId="449FE0C3" w14:textId="77777777" w:rsidTr="00BA6BE6">
        <w:trPr>
          <w:trHeight w:val="330"/>
        </w:trPr>
        <w:tc>
          <w:tcPr>
            <w:tcW w:w="2399" w:type="pct"/>
            <w:tcBorders>
              <w:top w:val="nil"/>
              <w:left w:val="nil"/>
              <w:bottom w:val="nil"/>
              <w:right w:val="nil"/>
            </w:tcBorders>
            <w:vAlign w:val="center"/>
            <w:hideMark/>
          </w:tcPr>
          <w:p w14:paraId="08414E94"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Bežné transfery</w:t>
            </w:r>
          </w:p>
        </w:tc>
        <w:tc>
          <w:tcPr>
            <w:tcW w:w="524" w:type="pct"/>
            <w:tcBorders>
              <w:top w:val="nil"/>
              <w:left w:val="nil"/>
              <w:bottom w:val="nil"/>
              <w:right w:val="nil"/>
            </w:tcBorders>
            <w:noWrap/>
            <w:vAlign w:val="center"/>
            <w:hideMark/>
          </w:tcPr>
          <w:p w14:paraId="4C704960"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20 046 164</w:t>
            </w:r>
          </w:p>
        </w:tc>
        <w:tc>
          <w:tcPr>
            <w:tcW w:w="524" w:type="pct"/>
            <w:tcBorders>
              <w:top w:val="nil"/>
              <w:left w:val="nil"/>
              <w:bottom w:val="nil"/>
              <w:right w:val="nil"/>
            </w:tcBorders>
            <w:noWrap/>
            <w:vAlign w:val="center"/>
          </w:tcPr>
          <w:p w14:paraId="0ABBB7E7"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20 050 685</w:t>
            </w:r>
          </w:p>
        </w:tc>
        <w:tc>
          <w:tcPr>
            <w:tcW w:w="524" w:type="pct"/>
            <w:tcBorders>
              <w:top w:val="nil"/>
              <w:left w:val="nil"/>
              <w:bottom w:val="nil"/>
              <w:right w:val="nil"/>
            </w:tcBorders>
            <w:noWrap/>
            <w:vAlign w:val="center"/>
          </w:tcPr>
          <w:p w14:paraId="5E8ACC18"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21 418 283</w:t>
            </w:r>
          </w:p>
        </w:tc>
        <w:tc>
          <w:tcPr>
            <w:tcW w:w="524" w:type="pct"/>
            <w:tcBorders>
              <w:top w:val="nil"/>
              <w:left w:val="nil"/>
              <w:bottom w:val="nil"/>
              <w:right w:val="nil"/>
            </w:tcBorders>
            <w:noWrap/>
            <w:vAlign w:val="center"/>
          </w:tcPr>
          <w:p w14:paraId="0DC490E2"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20 982 101</w:t>
            </w:r>
          </w:p>
        </w:tc>
        <w:tc>
          <w:tcPr>
            <w:tcW w:w="507" w:type="pct"/>
            <w:tcBorders>
              <w:top w:val="nil"/>
              <w:left w:val="nil"/>
              <w:bottom w:val="nil"/>
              <w:right w:val="nil"/>
            </w:tcBorders>
            <w:noWrap/>
            <w:vAlign w:val="center"/>
          </w:tcPr>
          <w:p w14:paraId="48F6F19D"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-436 182</w:t>
            </w:r>
          </w:p>
        </w:tc>
      </w:tr>
      <w:tr w:rsidR="00F67586" w:rsidRPr="00D0395E" w14:paraId="55BF9B3D" w14:textId="77777777" w:rsidTr="00BA6BE6">
        <w:trPr>
          <w:trHeight w:val="330"/>
        </w:trPr>
        <w:tc>
          <w:tcPr>
            <w:tcW w:w="2399" w:type="pct"/>
            <w:tcBorders>
              <w:top w:val="nil"/>
              <w:left w:val="nil"/>
              <w:bottom w:val="nil"/>
              <w:right w:val="nil"/>
            </w:tcBorders>
            <w:vAlign w:val="center"/>
            <w:hideMark/>
          </w:tcPr>
          <w:p w14:paraId="447E72AE"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v tom: </w:t>
            </w:r>
          </w:p>
        </w:tc>
        <w:tc>
          <w:tcPr>
            <w:tcW w:w="524" w:type="pct"/>
            <w:tcBorders>
              <w:top w:val="nil"/>
              <w:left w:val="nil"/>
              <w:bottom w:val="nil"/>
              <w:right w:val="nil"/>
            </w:tcBorders>
            <w:noWrap/>
            <w:vAlign w:val="center"/>
            <w:hideMark/>
          </w:tcPr>
          <w:p w14:paraId="42024EE2" w14:textId="77777777" w:rsidR="00F67586" w:rsidRPr="00D0395E" w:rsidRDefault="00F67586" w:rsidP="00BA6BE6">
            <w:pPr>
              <w:spacing w:line="240" w:lineRule="auto"/>
              <w:jc w:val="right"/>
              <w:rPr>
                <w:rFonts w:eastAsia="Times New Roman" w:cs="Times New Roman"/>
                <w:color w:val="000000"/>
                <w:sz w:val="18"/>
                <w:szCs w:val="18"/>
                <w:lang w:eastAsia="sk-SK"/>
              </w:rPr>
            </w:pPr>
          </w:p>
        </w:tc>
        <w:tc>
          <w:tcPr>
            <w:tcW w:w="524" w:type="pct"/>
            <w:tcBorders>
              <w:top w:val="nil"/>
              <w:left w:val="nil"/>
              <w:bottom w:val="nil"/>
              <w:right w:val="nil"/>
            </w:tcBorders>
            <w:noWrap/>
            <w:vAlign w:val="center"/>
          </w:tcPr>
          <w:p w14:paraId="6D990D7D" w14:textId="77777777" w:rsidR="00F67586" w:rsidRPr="00D0395E" w:rsidRDefault="00F67586" w:rsidP="00BA6BE6">
            <w:pPr>
              <w:spacing w:line="240" w:lineRule="auto"/>
              <w:jc w:val="right"/>
              <w:rPr>
                <w:rFonts w:eastAsia="Times New Roman" w:cs="Times New Roman"/>
                <w:color w:val="000000"/>
                <w:sz w:val="18"/>
                <w:szCs w:val="18"/>
                <w:lang w:eastAsia="sk-SK"/>
              </w:rPr>
            </w:pPr>
          </w:p>
        </w:tc>
        <w:tc>
          <w:tcPr>
            <w:tcW w:w="524" w:type="pct"/>
            <w:tcBorders>
              <w:top w:val="nil"/>
              <w:left w:val="nil"/>
              <w:bottom w:val="nil"/>
              <w:right w:val="nil"/>
            </w:tcBorders>
            <w:noWrap/>
            <w:vAlign w:val="center"/>
          </w:tcPr>
          <w:p w14:paraId="23A76900" w14:textId="77777777" w:rsidR="00F67586" w:rsidRPr="00D0395E" w:rsidRDefault="00F67586" w:rsidP="00BA6BE6">
            <w:pPr>
              <w:spacing w:line="240" w:lineRule="auto"/>
              <w:jc w:val="right"/>
              <w:rPr>
                <w:rFonts w:eastAsia="Times New Roman" w:cs="Times New Roman"/>
                <w:sz w:val="18"/>
                <w:szCs w:val="18"/>
                <w:lang w:eastAsia="sk-SK"/>
              </w:rPr>
            </w:pPr>
          </w:p>
        </w:tc>
        <w:tc>
          <w:tcPr>
            <w:tcW w:w="524" w:type="pct"/>
            <w:tcBorders>
              <w:top w:val="nil"/>
              <w:left w:val="nil"/>
              <w:bottom w:val="nil"/>
              <w:right w:val="nil"/>
            </w:tcBorders>
            <w:noWrap/>
            <w:vAlign w:val="center"/>
          </w:tcPr>
          <w:p w14:paraId="6873F0C0" w14:textId="77777777" w:rsidR="00F67586" w:rsidRPr="00D0395E" w:rsidRDefault="00F67586" w:rsidP="00BA6BE6">
            <w:pPr>
              <w:spacing w:line="240" w:lineRule="auto"/>
              <w:rPr>
                <w:rFonts w:eastAsia="Times New Roman" w:cs="Times New Roman"/>
                <w:sz w:val="18"/>
                <w:szCs w:val="18"/>
                <w:lang w:eastAsia="sk-SK"/>
              </w:rPr>
            </w:pPr>
          </w:p>
        </w:tc>
        <w:tc>
          <w:tcPr>
            <w:tcW w:w="507" w:type="pct"/>
            <w:tcBorders>
              <w:top w:val="nil"/>
              <w:left w:val="nil"/>
              <w:bottom w:val="nil"/>
              <w:right w:val="nil"/>
            </w:tcBorders>
            <w:noWrap/>
            <w:vAlign w:val="center"/>
          </w:tcPr>
          <w:p w14:paraId="42E7E817" w14:textId="77777777" w:rsidR="00F67586" w:rsidRPr="00D0395E" w:rsidRDefault="00F67586" w:rsidP="00BA6BE6">
            <w:pPr>
              <w:spacing w:line="240" w:lineRule="auto"/>
              <w:jc w:val="right"/>
              <w:rPr>
                <w:rFonts w:eastAsia="Times New Roman" w:cs="Times New Roman"/>
                <w:sz w:val="18"/>
                <w:szCs w:val="18"/>
                <w:lang w:eastAsia="sk-SK"/>
              </w:rPr>
            </w:pPr>
          </w:p>
        </w:tc>
      </w:tr>
      <w:tr w:rsidR="00F67586" w:rsidRPr="00D0395E" w14:paraId="2C24425B" w14:textId="77777777" w:rsidTr="00BA6BE6">
        <w:trPr>
          <w:trHeight w:val="330"/>
        </w:trPr>
        <w:tc>
          <w:tcPr>
            <w:tcW w:w="2399" w:type="pct"/>
            <w:tcBorders>
              <w:top w:val="nil"/>
              <w:left w:val="nil"/>
              <w:bottom w:val="nil"/>
              <w:right w:val="nil"/>
            </w:tcBorders>
            <w:vAlign w:val="center"/>
            <w:hideMark/>
          </w:tcPr>
          <w:p w14:paraId="32B347AE"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 rámci verejnej správy</w:t>
            </w:r>
          </w:p>
        </w:tc>
        <w:tc>
          <w:tcPr>
            <w:tcW w:w="524" w:type="pct"/>
            <w:tcBorders>
              <w:top w:val="nil"/>
              <w:left w:val="nil"/>
              <w:bottom w:val="nil"/>
              <w:right w:val="nil"/>
            </w:tcBorders>
            <w:noWrap/>
            <w:vAlign w:val="center"/>
            <w:hideMark/>
          </w:tcPr>
          <w:p w14:paraId="22D1B3DB"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7 726 188</w:t>
            </w:r>
          </w:p>
        </w:tc>
        <w:tc>
          <w:tcPr>
            <w:tcW w:w="524" w:type="pct"/>
            <w:tcBorders>
              <w:top w:val="nil"/>
              <w:left w:val="nil"/>
              <w:bottom w:val="nil"/>
              <w:right w:val="nil"/>
            </w:tcBorders>
            <w:noWrap/>
            <w:vAlign w:val="center"/>
          </w:tcPr>
          <w:p w14:paraId="61EDA3A3"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9 923 665</w:t>
            </w:r>
          </w:p>
        </w:tc>
        <w:tc>
          <w:tcPr>
            <w:tcW w:w="524" w:type="pct"/>
            <w:tcBorders>
              <w:top w:val="nil"/>
              <w:left w:val="nil"/>
              <w:bottom w:val="nil"/>
              <w:right w:val="nil"/>
            </w:tcBorders>
            <w:noWrap/>
            <w:vAlign w:val="center"/>
          </w:tcPr>
          <w:p w14:paraId="74AB7E33"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11 079 625</w:t>
            </w:r>
          </w:p>
        </w:tc>
        <w:tc>
          <w:tcPr>
            <w:tcW w:w="524" w:type="pct"/>
            <w:tcBorders>
              <w:top w:val="nil"/>
              <w:left w:val="nil"/>
              <w:bottom w:val="nil"/>
              <w:right w:val="nil"/>
            </w:tcBorders>
            <w:noWrap/>
            <w:vAlign w:val="center"/>
          </w:tcPr>
          <w:p w14:paraId="7215707F"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11 294 281</w:t>
            </w:r>
          </w:p>
        </w:tc>
        <w:tc>
          <w:tcPr>
            <w:tcW w:w="507" w:type="pct"/>
            <w:tcBorders>
              <w:top w:val="nil"/>
              <w:left w:val="nil"/>
              <w:bottom w:val="nil"/>
              <w:right w:val="nil"/>
            </w:tcBorders>
            <w:noWrap/>
            <w:vAlign w:val="center"/>
          </w:tcPr>
          <w:p w14:paraId="3B89AFA6"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214 656</w:t>
            </w:r>
          </w:p>
        </w:tc>
      </w:tr>
      <w:tr w:rsidR="00F67586" w:rsidRPr="00D0395E" w14:paraId="7367A796" w14:textId="77777777" w:rsidTr="00BA6BE6">
        <w:trPr>
          <w:trHeight w:val="330"/>
        </w:trPr>
        <w:tc>
          <w:tcPr>
            <w:tcW w:w="2399" w:type="pct"/>
            <w:tcBorders>
              <w:top w:val="nil"/>
              <w:left w:val="nil"/>
              <w:bottom w:val="nil"/>
              <w:right w:val="nil"/>
            </w:tcBorders>
            <w:vAlign w:val="center"/>
            <w:hideMark/>
          </w:tcPr>
          <w:p w14:paraId="061268BD"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jednotlivcom a neziskovým právnickým osobám</w:t>
            </w:r>
          </w:p>
        </w:tc>
        <w:tc>
          <w:tcPr>
            <w:tcW w:w="524" w:type="pct"/>
            <w:tcBorders>
              <w:top w:val="nil"/>
              <w:left w:val="nil"/>
              <w:bottom w:val="nil"/>
              <w:right w:val="nil"/>
            </w:tcBorders>
            <w:noWrap/>
            <w:vAlign w:val="center"/>
            <w:hideMark/>
          </w:tcPr>
          <w:p w14:paraId="0B48DFAC"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7 105 251</w:t>
            </w:r>
          </w:p>
        </w:tc>
        <w:tc>
          <w:tcPr>
            <w:tcW w:w="524" w:type="pct"/>
            <w:tcBorders>
              <w:top w:val="nil"/>
              <w:left w:val="nil"/>
              <w:bottom w:val="nil"/>
              <w:right w:val="nil"/>
            </w:tcBorders>
            <w:noWrap/>
            <w:vAlign w:val="center"/>
          </w:tcPr>
          <w:p w14:paraId="05B98821"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6 815 692</w:t>
            </w:r>
          </w:p>
        </w:tc>
        <w:tc>
          <w:tcPr>
            <w:tcW w:w="524" w:type="pct"/>
            <w:tcBorders>
              <w:top w:val="nil"/>
              <w:left w:val="nil"/>
              <w:bottom w:val="nil"/>
              <w:right w:val="nil"/>
            </w:tcBorders>
            <w:noWrap/>
            <w:vAlign w:val="center"/>
          </w:tcPr>
          <w:p w14:paraId="39A807C5"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7 910 891</w:t>
            </w:r>
          </w:p>
        </w:tc>
        <w:tc>
          <w:tcPr>
            <w:tcW w:w="524" w:type="pct"/>
            <w:tcBorders>
              <w:top w:val="nil"/>
              <w:left w:val="nil"/>
              <w:bottom w:val="nil"/>
              <w:right w:val="nil"/>
            </w:tcBorders>
            <w:noWrap/>
            <w:vAlign w:val="center"/>
          </w:tcPr>
          <w:p w14:paraId="7E3EE9BA"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7 279 011</w:t>
            </w:r>
          </w:p>
        </w:tc>
        <w:tc>
          <w:tcPr>
            <w:tcW w:w="507" w:type="pct"/>
            <w:tcBorders>
              <w:top w:val="nil"/>
              <w:left w:val="nil"/>
              <w:bottom w:val="nil"/>
              <w:right w:val="nil"/>
            </w:tcBorders>
            <w:noWrap/>
            <w:vAlign w:val="center"/>
          </w:tcPr>
          <w:p w14:paraId="4E998A9E"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-631 880</w:t>
            </w:r>
          </w:p>
        </w:tc>
      </w:tr>
      <w:tr w:rsidR="00F67586" w:rsidRPr="00D0395E" w14:paraId="45706640" w14:textId="77777777" w:rsidTr="00BA6BE6">
        <w:trPr>
          <w:trHeight w:val="330"/>
        </w:trPr>
        <w:tc>
          <w:tcPr>
            <w:tcW w:w="2399" w:type="pct"/>
            <w:tcBorders>
              <w:top w:val="nil"/>
              <w:left w:val="nil"/>
              <w:bottom w:val="nil"/>
              <w:right w:val="nil"/>
            </w:tcBorders>
            <w:vAlign w:val="center"/>
            <w:hideMark/>
          </w:tcPr>
          <w:p w14:paraId="6A951DAD"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nefinančným subjektom </w:t>
            </w:r>
          </w:p>
        </w:tc>
        <w:tc>
          <w:tcPr>
            <w:tcW w:w="524" w:type="pct"/>
            <w:tcBorders>
              <w:top w:val="nil"/>
              <w:left w:val="nil"/>
              <w:bottom w:val="nil"/>
              <w:right w:val="nil"/>
            </w:tcBorders>
            <w:noWrap/>
            <w:vAlign w:val="center"/>
            <w:hideMark/>
          </w:tcPr>
          <w:p w14:paraId="75A05D2C"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4 020 638</w:t>
            </w:r>
          </w:p>
        </w:tc>
        <w:tc>
          <w:tcPr>
            <w:tcW w:w="524" w:type="pct"/>
            <w:tcBorders>
              <w:top w:val="nil"/>
              <w:left w:val="nil"/>
              <w:bottom w:val="nil"/>
              <w:right w:val="nil"/>
            </w:tcBorders>
            <w:noWrap/>
            <w:vAlign w:val="center"/>
          </w:tcPr>
          <w:p w14:paraId="24234D55"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2 378 981</w:t>
            </w:r>
          </w:p>
        </w:tc>
        <w:tc>
          <w:tcPr>
            <w:tcW w:w="524" w:type="pct"/>
            <w:tcBorders>
              <w:top w:val="nil"/>
              <w:left w:val="nil"/>
              <w:bottom w:val="nil"/>
              <w:right w:val="nil"/>
            </w:tcBorders>
            <w:noWrap/>
            <w:vAlign w:val="center"/>
          </w:tcPr>
          <w:p w14:paraId="795A8287"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1 301 942</w:t>
            </w:r>
          </w:p>
        </w:tc>
        <w:tc>
          <w:tcPr>
            <w:tcW w:w="524" w:type="pct"/>
            <w:tcBorders>
              <w:top w:val="nil"/>
              <w:left w:val="nil"/>
              <w:bottom w:val="nil"/>
              <w:right w:val="nil"/>
            </w:tcBorders>
            <w:noWrap/>
            <w:vAlign w:val="center"/>
          </w:tcPr>
          <w:p w14:paraId="204E6E47" w14:textId="12F65F9C"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1 304 </w:t>
            </w:r>
            <w:r w:rsidR="00632A05">
              <w:rPr>
                <w:rFonts w:eastAsia="Times New Roman" w:cs="Times New Roman"/>
                <w:color w:val="000000"/>
                <w:sz w:val="18"/>
                <w:szCs w:val="18"/>
                <w:lang w:eastAsia="sk-SK"/>
              </w:rPr>
              <w:t>841</w:t>
            </w:r>
          </w:p>
        </w:tc>
        <w:tc>
          <w:tcPr>
            <w:tcW w:w="507" w:type="pct"/>
            <w:tcBorders>
              <w:top w:val="nil"/>
              <w:left w:val="nil"/>
              <w:bottom w:val="nil"/>
              <w:right w:val="nil"/>
            </w:tcBorders>
            <w:noWrap/>
            <w:vAlign w:val="center"/>
          </w:tcPr>
          <w:p w14:paraId="7BE96FBB" w14:textId="3729433F"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 </w:t>
            </w:r>
            <w:r w:rsidR="00632A05">
              <w:rPr>
                <w:rFonts w:eastAsia="Times New Roman" w:cs="Times New Roman"/>
                <w:color w:val="000000"/>
                <w:sz w:val="18"/>
                <w:szCs w:val="18"/>
                <w:lang w:eastAsia="sk-SK"/>
              </w:rPr>
              <w:t>899</w:t>
            </w:r>
          </w:p>
        </w:tc>
      </w:tr>
      <w:tr w:rsidR="00F67586" w:rsidRPr="00D0395E" w14:paraId="2A0A0021" w14:textId="77777777" w:rsidTr="00BA6BE6">
        <w:trPr>
          <w:trHeight w:val="330"/>
        </w:trPr>
        <w:tc>
          <w:tcPr>
            <w:tcW w:w="2399" w:type="pct"/>
            <w:tcBorders>
              <w:top w:val="nil"/>
              <w:left w:val="nil"/>
              <w:bottom w:val="nil"/>
              <w:right w:val="nil"/>
            </w:tcBorders>
            <w:vAlign w:val="center"/>
            <w:hideMark/>
          </w:tcPr>
          <w:p w14:paraId="040F6EE9"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do tuzemských finančných inštitúcií</w:t>
            </w:r>
          </w:p>
        </w:tc>
        <w:tc>
          <w:tcPr>
            <w:tcW w:w="524" w:type="pct"/>
            <w:tcBorders>
              <w:top w:val="nil"/>
              <w:left w:val="nil"/>
              <w:bottom w:val="nil"/>
              <w:right w:val="nil"/>
            </w:tcBorders>
            <w:noWrap/>
            <w:vAlign w:val="center"/>
            <w:hideMark/>
          </w:tcPr>
          <w:p w14:paraId="5F1E82F6"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122 161</w:t>
            </w:r>
          </w:p>
        </w:tc>
        <w:tc>
          <w:tcPr>
            <w:tcW w:w="524" w:type="pct"/>
            <w:tcBorders>
              <w:top w:val="nil"/>
              <w:left w:val="nil"/>
              <w:bottom w:val="nil"/>
              <w:right w:val="nil"/>
            </w:tcBorders>
            <w:noWrap/>
            <w:vAlign w:val="center"/>
          </w:tcPr>
          <w:p w14:paraId="3092F88D"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3 663</w:t>
            </w:r>
          </w:p>
        </w:tc>
        <w:tc>
          <w:tcPr>
            <w:tcW w:w="524" w:type="pct"/>
            <w:tcBorders>
              <w:top w:val="nil"/>
              <w:left w:val="nil"/>
              <w:bottom w:val="nil"/>
              <w:right w:val="nil"/>
            </w:tcBorders>
            <w:noWrap/>
            <w:vAlign w:val="center"/>
          </w:tcPr>
          <w:p w14:paraId="11560341"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7 998</w:t>
            </w:r>
          </w:p>
        </w:tc>
        <w:tc>
          <w:tcPr>
            <w:tcW w:w="524" w:type="pct"/>
            <w:tcBorders>
              <w:top w:val="nil"/>
              <w:left w:val="nil"/>
              <w:bottom w:val="nil"/>
              <w:right w:val="nil"/>
            </w:tcBorders>
            <w:noWrap/>
            <w:vAlign w:val="center"/>
          </w:tcPr>
          <w:p w14:paraId="2BC799C6"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5 820</w:t>
            </w:r>
          </w:p>
        </w:tc>
        <w:tc>
          <w:tcPr>
            <w:tcW w:w="507" w:type="pct"/>
            <w:tcBorders>
              <w:top w:val="nil"/>
              <w:left w:val="nil"/>
              <w:bottom w:val="nil"/>
              <w:right w:val="nil"/>
            </w:tcBorders>
            <w:noWrap/>
            <w:vAlign w:val="center"/>
          </w:tcPr>
          <w:p w14:paraId="23630D82"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-2 178</w:t>
            </w:r>
          </w:p>
        </w:tc>
      </w:tr>
      <w:tr w:rsidR="00F67586" w:rsidRPr="00D0395E" w14:paraId="294208CF" w14:textId="77777777" w:rsidTr="00BA6BE6">
        <w:trPr>
          <w:trHeight w:val="330"/>
        </w:trPr>
        <w:tc>
          <w:tcPr>
            <w:tcW w:w="2399" w:type="pct"/>
            <w:tcBorders>
              <w:top w:val="nil"/>
              <w:left w:val="nil"/>
              <w:bottom w:val="nil"/>
              <w:right w:val="nil"/>
            </w:tcBorders>
            <w:vAlign w:val="center"/>
            <w:hideMark/>
          </w:tcPr>
          <w:p w14:paraId="5CB3CBE7" w14:textId="77777777" w:rsidR="00F67586" w:rsidRPr="00D0395E" w:rsidRDefault="00F67586" w:rsidP="00BA6BE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do zahraničia</w:t>
            </w:r>
          </w:p>
        </w:tc>
        <w:tc>
          <w:tcPr>
            <w:tcW w:w="524" w:type="pct"/>
            <w:tcBorders>
              <w:top w:val="nil"/>
              <w:left w:val="nil"/>
              <w:bottom w:val="nil"/>
              <w:right w:val="nil"/>
            </w:tcBorders>
            <w:noWrap/>
            <w:vAlign w:val="center"/>
            <w:hideMark/>
          </w:tcPr>
          <w:p w14:paraId="78A2358E"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1 071 926</w:t>
            </w:r>
          </w:p>
        </w:tc>
        <w:tc>
          <w:tcPr>
            <w:tcW w:w="524" w:type="pct"/>
            <w:tcBorders>
              <w:top w:val="nil"/>
              <w:left w:val="nil"/>
              <w:bottom w:val="nil"/>
              <w:right w:val="nil"/>
            </w:tcBorders>
            <w:noWrap/>
            <w:vAlign w:val="center"/>
          </w:tcPr>
          <w:p w14:paraId="01ED8439"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928 684</w:t>
            </w:r>
          </w:p>
        </w:tc>
        <w:tc>
          <w:tcPr>
            <w:tcW w:w="524" w:type="pct"/>
            <w:tcBorders>
              <w:top w:val="nil"/>
              <w:left w:val="nil"/>
              <w:bottom w:val="nil"/>
              <w:right w:val="nil"/>
            </w:tcBorders>
            <w:noWrap/>
            <w:vAlign w:val="center"/>
          </w:tcPr>
          <w:p w14:paraId="0FF62719"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1 117 827</w:t>
            </w:r>
          </w:p>
        </w:tc>
        <w:tc>
          <w:tcPr>
            <w:tcW w:w="524" w:type="pct"/>
            <w:tcBorders>
              <w:top w:val="nil"/>
              <w:left w:val="nil"/>
              <w:bottom w:val="nil"/>
              <w:right w:val="nil"/>
            </w:tcBorders>
            <w:noWrap/>
            <w:vAlign w:val="center"/>
          </w:tcPr>
          <w:p w14:paraId="714699E3" w14:textId="198064F9"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1 098 </w:t>
            </w:r>
            <w:r w:rsidR="00632A05">
              <w:rPr>
                <w:rFonts w:eastAsia="Times New Roman" w:cs="Times New Roman"/>
                <w:color w:val="000000"/>
                <w:sz w:val="18"/>
                <w:szCs w:val="18"/>
                <w:lang w:eastAsia="sk-SK"/>
              </w:rPr>
              <w:t>148</w:t>
            </w:r>
          </w:p>
        </w:tc>
        <w:tc>
          <w:tcPr>
            <w:tcW w:w="507" w:type="pct"/>
            <w:tcBorders>
              <w:top w:val="nil"/>
              <w:left w:val="nil"/>
              <w:bottom w:val="nil"/>
              <w:right w:val="nil"/>
            </w:tcBorders>
            <w:noWrap/>
            <w:vAlign w:val="center"/>
          </w:tcPr>
          <w:p w14:paraId="3C8A85F6" w14:textId="0B0A5848"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-19 </w:t>
            </w:r>
            <w:r w:rsidR="00632A05">
              <w:rPr>
                <w:rFonts w:eastAsia="Times New Roman" w:cs="Times New Roman"/>
                <w:color w:val="000000"/>
                <w:sz w:val="18"/>
                <w:szCs w:val="18"/>
                <w:lang w:eastAsia="sk-SK"/>
              </w:rPr>
              <w:t>679</w:t>
            </w:r>
          </w:p>
        </w:tc>
      </w:tr>
      <w:tr w:rsidR="00F67586" w:rsidRPr="00D0395E" w14:paraId="0CE09C24" w14:textId="77777777" w:rsidTr="00BA6BE6">
        <w:trPr>
          <w:trHeight w:val="345"/>
        </w:trPr>
        <w:tc>
          <w:tcPr>
            <w:tcW w:w="2399" w:type="pct"/>
            <w:tcBorders>
              <w:top w:val="nil"/>
              <w:left w:val="nil"/>
              <w:bottom w:val="single" w:sz="4" w:space="0" w:color="auto"/>
              <w:right w:val="nil"/>
            </w:tcBorders>
            <w:vAlign w:val="center"/>
            <w:hideMark/>
          </w:tcPr>
          <w:p w14:paraId="6558A9E4" w14:textId="5E08754A" w:rsidR="00F67586" w:rsidRPr="00D0395E" w:rsidRDefault="00CB08D6" w:rsidP="00BA6BE6">
            <w:pPr>
              <w:spacing w:line="240" w:lineRule="auto"/>
              <w:rPr>
                <w:rFonts w:eastAsia="Times New Roman" w:cs="Times New Roman"/>
                <w:color w:val="000000"/>
                <w:sz w:val="18"/>
                <w:szCs w:val="18"/>
                <w:lang w:eastAsia="sk-SK"/>
              </w:rPr>
            </w:pPr>
            <w:r>
              <w:rPr>
                <w:rFonts w:eastAsia="Times New Roman" w:cs="Times New Roman"/>
                <w:color w:val="000000"/>
                <w:sz w:val="18"/>
                <w:szCs w:val="18"/>
                <w:lang w:eastAsia="sk-SK"/>
              </w:rPr>
              <w:t>M</w:t>
            </w:r>
            <w:r w:rsidR="006D0E61">
              <w:rPr>
                <w:rFonts w:eastAsia="Times New Roman" w:cs="Times New Roman"/>
                <w:color w:val="000000"/>
                <w:sz w:val="18"/>
                <w:szCs w:val="18"/>
                <w:lang w:eastAsia="sk-SK"/>
              </w:rPr>
              <w:t>anipulačné poplatky pri správe štátneho dlhu</w:t>
            </w:r>
          </w:p>
        </w:tc>
        <w:tc>
          <w:tcPr>
            <w:tcW w:w="524" w:type="pct"/>
            <w:tcBorders>
              <w:top w:val="nil"/>
              <w:left w:val="nil"/>
              <w:bottom w:val="single" w:sz="4" w:space="0" w:color="auto"/>
              <w:right w:val="nil"/>
            </w:tcBorders>
            <w:noWrap/>
            <w:vAlign w:val="center"/>
            <w:hideMark/>
          </w:tcPr>
          <w:p w14:paraId="157A6E9E"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258</w:t>
            </w:r>
          </w:p>
        </w:tc>
        <w:tc>
          <w:tcPr>
            <w:tcW w:w="524" w:type="pct"/>
            <w:tcBorders>
              <w:top w:val="nil"/>
              <w:left w:val="nil"/>
              <w:bottom w:val="single" w:sz="4" w:space="0" w:color="auto"/>
              <w:right w:val="nil"/>
            </w:tcBorders>
            <w:noWrap/>
            <w:vAlign w:val="center"/>
          </w:tcPr>
          <w:p w14:paraId="14F24E43" w14:textId="77777777" w:rsidR="00F67586" w:rsidRPr="00D0395E" w:rsidRDefault="00F67586" w:rsidP="00BA6BE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200</w:t>
            </w:r>
          </w:p>
        </w:tc>
        <w:tc>
          <w:tcPr>
            <w:tcW w:w="524" w:type="pct"/>
            <w:tcBorders>
              <w:top w:val="nil"/>
              <w:left w:val="nil"/>
              <w:bottom w:val="single" w:sz="4" w:space="0" w:color="auto"/>
              <w:right w:val="nil"/>
            </w:tcBorders>
            <w:noWrap/>
            <w:vAlign w:val="center"/>
          </w:tcPr>
          <w:p w14:paraId="2EB10FEC"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200</w:t>
            </w:r>
          </w:p>
        </w:tc>
        <w:tc>
          <w:tcPr>
            <w:tcW w:w="524" w:type="pct"/>
            <w:tcBorders>
              <w:top w:val="nil"/>
              <w:left w:val="nil"/>
              <w:bottom w:val="single" w:sz="4" w:space="0" w:color="auto"/>
              <w:right w:val="nil"/>
            </w:tcBorders>
            <w:noWrap/>
            <w:vAlign w:val="center"/>
          </w:tcPr>
          <w:p w14:paraId="59BC9152"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165</w:t>
            </w:r>
          </w:p>
        </w:tc>
        <w:tc>
          <w:tcPr>
            <w:tcW w:w="507" w:type="pct"/>
            <w:tcBorders>
              <w:top w:val="nil"/>
              <w:left w:val="nil"/>
              <w:bottom w:val="single" w:sz="4" w:space="0" w:color="auto"/>
              <w:right w:val="nil"/>
            </w:tcBorders>
            <w:noWrap/>
            <w:vAlign w:val="center"/>
          </w:tcPr>
          <w:p w14:paraId="321FE6A8" w14:textId="77777777" w:rsidR="00F67586" w:rsidRPr="00D0395E" w:rsidRDefault="00F67586" w:rsidP="00BA6BE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-35</w:t>
            </w:r>
          </w:p>
        </w:tc>
      </w:tr>
      <w:tr w:rsidR="00F67586" w:rsidRPr="00D0395E" w14:paraId="3F535447" w14:textId="77777777" w:rsidTr="00CF4CEF">
        <w:trPr>
          <w:trHeight w:val="353"/>
        </w:trPr>
        <w:tc>
          <w:tcPr>
            <w:tcW w:w="2399" w:type="pct"/>
            <w:tcBorders>
              <w:top w:val="single" w:sz="4" w:space="0" w:color="auto"/>
              <w:left w:val="nil"/>
              <w:bottom w:val="single" w:sz="4" w:space="0" w:color="auto"/>
              <w:right w:val="nil"/>
            </w:tcBorders>
            <w:vAlign w:val="center"/>
            <w:hideMark/>
          </w:tcPr>
          <w:p w14:paraId="1FD2D424" w14:textId="77777777" w:rsidR="00F67586" w:rsidRPr="00D0395E" w:rsidRDefault="00F67586" w:rsidP="00BA6BE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524" w:type="pct"/>
            <w:tcBorders>
              <w:top w:val="single" w:sz="4" w:space="0" w:color="auto"/>
              <w:left w:val="nil"/>
              <w:bottom w:val="single" w:sz="4" w:space="0" w:color="auto"/>
              <w:right w:val="nil"/>
            </w:tcBorders>
            <w:noWrap/>
            <w:vAlign w:val="center"/>
            <w:hideMark/>
          </w:tcPr>
          <w:p w14:paraId="7621325B" w14:textId="77777777" w:rsidR="00F67586" w:rsidRPr="00D0395E" w:rsidRDefault="00F67586" w:rsidP="00BA6BE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26 649 828</w:t>
            </w:r>
          </w:p>
        </w:tc>
        <w:tc>
          <w:tcPr>
            <w:tcW w:w="524" w:type="pct"/>
            <w:tcBorders>
              <w:top w:val="single" w:sz="4" w:space="0" w:color="auto"/>
              <w:left w:val="nil"/>
              <w:bottom w:val="single" w:sz="4" w:space="0" w:color="auto"/>
              <w:right w:val="nil"/>
            </w:tcBorders>
            <w:noWrap/>
            <w:vAlign w:val="center"/>
          </w:tcPr>
          <w:p w14:paraId="7295BF9F" w14:textId="77777777" w:rsidR="00F67586" w:rsidRPr="00D0395E" w:rsidRDefault="00F67586" w:rsidP="00BA6BE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26 985 766</w:t>
            </w:r>
          </w:p>
        </w:tc>
        <w:tc>
          <w:tcPr>
            <w:tcW w:w="524" w:type="pct"/>
            <w:tcBorders>
              <w:top w:val="single" w:sz="4" w:space="0" w:color="auto"/>
              <w:left w:val="nil"/>
              <w:bottom w:val="single" w:sz="4" w:space="0" w:color="auto"/>
              <w:right w:val="nil"/>
            </w:tcBorders>
            <w:noWrap/>
            <w:vAlign w:val="center"/>
          </w:tcPr>
          <w:p w14:paraId="75E52C9F" w14:textId="77777777" w:rsidR="00F67586" w:rsidRPr="00D0395E" w:rsidRDefault="00F67586" w:rsidP="00BA6BE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30 182 420</w:t>
            </w:r>
          </w:p>
        </w:tc>
        <w:tc>
          <w:tcPr>
            <w:tcW w:w="524" w:type="pct"/>
            <w:tcBorders>
              <w:top w:val="single" w:sz="4" w:space="0" w:color="auto"/>
              <w:left w:val="nil"/>
              <w:bottom w:val="single" w:sz="4" w:space="0" w:color="auto"/>
              <w:right w:val="nil"/>
            </w:tcBorders>
            <w:noWrap/>
            <w:vAlign w:val="center"/>
          </w:tcPr>
          <w:p w14:paraId="73EDC552" w14:textId="77777777" w:rsidR="00F67586" w:rsidRPr="00D0395E" w:rsidRDefault="00F67586" w:rsidP="00BA6BE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28 455 594</w:t>
            </w:r>
          </w:p>
        </w:tc>
        <w:tc>
          <w:tcPr>
            <w:tcW w:w="507" w:type="pct"/>
            <w:tcBorders>
              <w:top w:val="single" w:sz="4" w:space="0" w:color="auto"/>
              <w:left w:val="nil"/>
              <w:bottom w:val="single" w:sz="4" w:space="0" w:color="auto"/>
              <w:right w:val="nil"/>
            </w:tcBorders>
            <w:noWrap/>
            <w:vAlign w:val="center"/>
          </w:tcPr>
          <w:p w14:paraId="03B7DAD8" w14:textId="77777777" w:rsidR="00F67586" w:rsidRPr="00D0395E" w:rsidRDefault="00F67586" w:rsidP="00BA6BE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-1 726 826</w:t>
            </w:r>
          </w:p>
        </w:tc>
      </w:tr>
    </w:tbl>
    <w:p w14:paraId="1F3D756E" w14:textId="0727BDD7" w:rsidR="007F5BE3" w:rsidRPr="00F67586" w:rsidRDefault="004942CF" w:rsidP="004942CF">
      <w:pPr>
        <w:tabs>
          <w:tab w:val="right" w:pos="9070"/>
        </w:tabs>
        <w:spacing w:line="240" w:lineRule="auto"/>
        <w:jc w:val="both"/>
        <w:rPr>
          <w:sz w:val="18"/>
          <w:szCs w:val="18"/>
        </w:rPr>
      </w:pPr>
      <w:r w:rsidRPr="00F67586">
        <w:rPr>
          <w:sz w:val="18"/>
          <w:szCs w:val="18"/>
        </w:rPr>
        <w:tab/>
      </w:r>
      <w:r w:rsidR="007F5BE3" w:rsidRPr="00F67586">
        <w:rPr>
          <w:sz w:val="18"/>
          <w:szCs w:val="18"/>
        </w:rPr>
        <w:t>Zdroj: MF SR</w:t>
      </w:r>
    </w:p>
    <w:p w14:paraId="1C6211B6" w14:textId="77777777" w:rsidR="00D5791A" w:rsidRPr="005E1D4F" w:rsidRDefault="00D5791A" w:rsidP="00D5791A">
      <w:pPr>
        <w:spacing w:line="240" w:lineRule="auto"/>
        <w:jc w:val="both"/>
        <w:rPr>
          <w:bCs/>
          <w:color w:val="5B9BD5" w:themeColor="accent1"/>
          <w:szCs w:val="24"/>
        </w:rPr>
      </w:pPr>
    </w:p>
    <w:p w14:paraId="41987DBE" w14:textId="33B1DB13" w:rsidR="00694B3B" w:rsidRDefault="00694B3B" w:rsidP="00D5791A">
      <w:pPr>
        <w:spacing w:line="240" w:lineRule="auto"/>
        <w:jc w:val="both"/>
        <w:rPr>
          <w:rFonts w:eastAsia="Calibri" w:cs="Times New Roman"/>
          <w:szCs w:val="24"/>
        </w:rPr>
      </w:pPr>
      <w:r>
        <w:rPr>
          <w:rFonts w:eastAsia="Calibri" w:cs="Times New Roman"/>
          <w:szCs w:val="24"/>
        </w:rPr>
        <w:t>Pri medziročnom porovnaní schváleného rozpočtu, boli pre rok 2025 rozpočtované vyššie najmä transfery (1</w:t>
      </w:r>
      <w:r w:rsidR="00502A9F">
        <w:rPr>
          <w:rFonts w:eastAsia="Calibri" w:cs="Times New Roman"/>
          <w:szCs w:val="24"/>
        </w:rPr>
        <w:t> </w:t>
      </w:r>
      <w:r>
        <w:rPr>
          <w:rFonts w:eastAsia="Calibri" w:cs="Times New Roman"/>
          <w:szCs w:val="24"/>
        </w:rPr>
        <w:t>896</w:t>
      </w:r>
      <w:r w:rsidR="00502A9F">
        <w:rPr>
          <w:rFonts w:eastAsia="Calibri" w:cs="Times New Roman"/>
          <w:szCs w:val="24"/>
        </w:rPr>
        <w:t> </w:t>
      </w:r>
      <w:r>
        <w:rPr>
          <w:rFonts w:eastAsia="Calibri" w:cs="Times New Roman"/>
          <w:szCs w:val="24"/>
        </w:rPr>
        <w:t>277</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ktorých krytie bolo rozpočtované najmä na</w:t>
      </w:r>
      <w:r w:rsidR="00502A9F">
        <w:rPr>
          <w:rFonts w:eastAsia="Calibri" w:cs="Times New Roman"/>
          <w:szCs w:val="24"/>
        </w:rPr>
        <w:t> </w:t>
      </w:r>
      <w:r>
        <w:rPr>
          <w:rFonts w:eastAsia="Calibri" w:cs="Times New Roman"/>
          <w:szCs w:val="24"/>
        </w:rPr>
        <w:t>zdroji ŠR (kód zdroja 111, viac oproti rozpočtu 2024 o 2 284</w:t>
      </w:r>
      <w:r w:rsidR="00502A9F">
        <w:rPr>
          <w:rFonts w:eastAsia="Calibri" w:cs="Times New Roman"/>
          <w:szCs w:val="24"/>
        </w:rPr>
        <w:t> </w:t>
      </w:r>
      <w:r>
        <w:rPr>
          <w:rFonts w:eastAsia="Calibri" w:cs="Times New Roman"/>
          <w:szCs w:val="24"/>
        </w:rPr>
        <w:t>576</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Z týchto transferov boli vyššie rozpočtované transfery Sociálnej poisťovne, o 1 165</w:t>
      </w:r>
      <w:r w:rsidR="00502A9F">
        <w:rPr>
          <w:rFonts w:eastAsia="Calibri" w:cs="Times New Roman"/>
          <w:szCs w:val="24"/>
        </w:rPr>
        <w:t> </w:t>
      </w:r>
      <w:r>
        <w:rPr>
          <w:rFonts w:eastAsia="Calibri" w:cs="Times New Roman"/>
          <w:szCs w:val="24"/>
        </w:rPr>
        <w:t>130</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na krytie úrokov štátneho dlhu o 1</w:t>
      </w:r>
      <w:r w:rsidR="00502A9F">
        <w:rPr>
          <w:rFonts w:eastAsia="Calibri" w:cs="Times New Roman"/>
          <w:szCs w:val="24"/>
        </w:rPr>
        <w:t> </w:t>
      </w:r>
      <w:r>
        <w:rPr>
          <w:rFonts w:eastAsia="Calibri" w:cs="Times New Roman"/>
          <w:szCs w:val="24"/>
        </w:rPr>
        <w:t>033</w:t>
      </w:r>
      <w:r w:rsidR="00502A9F">
        <w:rPr>
          <w:rFonts w:eastAsia="Calibri" w:cs="Times New Roman"/>
          <w:szCs w:val="24"/>
        </w:rPr>
        <w:t> </w:t>
      </w:r>
      <w:r>
        <w:rPr>
          <w:rFonts w:eastAsia="Calibri" w:cs="Times New Roman"/>
          <w:szCs w:val="24"/>
        </w:rPr>
        <w:t>679</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obci na úhradu preneseného výkonu štátnej správy o 654</w:t>
      </w:r>
      <w:r w:rsidR="00502A9F">
        <w:rPr>
          <w:rFonts w:eastAsia="Calibri" w:cs="Times New Roman"/>
          <w:szCs w:val="24"/>
        </w:rPr>
        <w:t> </w:t>
      </w:r>
      <w:r>
        <w:rPr>
          <w:rFonts w:eastAsia="Calibri" w:cs="Times New Roman"/>
          <w:szCs w:val="24"/>
        </w:rPr>
        <w:t>887</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na platené poistné za skupiny osôb ustanovených zákonom, o 248</w:t>
      </w:r>
      <w:r w:rsidR="00502A9F">
        <w:rPr>
          <w:rFonts w:eastAsia="Calibri" w:cs="Times New Roman"/>
          <w:szCs w:val="24"/>
        </w:rPr>
        <w:t> </w:t>
      </w:r>
      <w:r>
        <w:rPr>
          <w:rFonts w:eastAsia="Calibri" w:cs="Times New Roman"/>
          <w:szCs w:val="24"/>
        </w:rPr>
        <w:t>926</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a na peňažné príspevky a kompenzácie o 225</w:t>
      </w:r>
      <w:r w:rsidR="00502A9F">
        <w:rPr>
          <w:rFonts w:eastAsia="Calibri" w:cs="Times New Roman"/>
          <w:szCs w:val="24"/>
        </w:rPr>
        <w:t> </w:t>
      </w:r>
      <w:r>
        <w:rPr>
          <w:rFonts w:eastAsia="Calibri" w:cs="Times New Roman"/>
          <w:szCs w:val="24"/>
        </w:rPr>
        <w:t>546</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Tento rast bol na druhej strane kompenzovaný poklesom niektorých transferov, vo významnej čiastke napr. transfery ostatným nefinančným subjektom o 939</w:t>
      </w:r>
      <w:r w:rsidR="00502A9F">
        <w:rPr>
          <w:rFonts w:eastAsia="Calibri" w:cs="Times New Roman"/>
          <w:szCs w:val="24"/>
        </w:rPr>
        <w:t> </w:t>
      </w:r>
      <w:r>
        <w:rPr>
          <w:rFonts w:eastAsia="Calibri" w:cs="Times New Roman"/>
          <w:szCs w:val="24"/>
        </w:rPr>
        <w:t>918</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na dôchodkové dávky zo starobného poistenia o 822</w:t>
      </w:r>
      <w:r w:rsidR="00502A9F">
        <w:rPr>
          <w:rFonts w:eastAsia="Calibri" w:cs="Times New Roman"/>
          <w:szCs w:val="24"/>
        </w:rPr>
        <w:t> </w:t>
      </w:r>
      <w:r>
        <w:rPr>
          <w:rFonts w:eastAsia="Calibri" w:cs="Times New Roman"/>
          <w:szCs w:val="24"/>
        </w:rPr>
        <w:t>904</w:t>
      </w:r>
      <w:r w:rsidR="00502A9F">
        <w:rPr>
          <w:rFonts w:eastAsia="Calibri" w:cs="Times New Roman"/>
          <w:szCs w:val="24"/>
        </w:rPr>
        <w:t> </w:t>
      </w:r>
      <w:r>
        <w:rPr>
          <w:rFonts w:eastAsia="Calibri" w:cs="Times New Roman"/>
          <w:szCs w:val="24"/>
        </w:rPr>
        <w:t>tis.</w:t>
      </w:r>
      <w:r w:rsidR="00502A9F">
        <w:rPr>
          <w:rFonts w:eastAsia="Calibri" w:cs="Times New Roman"/>
          <w:szCs w:val="24"/>
        </w:rPr>
        <w:t> </w:t>
      </w:r>
      <w:r>
        <w:rPr>
          <w:rFonts w:eastAsia="Calibri" w:cs="Times New Roman"/>
          <w:szCs w:val="24"/>
        </w:rPr>
        <w:t>eur (z dôvodu výplaty 13.</w:t>
      </w:r>
      <w:r w:rsidR="00502A9F">
        <w:rPr>
          <w:rFonts w:eastAsia="Calibri" w:cs="Times New Roman"/>
          <w:szCs w:val="24"/>
        </w:rPr>
        <w:t> </w:t>
      </w:r>
      <w:r>
        <w:rPr>
          <w:rFonts w:eastAsia="Calibri" w:cs="Times New Roman"/>
          <w:szCs w:val="24"/>
        </w:rPr>
        <w:t>dôchodku už z rozpočtu Sociálnej poisťovne, pričom v roku 2024 bola táto dávka rozpočtovaná v štátnom rozpočte) a na dávku v hmotnej núdzi a príspevky k dávk</w:t>
      </w:r>
      <w:r w:rsidR="00C5018C">
        <w:rPr>
          <w:rFonts w:eastAsia="Calibri" w:cs="Times New Roman"/>
          <w:szCs w:val="24"/>
        </w:rPr>
        <w:t>e</w:t>
      </w:r>
      <w:r>
        <w:rPr>
          <w:rFonts w:eastAsia="Calibri" w:cs="Times New Roman"/>
          <w:szCs w:val="24"/>
        </w:rPr>
        <w:t xml:space="preserve"> o 121</w:t>
      </w:r>
      <w:r w:rsidR="00C5018C">
        <w:rPr>
          <w:rFonts w:eastAsia="Calibri" w:cs="Times New Roman"/>
          <w:szCs w:val="24"/>
        </w:rPr>
        <w:t> </w:t>
      </w:r>
      <w:r>
        <w:rPr>
          <w:rFonts w:eastAsia="Calibri" w:cs="Times New Roman"/>
          <w:szCs w:val="24"/>
        </w:rPr>
        <w:t>288</w:t>
      </w:r>
      <w:r w:rsidR="00C5018C">
        <w:rPr>
          <w:rFonts w:eastAsia="Calibri" w:cs="Times New Roman"/>
          <w:szCs w:val="24"/>
        </w:rPr>
        <w:t> </w:t>
      </w:r>
      <w:r>
        <w:rPr>
          <w:rFonts w:eastAsia="Calibri" w:cs="Times New Roman"/>
          <w:szCs w:val="24"/>
        </w:rPr>
        <w:t>tis.</w:t>
      </w:r>
      <w:r w:rsidR="00C5018C">
        <w:rPr>
          <w:rFonts w:eastAsia="Calibri" w:cs="Times New Roman"/>
          <w:szCs w:val="24"/>
        </w:rPr>
        <w:t> </w:t>
      </w:r>
      <w:r>
        <w:rPr>
          <w:rFonts w:eastAsia="Calibri" w:cs="Times New Roman"/>
          <w:szCs w:val="24"/>
        </w:rPr>
        <w:t>eur.</w:t>
      </w:r>
    </w:p>
    <w:p w14:paraId="450ADACF" w14:textId="77777777" w:rsidR="00694B3B" w:rsidRDefault="00694B3B" w:rsidP="00D5791A">
      <w:pPr>
        <w:spacing w:line="240" w:lineRule="auto"/>
        <w:jc w:val="both"/>
        <w:rPr>
          <w:szCs w:val="24"/>
        </w:rPr>
      </w:pPr>
    </w:p>
    <w:p w14:paraId="121CB7BF" w14:textId="492E2532" w:rsidR="00694B3B" w:rsidRPr="002F394B" w:rsidRDefault="00694B3B" w:rsidP="002F394B">
      <w:pPr>
        <w:spacing w:line="240" w:lineRule="auto"/>
        <w:jc w:val="both"/>
        <w:rPr>
          <w:rFonts w:cs="Times New Roman"/>
          <w:szCs w:val="24"/>
        </w:rPr>
      </w:pPr>
      <w:r w:rsidRPr="00E541E5">
        <w:rPr>
          <w:szCs w:val="24"/>
        </w:rPr>
        <w:t xml:space="preserve">Medziročný nárast výdavkov na mzdy, platy, služobné príjmy a OOV zamestnancov </w:t>
      </w:r>
      <w:r w:rsidRPr="002F394B">
        <w:rPr>
          <w:rFonts w:cs="Times New Roman"/>
          <w:szCs w:val="24"/>
        </w:rPr>
        <w:t>rozpočtových organizácií kapitol štátneho rozpočtu najvýraznejšie ovplyvnilo:</w:t>
      </w:r>
    </w:p>
    <w:p w14:paraId="72C1C611" w14:textId="30939964" w:rsidR="00694B3B" w:rsidRPr="002F394B" w:rsidRDefault="00694B3B" w:rsidP="008B1431">
      <w:pPr>
        <w:pStyle w:val="Odsekzoznamu"/>
        <w:numPr>
          <w:ilvl w:val="0"/>
          <w:numId w:val="10"/>
        </w:numPr>
        <w:jc w:val="both"/>
        <w:rPr>
          <w:rFonts w:ascii="Times New Roman" w:hAnsi="Times New Roman"/>
          <w:szCs w:val="24"/>
        </w:rPr>
      </w:pPr>
      <w:r w:rsidRPr="002F394B">
        <w:rPr>
          <w:rFonts w:ascii="Times New Roman" w:hAnsi="Times New Roman"/>
          <w:szCs w:val="24"/>
        </w:rPr>
        <w:lastRenderedPageBreak/>
        <w:t>zvýšenie výdavkov na zabezpečenie stabilizácie personálneho obsadenia súdov v</w:t>
      </w:r>
      <w:r w:rsidR="002F394B">
        <w:rPr>
          <w:rFonts w:ascii="Times New Roman" w:hAnsi="Times New Roman"/>
          <w:szCs w:val="24"/>
        </w:rPr>
        <w:t> </w:t>
      </w:r>
      <w:r w:rsidRPr="002F394B">
        <w:rPr>
          <w:rFonts w:ascii="Times New Roman" w:hAnsi="Times New Roman"/>
          <w:szCs w:val="24"/>
        </w:rPr>
        <w:t>sume 23</w:t>
      </w:r>
      <w:r w:rsidR="002F394B">
        <w:rPr>
          <w:rFonts w:ascii="Times New Roman" w:hAnsi="Times New Roman"/>
          <w:szCs w:val="24"/>
        </w:rPr>
        <w:t> </w:t>
      </w:r>
      <w:r w:rsidRPr="002F394B">
        <w:rPr>
          <w:rFonts w:ascii="Times New Roman" w:hAnsi="Times New Roman"/>
          <w:szCs w:val="24"/>
        </w:rPr>
        <w:t>982</w:t>
      </w:r>
      <w:r w:rsidR="002F394B">
        <w:rPr>
          <w:rFonts w:ascii="Times New Roman" w:hAnsi="Times New Roman"/>
          <w:szCs w:val="24"/>
        </w:rPr>
        <w:t> </w:t>
      </w:r>
      <w:r w:rsidRPr="002F394B">
        <w:rPr>
          <w:rFonts w:ascii="Times New Roman" w:hAnsi="Times New Roman"/>
          <w:szCs w:val="24"/>
        </w:rPr>
        <w:t>tis.</w:t>
      </w:r>
      <w:r w:rsidR="002F394B">
        <w:rPr>
          <w:rFonts w:ascii="Times New Roman" w:hAnsi="Times New Roman"/>
          <w:szCs w:val="24"/>
        </w:rPr>
        <w:t> </w:t>
      </w:r>
      <w:r w:rsidRPr="002F394B">
        <w:rPr>
          <w:rFonts w:ascii="Times New Roman" w:hAnsi="Times New Roman"/>
          <w:szCs w:val="24"/>
        </w:rPr>
        <w:t>eur v kapitole Ministerstvo spravodlivosti SR,</w:t>
      </w:r>
    </w:p>
    <w:p w14:paraId="0ED87669" w14:textId="02251A9D" w:rsidR="00694B3B" w:rsidRPr="002F394B" w:rsidRDefault="00694B3B" w:rsidP="008B1431">
      <w:pPr>
        <w:pStyle w:val="Odsekzoznamu"/>
        <w:numPr>
          <w:ilvl w:val="0"/>
          <w:numId w:val="10"/>
        </w:numPr>
        <w:jc w:val="both"/>
        <w:rPr>
          <w:rFonts w:ascii="Times New Roman" w:hAnsi="Times New Roman"/>
          <w:szCs w:val="24"/>
        </w:rPr>
      </w:pPr>
      <w:r w:rsidRPr="002F394B">
        <w:rPr>
          <w:rFonts w:ascii="Times New Roman" w:hAnsi="Times New Roman"/>
          <w:szCs w:val="24"/>
        </w:rPr>
        <w:t>vznik novej kapitoly štátneho rozpočtu Ministerstvo cestovného ruchu a športu SR v</w:t>
      </w:r>
      <w:r w:rsidR="002F394B">
        <w:rPr>
          <w:rFonts w:ascii="Times New Roman" w:hAnsi="Times New Roman"/>
          <w:szCs w:val="24"/>
        </w:rPr>
        <w:t> </w:t>
      </w:r>
      <w:r w:rsidRPr="002F394B">
        <w:rPr>
          <w:rFonts w:ascii="Times New Roman" w:hAnsi="Times New Roman"/>
          <w:szCs w:val="24"/>
        </w:rPr>
        <w:t>sume 6</w:t>
      </w:r>
      <w:r w:rsidR="002F394B">
        <w:rPr>
          <w:rFonts w:ascii="Times New Roman" w:hAnsi="Times New Roman"/>
          <w:szCs w:val="24"/>
        </w:rPr>
        <w:t> </w:t>
      </w:r>
      <w:r w:rsidRPr="002F394B">
        <w:rPr>
          <w:rFonts w:ascii="Times New Roman" w:hAnsi="Times New Roman"/>
          <w:szCs w:val="24"/>
        </w:rPr>
        <w:t>062</w:t>
      </w:r>
      <w:r w:rsidR="002F394B">
        <w:rPr>
          <w:rFonts w:ascii="Times New Roman" w:hAnsi="Times New Roman"/>
          <w:szCs w:val="24"/>
        </w:rPr>
        <w:t> </w:t>
      </w:r>
      <w:r w:rsidRPr="002F394B">
        <w:rPr>
          <w:rFonts w:ascii="Times New Roman" w:hAnsi="Times New Roman"/>
          <w:szCs w:val="24"/>
        </w:rPr>
        <w:t>tis.</w:t>
      </w:r>
      <w:r w:rsidR="002F394B">
        <w:rPr>
          <w:rFonts w:ascii="Times New Roman" w:hAnsi="Times New Roman"/>
          <w:szCs w:val="24"/>
        </w:rPr>
        <w:t> </w:t>
      </w:r>
      <w:r w:rsidRPr="002F394B">
        <w:rPr>
          <w:rFonts w:ascii="Times New Roman" w:hAnsi="Times New Roman"/>
          <w:szCs w:val="24"/>
        </w:rPr>
        <w:t>eur nad rámec delimitácií z ostatných ministerstiev,</w:t>
      </w:r>
    </w:p>
    <w:p w14:paraId="214353EB" w14:textId="15820884" w:rsidR="00694B3B" w:rsidRPr="002F394B" w:rsidRDefault="00694B3B" w:rsidP="008B1431">
      <w:pPr>
        <w:pStyle w:val="Odsekzoznamu"/>
        <w:numPr>
          <w:ilvl w:val="0"/>
          <w:numId w:val="10"/>
        </w:numPr>
        <w:jc w:val="both"/>
        <w:rPr>
          <w:rFonts w:ascii="Times New Roman" w:hAnsi="Times New Roman"/>
          <w:szCs w:val="24"/>
        </w:rPr>
      </w:pPr>
      <w:r w:rsidRPr="002F394B">
        <w:rPr>
          <w:rFonts w:ascii="Times New Roman" w:hAnsi="Times New Roman"/>
          <w:szCs w:val="24"/>
        </w:rPr>
        <w:t>posilnenie personálnych kapacít Pôdohospodárskej platobnej agentúry na</w:t>
      </w:r>
      <w:r w:rsidR="002F394B">
        <w:rPr>
          <w:rFonts w:ascii="Times New Roman" w:hAnsi="Times New Roman"/>
          <w:szCs w:val="24"/>
        </w:rPr>
        <w:t xml:space="preserve"> </w:t>
      </w:r>
      <w:r w:rsidRPr="002F394B">
        <w:rPr>
          <w:rFonts w:ascii="Times New Roman" w:hAnsi="Times New Roman"/>
          <w:szCs w:val="24"/>
        </w:rPr>
        <w:t>zabezpečenie uznesenia vlády SR č.</w:t>
      </w:r>
      <w:r w:rsidR="002F394B">
        <w:rPr>
          <w:rFonts w:ascii="Times New Roman" w:hAnsi="Times New Roman"/>
          <w:szCs w:val="24"/>
        </w:rPr>
        <w:t> </w:t>
      </w:r>
      <w:r w:rsidRPr="002F394B">
        <w:rPr>
          <w:rFonts w:ascii="Times New Roman" w:hAnsi="Times New Roman"/>
          <w:szCs w:val="24"/>
        </w:rPr>
        <w:t>245/2024 v sume 2</w:t>
      </w:r>
      <w:r w:rsidR="002F394B">
        <w:rPr>
          <w:rFonts w:ascii="Times New Roman" w:hAnsi="Times New Roman"/>
          <w:szCs w:val="24"/>
        </w:rPr>
        <w:t> </w:t>
      </w:r>
      <w:r w:rsidRPr="002F394B">
        <w:rPr>
          <w:rFonts w:ascii="Times New Roman" w:hAnsi="Times New Roman"/>
          <w:szCs w:val="24"/>
        </w:rPr>
        <w:t>184</w:t>
      </w:r>
      <w:r w:rsidR="002F394B">
        <w:rPr>
          <w:rFonts w:ascii="Times New Roman" w:hAnsi="Times New Roman"/>
          <w:szCs w:val="24"/>
        </w:rPr>
        <w:t> </w:t>
      </w:r>
      <w:r w:rsidRPr="002F394B">
        <w:rPr>
          <w:rFonts w:ascii="Times New Roman" w:hAnsi="Times New Roman"/>
          <w:szCs w:val="24"/>
        </w:rPr>
        <w:t>tis.</w:t>
      </w:r>
      <w:r w:rsidR="002F394B">
        <w:rPr>
          <w:rFonts w:ascii="Times New Roman" w:hAnsi="Times New Roman"/>
          <w:szCs w:val="24"/>
        </w:rPr>
        <w:t> </w:t>
      </w:r>
      <w:r w:rsidRPr="002F394B">
        <w:rPr>
          <w:rFonts w:ascii="Times New Roman" w:hAnsi="Times New Roman"/>
          <w:szCs w:val="24"/>
        </w:rPr>
        <w:t>eur v kapitole Ministerstvo pôdohospodárstva a rozvoja vidieka SR,</w:t>
      </w:r>
    </w:p>
    <w:p w14:paraId="2EF71392" w14:textId="4B4EB0C8" w:rsidR="00694B3B" w:rsidRPr="002F394B" w:rsidRDefault="00694B3B" w:rsidP="008B1431">
      <w:pPr>
        <w:pStyle w:val="Odsekzoznamu"/>
        <w:numPr>
          <w:ilvl w:val="0"/>
          <w:numId w:val="10"/>
        </w:numPr>
        <w:jc w:val="both"/>
        <w:rPr>
          <w:rFonts w:ascii="Times New Roman" w:hAnsi="Times New Roman"/>
          <w:szCs w:val="24"/>
        </w:rPr>
      </w:pPr>
      <w:r w:rsidRPr="002F394B">
        <w:rPr>
          <w:rFonts w:ascii="Times New Roman" w:hAnsi="Times New Roman"/>
          <w:szCs w:val="24"/>
        </w:rPr>
        <w:t>potreba zabezpečenia vplyvov schválených legislatívnych zmien a potreba zlepšenia odmeňovania zamestnancov niektorých kapitol štátneho rozpočtu v sume 8</w:t>
      </w:r>
      <w:r w:rsidR="002F394B">
        <w:rPr>
          <w:rFonts w:ascii="Times New Roman" w:hAnsi="Times New Roman"/>
          <w:szCs w:val="24"/>
        </w:rPr>
        <w:t> </w:t>
      </w:r>
      <w:r w:rsidRPr="002F394B">
        <w:rPr>
          <w:rFonts w:ascii="Times New Roman" w:hAnsi="Times New Roman"/>
          <w:szCs w:val="24"/>
        </w:rPr>
        <w:t>565</w:t>
      </w:r>
      <w:r w:rsidR="002F394B">
        <w:rPr>
          <w:rFonts w:ascii="Times New Roman" w:hAnsi="Times New Roman"/>
          <w:szCs w:val="24"/>
        </w:rPr>
        <w:t> </w:t>
      </w:r>
      <w:r w:rsidRPr="002F394B">
        <w:rPr>
          <w:rFonts w:ascii="Times New Roman" w:hAnsi="Times New Roman"/>
          <w:szCs w:val="24"/>
        </w:rPr>
        <w:t>tis.</w:t>
      </w:r>
      <w:r w:rsidR="002F394B">
        <w:rPr>
          <w:rFonts w:ascii="Times New Roman" w:hAnsi="Times New Roman"/>
          <w:szCs w:val="24"/>
        </w:rPr>
        <w:t> </w:t>
      </w:r>
      <w:r w:rsidRPr="002F394B">
        <w:rPr>
          <w:rFonts w:ascii="Times New Roman" w:hAnsi="Times New Roman"/>
          <w:szCs w:val="24"/>
        </w:rPr>
        <w:t>eur (najmä Generálna prokuratúra SR v súvislosti so zrušením Úradu špeciálnej prokuratúry, Rada pre mediálne služby v súvislosti s novelou zákona o mediálnych službách, Ministerstvo práce, sociálnych vecí a rodiny SR v súvislosti s novým zákonom o inšpekcii v sociálnych službách, Ministerstvo dopravy SR v súvislosti so</w:t>
      </w:r>
      <w:r w:rsidR="002F394B">
        <w:rPr>
          <w:rFonts w:ascii="Times New Roman" w:hAnsi="Times New Roman"/>
          <w:szCs w:val="24"/>
        </w:rPr>
        <w:t> </w:t>
      </w:r>
      <w:r w:rsidRPr="002F394B">
        <w:rPr>
          <w:rFonts w:ascii="Times New Roman" w:hAnsi="Times New Roman"/>
          <w:szCs w:val="24"/>
        </w:rPr>
        <w:t>zabezpečením primeraného odmeňovania zamestnancov Slovenskej správy ciest, Štatistický úrad SR v súvislosti s dofinancovaním osobných výdavkov zamestnancov, Ministerstvo hospodárstva SR v súvislosti s agendou dotácií na kompenzácie zvýšených cien energií).</w:t>
      </w:r>
    </w:p>
    <w:p w14:paraId="57B6A087" w14:textId="77777777" w:rsidR="00694B3B" w:rsidRDefault="00694B3B" w:rsidP="00D5791A">
      <w:pPr>
        <w:spacing w:line="240" w:lineRule="auto"/>
        <w:jc w:val="both"/>
        <w:rPr>
          <w:szCs w:val="24"/>
        </w:rPr>
      </w:pPr>
    </w:p>
    <w:p w14:paraId="143948BE" w14:textId="34FFAE10" w:rsidR="00694B3B" w:rsidRPr="00563B32" w:rsidRDefault="00694B3B" w:rsidP="00D5791A">
      <w:pPr>
        <w:spacing w:line="240" w:lineRule="auto"/>
        <w:jc w:val="both"/>
        <w:rPr>
          <w:szCs w:val="24"/>
          <w:u w:val="single"/>
        </w:rPr>
      </w:pPr>
      <w:r w:rsidRPr="00563B32">
        <w:rPr>
          <w:szCs w:val="24"/>
          <w:u w:val="single"/>
        </w:rPr>
        <w:t>V roku 2025 boli kapitolám štátneho rozpočtu rozpočtovými opatreniami zvýšené limity mzdových výdavkov:</w:t>
      </w:r>
    </w:p>
    <w:p w14:paraId="74A85180" w14:textId="5A875D74" w:rsidR="00694B3B" w:rsidRPr="004C2EA9" w:rsidRDefault="00694B3B" w:rsidP="008B1431">
      <w:pPr>
        <w:pStyle w:val="Odsekzoznamu"/>
        <w:numPr>
          <w:ilvl w:val="0"/>
          <w:numId w:val="11"/>
        </w:numPr>
        <w:jc w:val="both"/>
        <w:rPr>
          <w:rFonts w:ascii="Times New Roman" w:hAnsi="Times New Roman"/>
          <w:szCs w:val="24"/>
        </w:rPr>
      </w:pPr>
      <w:r w:rsidRPr="004C2EA9">
        <w:rPr>
          <w:rFonts w:ascii="Times New Roman" w:hAnsi="Times New Roman"/>
          <w:szCs w:val="24"/>
        </w:rPr>
        <w:t>na vyplatenie 800</w:t>
      </w:r>
      <w:r w:rsidR="00054358">
        <w:rPr>
          <w:rFonts w:ascii="Times New Roman" w:hAnsi="Times New Roman"/>
          <w:szCs w:val="24"/>
        </w:rPr>
        <w:t> </w:t>
      </w:r>
      <w:r w:rsidRPr="004C2EA9">
        <w:rPr>
          <w:rFonts w:ascii="Times New Roman" w:hAnsi="Times New Roman"/>
          <w:szCs w:val="24"/>
        </w:rPr>
        <w:t>eur odmeny podľa uznesenia vlády SR č.</w:t>
      </w:r>
      <w:r w:rsidR="00054358">
        <w:rPr>
          <w:rFonts w:ascii="Times New Roman" w:hAnsi="Times New Roman"/>
          <w:szCs w:val="24"/>
        </w:rPr>
        <w:t> </w:t>
      </w:r>
      <w:r w:rsidRPr="004C2EA9">
        <w:rPr>
          <w:rFonts w:ascii="Times New Roman" w:hAnsi="Times New Roman"/>
          <w:szCs w:val="24"/>
        </w:rPr>
        <w:t>279/2025 v sume 95</w:t>
      </w:r>
      <w:r w:rsidR="00054358">
        <w:rPr>
          <w:rFonts w:ascii="Times New Roman" w:hAnsi="Times New Roman"/>
          <w:szCs w:val="24"/>
        </w:rPr>
        <w:t> </w:t>
      </w:r>
      <w:r w:rsidRPr="004C2EA9">
        <w:rPr>
          <w:rFonts w:ascii="Times New Roman" w:hAnsi="Times New Roman"/>
          <w:szCs w:val="24"/>
        </w:rPr>
        <w:t>253</w:t>
      </w:r>
      <w:r w:rsidR="00054358">
        <w:rPr>
          <w:rFonts w:ascii="Times New Roman" w:hAnsi="Times New Roman"/>
          <w:szCs w:val="24"/>
        </w:rPr>
        <w:t> </w:t>
      </w:r>
      <w:r w:rsidRPr="004C2EA9">
        <w:rPr>
          <w:rFonts w:ascii="Times New Roman" w:hAnsi="Times New Roman"/>
          <w:szCs w:val="24"/>
        </w:rPr>
        <w:t>mil.</w:t>
      </w:r>
      <w:r w:rsidR="00054358">
        <w:rPr>
          <w:rFonts w:ascii="Times New Roman" w:hAnsi="Times New Roman"/>
          <w:szCs w:val="24"/>
        </w:rPr>
        <w:t> </w:t>
      </w:r>
      <w:r w:rsidRPr="004C2EA9">
        <w:rPr>
          <w:rFonts w:ascii="Times New Roman" w:hAnsi="Times New Roman"/>
          <w:szCs w:val="24"/>
        </w:rPr>
        <w:t>eur,</w:t>
      </w:r>
    </w:p>
    <w:p w14:paraId="784B8957" w14:textId="54A9140D" w:rsidR="00694B3B" w:rsidRPr="004C2EA9" w:rsidRDefault="00694B3B" w:rsidP="008B1431">
      <w:pPr>
        <w:pStyle w:val="Odsekzoznamu"/>
        <w:numPr>
          <w:ilvl w:val="0"/>
          <w:numId w:val="11"/>
        </w:numPr>
        <w:jc w:val="both"/>
        <w:rPr>
          <w:rFonts w:ascii="Times New Roman" w:hAnsi="Times New Roman"/>
          <w:szCs w:val="24"/>
        </w:rPr>
      </w:pPr>
      <w:r w:rsidRPr="004C2EA9">
        <w:rPr>
          <w:rFonts w:ascii="Times New Roman" w:hAnsi="Times New Roman"/>
          <w:szCs w:val="24"/>
        </w:rPr>
        <w:t>na zlepšenie odmeňovania zamestnancov v sume 89</w:t>
      </w:r>
      <w:r w:rsidR="00054358">
        <w:rPr>
          <w:rFonts w:ascii="Times New Roman" w:hAnsi="Times New Roman"/>
          <w:szCs w:val="24"/>
        </w:rPr>
        <w:t> </w:t>
      </w:r>
      <w:r w:rsidRPr="004C2EA9">
        <w:rPr>
          <w:rFonts w:ascii="Times New Roman" w:hAnsi="Times New Roman"/>
          <w:szCs w:val="24"/>
        </w:rPr>
        <w:t>843</w:t>
      </w:r>
      <w:r w:rsidR="00054358">
        <w:rPr>
          <w:rFonts w:ascii="Times New Roman" w:hAnsi="Times New Roman"/>
          <w:szCs w:val="24"/>
        </w:rPr>
        <w:t> </w:t>
      </w:r>
      <w:r w:rsidRPr="004C2EA9">
        <w:rPr>
          <w:rFonts w:ascii="Times New Roman" w:hAnsi="Times New Roman"/>
          <w:szCs w:val="24"/>
        </w:rPr>
        <w:t>tis.</w:t>
      </w:r>
      <w:r w:rsidR="00054358">
        <w:rPr>
          <w:rFonts w:ascii="Times New Roman" w:hAnsi="Times New Roman"/>
          <w:szCs w:val="24"/>
        </w:rPr>
        <w:t> </w:t>
      </w:r>
      <w:r w:rsidRPr="004C2EA9">
        <w:rPr>
          <w:rFonts w:ascii="Times New Roman" w:hAnsi="Times New Roman"/>
          <w:szCs w:val="24"/>
        </w:rPr>
        <w:t>eur (najmä v kapitole Ministerstvo obrany SR predovšetkým na zabezpečenie novely zákona o štátnej službe profesionálnych vojakov a na plnenie úlohových listov ministra obrany v sume 73</w:t>
      </w:r>
      <w:r w:rsidR="00054358">
        <w:rPr>
          <w:rFonts w:ascii="Times New Roman" w:hAnsi="Times New Roman"/>
          <w:szCs w:val="24"/>
        </w:rPr>
        <w:t> </w:t>
      </w:r>
      <w:r w:rsidRPr="004C2EA9">
        <w:rPr>
          <w:rFonts w:ascii="Times New Roman" w:hAnsi="Times New Roman"/>
          <w:szCs w:val="24"/>
        </w:rPr>
        <w:t>340</w:t>
      </w:r>
      <w:r w:rsidR="00054358">
        <w:rPr>
          <w:rFonts w:ascii="Times New Roman" w:hAnsi="Times New Roman"/>
          <w:szCs w:val="24"/>
        </w:rPr>
        <w:t> </w:t>
      </w:r>
      <w:r w:rsidRPr="004C2EA9">
        <w:rPr>
          <w:rFonts w:ascii="Times New Roman" w:hAnsi="Times New Roman"/>
          <w:szCs w:val="24"/>
        </w:rPr>
        <w:t>tis.</w:t>
      </w:r>
      <w:r w:rsidR="00054358">
        <w:rPr>
          <w:rFonts w:ascii="Times New Roman" w:hAnsi="Times New Roman"/>
          <w:szCs w:val="24"/>
        </w:rPr>
        <w:t> </w:t>
      </w:r>
      <w:r w:rsidRPr="004C2EA9">
        <w:rPr>
          <w:rFonts w:ascii="Times New Roman" w:hAnsi="Times New Roman"/>
          <w:szCs w:val="24"/>
        </w:rPr>
        <w:t>eur, v kapitole Ministerstvo práce, sociálnych vecí a rodiny SR na</w:t>
      </w:r>
      <w:r w:rsidR="00054358">
        <w:rPr>
          <w:rFonts w:ascii="Times New Roman" w:hAnsi="Times New Roman"/>
          <w:szCs w:val="24"/>
        </w:rPr>
        <w:t> </w:t>
      </w:r>
      <w:r w:rsidRPr="004C2EA9">
        <w:rPr>
          <w:rFonts w:ascii="Times New Roman" w:hAnsi="Times New Roman"/>
          <w:szCs w:val="24"/>
        </w:rPr>
        <w:t>zvýšenie osobných príplatkov pre zamestnancov ÚPSVaR SR o</w:t>
      </w:r>
      <w:r w:rsidR="00054358">
        <w:rPr>
          <w:rFonts w:ascii="Times New Roman" w:hAnsi="Times New Roman"/>
          <w:szCs w:val="24"/>
        </w:rPr>
        <w:t> </w:t>
      </w:r>
      <w:r w:rsidRPr="004C2EA9">
        <w:rPr>
          <w:rFonts w:ascii="Times New Roman" w:hAnsi="Times New Roman"/>
          <w:szCs w:val="24"/>
        </w:rPr>
        <w:t>50</w:t>
      </w:r>
      <w:r w:rsidR="00054358">
        <w:rPr>
          <w:rFonts w:ascii="Times New Roman" w:hAnsi="Times New Roman"/>
          <w:szCs w:val="24"/>
        </w:rPr>
        <w:t> </w:t>
      </w:r>
      <w:r w:rsidRPr="004C2EA9">
        <w:rPr>
          <w:rFonts w:ascii="Times New Roman" w:hAnsi="Times New Roman"/>
          <w:szCs w:val="24"/>
        </w:rPr>
        <w:t>eur mesačne a dofinancovanie miezd a platov v sume 13</w:t>
      </w:r>
      <w:r w:rsidR="00054358">
        <w:rPr>
          <w:rFonts w:ascii="Times New Roman" w:hAnsi="Times New Roman"/>
          <w:szCs w:val="24"/>
        </w:rPr>
        <w:t> </w:t>
      </w:r>
      <w:r w:rsidRPr="004C2EA9">
        <w:rPr>
          <w:rFonts w:ascii="Times New Roman" w:hAnsi="Times New Roman"/>
          <w:szCs w:val="24"/>
        </w:rPr>
        <w:t>069</w:t>
      </w:r>
      <w:r w:rsidR="00054358">
        <w:rPr>
          <w:rFonts w:ascii="Times New Roman" w:hAnsi="Times New Roman"/>
          <w:szCs w:val="24"/>
        </w:rPr>
        <w:t> </w:t>
      </w:r>
      <w:r w:rsidRPr="004C2EA9">
        <w:rPr>
          <w:rFonts w:ascii="Times New Roman" w:hAnsi="Times New Roman"/>
          <w:szCs w:val="24"/>
        </w:rPr>
        <w:t>tis.</w:t>
      </w:r>
      <w:r w:rsidR="00054358">
        <w:rPr>
          <w:rFonts w:ascii="Times New Roman" w:hAnsi="Times New Roman"/>
          <w:szCs w:val="24"/>
        </w:rPr>
        <w:t> </w:t>
      </w:r>
      <w:r w:rsidRPr="004C2EA9">
        <w:rPr>
          <w:rFonts w:ascii="Times New Roman" w:hAnsi="Times New Roman"/>
          <w:szCs w:val="24"/>
        </w:rPr>
        <w:t>eur),</w:t>
      </w:r>
    </w:p>
    <w:p w14:paraId="04E0D9E7" w14:textId="206893F5" w:rsidR="00694B3B" w:rsidRPr="004C2EA9" w:rsidRDefault="00694B3B" w:rsidP="008B1431">
      <w:pPr>
        <w:pStyle w:val="Odsekzoznamu"/>
        <w:numPr>
          <w:ilvl w:val="0"/>
          <w:numId w:val="11"/>
        </w:numPr>
        <w:jc w:val="both"/>
        <w:rPr>
          <w:rFonts w:ascii="Times New Roman" w:hAnsi="Times New Roman"/>
          <w:szCs w:val="24"/>
        </w:rPr>
      </w:pPr>
      <w:r w:rsidRPr="004C2EA9">
        <w:rPr>
          <w:rFonts w:ascii="Times New Roman" w:hAnsi="Times New Roman"/>
          <w:szCs w:val="24"/>
        </w:rPr>
        <w:t>na základe požiadaviek jednotlivých kapitol štátneho rozpočtu o</w:t>
      </w:r>
      <w:r w:rsidR="00054358">
        <w:rPr>
          <w:rFonts w:ascii="Times New Roman" w:hAnsi="Times New Roman"/>
          <w:szCs w:val="24"/>
        </w:rPr>
        <w:t> </w:t>
      </w:r>
      <w:r w:rsidRPr="004C2EA9">
        <w:rPr>
          <w:rFonts w:ascii="Times New Roman" w:hAnsi="Times New Roman"/>
          <w:szCs w:val="24"/>
        </w:rPr>
        <w:t>personálne posilnenie na zabezpečenie ich činností o sumu 30</w:t>
      </w:r>
      <w:r w:rsidR="00054358">
        <w:rPr>
          <w:rFonts w:ascii="Times New Roman" w:hAnsi="Times New Roman"/>
          <w:szCs w:val="24"/>
        </w:rPr>
        <w:t> </w:t>
      </w:r>
      <w:r w:rsidRPr="004C2EA9">
        <w:rPr>
          <w:rFonts w:ascii="Times New Roman" w:hAnsi="Times New Roman"/>
          <w:szCs w:val="24"/>
        </w:rPr>
        <w:t>332</w:t>
      </w:r>
      <w:r w:rsidR="00054358">
        <w:rPr>
          <w:rFonts w:ascii="Times New Roman" w:hAnsi="Times New Roman"/>
          <w:szCs w:val="24"/>
        </w:rPr>
        <w:t> </w:t>
      </w:r>
      <w:r w:rsidRPr="004C2EA9">
        <w:rPr>
          <w:rFonts w:ascii="Times New Roman" w:hAnsi="Times New Roman"/>
          <w:szCs w:val="24"/>
        </w:rPr>
        <w:t>tis.</w:t>
      </w:r>
      <w:r w:rsidR="00054358">
        <w:rPr>
          <w:rFonts w:ascii="Times New Roman" w:hAnsi="Times New Roman"/>
          <w:szCs w:val="24"/>
        </w:rPr>
        <w:t> </w:t>
      </w:r>
      <w:r w:rsidRPr="004C2EA9">
        <w:rPr>
          <w:rFonts w:ascii="Times New Roman" w:hAnsi="Times New Roman"/>
          <w:szCs w:val="24"/>
        </w:rPr>
        <w:t>eur (najmä na</w:t>
      </w:r>
      <w:r w:rsidR="00054358">
        <w:rPr>
          <w:rFonts w:ascii="Times New Roman" w:hAnsi="Times New Roman"/>
          <w:szCs w:val="24"/>
        </w:rPr>
        <w:t> </w:t>
      </w:r>
      <w:r w:rsidRPr="004C2EA9">
        <w:rPr>
          <w:rFonts w:ascii="Times New Roman" w:hAnsi="Times New Roman"/>
          <w:szCs w:val="24"/>
        </w:rPr>
        <w:t>zabezpečenie pl</w:t>
      </w:r>
      <w:r w:rsidR="00054358">
        <w:rPr>
          <w:rFonts w:ascii="Times New Roman" w:hAnsi="Times New Roman"/>
          <w:szCs w:val="24"/>
        </w:rPr>
        <w:t>n</w:t>
      </w:r>
      <w:r w:rsidRPr="004C2EA9">
        <w:rPr>
          <w:rFonts w:ascii="Times New Roman" w:hAnsi="Times New Roman"/>
          <w:szCs w:val="24"/>
        </w:rPr>
        <w:t>enia nových, náročných úloh Ministerstva obrany SR, na zabezpečenie poskytovania pomoci pri HYPO úveroch prostredníctvom ÚPSVaR SR a</w:t>
      </w:r>
      <w:r w:rsidR="00054358">
        <w:rPr>
          <w:rFonts w:ascii="Times New Roman" w:hAnsi="Times New Roman"/>
          <w:szCs w:val="24"/>
        </w:rPr>
        <w:t> </w:t>
      </w:r>
      <w:r w:rsidRPr="004C2EA9">
        <w:rPr>
          <w:rFonts w:ascii="Times New Roman" w:hAnsi="Times New Roman"/>
          <w:szCs w:val="24"/>
        </w:rPr>
        <w:t>na</w:t>
      </w:r>
      <w:r w:rsidR="00054358">
        <w:rPr>
          <w:rFonts w:ascii="Times New Roman" w:hAnsi="Times New Roman"/>
          <w:szCs w:val="24"/>
        </w:rPr>
        <w:t> </w:t>
      </w:r>
      <w:r w:rsidRPr="004C2EA9">
        <w:rPr>
          <w:rFonts w:ascii="Times New Roman" w:hAnsi="Times New Roman"/>
          <w:szCs w:val="24"/>
        </w:rPr>
        <w:t>zabezpečenie integrovanej posudkovej činnosti v kapitole Ministerstvo práce, sociálnych vecí a rodiny SR),</w:t>
      </w:r>
    </w:p>
    <w:p w14:paraId="411419CE" w14:textId="7CD3B48F" w:rsidR="00694B3B" w:rsidRPr="004C2EA9" w:rsidRDefault="00694B3B" w:rsidP="008B1431">
      <w:pPr>
        <w:pStyle w:val="Odsekzoznamu"/>
        <w:numPr>
          <w:ilvl w:val="0"/>
          <w:numId w:val="11"/>
        </w:numPr>
        <w:jc w:val="both"/>
        <w:rPr>
          <w:rFonts w:ascii="Times New Roman" w:hAnsi="Times New Roman"/>
          <w:szCs w:val="24"/>
        </w:rPr>
      </w:pPr>
      <w:r w:rsidRPr="004C2EA9">
        <w:rPr>
          <w:rFonts w:ascii="Times New Roman" w:hAnsi="Times New Roman"/>
          <w:szCs w:val="24"/>
        </w:rPr>
        <w:t>z dôvodu čiastočného vrátenia viazania osobných výdavkov realizované v</w:t>
      </w:r>
      <w:r w:rsidR="00054358">
        <w:rPr>
          <w:rFonts w:ascii="Times New Roman" w:hAnsi="Times New Roman"/>
          <w:szCs w:val="24"/>
        </w:rPr>
        <w:t> </w:t>
      </w:r>
      <w:r w:rsidRPr="004C2EA9">
        <w:rPr>
          <w:rFonts w:ascii="Times New Roman" w:hAnsi="Times New Roman"/>
          <w:szCs w:val="24"/>
        </w:rPr>
        <w:t>rámci konsolidačných opatrení v rozsahu 10</w:t>
      </w:r>
      <w:r w:rsidR="00054358">
        <w:rPr>
          <w:rFonts w:ascii="Times New Roman" w:hAnsi="Times New Roman"/>
          <w:szCs w:val="24"/>
        </w:rPr>
        <w:t> </w:t>
      </w:r>
      <w:r w:rsidRPr="004C2EA9">
        <w:rPr>
          <w:rFonts w:ascii="Times New Roman" w:hAnsi="Times New Roman"/>
          <w:szCs w:val="24"/>
        </w:rPr>
        <w:t>% šetrenia na mzdovej obálke štátu v sume 3</w:t>
      </w:r>
      <w:r w:rsidR="00054358">
        <w:rPr>
          <w:rFonts w:ascii="Times New Roman" w:hAnsi="Times New Roman"/>
          <w:szCs w:val="24"/>
        </w:rPr>
        <w:t> </w:t>
      </w:r>
      <w:r w:rsidRPr="004C2EA9">
        <w:rPr>
          <w:rFonts w:ascii="Times New Roman" w:hAnsi="Times New Roman"/>
          <w:szCs w:val="24"/>
        </w:rPr>
        <w:t>382</w:t>
      </w:r>
      <w:r w:rsidR="00054358">
        <w:rPr>
          <w:rFonts w:ascii="Times New Roman" w:hAnsi="Times New Roman"/>
          <w:szCs w:val="24"/>
        </w:rPr>
        <w:t> </w:t>
      </w:r>
      <w:r w:rsidRPr="004C2EA9">
        <w:rPr>
          <w:rFonts w:ascii="Times New Roman" w:hAnsi="Times New Roman"/>
          <w:szCs w:val="24"/>
        </w:rPr>
        <w:t>tis.</w:t>
      </w:r>
      <w:r w:rsidR="00054358">
        <w:rPr>
          <w:rFonts w:ascii="Times New Roman" w:hAnsi="Times New Roman"/>
          <w:szCs w:val="24"/>
        </w:rPr>
        <w:t> </w:t>
      </w:r>
      <w:r w:rsidRPr="004C2EA9">
        <w:rPr>
          <w:rFonts w:ascii="Times New Roman" w:hAnsi="Times New Roman"/>
          <w:szCs w:val="24"/>
        </w:rPr>
        <w:t>e</w:t>
      </w:r>
      <w:r w:rsidR="00054358">
        <w:rPr>
          <w:rFonts w:ascii="Times New Roman" w:hAnsi="Times New Roman"/>
          <w:szCs w:val="24"/>
        </w:rPr>
        <w:t>u</w:t>
      </w:r>
      <w:r w:rsidRPr="004C2EA9">
        <w:rPr>
          <w:rFonts w:ascii="Times New Roman" w:hAnsi="Times New Roman"/>
          <w:szCs w:val="24"/>
        </w:rPr>
        <w:t>r (Ministerstvo zdravotníctva SR v sume 2</w:t>
      </w:r>
      <w:r w:rsidR="006C4BA8">
        <w:rPr>
          <w:rFonts w:ascii="Times New Roman" w:hAnsi="Times New Roman"/>
          <w:szCs w:val="24"/>
        </w:rPr>
        <w:t> </w:t>
      </w:r>
      <w:r w:rsidRPr="004C2EA9">
        <w:rPr>
          <w:rFonts w:ascii="Times New Roman" w:hAnsi="Times New Roman"/>
          <w:szCs w:val="24"/>
        </w:rPr>
        <w:t>877</w:t>
      </w:r>
      <w:r w:rsidR="006C4BA8">
        <w:rPr>
          <w:rFonts w:ascii="Times New Roman" w:hAnsi="Times New Roman"/>
          <w:szCs w:val="24"/>
        </w:rPr>
        <w:t> </w:t>
      </w:r>
      <w:r w:rsidRPr="004C2EA9">
        <w:rPr>
          <w:rFonts w:ascii="Times New Roman" w:hAnsi="Times New Roman"/>
          <w:szCs w:val="24"/>
        </w:rPr>
        <w:t>tis.</w:t>
      </w:r>
      <w:r w:rsidR="006C4BA8">
        <w:rPr>
          <w:rFonts w:ascii="Times New Roman" w:hAnsi="Times New Roman"/>
          <w:szCs w:val="24"/>
        </w:rPr>
        <w:t> eur</w:t>
      </w:r>
      <w:r w:rsidRPr="004C2EA9">
        <w:rPr>
          <w:rFonts w:ascii="Times New Roman" w:hAnsi="Times New Roman"/>
          <w:szCs w:val="24"/>
        </w:rPr>
        <w:t xml:space="preserve"> pre</w:t>
      </w:r>
      <w:r w:rsidR="006C4BA8">
        <w:rPr>
          <w:rFonts w:ascii="Times New Roman" w:hAnsi="Times New Roman"/>
          <w:szCs w:val="24"/>
        </w:rPr>
        <w:t> </w:t>
      </w:r>
      <w:r w:rsidRPr="004C2EA9">
        <w:rPr>
          <w:rFonts w:ascii="Times New Roman" w:hAnsi="Times New Roman"/>
          <w:szCs w:val="24"/>
        </w:rPr>
        <w:t>ŠÚKL a</w:t>
      </w:r>
      <w:r w:rsidR="006C4BA8">
        <w:rPr>
          <w:rFonts w:ascii="Times New Roman" w:hAnsi="Times New Roman"/>
          <w:szCs w:val="24"/>
        </w:rPr>
        <w:t> </w:t>
      </w:r>
      <w:r w:rsidRPr="004C2EA9">
        <w:rPr>
          <w:rFonts w:ascii="Times New Roman" w:hAnsi="Times New Roman"/>
          <w:szCs w:val="24"/>
        </w:rPr>
        <w:t>RÚVZ, Kancelária Národnej rady SR v sume 352</w:t>
      </w:r>
      <w:r w:rsidR="006C4BA8">
        <w:rPr>
          <w:rFonts w:ascii="Times New Roman" w:hAnsi="Times New Roman"/>
          <w:szCs w:val="24"/>
        </w:rPr>
        <w:t> </w:t>
      </w:r>
      <w:r w:rsidRPr="004C2EA9">
        <w:rPr>
          <w:rFonts w:ascii="Times New Roman" w:hAnsi="Times New Roman"/>
          <w:szCs w:val="24"/>
        </w:rPr>
        <w:t>tis.</w:t>
      </w:r>
      <w:r w:rsidR="006C4BA8">
        <w:rPr>
          <w:rFonts w:ascii="Times New Roman" w:hAnsi="Times New Roman"/>
          <w:szCs w:val="24"/>
        </w:rPr>
        <w:t> </w:t>
      </w:r>
      <w:r w:rsidRPr="004C2EA9">
        <w:rPr>
          <w:rFonts w:ascii="Times New Roman" w:hAnsi="Times New Roman"/>
          <w:szCs w:val="24"/>
        </w:rPr>
        <w:t>eur a Kancelária Najvyššieho súdu SR v sume 153</w:t>
      </w:r>
      <w:r w:rsidR="006C4BA8">
        <w:rPr>
          <w:rFonts w:ascii="Times New Roman" w:hAnsi="Times New Roman"/>
          <w:szCs w:val="24"/>
        </w:rPr>
        <w:t> </w:t>
      </w:r>
      <w:r w:rsidRPr="004C2EA9">
        <w:rPr>
          <w:rFonts w:ascii="Times New Roman" w:hAnsi="Times New Roman"/>
          <w:szCs w:val="24"/>
        </w:rPr>
        <w:t>tis.</w:t>
      </w:r>
      <w:r w:rsidR="006C4BA8">
        <w:rPr>
          <w:rFonts w:ascii="Times New Roman" w:hAnsi="Times New Roman"/>
          <w:szCs w:val="24"/>
        </w:rPr>
        <w:t> </w:t>
      </w:r>
      <w:r w:rsidRPr="004C2EA9">
        <w:rPr>
          <w:rFonts w:ascii="Times New Roman" w:hAnsi="Times New Roman"/>
          <w:szCs w:val="24"/>
        </w:rPr>
        <w:t>eur),</w:t>
      </w:r>
    </w:p>
    <w:p w14:paraId="3B2ED817" w14:textId="1EAED693" w:rsidR="00694B3B" w:rsidRPr="004C2EA9" w:rsidRDefault="00694B3B" w:rsidP="008B1431">
      <w:pPr>
        <w:pStyle w:val="Odsekzoznamu"/>
        <w:numPr>
          <w:ilvl w:val="0"/>
          <w:numId w:val="11"/>
        </w:numPr>
        <w:jc w:val="both"/>
        <w:rPr>
          <w:rFonts w:ascii="Times New Roman" w:hAnsi="Times New Roman"/>
          <w:szCs w:val="24"/>
        </w:rPr>
      </w:pPr>
      <w:r w:rsidRPr="004C2EA9">
        <w:rPr>
          <w:rFonts w:ascii="Times New Roman" w:hAnsi="Times New Roman"/>
          <w:szCs w:val="24"/>
        </w:rPr>
        <w:t>na zabezpečenie schválených legislatívnych zmien v sume 822</w:t>
      </w:r>
      <w:r w:rsidR="006C4BA8">
        <w:rPr>
          <w:rFonts w:ascii="Times New Roman" w:hAnsi="Times New Roman"/>
          <w:szCs w:val="24"/>
        </w:rPr>
        <w:t> </w:t>
      </w:r>
      <w:r w:rsidRPr="004C2EA9">
        <w:rPr>
          <w:rFonts w:ascii="Times New Roman" w:hAnsi="Times New Roman"/>
          <w:szCs w:val="24"/>
        </w:rPr>
        <w:t>tis.</w:t>
      </w:r>
      <w:r w:rsidR="006C4BA8">
        <w:rPr>
          <w:rFonts w:ascii="Times New Roman" w:hAnsi="Times New Roman"/>
          <w:szCs w:val="24"/>
        </w:rPr>
        <w:t> </w:t>
      </w:r>
      <w:r w:rsidRPr="004C2EA9">
        <w:rPr>
          <w:rFonts w:ascii="Times New Roman" w:hAnsi="Times New Roman"/>
          <w:szCs w:val="24"/>
        </w:rPr>
        <w:t>eur (najmä Ministerstvo školstva, výskumu, vývoja a mládeže SR, v súvislosti so</w:t>
      </w:r>
      <w:r w:rsidR="006C4BA8">
        <w:rPr>
          <w:rFonts w:ascii="Times New Roman" w:hAnsi="Times New Roman"/>
          <w:szCs w:val="24"/>
        </w:rPr>
        <w:t> </w:t>
      </w:r>
      <w:r w:rsidRPr="004C2EA9">
        <w:rPr>
          <w:rFonts w:ascii="Times New Roman" w:hAnsi="Times New Roman"/>
          <w:szCs w:val="24"/>
        </w:rPr>
        <w:t>schválenou novelou zákona o štátnej službe, Úrad pre verejné obstarávanie v súvislosti so</w:t>
      </w:r>
      <w:r w:rsidR="006C4BA8">
        <w:rPr>
          <w:rFonts w:ascii="Times New Roman" w:hAnsi="Times New Roman"/>
          <w:szCs w:val="24"/>
        </w:rPr>
        <w:t> </w:t>
      </w:r>
      <w:r w:rsidRPr="004C2EA9">
        <w:rPr>
          <w:rFonts w:ascii="Times New Roman" w:hAnsi="Times New Roman"/>
          <w:szCs w:val="24"/>
        </w:rPr>
        <w:t>schváleným zákonom o mimoriadnych opatreniach pre strategické investície a</w:t>
      </w:r>
      <w:r w:rsidR="006C4BA8">
        <w:rPr>
          <w:rFonts w:ascii="Times New Roman" w:hAnsi="Times New Roman"/>
          <w:szCs w:val="24"/>
        </w:rPr>
        <w:t> </w:t>
      </w:r>
      <w:r w:rsidRPr="004C2EA9">
        <w:rPr>
          <w:rFonts w:ascii="Times New Roman" w:hAnsi="Times New Roman"/>
          <w:szCs w:val="24"/>
        </w:rPr>
        <w:t>pre</w:t>
      </w:r>
      <w:r w:rsidR="006C4BA8">
        <w:rPr>
          <w:rFonts w:ascii="Times New Roman" w:hAnsi="Times New Roman"/>
          <w:szCs w:val="24"/>
        </w:rPr>
        <w:t> </w:t>
      </w:r>
      <w:r w:rsidRPr="004C2EA9">
        <w:rPr>
          <w:rFonts w:ascii="Times New Roman" w:hAnsi="Times New Roman"/>
          <w:szCs w:val="24"/>
        </w:rPr>
        <w:t>výstavbu transeurópskej dopravnej siete, Ministerstvo vnútra SR v súvislosti s novelou zákona o obchodovaní s emisnými kvótami a v súvislosti posilnením personálneho stavu oddelení cudzineckej polície Policajného zboru SR).</w:t>
      </w:r>
    </w:p>
    <w:p w14:paraId="306296E9" w14:textId="77777777" w:rsidR="00694B3B" w:rsidRDefault="00694B3B" w:rsidP="00D5791A">
      <w:pPr>
        <w:spacing w:line="240" w:lineRule="auto"/>
        <w:jc w:val="both"/>
        <w:rPr>
          <w:szCs w:val="24"/>
        </w:rPr>
      </w:pPr>
    </w:p>
    <w:p w14:paraId="189AC559" w14:textId="3D3EBFA6" w:rsidR="00694B3B" w:rsidRPr="004B416E" w:rsidRDefault="00694B3B" w:rsidP="00D5791A">
      <w:pPr>
        <w:spacing w:line="240" w:lineRule="auto"/>
        <w:jc w:val="both"/>
        <w:rPr>
          <w:szCs w:val="24"/>
        </w:rPr>
      </w:pPr>
      <w:r>
        <w:rPr>
          <w:szCs w:val="24"/>
        </w:rPr>
        <w:t>Bežné výdavky na tovary a služby štátnych rozpočtových organizácií (po</w:t>
      </w:r>
      <w:r w:rsidR="006C4BA8">
        <w:rPr>
          <w:szCs w:val="24"/>
        </w:rPr>
        <w:t> </w:t>
      </w:r>
      <w:r>
        <w:rPr>
          <w:szCs w:val="24"/>
        </w:rPr>
        <w:t>odpočítaní platieb štátnej rozpočtovej organizácii na realizáciu EÚ projektov a ostatných služieb) boli medziročne nižšie o 58</w:t>
      </w:r>
      <w:r w:rsidR="006C4BA8">
        <w:rPr>
          <w:szCs w:val="24"/>
        </w:rPr>
        <w:t> </w:t>
      </w:r>
      <w:r>
        <w:rPr>
          <w:szCs w:val="24"/>
        </w:rPr>
        <w:t>624</w:t>
      </w:r>
      <w:r w:rsidR="006C4BA8">
        <w:rPr>
          <w:szCs w:val="24"/>
        </w:rPr>
        <w:t> </w:t>
      </w:r>
      <w:r>
        <w:rPr>
          <w:szCs w:val="24"/>
        </w:rPr>
        <w:t>tis.</w:t>
      </w:r>
      <w:r w:rsidR="006C4BA8">
        <w:rPr>
          <w:szCs w:val="24"/>
        </w:rPr>
        <w:t> </w:t>
      </w:r>
      <w:r>
        <w:rPr>
          <w:szCs w:val="24"/>
        </w:rPr>
        <w:t>eur. Nižšie sa rozpočtovali napr. údržba budov, objektov o</w:t>
      </w:r>
      <w:r w:rsidR="006C4BA8">
        <w:rPr>
          <w:szCs w:val="24"/>
        </w:rPr>
        <w:t> </w:t>
      </w:r>
      <w:r>
        <w:rPr>
          <w:szCs w:val="24"/>
        </w:rPr>
        <w:t>31</w:t>
      </w:r>
      <w:r w:rsidR="006C4BA8">
        <w:rPr>
          <w:szCs w:val="24"/>
        </w:rPr>
        <w:t> </w:t>
      </w:r>
      <w:r>
        <w:rPr>
          <w:szCs w:val="24"/>
        </w:rPr>
        <w:t>007</w:t>
      </w:r>
      <w:r w:rsidR="006C4BA8">
        <w:rPr>
          <w:szCs w:val="24"/>
        </w:rPr>
        <w:t> </w:t>
      </w:r>
      <w:r>
        <w:rPr>
          <w:szCs w:val="24"/>
        </w:rPr>
        <w:t>tis.</w:t>
      </w:r>
      <w:r w:rsidR="006C4BA8">
        <w:rPr>
          <w:szCs w:val="24"/>
        </w:rPr>
        <w:t> </w:t>
      </w:r>
      <w:r>
        <w:rPr>
          <w:szCs w:val="24"/>
        </w:rPr>
        <w:t xml:space="preserve">eur, </w:t>
      </w:r>
      <w:r>
        <w:rPr>
          <w:szCs w:val="24"/>
        </w:rPr>
        <w:lastRenderedPageBreak/>
        <w:t>nájomné softvéru o</w:t>
      </w:r>
      <w:r w:rsidR="006C4BA8">
        <w:rPr>
          <w:szCs w:val="24"/>
        </w:rPr>
        <w:t> </w:t>
      </w:r>
      <w:r>
        <w:rPr>
          <w:szCs w:val="24"/>
        </w:rPr>
        <w:t>32</w:t>
      </w:r>
      <w:r w:rsidR="006C4BA8">
        <w:rPr>
          <w:szCs w:val="24"/>
        </w:rPr>
        <w:t> </w:t>
      </w:r>
      <w:r>
        <w:rPr>
          <w:szCs w:val="24"/>
        </w:rPr>
        <w:t>220</w:t>
      </w:r>
      <w:r w:rsidR="006C4BA8">
        <w:rPr>
          <w:szCs w:val="24"/>
        </w:rPr>
        <w:t> </w:t>
      </w:r>
      <w:r>
        <w:rPr>
          <w:szCs w:val="24"/>
        </w:rPr>
        <w:t>tis.</w:t>
      </w:r>
      <w:r w:rsidR="006C4BA8">
        <w:rPr>
          <w:szCs w:val="24"/>
        </w:rPr>
        <w:t> </w:t>
      </w:r>
      <w:r>
        <w:rPr>
          <w:szCs w:val="24"/>
        </w:rPr>
        <w:t>eur, výdavkov na energie o 37</w:t>
      </w:r>
      <w:r w:rsidR="006C4BA8">
        <w:rPr>
          <w:szCs w:val="24"/>
        </w:rPr>
        <w:t> </w:t>
      </w:r>
      <w:r>
        <w:rPr>
          <w:szCs w:val="24"/>
        </w:rPr>
        <w:t>820</w:t>
      </w:r>
      <w:r w:rsidR="006C4BA8">
        <w:rPr>
          <w:szCs w:val="24"/>
        </w:rPr>
        <w:t> </w:t>
      </w:r>
      <w:r>
        <w:rPr>
          <w:szCs w:val="24"/>
        </w:rPr>
        <w:t>tis.</w:t>
      </w:r>
      <w:r w:rsidR="006C4BA8">
        <w:rPr>
          <w:szCs w:val="24"/>
        </w:rPr>
        <w:t> </w:t>
      </w:r>
      <w:r>
        <w:rPr>
          <w:szCs w:val="24"/>
        </w:rPr>
        <w:t>eur, špeciálny materiál 20</w:t>
      </w:r>
      <w:r w:rsidR="006C4BA8">
        <w:rPr>
          <w:szCs w:val="24"/>
        </w:rPr>
        <w:t> </w:t>
      </w:r>
      <w:r>
        <w:rPr>
          <w:szCs w:val="24"/>
        </w:rPr>
        <w:t>852</w:t>
      </w:r>
      <w:r w:rsidR="006C4BA8">
        <w:rPr>
          <w:szCs w:val="24"/>
        </w:rPr>
        <w:t> </w:t>
      </w:r>
      <w:r>
        <w:rPr>
          <w:szCs w:val="24"/>
        </w:rPr>
        <w:t>tis.</w:t>
      </w:r>
      <w:r w:rsidR="006C4BA8">
        <w:rPr>
          <w:szCs w:val="24"/>
        </w:rPr>
        <w:t> </w:t>
      </w:r>
      <w:r>
        <w:rPr>
          <w:szCs w:val="24"/>
        </w:rPr>
        <w:t>eur a ďalšie položky bežnej spotreby. Rast výdavkov bol rozpočtovaný napr. na</w:t>
      </w:r>
      <w:r w:rsidR="006C4BA8">
        <w:rPr>
          <w:szCs w:val="24"/>
        </w:rPr>
        <w:t> </w:t>
      </w:r>
      <w:r>
        <w:rPr>
          <w:szCs w:val="24"/>
        </w:rPr>
        <w:t>špeciálnych službách 32</w:t>
      </w:r>
      <w:r w:rsidR="006C4BA8">
        <w:rPr>
          <w:szCs w:val="24"/>
        </w:rPr>
        <w:t> </w:t>
      </w:r>
      <w:r>
        <w:rPr>
          <w:szCs w:val="24"/>
        </w:rPr>
        <w:t>319</w:t>
      </w:r>
      <w:r w:rsidR="006C4BA8">
        <w:rPr>
          <w:szCs w:val="24"/>
        </w:rPr>
        <w:t> </w:t>
      </w:r>
      <w:r>
        <w:rPr>
          <w:szCs w:val="24"/>
        </w:rPr>
        <w:t>tis.</w:t>
      </w:r>
      <w:r w:rsidR="006C4BA8">
        <w:rPr>
          <w:szCs w:val="24"/>
        </w:rPr>
        <w:t> </w:t>
      </w:r>
      <w:r>
        <w:rPr>
          <w:szCs w:val="24"/>
        </w:rPr>
        <w:t>eur, školeniach, kurzoch, seminároch 13</w:t>
      </w:r>
      <w:r w:rsidR="006C4BA8">
        <w:rPr>
          <w:szCs w:val="24"/>
        </w:rPr>
        <w:t> </w:t>
      </w:r>
      <w:r>
        <w:rPr>
          <w:szCs w:val="24"/>
        </w:rPr>
        <w:t>541</w:t>
      </w:r>
      <w:r w:rsidR="006C4BA8">
        <w:rPr>
          <w:szCs w:val="24"/>
        </w:rPr>
        <w:t> </w:t>
      </w:r>
      <w:r>
        <w:rPr>
          <w:szCs w:val="24"/>
        </w:rPr>
        <w:t>tis.</w:t>
      </w:r>
      <w:r w:rsidR="006C4BA8">
        <w:rPr>
          <w:szCs w:val="24"/>
        </w:rPr>
        <w:t> </w:t>
      </w:r>
      <w:r>
        <w:rPr>
          <w:szCs w:val="24"/>
        </w:rPr>
        <w:t>eur, výdavky na zahraničné cestovné náhrady o 10</w:t>
      </w:r>
      <w:r w:rsidR="006C4BA8">
        <w:rPr>
          <w:szCs w:val="24"/>
        </w:rPr>
        <w:t> </w:t>
      </w:r>
      <w:r>
        <w:rPr>
          <w:szCs w:val="24"/>
        </w:rPr>
        <w:t>888</w:t>
      </w:r>
      <w:r w:rsidR="006C4BA8">
        <w:rPr>
          <w:szCs w:val="24"/>
        </w:rPr>
        <w:t> </w:t>
      </w:r>
      <w:r>
        <w:rPr>
          <w:szCs w:val="24"/>
        </w:rPr>
        <w:t>tis.</w:t>
      </w:r>
      <w:r w:rsidR="006C4BA8">
        <w:rPr>
          <w:szCs w:val="24"/>
        </w:rPr>
        <w:t> </w:t>
      </w:r>
      <w:r>
        <w:rPr>
          <w:szCs w:val="24"/>
        </w:rPr>
        <w:t>eur, nájomné budov, objektov a ich častí o 10</w:t>
      </w:r>
      <w:r w:rsidR="006C4BA8">
        <w:rPr>
          <w:szCs w:val="24"/>
        </w:rPr>
        <w:t> </w:t>
      </w:r>
      <w:r>
        <w:rPr>
          <w:szCs w:val="24"/>
        </w:rPr>
        <w:t>510</w:t>
      </w:r>
      <w:r w:rsidR="006C4BA8">
        <w:rPr>
          <w:szCs w:val="24"/>
        </w:rPr>
        <w:t> </w:t>
      </w:r>
      <w:r>
        <w:rPr>
          <w:szCs w:val="24"/>
        </w:rPr>
        <w:t>tis.</w:t>
      </w:r>
      <w:r w:rsidR="006C4BA8">
        <w:rPr>
          <w:szCs w:val="24"/>
        </w:rPr>
        <w:t> </w:t>
      </w:r>
      <w:r>
        <w:rPr>
          <w:szCs w:val="24"/>
        </w:rPr>
        <w:t>eur.</w:t>
      </w:r>
    </w:p>
    <w:p w14:paraId="3E7E9158" w14:textId="77777777" w:rsidR="00694B3B" w:rsidRDefault="00694B3B" w:rsidP="00D5791A">
      <w:pPr>
        <w:spacing w:line="240" w:lineRule="auto"/>
        <w:jc w:val="both"/>
        <w:rPr>
          <w:szCs w:val="24"/>
        </w:rPr>
      </w:pPr>
    </w:p>
    <w:p w14:paraId="77DB3905" w14:textId="302771F3" w:rsidR="00D5791A" w:rsidRDefault="004D69BF" w:rsidP="007453BD">
      <w:pPr>
        <w:spacing w:line="240" w:lineRule="auto"/>
        <w:jc w:val="both"/>
        <w:rPr>
          <w:b/>
          <w:color w:val="5B9BD5" w:themeColor="accent1"/>
          <w:szCs w:val="24"/>
        </w:rPr>
      </w:pPr>
      <w:r w:rsidRPr="00E234BA">
        <w:rPr>
          <w:b/>
          <w:color w:val="5B9BD5" w:themeColor="accent1"/>
          <w:szCs w:val="24"/>
        </w:rPr>
        <w:t>Výdavky na mzdy, platy, služobné príjmy a ostatné osobné vyrovnania</w:t>
      </w:r>
    </w:p>
    <w:p w14:paraId="39CEBA24" w14:textId="78FAC7E3" w:rsidR="00E234BA" w:rsidRPr="00E234BA" w:rsidRDefault="00E234BA" w:rsidP="007453BD">
      <w:pPr>
        <w:spacing w:line="240" w:lineRule="auto"/>
        <w:jc w:val="both"/>
        <w:rPr>
          <w:szCs w:val="24"/>
        </w:rPr>
      </w:pPr>
      <w:r w:rsidRPr="00E234BA">
        <w:rPr>
          <w:szCs w:val="24"/>
        </w:rPr>
        <w:t>Zákon č.</w:t>
      </w:r>
      <w:r w:rsidR="006C4BA8">
        <w:rPr>
          <w:szCs w:val="24"/>
        </w:rPr>
        <w:t> </w:t>
      </w:r>
      <w:r w:rsidRPr="00E234BA">
        <w:rPr>
          <w:szCs w:val="24"/>
        </w:rPr>
        <w:t>345/2024</w:t>
      </w:r>
      <w:r w:rsidR="006C4BA8">
        <w:rPr>
          <w:szCs w:val="24"/>
        </w:rPr>
        <w:t> </w:t>
      </w:r>
      <w:r w:rsidRPr="00E234BA">
        <w:rPr>
          <w:szCs w:val="24"/>
        </w:rPr>
        <w:t>Z.</w:t>
      </w:r>
      <w:r w:rsidR="006C4BA8">
        <w:rPr>
          <w:szCs w:val="24"/>
        </w:rPr>
        <w:t> </w:t>
      </w:r>
      <w:r w:rsidRPr="00E234BA">
        <w:rPr>
          <w:szCs w:val="24"/>
        </w:rPr>
        <w:t>z. o štátnom rozpočte na rok 2025 stanovil pre</w:t>
      </w:r>
      <w:r w:rsidR="006C4BA8">
        <w:rPr>
          <w:szCs w:val="24"/>
        </w:rPr>
        <w:t> </w:t>
      </w:r>
      <w:r w:rsidRPr="00E234BA">
        <w:rPr>
          <w:szCs w:val="24"/>
        </w:rPr>
        <w:t>zamestnancov rozpočtových organizácií kapitol štátneho rozpočtu limit výdavkov na mzdy, platy, služobné príjmy a ostatné osobné vyrovnania (OOV) ako záväzný ukazovateľ z kódu 111 (zdroj štátneho rozpočtu), 11H (transfery od ostatných subjektov verejnej správy) a 11UA (financovanie projektov pomoci pre občanov Ukrajiny) v úhrnnej sume 3</w:t>
      </w:r>
      <w:r w:rsidR="006C4BA8">
        <w:rPr>
          <w:szCs w:val="24"/>
        </w:rPr>
        <w:t> </w:t>
      </w:r>
      <w:r w:rsidRPr="00E234BA">
        <w:rPr>
          <w:szCs w:val="24"/>
        </w:rPr>
        <w:t>290</w:t>
      </w:r>
      <w:r w:rsidR="006C4BA8">
        <w:rPr>
          <w:szCs w:val="24"/>
        </w:rPr>
        <w:t> </w:t>
      </w:r>
      <w:r w:rsidRPr="00E234BA">
        <w:rPr>
          <w:szCs w:val="24"/>
        </w:rPr>
        <w:t>854</w:t>
      </w:r>
      <w:r w:rsidR="006C4BA8">
        <w:rPr>
          <w:szCs w:val="24"/>
        </w:rPr>
        <w:t> </w:t>
      </w:r>
      <w:r w:rsidRPr="00E234BA">
        <w:rPr>
          <w:szCs w:val="24"/>
        </w:rPr>
        <w:t>tis.</w:t>
      </w:r>
      <w:r w:rsidR="006C4BA8">
        <w:rPr>
          <w:szCs w:val="24"/>
        </w:rPr>
        <w:t> </w:t>
      </w:r>
      <w:r w:rsidRPr="00E234BA">
        <w:rPr>
          <w:szCs w:val="24"/>
        </w:rPr>
        <w:t>eur.</w:t>
      </w:r>
    </w:p>
    <w:p w14:paraId="5DE3F5CA" w14:textId="77777777" w:rsidR="0076205F" w:rsidRDefault="0076205F" w:rsidP="00D5791A">
      <w:pPr>
        <w:spacing w:line="240" w:lineRule="auto"/>
        <w:jc w:val="both"/>
        <w:rPr>
          <w:szCs w:val="24"/>
        </w:rPr>
      </w:pPr>
    </w:p>
    <w:p w14:paraId="4AC7CBF9" w14:textId="194DF1E5" w:rsidR="00E234BA" w:rsidRPr="00E234BA" w:rsidRDefault="00E234BA" w:rsidP="00D5791A">
      <w:pPr>
        <w:spacing w:line="240" w:lineRule="auto"/>
        <w:jc w:val="both"/>
        <w:rPr>
          <w:szCs w:val="24"/>
        </w:rPr>
      </w:pPr>
      <w:r w:rsidRPr="00E234BA">
        <w:rPr>
          <w:szCs w:val="24"/>
        </w:rPr>
        <w:t>Výdavky na mzdy, platy, služobné príjmy a OOV zo všetkých zdrojov boli v priebehu roka upravené na sumu 3</w:t>
      </w:r>
      <w:r w:rsidR="006C4BA8">
        <w:rPr>
          <w:szCs w:val="24"/>
        </w:rPr>
        <w:t> </w:t>
      </w:r>
      <w:r w:rsidRPr="00E234BA">
        <w:rPr>
          <w:szCs w:val="24"/>
        </w:rPr>
        <w:t>425</w:t>
      </w:r>
      <w:r w:rsidR="006C4BA8">
        <w:rPr>
          <w:szCs w:val="24"/>
        </w:rPr>
        <w:t> </w:t>
      </w:r>
      <w:r w:rsidRPr="00E234BA">
        <w:rPr>
          <w:szCs w:val="24"/>
        </w:rPr>
        <w:t>333</w:t>
      </w:r>
      <w:r w:rsidR="006C4BA8">
        <w:rPr>
          <w:szCs w:val="24"/>
        </w:rPr>
        <w:t> </w:t>
      </w:r>
      <w:r w:rsidRPr="00E234BA">
        <w:rPr>
          <w:szCs w:val="24"/>
        </w:rPr>
        <w:t>tis.</w:t>
      </w:r>
      <w:r w:rsidR="006C4BA8">
        <w:rPr>
          <w:szCs w:val="24"/>
        </w:rPr>
        <w:t> </w:t>
      </w:r>
      <w:r w:rsidRPr="00E234BA">
        <w:rPr>
          <w:szCs w:val="24"/>
        </w:rPr>
        <w:t>eur. Na zdroji 111 boli rozpočtovými opatreniami upravené na sumu 3 280</w:t>
      </w:r>
      <w:r w:rsidR="006C4BA8">
        <w:rPr>
          <w:szCs w:val="24"/>
        </w:rPr>
        <w:t> </w:t>
      </w:r>
      <w:r w:rsidRPr="00E234BA">
        <w:rPr>
          <w:szCs w:val="24"/>
        </w:rPr>
        <w:t>058</w:t>
      </w:r>
      <w:r w:rsidR="006C4BA8">
        <w:rPr>
          <w:szCs w:val="24"/>
        </w:rPr>
        <w:t> </w:t>
      </w:r>
      <w:r w:rsidRPr="00E234BA">
        <w:rPr>
          <w:szCs w:val="24"/>
        </w:rPr>
        <w:t>tis.</w:t>
      </w:r>
      <w:r w:rsidR="006C4BA8">
        <w:rPr>
          <w:szCs w:val="24"/>
        </w:rPr>
        <w:t> </w:t>
      </w:r>
      <w:r w:rsidRPr="00E234BA">
        <w:rPr>
          <w:szCs w:val="24"/>
        </w:rPr>
        <w:t>eur a na zdroji 11UA na sumu 181</w:t>
      </w:r>
      <w:r w:rsidR="006C4BA8">
        <w:rPr>
          <w:szCs w:val="24"/>
        </w:rPr>
        <w:t> </w:t>
      </w:r>
      <w:r w:rsidRPr="00E234BA">
        <w:rPr>
          <w:szCs w:val="24"/>
        </w:rPr>
        <w:t>tis.</w:t>
      </w:r>
      <w:r w:rsidR="006C4BA8">
        <w:rPr>
          <w:szCs w:val="24"/>
        </w:rPr>
        <w:t> </w:t>
      </w:r>
      <w:r w:rsidRPr="00E234BA">
        <w:rPr>
          <w:szCs w:val="24"/>
        </w:rPr>
        <w:t>eur. Zo</w:t>
      </w:r>
      <w:r w:rsidR="006C4BA8">
        <w:rPr>
          <w:szCs w:val="24"/>
        </w:rPr>
        <w:t> </w:t>
      </w:r>
      <w:r w:rsidRPr="00E234BA">
        <w:rPr>
          <w:szCs w:val="24"/>
        </w:rPr>
        <w:t>zdrojov EÚ a prostriedkov na spolufinancovanie zo štátneho rozpočtu boli výdavky na</w:t>
      </w:r>
      <w:r w:rsidR="006C4BA8">
        <w:rPr>
          <w:szCs w:val="24"/>
        </w:rPr>
        <w:t> </w:t>
      </w:r>
      <w:r w:rsidRPr="00E234BA">
        <w:rPr>
          <w:szCs w:val="24"/>
        </w:rPr>
        <w:t>mzdy, platy, služobné príjmy a OOV upravené na sumu 145</w:t>
      </w:r>
      <w:r w:rsidR="006C4BA8">
        <w:rPr>
          <w:szCs w:val="24"/>
        </w:rPr>
        <w:t> </w:t>
      </w:r>
      <w:r w:rsidRPr="006C4BA8">
        <w:t>050</w:t>
      </w:r>
      <w:r w:rsidR="006C4BA8">
        <w:t> </w:t>
      </w:r>
      <w:r w:rsidRPr="006C4BA8">
        <w:t>tis</w:t>
      </w:r>
      <w:r w:rsidRPr="00E234BA">
        <w:rPr>
          <w:szCs w:val="24"/>
        </w:rPr>
        <w:t>.</w:t>
      </w:r>
      <w:r w:rsidR="006C4BA8">
        <w:rPr>
          <w:szCs w:val="24"/>
        </w:rPr>
        <w:t> </w:t>
      </w:r>
      <w:r w:rsidRPr="00E234BA">
        <w:rPr>
          <w:szCs w:val="24"/>
        </w:rPr>
        <w:t xml:space="preserve">eur, z toho z prostriedkov </w:t>
      </w:r>
      <w:r w:rsidR="00C4036E">
        <w:rPr>
          <w:szCs w:val="24"/>
        </w:rPr>
        <w:t>POO </w:t>
      </w:r>
      <w:r w:rsidRPr="00E234BA">
        <w:rPr>
          <w:szCs w:val="24"/>
        </w:rPr>
        <w:t>SR (zdroj 1P01 a 3P01) na sumu 30</w:t>
      </w:r>
      <w:r w:rsidR="006C4BA8">
        <w:rPr>
          <w:szCs w:val="24"/>
        </w:rPr>
        <w:t> </w:t>
      </w:r>
      <w:r w:rsidRPr="00E234BA">
        <w:rPr>
          <w:szCs w:val="24"/>
        </w:rPr>
        <w:t>549</w:t>
      </w:r>
      <w:r w:rsidR="006C4BA8">
        <w:rPr>
          <w:szCs w:val="24"/>
        </w:rPr>
        <w:t> </w:t>
      </w:r>
      <w:r w:rsidRPr="00E234BA">
        <w:rPr>
          <w:szCs w:val="24"/>
        </w:rPr>
        <w:t>tis.</w:t>
      </w:r>
      <w:r w:rsidR="006C4BA8">
        <w:rPr>
          <w:szCs w:val="24"/>
        </w:rPr>
        <w:t> </w:t>
      </w:r>
      <w:r w:rsidRPr="00E234BA">
        <w:rPr>
          <w:szCs w:val="24"/>
        </w:rPr>
        <w:t>eur a zo zdroja 72h na sumu 43</w:t>
      </w:r>
      <w:r w:rsidR="006C4BA8">
        <w:rPr>
          <w:szCs w:val="24"/>
        </w:rPr>
        <w:t> </w:t>
      </w:r>
      <w:r w:rsidRPr="00E234BA">
        <w:rPr>
          <w:szCs w:val="24"/>
        </w:rPr>
        <w:t>tis.</w:t>
      </w:r>
      <w:r w:rsidR="006C4BA8">
        <w:rPr>
          <w:szCs w:val="24"/>
        </w:rPr>
        <w:t> </w:t>
      </w:r>
      <w:r w:rsidRPr="00E234BA">
        <w:rPr>
          <w:szCs w:val="24"/>
        </w:rPr>
        <w:t>eur.</w:t>
      </w:r>
    </w:p>
    <w:p w14:paraId="30E528FB" w14:textId="77777777" w:rsidR="0076205F" w:rsidRDefault="0076205F" w:rsidP="00D5791A">
      <w:pPr>
        <w:spacing w:line="240" w:lineRule="auto"/>
        <w:jc w:val="both"/>
        <w:rPr>
          <w:b/>
          <w:szCs w:val="24"/>
        </w:rPr>
      </w:pPr>
    </w:p>
    <w:p w14:paraId="6DE8E193" w14:textId="51E083E0" w:rsidR="00E234BA" w:rsidRPr="00E234BA" w:rsidRDefault="00E234BA" w:rsidP="00D5791A">
      <w:pPr>
        <w:spacing w:line="240" w:lineRule="auto"/>
        <w:jc w:val="both"/>
        <w:rPr>
          <w:szCs w:val="24"/>
        </w:rPr>
      </w:pPr>
      <w:r w:rsidRPr="00E234BA">
        <w:rPr>
          <w:b/>
          <w:szCs w:val="24"/>
        </w:rPr>
        <w:t>V skutočnosti boli výdavky na</w:t>
      </w:r>
      <w:r w:rsidRPr="00E234BA">
        <w:rPr>
          <w:szCs w:val="24"/>
        </w:rPr>
        <w:t xml:space="preserve"> </w:t>
      </w:r>
      <w:r w:rsidRPr="00E234BA">
        <w:rPr>
          <w:b/>
          <w:szCs w:val="24"/>
        </w:rPr>
        <w:t>mzdy, platy, služobné príjmy a OOV zamestnancov rozpočtových organizácií kapitol štátneho rozpočtu za všetky zdroje čerpané na</w:t>
      </w:r>
      <w:r w:rsidR="006C4BA8">
        <w:rPr>
          <w:b/>
          <w:szCs w:val="24"/>
        </w:rPr>
        <w:t> </w:t>
      </w:r>
      <w:r w:rsidRPr="00E234BA">
        <w:rPr>
          <w:b/>
          <w:szCs w:val="24"/>
        </w:rPr>
        <w:t>úrovni 3</w:t>
      </w:r>
      <w:r w:rsidR="006C4BA8">
        <w:rPr>
          <w:b/>
          <w:szCs w:val="24"/>
        </w:rPr>
        <w:t> </w:t>
      </w:r>
      <w:r w:rsidRPr="00E234BA">
        <w:rPr>
          <w:b/>
          <w:szCs w:val="24"/>
        </w:rPr>
        <w:t>411</w:t>
      </w:r>
      <w:r w:rsidR="006C4BA8">
        <w:rPr>
          <w:b/>
          <w:szCs w:val="24"/>
        </w:rPr>
        <w:t> </w:t>
      </w:r>
      <w:r w:rsidRPr="00E234BA">
        <w:rPr>
          <w:b/>
          <w:szCs w:val="24"/>
        </w:rPr>
        <w:t>237</w:t>
      </w:r>
      <w:r w:rsidR="006C4BA8">
        <w:rPr>
          <w:b/>
          <w:szCs w:val="24"/>
        </w:rPr>
        <w:t> </w:t>
      </w:r>
      <w:r w:rsidRPr="00E234BA">
        <w:rPr>
          <w:b/>
          <w:szCs w:val="24"/>
        </w:rPr>
        <w:t>tis.</w:t>
      </w:r>
      <w:r w:rsidR="006C4BA8">
        <w:rPr>
          <w:b/>
          <w:szCs w:val="24"/>
        </w:rPr>
        <w:t> </w:t>
      </w:r>
      <w:r w:rsidRPr="00E234BA">
        <w:rPr>
          <w:b/>
          <w:szCs w:val="24"/>
        </w:rPr>
        <w:t>eur, čo je o</w:t>
      </w:r>
      <w:r w:rsidR="006C4BA8">
        <w:rPr>
          <w:b/>
          <w:szCs w:val="24"/>
        </w:rPr>
        <w:t> </w:t>
      </w:r>
      <w:r w:rsidRPr="00E234BA">
        <w:rPr>
          <w:b/>
          <w:szCs w:val="24"/>
        </w:rPr>
        <w:t>171</w:t>
      </w:r>
      <w:r w:rsidR="006C4BA8">
        <w:rPr>
          <w:b/>
          <w:szCs w:val="24"/>
        </w:rPr>
        <w:t> </w:t>
      </w:r>
      <w:r w:rsidRPr="00E234BA">
        <w:rPr>
          <w:b/>
          <w:szCs w:val="24"/>
        </w:rPr>
        <w:t>364</w:t>
      </w:r>
      <w:r w:rsidR="006C4BA8">
        <w:rPr>
          <w:b/>
          <w:szCs w:val="24"/>
        </w:rPr>
        <w:t> </w:t>
      </w:r>
      <w:r w:rsidRPr="00E234BA">
        <w:rPr>
          <w:b/>
          <w:szCs w:val="24"/>
        </w:rPr>
        <w:t>tis.</w:t>
      </w:r>
      <w:r w:rsidR="006C4BA8">
        <w:rPr>
          <w:b/>
          <w:szCs w:val="24"/>
        </w:rPr>
        <w:t> </w:t>
      </w:r>
      <w:r w:rsidRPr="00E234BA">
        <w:rPr>
          <w:b/>
          <w:szCs w:val="24"/>
        </w:rPr>
        <w:t>eur (5,3</w:t>
      </w:r>
      <w:r w:rsidR="006C4BA8">
        <w:rPr>
          <w:b/>
          <w:szCs w:val="24"/>
        </w:rPr>
        <w:t> </w:t>
      </w:r>
      <w:r w:rsidRPr="00E234BA">
        <w:rPr>
          <w:b/>
          <w:szCs w:val="24"/>
        </w:rPr>
        <w:t>%) viac ako v roku 2024. Na</w:t>
      </w:r>
      <w:r w:rsidR="006C4BA8">
        <w:rPr>
          <w:b/>
          <w:szCs w:val="24"/>
        </w:rPr>
        <w:t> </w:t>
      </w:r>
      <w:r w:rsidRPr="00E234BA">
        <w:rPr>
          <w:b/>
          <w:szCs w:val="24"/>
        </w:rPr>
        <w:t>vyššom medziročnom čerpaní sa podieľalo hlavne vyššie čerpanie zo zdroja 111 v sume 159</w:t>
      </w:r>
      <w:r w:rsidR="006C4BA8">
        <w:rPr>
          <w:b/>
          <w:szCs w:val="24"/>
        </w:rPr>
        <w:t> </w:t>
      </w:r>
      <w:r w:rsidRPr="00E234BA">
        <w:rPr>
          <w:b/>
          <w:szCs w:val="24"/>
        </w:rPr>
        <w:t>296</w:t>
      </w:r>
      <w:r w:rsidR="006C4BA8">
        <w:rPr>
          <w:b/>
          <w:szCs w:val="24"/>
        </w:rPr>
        <w:t> </w:t>
      </w:r>
      <w:r w:rsidRPr="00E234BA">
        <w:rPr>
          <w:b/>
          <w:szCs w:val="24"/>
        </w:rPr>
        <w:t>tis.</w:t>
      </w:r>
      <w:r w:rsidR="006C4BA8">
        <w:rPr>
          <w:b/>
          <w:szCs w:val="24"/>
        </w:rPr>
        <w:t> </w:t>
      </w:r>
      <w:r w:rsidRPr="00E234BA">
        <w:rPr>
          <w:b/>
          <w:szCs w:val="24"/>
        </w:rPr>
        <w:t>eur, z </w:t>
      </w:r>
      <w:r w:rsidR="00C4036E">
        <w:rPr>
          <w:b/>
          <w:szCs w:val="24"/>
        </w:rPr>
        <w:t>POO</w:t>
      </w:r>
      <w:r w:rsidRPr="00E234BA">
        <w:rPr>
          <w:b/>
          <w:szCs w:val="24"/>
        </w:rPr>
        <w:t xml:space="preserve"> SR v sume 8</w:t>
      </w:r>
      <w:r w:rsidR="006C4BA8">
        <w:rPr>
          <w:b/>
          <w:szCs w:val="24"/>
        </w:rPr>
        <w:t> </w:t>
      </w:r>
      <w:r w:rsidRPr="00E234BA">
        <w:rPr>
          <w:b/>
          <w:szCs w:val="24"/>
        </w:rPr>
        <w:t>404</w:t>
      </w:r>
      <w:r w:rsidR="006C4BA8">
        <w:rPr>
          <w:b/>
          <w:szCs w:val="24"/>
        </w:rPr>
        <w:t> </w:t>
      </w:r>
      <w:r w:rsidRPr="00E234BA">
        <w:rPr>
          <w:b/>
          <w:szCs w:val="24"/>
        </w:rPr>
        <w:t>tis.</w:t>
      </w:r>
      <w:r w:rsidR="006C4BA8">
        <w:rPr>
          <w:b/>
          <w:szCs w:val="24"/>
        </w:rPr>
        <w:t> </w:t>
      </w:r>
      <w:r w:rsidRPr="00E234BA">
        <w:rPr>
          <w:b/>
          <w:szCs w:val="24"/>
        </w:rPr>
        <w:t>eur a zo zdroja EÚ a spolufinancovania zo</w:t>
      </w:r>
      <w:r w:rsidR="00C4036E">
        <w:rPr>
          <w:b/>
          <w:szCs w:val="24"/>
        </w:rPr>
        <w:t> </w:t>
      </w:r>
      <w:r w:rsidRPr="00E234BA">
        <w:rPr>
          <w:b/>
          <w:szCs w:val="24"/>
        </w:rPr>
        <w:t>štátneho rozpočtu v sume 3</w:t>
      </w:r>
      <w:r w:rsidR="006C4BA8">
        <w:rPr>
          <w:b/>
          <w:szCs w:val="24"/>
        </w:rPr>
        <w:t> </w:t>
      </w:r>
      <w:r w:rsidRPr="00E234BA">
        <w:rPr>
          <w:b/>
          <w:szCs w:val="24"/>
        </w:rPr>
        <w:t>716</w:t>
      </w:r>
      <w:r w:rsidR="006C4BA8">
        <w:rPr>
          <w:b/>
          <w:szCs w:val="24"/>
        </w:rPr>
        <w:t> </w:t>
      </w:r>
      <w:r w:rsidRPr="00E234BA">
        <w:rPr>
          <w:b/>
          <w:szCs w:val="24"/>
        </w:rPr>
        <w:t>tis.</w:t>
      </w:r>
      <w:r w:rsidR="006C4BA8">
        <w:rPr>
          <w:b/>
          <w:szCs w:val="24"/>
        </w:rPr>
        <w:t> </w:t>
      </w:r>
      <w:r w:rsidRPr="00E234BA">
        <w:rPr>
          <w:b/>
          <w:szCs w:val="24"/>
        </w:rPr>
        <w:t>eur. Zároveň došlo k medziročnému poklesu čerpania zo zdroja 11UA v sume 33,7</w:t>
      </w:r>
      <w:r w:rsidR="006C4BA8">
        <w:rPr>
          <w:b/>
          <w:szCs w:val="24"/>
        </w:rPr>
        <w:t> </w:t>
      </w:r>
      <w:r w:rsidRPr="00E234BA">
        <w:rPr>
          <w:b/>
          <w:szCs w:val="24"/>
        </w:rPr>
        <w:t>tis.</w:t>
      </w:r>
      <w:r w:rsidR="006C4BA8">
        <w:rPr>
          <w:b/>
          <w:szCs w:val="24"/>
        </w:rPr>
        <w:t> </w:t>
      </w:r>
      <w:r w:rsidRPr="00E234BA">
        <w:rPr>
          <w:b/>
          <w:szCs w:val="24"/>
        </w:rPr>
        <w:t>eur a</w:t>
      </w:r>
      <w:r w:rsidR="006C4BA8">
        <w:rPr>
          <w:b/>
          <w:szCs w:val="24"/>
        </w:rPr>
        <w:t> </w:t>
      </w:r>
      <w:r w:rsidRPr="00E234BA">
        <w:rPr>
          <w:b/>
          <w:szCs w:val="24"/>
        </w:rPr>
        <w:t>zo</w:t>
      </w:r>
      <w:r w:rsidR="006C4BA8">
        <w:rPr>
          <w:b/>
          <w:szCs w:val="24"/>
        </w:rPr>
        <w:t> </w:t>
      </w:r>
      <w:r w:rsidRPr="00E234BA">
        <w:rPr>
          <w:b/>
          <w:szCs w:val="24"/>
        </w:rPr>
        <w:t>zdroja 72h v sume 18,4</w:t>
      </w:r>
      <w:r w:rsidR="006C4BA8">
        <w:rPr>
          <w:b/>
          <w:szCs w:val="24"/>
        </w:rPr>
        <w:t> </w:t>
      </w:r>
      <w:r w:rsidRPr="00E234BA">
        <w:rPr>
          <w:b/>
          <w:szCs w:val="24"/>
        </w:rPr>
        <w:t>tis.</w:t>
      </w:r>
      <w:r w:rsidR="006C4BA8">
        <w:rPr>
          <w:b/>
          <w:szCs w:val="24"/>
        </w:rPr>
        <w:t> </w:t>
      </w:r>
      <w:r w:rsidRPr="00E234BA">
        <w:rPr>
          <w:b/>
          <w:szCs w:val="24"/>
        </w:rPr>
        <w:t>eur.</w:t>
      </w:r>
    </w:p>
    <w:p w14:paraId="63C96320" w14:textId="77777777" w:rsidR="0076205F" w:rsidRDefault="0076205F" w:rsidP="00D5791A">
      <w:pPr>
        <w:spacing w:line="240" w:lineRule="auto"/>
        <w:jc w:val="both"/>
        <w:rPr>
          <w:szCs w:val="24"/>
        </w:rPr>
      </w:pPr>
    </w:p>
    <w:p w14:paraId="1A22C79B" w14:textId="7E58CE51" w:rsidR="00E234BA" w:rsidRPr="00E234BA" w:rsidRDefault="00E234BA" w:rsidP="00D5791A">
      <w:pPr>
        <w:spacing w:line="240" w:lineRule="auto"/>
        <w:jc w:val="both"/>
        <w:rPr>
          <w:szCs w:val="24"/>
        </w:rPr>
      </w:pPr>
      <w:r w:rsidRPr="00E234BA">
        <w:rPr>
          <w:szCs w:val="24"/>
        </w:rPr>
        <w:t>Z prostriedkov štátneho rozpočtu zo zdroja 111 a 11UA boli na mzdy, platy, služobné príjmy a OOV zamestnancov čerpané finančné prostriedky v sume 3</w:t>
      </w:r>
      <w:r w:rsidR="006C4BA8">
        <w:rPr>
          <w:szCs w:val="24"/>
        </w:rPr>
        <w:t> </w:t>
      </w:r>
      <w:r w:rsidRPr="00E234BA">
        <w:rPr>
          <w:szCs w:val="24"/>
        </w:rPr>
        <w:t>266</w:t>
      </w:r>
      <w:r w:rsidR="006C4BA8">
        <w:rPr>
          <w:szCs w:val="24"/>
        </w:rPr>
        <w:t> </w:t>
      </w:r>
      <w:r w:rsidRPr="00E234BA">
        <w:rPr>
          <w:szCs w:val="24"/>
        </w:rPr>
        <w:t>355</w:t>
      </w:r>
      <w:r w:rsidR="006C4BA8">
        <w:rPr>
          <w:szCs w:val="24"/>
        </w:rPr>
        <w:t> </w:t>
      </w:r>
      <w:r w:rsidRPr="00E234BA">
        <w:rPr>
          <w:szCs w:val="24"/>
        </w:rPr>
        <w:t>tis.</w:t>
      </w:r>
      <w:r w:rsidR="006C4BA8">
        <w:rPr>
          <w:szCs w:val="24"/>
        </w:rPr>
        <w:t> </w:t>
      </w:r>
      <w:r w:rsidRPr="00E234BA">
        <w:rPr>
          <w:szCs w:val="24"/>
        </w:rPr>
        <w:t>eur. Z prostriedkov EÚ a prostriedkov na spolufinancovanie zo štátneho rozpočtu boli vyplatené mzdy v sume 144</w:t>
      </w:r>
      <w:r w:rsidR="006C4BA8">
        <w:rPr>
          <w:szCs w:val="24"/>
        </w:rPr>
        <w:t> </w:t>
      </w:r>
      <w:r w:rsidRPr="00E234BA">
        <w:rPr>
          <w:szCs w:val="24"/>
        </w:rPr>
        <w:t>838</w:t>
      </w:r>
      <w:r w:rsidR="006C4BA8">
        <w:rPr>
          <w:szCs w:val="24"/>
        </w:rPr>
        <w:t> </w:t>
      </w:r>
      <w:r w:rsidRPr="00E234BA">
        <w:rPr>
          <w:szCs w:val="24"/>
        </w:rPr>
        <w:t>tis.</w:t>
      </w:r>
      <w:r w:rsidR="006C4BA8">
        <w:rPr>
          <w:szCs w:val="24"/>
        </w:rPr>
        <w:t> </w:t>
      </w:r>
      <w:r w:rsidRPr="00E234BA">
        <w:rPr>
          <w:szCs w:val="24"/>
        </w:rPr>
        <w:t xml:space="preserve">eur, z toho z prostriedkov </w:t>
      </w:r>
      <w:r w:rsidR="00C4036E">
        <w:rPr>
          <w:szCs w:val="24"/>
        </w:rPr>
        <w:t>POO </w:t>
      </w:r>
      <w:r w:rsidRPr="00E234BA">
        <w:rPr>
          <w:szCs w:val="24"/>
        </w:rPr>
        <w:t>SR v sume 30</w:t>
      </w:r>
      <w:r w:rsidR="006C4BA8">
        <w:rPr>
          <w:szCs w:val="24"/>
        </w:rPr>
        <w:t> </w:t>
      </w:r>
      <w:r w:rsidRPr="00E234BA">
        <w:rPr>
          <w:szCs w:val="24"/>
        </w:rPr>
        <w:t>337</w:t>
      </w:r>
      <w:r w:rsidR="006C4BA8">
        <w:rPr>
          <w:szCs w:val="24"/>
        </w:rPr>
        <w:t> </w:t>
      </w:r>
      <w:r w:rsidRPr="00E234BA">
        <w:rPr>
          <w:szCs w:val="24"/>
        </w:rPr>
        <w:t>tis.</w:t>
      </w:r>
      <w:r w:rsidR="006C4BA8">
        <w:rPr>
          <w:szCs w:val="24"/>
        </w:rPr>
        <w:t> </w:t>
      </w:r>
      <w:r w:rsidRPr="00E234BA">
        <w:rPr>
          <w:szCs w:val="24"/>
        </w:rPr>
        <w:t>eur. Na</w:t>
      </w:r>
      <w:r w:rsidR="006C4BA8">
        <w:rPr>
          <w:szCs w:val="24"/>
        </w:rPr>
        <w:t> </w:t>
      </w:r>
      <w:r w:rsidRPr="00E234BA">
        <w:rPr>
          <w:szCs w:val="24"/>
        </w:rPr>
        <w:t>zdroji 72h boli výdavky na mzdy, platy, služobné platy a OOV čerpané v sume 43</w:t>
      </w:r>
      <w:r w:rsidR="006C4BA8">
        <w:rPr>
          <w:szCs w:val="24"/>
        </w:rPr>
        <w:t> </w:t>
      </w:r>
      <w:r w:rsidRPr="00E234BA">
        <w:rPr>
          <w:szCs w:val="24"/>
        </w:rPr>
        <w:t>tis.</w:t>
      </w:r>
      <w:r w:rsidR="006C4BA8">
        <w:rPr>
          <w:szCs w:val="24"/>
        </w:rPr>
        <w:t> </w:t>
      </w:r>
      <w:r w:rsidRPr="00E234BA">
        <w:rPr>
          <w:szCs w:val="24"/>
        </w:rPr>
        <w:t>eur.</w:t>
      </w:r>
    </w:p>
    <w:p w14:paraId="43503AE2" w14:textId="62F3395A" w:rsidR="00E234BA" w:rsidRPr="00E234BA" w:rsidRDefault="00E234BA" w:rsidP="00D5791A">
      <w:pPr>
        <w:spacing w:line="240" w:lineRule="auto"/>
        <w:jc w:val="both"/>
        <w:rPr>
          <w:szCs w:val="24"/>
        </w:rPr>
      </w:pPr>
      <w:r w:rsidRPr="00E234BA">
        <w:rPr>
          <w:szCs w:val="24"/>
          <w:u w:val="single"/>
        </w:rPr>
        <w:t>Limit výdavkov na mzdy, platy, služobné príjmy a OOV bol ako záväzný ukazovateľ na</w:t>
      </w:r>
      <w:r w:rsidR="00FA7AA9">
        <w:rPr>
          <w:szCs w:val="24"/>
          <w:u w:val="single"/>
        </w:rPr>
        <w:t> </w:t>
      </w:r>
      <w:r w:rsidRPr="00E234BA">
        <w:rPr>
          <w:szCs w:val="24"/>
          <w:u w:val="single"/>
        </w:rPr>
        <w:t>zdroji 111, 11H a 11UA vo všetkých kapitolách štátneho rozpočtu dodržaný</w:t>
      </w:r>
      <w:r w:rsidRPr="00E234BA">
        <w:rPr>
          <w:szCs w:val="24"/>
        </w:rPr>
        <w:t>.</w:t>
      </w:r>
    </w:p>
    <w:p w14:paraId="2A20C34A" w14:textId="77777777" w:rsidR="00FA7AA9" w:rsidRDefault="00FA7AA9" w:rsidP="00532D85">
      <w:pPr>
        <w:spacing w:line="240" w:lineRule="auto"/>
        <w:jc w:val="both"/>
        <w:rPr>
          <w:szCs w:val="24"/>
          <w:highlight w:val="yellow"/>
        </w:rPr>
      </w:pPr>
    </w:p>
    <w:p w14:paraId="6146810E" w14:textId="3FECBD95" w:rsidR="004D69BF" w:rsidRDefault="004D69BF" w:rsidP="007453BD">
      <w:pPr>
        <w:spacing w:line="240" w:lineRule="auto"/>
        <w:jc w:val="both"/>
        <w:rPr>
          <w:b/>
          <w:color w:val="5B9BD5" w:themeColor="accent1"/>
          <w:szCs w:val="24"/>
        </w:rPr>
      </w:pPr>
      <w:r w:rsidRPr="00722F9F">
        <w:rPr>
          <w:b/>
          <w:color w:val="5B9BD5" w:themeColor="accent1"/>
          <w:szCs w:val="24"/>
        </w:rPr>
        <w:t>Zamestnanosť v rozpočtových organizáciách ústrednej správy</w:t>
      </w:r>
    </w:p>
    <w:p w14:paraId="0DFF5062" w14:textId="18646F47" w:rsidR="00722F9F" w:rsidRPr="00722F9F" w:rsidRDefault="00722F9F" w:rsidP="007453BD">
      <w:pPr>
        <w:spacing w:line="240" w:lineRule="auto"/>
        <w:jc w:val="both"/>
        <w:rPr>
          <w:szCs w:val="24"/>
        </w:rPr>
      </w:pPr>
      <w:r w:rsidRPr="00722F9F">
        <w:rPr>
          <w:b/>
          <w:szCs w:val="24"/>
        </w:rPr>
        <w:t>Limit počtu zamestnancov</w:t>
      </w:r>
      <w:r w:rsidRPr="00722F9F">
        <w:rPr>
          <w:szCs w:val="24"/>
        </w:rPr>
        <w:t xml:space="preserve"> </w:t>
      </w:r>
      <w:r w:rsidRPr="00722F9F">
        <w:rPr>
          <w:b/>
          <w:bCs/>
          <w:szCs w:val="24"/>
        </w:rPr>
        <w:t>pre rozpočtové organizácie kapitol štátneho</w:t>
      </w:r>
      <w:r w:rsidRPr="00722F9F">
        <w:rPr>
          <w:szCs w:val="24"/>
        </w:rPr>
        <w:t xml:space="preserve"> </w:t>
      </w:r>
      <w:r w:rsidRPr="00722F9F">
        <w:rPr>
          <w:b/>
          <w:bCs/>
          <w:szCs w:val="24"/>
        </w:rPr>
        <w:t>rozpočtu</w:t>
      </w:r>
      <w:r w:rsidRPr="00722F9F">
        <w:rPr>
          <w:szCs w:val="24"/>
        </w:rPr>
        <w:t xml:space="preserve"> na</w:t>
      </w:r>
      <w:r w:rsidR="00FA7AA9">
        <w:rPr>
          <w:szCs w:val="24"/>
        </w:rPr>
        <w:t> </w:t>
      </w:r>
      <w:r w:rsidRPr="00722F9F">
        <w:rPr>
          <w:szCs w:val="24"/>
        </w:rPr>
        <w:t>rok 2025 bol schválený uznesením vlády SR č.</w:t>
      </w:r>
      <w:r w:rsidR="00FA7AA9">
        <w:rPr>
          <w:szCs w:val="24"/>
        </w:rPr>
        <w:t> </w:t>
      </w:r>
      <w:r w:rsidRPr="00722F9F">
        <w:rPr>
          <w:szCs w:val="24"/>
        </w:rPr>
        <w:t>606/2024 k Návrhu rozpočtu verejnej správy na</w:t>
      </w:r>
      <w:r w:rsidR="00FA7AA9">
        <w:rPr>
          <w:szCs w:val="24"/>
        </w:rPr>
        <w:t> </w:t>
      </w:r>
      <w:r w:rsidRPr="00722F9F">
        <w:rPr>
          <w:szCs w:val="24"/>
        </w:rPr>
        <w:t>roky 2025 až 2027 v počte 130</w:t>
      </w:r>
      <w:r w:rsidR="00FA7AA9">
        <w:rPr>
          <w:szCs w:val="24"/>
        </w:rPr>
        <w:t> </w:t>
      </w:r>
      <w:r w:rsidRPr="00722F9F">
        <w:rPr>
          <w:szCs w:val="24"/>
        </w:rPr>
        <w:t>000 osôb (r. 2024: 131</w:t>
      </w:r>
      <w:r w:rsidR="00FA7AA9">
        <w:rPr>
          <w:szCs w:val="24"/>
        </w:rPr>
        <w:t> </w:t>
      </w:r>
      <w:r w:rsidRPr="00722F9F">
        <w:rPr>
          <w:szCs w:val="24"/>
        </w:rPr>
        <w:t>869</w:t>
      </w:r>
      <w:r w:rsidR="00FA7AA9">
        <w:rPr>
          <w:szCs w:val="24"/>
        </w:rPr>
        <w:t xml:space="preserve"> osôb</w:t>
      </w:r>
      <w:r w:rsidRPr="00722F9F">
        <w:rPr>
          <w:szCs w:val="24"/>
        </w:rPr>
        <w:t>). Schválený limit počtu zamestnancov rozpočtových organizácií medziročne klesol o</w:t>
      </w:r>
      <w:r w:rsidR="00FA7AA9">
        <w:rPr>
          <w:szCs w:val="24"/>
        </w:rPr>
        <w:t> </w:t>
      </w:r>
      <w:r w:rsidRPr="00722F9F">
        <w:rPr>
          <w:szCs w:val="24"/>
        </w:rPr>
        <w:t>1</w:t>
      </w:r>
      <w:r w:rsidR="00FA7AA9">
        <w:rPr>
          <w:szCs w:val="24"/>
        </w:rPr>
        <w:t> </w:t>
      </w:r>
      <w:r w:rsidRPr="00722F9F">
        <w:rPr>
          <w:szCs w:val="24"/>
        </w:rPr>
        <w:t>869 osôb. Na</w:t>
      </w:r>
      <w:r w:rsidR="00FA7AA9">
        <w:rPr>
          <w:szCs w:val="24"/>
        </w:rPr>
        <w:t> </w:t>
      </w:r>
      <w:r w:rsidRPr="00722F9F">
        <w:rPr>
          <w:szCs w:val="24"/>
        </w:rPr>
        <w:t>poklese rozpočtovaného počtu zamestnancov sa najvýraznejšie podieľalo zníženie limitu počtu o</w:t>
      </w:r>
      <w:r w:rsidR="00FA7AA9">
        <w:rPr>
          <w:szCs w:val="24"/>
        </w:rPr>
        <w:t> </w:t>
      </w:r>
      <w:r w:rsidRPr="00722F9F">
        <w:rPr>
          <w:szCs w:val="24"/>
        </w:rPr>
        <w:t>3</w:t>
      </w:r>
      <w:r w:rsidR="00FA7AA9">
        <w:rPr>
          <w:szCs w:val="24"/>
        </w:rPr>
        <w:t> </w:t>
      </w:r>
      <w:r w:rsidRPr="00722F9F">
        <w:rPr>
          <w:szCs w:val="24"/>
        </w:rPr>
        <w:t>887</w:t>
      </w:r>
      <w:r w:rsidR="00FA7AA9">
        <w:rPr>
          <w:szCs w:val="24"/>
        </w:rPr>
        <w:t> </w:t>
      </w:r>
      <w:r w:rsidRPr="00722F9F">
        <w:rPr>
          <w:szCs w:val="24"/>
        </w:rPr>
        <w:t>osôb realizované v rámci konsolidačných opatrení v rozsahu 10</w:t>
      </w:r>
      <w:r w:rsidR="00FA7AA9">
        <w:rPr>
          <w:szCs w:val="24"/>
        </w:rPr>
        <w:t> </w:t>
      </w:r>
      <w:r w:rsidRPr="00722F9F">
        <w:rPr>
          <w:szCs w:val="24"/>
        </w:rPr>
        <w:t>% šetrenia na</w:t>
      </w:r>
      <w:r w:rsidR="00FA7AA9">
        <w:rPr>
          <w:szCs w:val="24"/>
        </w:rPr>
        <w:t> </w:t>
      </w:r>
      <w:r w:rsidRPr="00722F9F">
        <w:rPr>
          <w:szCs w:val="24"/>
        </w:rPr>
        <w:t>mzdovej obálke štátu. Limit počtu zamestnancov štátnych rozpočtových organizácií zohľadňuje aj zvýšenie počtu zamestnancov, najmä na zabezpečenie implementácie novely školského zákona schváleného v roku 2023 v počte 1</w:t>
      </w:r>
      <w:r w:rsidR="00FA7AA9">
        <w:rPr>
          <w:szCs w:val="24"/>
        </w:rPr>
        <w:t> </w:t>
      </w:r>
      <w:r w:rsidRPr="00722F9F">
        <w:rPr>
          <w:szCs w:val="24"/>
        </w:rPr>
        <w:t>119 osôb v kapitole Ministerstvo školstva, výskumu, vývoja a mládeže SR, vzniku novej kapitoly štátneho rozpočtu Ministerstvo cestovného ruchu a</w:t>
      </w:r>
      <w:r w:rsidR="00FA7AA9">
        <w:rPr>
          <w:szCs w:val="24"/>
        </w:rPr>
        <w:t> </w:t>
      </w:r>
      <w:r w:rsidRPr="00722F9F">
        <w:rPr>
          <w:szCs w:val="24"/>
        </w:rPr>
        <w:t xml:space="preserve">športu SR v počte 200 osôb nad rámec delimitácií z ostatných ministerstiev ako aj zvýšenie počtu zamestnancov Pôdohospodárskej platobnej agentúry pre oblasť vyhodnocovania, kontroly verejného obstarávania a implementácie projektových opatrení Programu rozvoja vidieka </w:t>
      </w:r>
      <w:r w:rsidRPr="00722F9F">
        <w:rPr>
          <w:szCs w:val="24"/>
        </w:rPr>
        <w:lastRenderedPageBreak/>
        <w:t>Slovenskej republiky 2014 – 2022 v kapitole Ministerstvo pôdohospodárstva a</w:t>
      </w:r>
      <w:r w:rsidR="00FA7AA9">
        <w:rPr>
          <w:szCs w:val="24"/>
        </w:rPr>
        <w:t> </w:t>
      </w:r>
      <w:r w:rsidRPr="00722F9F">
        <w:rPr>
          <w:szCs w:val="24"/>
        </w:rPr>
        <w:t>rozvoja vidieka SR v počte 70 osôb. Na zabezpečenie projektov financovaných zo zdrojov EÚ sa medziročne zvýšil rozpočtovaný počet zamestnancov štátnych rozpočtových organizácií o</w:t>
      </w:r>
      <w:r w:rsidR="00FA7AA9">
        <w:rPr>
          <w:szCs w:val="24"/>
        </w:rPr>
        <w:t> </w:t>
      </w:r>
      <w:r w:rsidRPr="00722F9F">
        <w:rPr>
          <w:szCs w:val="24"/>
        </w:rPr>
        <w:t>361 osôb.</w:t>
      </w:r>
    </w:p>
    <w:p w14:paraId="4D60319B" w14:textId="77777777" w:rsidR="00722F9F" w:rsidRDefault="00722F9F" w:rsidP="00D5791A">
      <w:pPr>
        <w:spacing w:line="240" w:lineRule="auto"/>
        <w:jc w:val="both"/>
        <w:rPr>
          <w:szCs w:val="24"/>
        </w:rPr>
      </w:pPr>
    </w:p>
    <w:p w14:paraId="16BB6A50" w14:textId="37782091" w:rsidR="00722F9F" w:rsidRPr="00722F9F" w:rsidRDefault="00722F9F" w:rsidP="00D5791A">
      <w:pPr>
        <w:spacing w:line="240" w:lineRule="auto"/>
        <w:jc w:val="both"/>
        <w:rPr>
          <w:szCs w:val="24"/>
        </w:rPr>
      </w:pPr>
      <w:r w:rsidRPr="00722F9F">
        <w:rPr>
          <w:szCs w:val="24"/>
        </w:rPr>
        <w:t>V rámci schváleného limitu počtu zamestnancov rozpočtových organizácií kapitol štátneho rozpočtu boli uznesením vlády Slovenskej republiky č.</w:t>
      </w:r>
      <w:r w:rsidR="00FA7AA9">
        <w:rPr>
          <w:szCs w:val="24"/>
        </w:rPr>
        <w:t> </w:t>
      </w:r>
      <w:r w:rsidRPr="00722F9F">
        <w:rPr>
          <w:szCs w:val="24"/>
        </w:rPr>
        <w:t>488/2023 schválené aj administratívne kapacity osobitne sledované v počte 1 508 osôb. Skutočný počet administratívnych kapacít osobitne sledovaných v roku 2025 dosiahol počet 1</w:t>
      </w:r>
      <w:r w:rsidR="00FA7AA9">
        <w:rPr>
          <w:szCs w:val="24"/>
        </w:rPr>
        <w:t> </w:t>
      </w:r>
      <w:r w:rsidRPr="00722F9F">
        <w:rPr>
          <w:szCs w:val="24"/>
        </w:rPr>
        <w:t>341 osôb.</w:t>
      </w:r>
    </w:p>
    <w:p w14:paraId="0E851AD2" w14:textId="77777777" w:rsidR="00722F9F" w:rsidRDefault="00722F9F" w:rsidP="00D5791A">
      <w:pPr>
        <w:spacing w:line="240" w:lineRule="auto"/>
        <w:jc w:val="both"/>
        <w:rPr>
          <w:szCs w:val="24"/>
        </w:rPr>
      </w:pPr>
    </w:p>
    <w:p w14:paraId="2EEA4712" w14:textId="32C15DB8" w:rsidR="00722F9F" w:rsidRPr="00722F9F" w:rsidRDefault="00722F9F" w:rsidP="00D5791A">
      <w:pPr>
        <w:spacing w:line="240" w:lineRule="auto"/>
        <w:jc w:val="both"/>
        <w:rPr>
          <w:szCs w:val="24"/>
        </w:rPr>
      </w:pPr>
      <w:r w:rsidRPr="00722F9F">
        <w:rPr>
          <w:szCs w:val="24"/>
        </w:rPr>
        <w:t>V priebehu roka 2025 bol limit počtu zamestnancov rozpočtových organizácií zvýšený rozpočtovými opatreniami na 132</w:t>
      </w:r>
      <w:r w:rsidR="00FA7AA9">
        <w:rPr>
          <w:szCs w:val="24"/>
        </w:rPr>
        <w:t> </w:t>
      </w:r>
      <w:r w:rsidRPr="00722F9F">
        <w:rPr>
          <w:szCs w:val="24"/>
        </w:rPr>
        <w:t>947 osôb (o</w:t>
      </w:r>
      <w:r w:rsidR="00FA7AA9">
        <w:rPr>
          <w:szCs w:val="24"/>
        </w:rPr>
        <w:t> </w:t>
      </w:r>
      <w:r w:rsidRPr="00722F9F">
        <w:rPr>
          <w:szCs w:val="24"/>
        </w:rPr>
        <w:t>2</w:t>
      </w:r>
      <w:r w:rsidR="00FA7AA9">
        <w:rPr>
          <w:szCs w:val="24"/>
        </w:rPr>
        <w:t> </w:t>
      </w:r>
      <w:r w:rsidRPr="00722F9F">
        <w:rPr>
          <w:szCs w:val="24"/>
        </w:rPr>
        <w:t>947 osôb).</w:t>
      </w:r>
    </w:p>
    <w:p w14:paraId="26633A45" w14:textId="77777777" w:rsidR="00722F9F" w:rsidRDefault="00722F9F" w:rsidP="00D5791A">
      <w:pPr>
        <w:spacing w:line="240" w:lineRule="auto"/>
        <w:jc w:val="both"/>
        <w:rPr>
          <w:szCs w:val="24"/>
        </w:rPr>
      </w:pPr>
    </w:p>
    <w:p w14:paraId="6CB5465E" w14:textId="7FE42128" w:rsidR="00722F9F" w:rsidRPr="00722F9F" w:rsidRDefault="00722F9F" w:rsidP="00D5791A">
      <w:pPr>
        <w:spacing w:line="240" w:lineRule="auto"/>
        <w:jc w:val="both"/>
        <w:rPr>
          <w:strike/>
          <w:szCs w:val="24"/>
        </w:rPr>
      </w:pPr>
      <w:r w:rsidRPr="00722F9F">
        <w:rPr>
          <w:szCs w:val="24"/>
        </w:rPr>
        <w:t>Z dôvodu zamestnávania projektových zamestnancov, ktorých mzdové výdavky sú hradené zo</w:t>
      </w:r>
      <w:r w:rsidR="00FA7AA9">
        <w:rPr>
          <w:szCs w:val="24"/>
        </w:rPr>
        <w:t> </w:t>
      </w:r>
      <w:r w:rsidRPr="00722F9F">
        <w:rPr>
          <w:szCs w:val="24"/>
        </w:rPr>
        <w:t>zdrojov Európskej únie, bolo realizované zvýšenie limitov počtov zamestnancov o 1 847 osôb, a to najmä v kapitolách Ministerstvo práce, sociálnych vecí a rodiny SR v počte 1 619 osôb, Úrad vlády SR o 90 osôb a Ministerstvo vnútra SR o 66 osôb. Na základe požiadaviek jednotlivých kapitol štátneho rozpočtu o personálne posilnenie sa v priebehu roka upravil limit počtu zamestnancov rozpočtových organizácií o 791 osôb, napríklad v kapitole Ministerstvo obrany SR v počte 476 osôb na zabezpečenie pl</w:t>
      </w:r>
      <w:r w:rsidR="00FA7AA9">
        <w:rPr>
          <w:szCs w:val="24"/>
        </w:rPr>
        <w:t>n</w:t>
      </w:r>
      <w:r w:rsidRPr="00722F9F">
        <w:rPr>
          <w:szCs w:val="24"/>
        </w:rPr>
        <w:t>enia nových, náročných úloh, v kapitole Ministerstvo práce, sociálnych vecí a rodiny SR o 227 osôb na</w:t>
      </w:r>
      <w:r w:rsidR="00FA7AA9">
        <w:rPr>
          <w:szCs w:val="24"/>
        </w:rPr>
        <w:t> </w:t>
      </w:r>
      <w:r w:rsidRPr="00722F9F">
        <w:rPr>
          <w:szCs w:val="24"/>
        </w:rPr>
        <w:t>zabezpečenie poskytovania pomoci pri HYPO úveroch prostredníctvom ÚPSVaR a na zabezpečenie plnenia integrovanej posudkovej činnosti a v kapitole Najvyšší kontrolný úrad SR v počte 31 osôb z dôvodu vrátenia 10</w:t>
      </w:r>
      <w:r w:rsidR="00FA7AA9">
        <w:rPr>
          <w:szCs w:val="24"/>
        </w:rPr>
        <w:t> </w:t>
      </w:r>
      <w:r w:rsidRPr="00722F9F">
        <w:rPr>
          <w:szCs w:val="24"/>
        </w:rPr>
        <w:t>% viazania počtu zamestnancov.</w:t>
      </w:r>
    </w:p>
    <w:p w14:paraId="195C791A" w14:textId="77777777" w:rsidR="00722F9F" w:rsidRDefault="00722F9F" w:rsidP="00D5791A">
      <w:pPr>
        <w:spacing w:line="240" w:lineRule="auto"/>
        <w:jc w:val="both"/>
        <w:rPr>
          <w:b/>
          <w:szCs w:val="24"/>
        </w:rPr>
      </w:pPr>
    </w:p>
    <w:p w14:paraId="01597345" w14:textId="2F9B3B44" w:rsidR="00722F9F" w:rsidRPr="00722F9F" w:rsidRDefault="00722F9F" w:rsidP="00D5791A">
      <w:pPr>
        <w:spacing w:line="240" w:lineRule="auto"/>
        <w:jc w:val="both"/>
        <w:rPr>
          <w:szCs w:val="24"/>
        </w:rPr>
      </w:pPr>
      <w:r w:rsidRPr="00722F9F">
        <w:rPr>
          <w:b/>
          <w:szCs w:val="24"/>
        </w:rPr>
        <w:t>Skutočné plnenie počtu zamestnancov rozpočtových organizácií kapitol štátneho rozpočtu dosiahlo úroveň 123</w:t>
      </w:r>
      <w:r w:rsidR="00FA7AA9">
        <w:rPr>
          <w:b/>
          <w:szCs w:val="24"/>
        </w:rPr>
        <w:t> </w:t>
      </w:r>
      <w:r w:rsidRPr="00722F9F">
        <w:rPr>
          <w:b/>
          <w:szCs w:val="24"/>
        </w:rPr>
        <w:t xml:space="preserve">680 osôb, čo je v porovnaní s ich skutočným plnením v roku 2024 o 227 osôb viac. </w:t>
      </w:r>
      <w:r w:rsidRPr="00722F9F">
        <w:rPr>
          <w:szCs w:val="24"/>
        </w:rPr>
        <w:t>V porovnaní s pôvodne schváleným limitom počtu zamestnancov je skutočnosť nižšia o 6 320 osôb (4,9</w:t>
      </w:r>
      <w:r w:rsidR="00FA7AA9">
        <w:rPr>
          <w:szCs w:val="24"/>
        </w:rPr>
        <w:t> </w:t>
      </w:r>
      <w:r w:rsidRPr="00722F9F">
        <w:rPr>
          <w:szCs w:val="24"/>
        </w:rPr>
        <w:t>%) a v porovnaní s upraveným limitom na</w:t>
      </w:r>
      <w:r w:rsidR="00FA7AA9">
        <w:rPr>
          <w:szCs w:val="24"/>
        </w:rPr>
        <w:t> </w:t>
      </w:r>
      <w:r w:rsidRPr="00722F9F">
        <w:rPr>
          <w:szCs w:val="24"/>
        </w:rPr>
        <w:t>rok 2025 nižšia o</w:t>
      </w:r>
      <w:r w:rsidR="00FA7AA9">
        <w:rPr>
          <w:szCs w:val="24"/>
        </w:rPr>
        <w:t> </w:t>
      </w:r>
      <w:r w:rsidRPr="00722F9F">
        <w:rPr>
          <w:szCs w:val="24"/>
        </w:rPr>
        <w:t>9</w:t>
      </w:r>
      <w:r w:rsidR="00FA7AA9">
        <w:rPr>
          <w:szCs w:val="24"/>
        </w:rPr>
        <w:t> </w:t>
      </w:r>
      <w:r w:rsidRPr="00722F9F">
        <w:rPr>
          <w:szCs w:val="24"/>
        </w:rPr>
        <w:t>267 osôb (7</w:t>
      </w:r>
      <w:r w:rsidR="00FA7AA9">
        <w:rPr>
          <w:szCs w:val="24"/>
        </w:rPr>
        <w:t> </w:t>
      </w:r>
      <w:r w:rsidRPr="00722F9F">
        <w:rPr>
          <w:szCs w:val="24"/>
        </w:rPr>
        <w:t>%). Upravený limit počtu zamestnancov neprekročila ani jedna kapitola štátneho rozpočtu a ani žiadna zo 4 organizácií rozpočtovaných v kapitole Všeobecná pokladničná správa. V absolútnom vyjadrení je možné konštatovať dlhodobé výrazné neplnenie limitu počtu zamestnancov v kapitolách Ministerstvo vnútra (3</w:t>
      </w:r>
      <w:r w:rsidR="00FA7AA9">
        <w:rPr>
          <w:szCs w:val="24"/>
        </w:rPr>
        <w:t> </w:t>
      </w:r>
      <w:r w:rsidRPr="00722F9F">
        <w:rPr>
          <w:szCs w:val="24"/>
        </w:rPr>
        <w:t>934 osôb, z toho systemizovaného počtu policajtov v štátnej službe v počte 3</w:t>
      </w:r>
      <w:r w:rsidR="00FA7AA9">
        <w:rPr>
          <w:szCs w:val="24"/>
        </w:rPr>
        <w:t> </w:t>
      </w:r>
      <w:r w:rsidRPr="00722F9F">
        <w:rPr>
          <w:szCs w:val="24"/>
        </w:rPr>
        <w:t>912 osôb), Ministerstvo školstva, výskumu, vývoja a mládeže SR (1</w:t>
      </w:r>
      <w:r w:rsidR="00FA7AA9">
        <w:rPr>
          <w:szCs w:val="24"/>
        </w:rPr>
        <w:t> </w:t>
      </w:r>
      <w:r w:rsidRPr="00722F9F">
        <w:rPr>
          <w:szCs w:val="24"/>
        </w:rPr>
        <w:t>557 osôb), Ministerstvo financií SR (789 osôb, z toho 695 príslušníkov finančnej správy), Ministerstvo spravodlivosti SR (609 osôb, z toho 258 príslušníkov ZVJS) a Ministerstvo životného prostredia SR (298 osôb).</w:t>
      </w:r>
    </w:p>
    <w:p w14:paraId="5FA7DFED" w14:textId="09F04B97" w:rsidR="00722F9F" w:rsidRPr="00722F9F" w:rsidRDefault="00722F9F" w:rsidP="00D5791A">
      <w:pPr>
        <w:spacing w:line="240" w:lineRule="auto"/>
        <w:jc w:val="both"/>
        <w:rPr>
          <w:szCs w:val="24"/>
        </w:rPr>
      </w:pPr>
      <w:r w:rsidRPr="00722F9F">
        <w:rPr>
          <w:szCs w:val="24"/>
        </w:rPr>
        <w:t xml:space="preserve">Pre zamestnancov </w:t>
      </w:r>
      <w:r w:rsidRPr="00722F9F">
        <w:rPr>
          <w:b/>
          <w:szCs w:val="24"/>
        </w:rPr>
        <w:t>aparátov ústredných orgánov</w:t>
      </w:r>
      <w:r w:rsidRPr="00722F9F">
        <w:rPr>
          <w:szCs w:val="24"/>
        </w:rPr>
        <w:t xml:space="preserve"> boli schválené výdavky na</w:t>
      </w:r>
      <w:r w:rsidR="00FA7AA9">
        <w:rPr>
          <w:szCs w:val="24"/>
        </w:rPr>
        <w:t> </w:t>
      </w:r>
      <w:r w:rsidRPr="00722F9F">
        <w:rPr>
          <w:szCs w:val="24"/>
        </w:rPr>
        <w:t>mzdy, platy, služobné príjmy a OOV v sume 409</w:t>
      </w:r>
      <w:r w:rsidR="00FA7AA9">
        <w:rPr>
          <w:szCs w:val="24"/>
        </w:rPr>
        <w:t> </w:t>
      </w:r>
      <w:r w:rsidRPr="00722F9F">
        <w:rPr>
          <w:szCs w:val="24"/>
        </w:rPr>
        <w:t>184</w:t>
      </w:r>
      <w:r w:rsidR="00FA7AA9">
        <w:rPr>
          <w:szCs w:val="24"/>
        </w:rPr>
        <w:t> </w:t>
      </w:r>
      <w:r w:rsidRPr="00722F9F">
        <w:rPr>
          <w:szCs w:val="24"/>
        </w:rPr>
        <w:t>tis.</w:t>
      </w:r>
      <w:r w:rsidR="00FA7AA9">
        <w:rPr>
          <w:szCs w:val="24"/>
        </w:rPr>
        <w:t> </w:t>
      </w:r>
      <w:r w:rsidRPr="00722F9F">
        <w:rPr>
          <w:szCs w:val="24"/>
        </w:rPr>
        <w:t xml:space="preserve">eur ako záväzný ukazovateľ </w:t>
      </w:r>
      <w:r w:rsidRPr="00722F9F">
        <w:rPr>
          <w:b/>
          <w:szCs w:val="24"/>
        </w:rPr>
        <w:t>z kódu 111, 11H a 11UA</w:t>
      </w:r>
      <w:r w:rsidRPr="00722F9F">
        <w:rPr>
          <w:szCs w:val="24"/>
        </w:rPr>
        <w:t>. V priebehu roka bol tento limit rozpočtovými opatreniami zvýšený na 447</w:t>
      </w:r>
      <w:r w:rsidR="00FA7AA9">
        <w:rPr>
          <w:szCs w:val="24"/>
        </w:rPr>
        <w:t> </w:t>
      </w:r>
      <w:r w:rsidRPr="00722F9F">
        <w:rPr>
          <w:szCs w:val="24"/>
        </w:rPr>
        <w:t>223</w:t>
      </w:r>
      <w:r w:rsidR="00FA7AA9">
        <w:rPr>
          <w:szCs w:val="24"/>
        </w:rPr>
        <w:t> </w:t>
      </w:r>
      <w:r w:rsidRPr="00722F9F">
        <w:rPr>
          <w:szCs w:val="24"/>
        </w:rPr>
        <w:t>tis.</w:t>
      </w:r>
      <w:r w:rsidR="00FA7AA9">
        <w:rPr>
          <w:szCs w:val="24"/>
        </w:rPr>
        <w:t> </w:t>
      </w:r>
      <w:r w:rsidRPr="00722F9F">
        <w:rPr>
          <w:szCs w:val="24"/>
        </w:rPr>
        <w:t>eur.</w:t>
      </w:r>
    </w:p>
    <w:p w14:paraId="46467A57" w14:textId="56269757" w:rsidR="00722F9F" w:rsidRPr="00722F9F" w:rsidRDefault="00722F9F" w:rsidP="00D5791A">
      <w:pPr>
        <w:spacing w:line="240" w:lineRule="auto"/>
        <w:jc w:val="both"/>
        <w:rPr>
          <w:szCs w:val="24"/>
        </w:rPr>
      </w:pPr>
      <w:r w:rsidRPr="00722F9F">
        <w:rPr>
          <w:szCs w:val="24"/>
        </w:rPr>
        <w:t>Zamestnancom aparátov ústredných orgánov boli za všetky zdroje spolu vyplatené mzdy a platy v sume 540</w:t>
      </w:r>
      <w:r w:rsidR="00FA7AA9">
        <w:rPr>
          <w:szCs w:val="24"/>
        </w:rPr>
        <w:t> </w:t>
      </w:r>
      <w:r w:rsidRPr="00722F9F">
        <w:rPr>
          <w:szCs w:val="24"/>
        </w:rPr>
        <w:t>643</w:t>
      </w:r>
      <w:r w:rsidR="00FA7AA9">
        <w:rPr>
          <w:szCs w:val="24"/>
        </w:rPr>
        <w:t> </w:t>
      </w:r>
      <w:r w:rsidRPr="00722F9F">
        <w:rPr>
          <w:szCs w:val="24"/>
        </w:rPr>
        <w:t>tis.</w:t>
      </w:r>
      <w:r w:rsidR="00FA7AA9">
        <w:rPr>
          <w:szCs w:val="24"/>
        </w:rPr>
        <w:t> </w:t>
      </w:r>
      <w:r w:rsidRPr="00722F9F">
        <w:rPr>
          <w:szCs w:val="24"/>
        </w:rPr>
        <w:t>eur. Skutočné výdavky na mzdy, platy, služobné príjmy a OOV zamestnancov aparátu ústredného orgánu za všetky zdroje spolu medziročne vzrástli o</w:t>
      </w:r>
      <w:r w:rsidR="00FA7AA9">
        <w:rPr>
          <w:szCs w:val="24"/>
        </w:rPr>
        <w:t> </w:t>
      </w:r>
      <w:r w:rsidRPr="00722F9F">
        <w:rPr>
          <w:szCs w:val="24"/>
        </w:rPr>
        <w:t>33</w:t>
      </w:r>
      <w:r w:rsidR="00FA7AA9">
        <w:rPr>
          <w:szCs w:val="24"/>
        </w:rPr>
        <w:t> </w:t>
      </w:r>
      <w:r w:rsidRPr="00722F9F">
        <w:rPr>
          <w:szCs w:val="24"/>
        </w:rPr>
        <w:t>142</w:t>
      </w:r>
      <w:r w:rsidR="00FA7AA9">
        <w:rPr>
          <w:szCs w:val="24"/>
        </w:rPr>
        <w:t> </w:t>
      </w:r>
      <w:r w:rsidRPr="00722F9F">
        <w:rPr>
          <w:szCs w:val="24"/>
        </w:rPr>
        <w:t>tis.</w:t>
      </w:r>
      <w:r w:rsidR="00FA7AA9">
        <w:rPr>
          <w:szCs w:val="24"/>
        </w:rPr>
        <w:t> </w:t>
      </w:r>
      <w:r w:rsidRPr="00722F9F">
        <w:rPr>
          <w:szCs w:val="24"/>
        </w:rPr>
        <w:t>eur. Záväzný limit miezd, platov, služobných príjmov a OOV aparátov ústredných orgánov (zdroje 111, 11H a 11UA) bol vo všetkých kapitolách štátneho rozpočtu dodržaný.</w:t>
      </w:r>
    </w:p>
    <w:p w14:paraId="3D2184E6" w14:textId="77777777" w:rsidR="00722F9F" w:rsidRDefault="00722F9F" w:rsidP="00D5791A">
      <w:pPr>
        <w:spacing w:line="240" w:lineRule="auto"/>
        <w:jc w:val="both"/>
        <w:rPr>
          <w:szCs w:val="24"/>
        </w:rPr>
      </w:pPr>
    </w:p>
    <w:p w14:paraId="18D0287C" w14:textId="24647D5F" w:rsidR="00722F9F" w:rsidRPr="00722F9F" w:rsidRDefault="00722F9F" w:rsidP="00D5791A">
      <w:pPr>
        <w:spacing w:line="240" w:lineRule="auto"/>
        <w:jc w:val="both"/>
        <w:rPr>
          <w:szCs w:val="24"/>
        </w:rPr>
      </w:pPr>
      <w:r w:rsidRPr="00722F9F">
        <w:rPr>
          <w:szCs w:val="24"/>
        </w:rPr>
        <w:t>Na základe vykonaných rozpočtových opatrení vyššie čerpanie mzdových výdavkov v aparátoch ústredných orgánov súviselo najmä s vyplatením 800</w:t>
      </w:r>
      <w:r w:rsidR="00FA7AA9">
        <w:rPr>
          <w:szCs w:val="24"/>
        </w:rPr>
        <w:t> </w:t>
      </w:r>
      <w:r w:rsidRPr="00722F9F">
        <w:rPr>
          <w:szCs w:val="24"/>
        </w:rPr>
        <w:t>eur odmeny na základe vyššie uvedeného uznesenia vlády SR v sume 11</w:t>
      </w:r>
      <w:r w:rsidR="00FA7AA9">
        <w:rPr>
          <w:szCs w:val="24"/>
        </w:rPr>
        <w:t> </w:t>
      </w:r>
      <w:r w:rsidRPr="00722F9F">
        <w:rPr>
          <w:szCs w:val="24"/>
        </w:rPr>
        <w:t>064</w:t>
      </w:r>
      <w:r w:rsidR="00FA7AA9">
        <w:rPr>
          <w:szCs w:val="24"/>
        </w:rPr>
        <w:t> </w:t>
      </w:r>
      <w:r w:rsidRPr="00722F9F">
        <w:rPr>
          <w:szCs w:val="24"/>
        </w:rPr>
        <w:t>tis.</w:t>
      </w:r>
      <w:r w:rsidR="00FA7AA9">
        <w:rPr>
          <w:szCs w:val="24"/>
        </w:rPr>
        <w:t> </w:t>
      </w:r>
      <w:r w:rsidRPr="00722F9F">
        <w:rPr>
          <w:szCs w:val="24"/>
        </w:rPr>
        <w:t>eur, s personálnym posilnením niektorých aparátov ústredných orgánov v  sume 3</w:t>
      </w:r>
      <w:r w:rsidR="00FA7AA9">
        <w:rPr>
          <w:szCs w:val="24"/>
        </w:rPr>
        <w:t> </w:t>
      </w:r>
      <w:r w:rsidRPr="00722F9F">
        <w:rPr>
          <w:szCs w:val="24"/>
        </w:rPr>
        <w:t>633</w:t>
      </w:r>
      <w:r w:rsidR="00FA7AA9">
        <w:rPr>
          <w:szCs w:val="24"/>
        </w:rPr>
        <w:t> </w:t>
      </w:r>
      <w:r w:rsidRPr="00722F9F">
        <w:rPr>
          <w:szCs w:val="24"/>
        </w:rPr>
        <w:t>tis. eur (najmä v kapitole Ministerstvo obrany SR v súvislosti so zabezpečením nových, náročných úloh v sume 2</w:t>
      </w:r>
      <w:r w:rsidR="00FA7AA9">
        <w:rPr>
          <w:szCs w:val="24"/>
        </w:rPr>
        <w:t> </w:t>
      </w:r>
      <w:r w:rsidRPr="00722F9F">
        <w:rPr>
          <w:szCs w:val="24"/>
        </w:rPr>
        <w:t xml:space="preserve">173 tis. eur a v kapitole </w:t>
      </w:r>
      <w:r w:rsidRPr="00722F9F">
        <w:rPr>
          <w:szCs w:val="24"/>
        </w:rPr>
        <w:lastRenderedPageBreak/>
        <w:t>Najvyšší kontrolný úrad SR z dôvodu vrátenia</w:t>
      </w:r>
      <w:r w:rsidRPr="00722F9F">
        <w:rPr>
          <w:rStyle w:val="Odkaznapoznmkupodiarou"/>
          <w:szCs w:val="24"/>
        </w:rPr>
        <w:footnoteReference w:id="23"/>
      </w:r>
      <w:r w:rsidRPr="00722F9F">
        <w:rPr>
          <w:szCs w:val="24"/>
        </w:rPr>
        <w:t xml:space="preserve"> 10</w:t>
      </w:r>
      <w:r w:rsidR="00FA7AA9">
        <w:rPr>
          <w:szCs w:val="24"/>
        </w:rPr>
        <w:t> </w:t>
      </w:r>
      <w:r w:rsidRPr="00722F9F">
        <w:rPr>
          <w:szCs w:val="24"/>
        </w:rPr>
        <w:t>% viazania počtu zamestnancov v sume 755</w:t>
      </w:r>
      <w:r w:rsidR="00FA7AA9">
        <w:rPr>
          <w:szCs w:val="24"/>
        </w:rPr>
        <w:t> </w:t>
      </w:r>
      <w:r w:rsidRPr="00722F9F">
        <w:rPr>
          <w:szCs w:val="24"/>
        </w:rPr>
        <w:t>tis.</w:t>
      </w:r>
      <w:r w:rsidR="00FA7AA9">
        <w:rPr>
          <w:szCs w:val="24"/>
        </w:rPr>
        <w:t> </w:t>
      </w:r>
      <w:r w:rsidRPr="00722F9F">
        <w:rPr>
          <w:szCs w:val="24"/>
        </w:rPr>
        <w:t>eur), s hmotnou stimuláciou zamestnancov v sume 6</w:t>
      </w:r>
      <w:r w:rsidR="00FA7AA9">
        <w:rPr>
          <w:szCs w:val="24"/>
        </w:rPr>
        <w:t> </w:t>
      </w:r>
      <w:r w:rsidRPr="00722F9F">
        <w:rPr>
          <w:szCs w:val="24"/>
        </w:rPr>
        <w:t>609</w:t>
      </w:r>
      <w:r w:rsidR="00FA7AA9">
        <w:rPr>
          <w:szCs w:val="24"/>
        </w:rPr>
        <w:t> </w:t>
      </w:r>
      <w:r w:rsidRPr="00722F9F">
        <w:rPr>
          <w:szCs w:val="24"/>
        </w:rPr>
        <w:t>tis.</w:t>
      </w:r>
      <w:r w:rsidR="00FA7AA9">
        <w:rPr>
          <w:szCs w:val="24"/>
        </w:rPr>
        <w:t> </w:t>
      </w:r>
      <w:r w:rsidRPr="00722F9F">
        <w:rPr>
          <w:szCs w:val="24"/>
        </w:rPr>
        <w:t>eur (najmä Ministerstvo práce, sociálnych vecí a rodiny SR v sume 3</w:t>
      </w:r>
      <w:r w:rsidR="00FA7AA9">
        <w:rPr>
          <w:szCs w:val="24"/>
        </w:rPr>
        <w:t> </w:t>
      </w:r>
      <w:r w:rsidRPr="00722F9F">
        <w:rPr>
          <w:szCs w:val="24"/>
        </w:rPr>
        <w:t>474</w:t>
      </w:r>
      <w:r w:rsidR="00FA7AA9">
        <w:rPr>
          <w:szCs w:val="24"/>
        </w:rPr>
        <w:t> </w:t>
      </w:r>
      <w:r w:rsidRPr="00722F9F">
        <w:rPr>
          <w:szCs w:val="24"/>
        </w:rPr>
        <w:t>tis. eur a Kancelária Národnej rady SR v sume 1</w:t>
      </w:r>
      <w:r w:rsidR="00FA7AA9">
        <w:rPr>
          <w:szCs w:val="24"/>
        </w:rPr>
        <w:t> </w:t>
      </w:r>
      <w:r w:rsidRPr="00722F9F">
        <w:rPr>
          <w:szCs w:val="24"/>
        </w:rPr>
        <w:t>625</w:t>
      </w:r>
      <w:r w:rsidR="00FA7AA9">
        <w:rPr>
          <w:szCs w:val="24"/>
        </w:rPr>
        <w:t> </w:t>
      </w:r>
      <w:r w:rsidRPr="00722F9F">
        <w:rPr>
          <w:szCs w:val="24"/>
        </w:rPr>
        <w:t>tis.</w:t>
      </w:r>
      <w:r w:rsidR="00FA7AA9">
        <w:rPr>
          <w:szCs w:val="24"/>
        </w:rPr>
        <w:t> </w:t>
      </w:r>
      <w:r w:rsidRPr="00722F9F">
        <w:rPr>
          <w:szCs w:val="24"/>
        </w:rPr>
        <w:t>eur) a so zlepšením odmeňovania zamestnancov aparátu ústredného orgánu Ministerstva vnútra SR, ktoré bolo zabezpečené vnútornými presunmi z neplnenia počtu príslušníkov policajného zboru v sume 10</w:t>
      </w:r>
      <w:r w:rsidR="00FA7AA9">
        <w:rPr>
          <w:szCs w:val="24"/>
        </w:rPr>
        <w:t> </w:t>
      </w:r>
      <w:r w:rsidRPr="00722F9F">
        <w:rPr>
          <w:szCs w:val="24"/>
        </w:rPr>
        <w:t>664</w:t>
      </w:r>
      <w:r w:rsidR="00FA7AA9">
        <w:rPr>
          <w:szCs w:val="24"/>
        </w:rPr>
        <w:t> </w:t>
      </w:r>
      <w:r w:rsidRPr="00722F9F">
        <w:rPr>
          <w:szCs w:val="24"/>
        </w:rPr>
        <w:t>tis.</w:t>
      </w:r>
      <w:r w:rsidR="00FA7AA9">
        <w:rPr>
          <w:szCs w:val="24"/>
        </w:rPr>
        <w:t> </w:t>
      </w:r>
      <w:r w:rsidRPr="00722F9F">
        <w:rPr>
          <w:szCs w:val="24"/>
        </w:rPr>
        <w:t>eur.</w:t>
      </w:r>
    </w:p>
    <w:p w14:paraId="3814A806" w14:textId="77777777" w:rsidR="00722F9F" w:rsidRDefault="00722F9F" w:rsidP="00D5791A">
      <w:pPr>
        <w:spacing w:line="240" w:lineRule="auto"/>
        <w:jc w:val="both"/>
        <w:rPr>
          <w:szCs w:val="24"/>
        </w:rPr>
      </w:pPr>
    </w:p>
    <w:p w14:paraId="04ADDE77" w14:textId="326D5D76" w:rsidR="00722F9F" w:rsidRPr="00722F9F" w:rsidRDefault="00722F9F" w:rsidP="00D5791A">
      <w:pPr>
        <w:spacing w:line="240" w:lineRule="auto"/>
        <w:jc w:val="both"/>
        <w:rPr>
          <w:szCs w:val="24"/>
        </w:rPr>
      </w:pPr>
      <w:r w:rsidRPr="00722F9F">
        <w:rPr>
          <w:szCs w:val="24"/>
        </w:rPr>
        <w:t>V rámci skutočne čerpaných výdavkov na mzdy a platy boli v aparátoch ústredných orgánov vyplatené odmeny pri príležitosti letnej dovolenky v sume 1</w:t>
      </w:r>
      <w:r w:rsidR="00FA7AA9">
        <w:rPr>
          <w:szCs w:val="24"/>
        </w:rPr>
        <w:t> </w:t>
      </w:r>
      <w:r w:rsidRPr="00722F9F">
        <w:rPr>
          <w:szCs w:val="24"/>
        </w:rPr>
        <w:t>027</w:t>
      </w:r>
      <w:r w:rsidR="00FA7AA9">
        <w:rPr>
          <w:szCs w:val="24"/>
        </w:rPr>
        <w:t> </w:t>
      </w:r>
      <w:r w:rsidRPr="00722F9F">
        <w:rPr>
          <w:szCs w:val="24"/>
        </w:rPr>
        <w:t>tis.</w:t>
      </w:r>
      <w:r w:rsidR="00FA7AA9">
        <w:rPr>
          <w:szCs w:val="24"/>
        </w:rPr>
        <w:t> </w:t>
      </w:r>
      <w:r w:rsidRPr="00722F9F">
        <w:rPr>
          <w:szCs w:val="24"/>
        </w:rPr>
        <w:t>eur pre</w:t>
      </w:r>
      <w:r w:rsidR="00FA7AA9">
        <w:rPr>
          <w:szCs w:val="24"/>
        </w:rPr>
        <w:t> </w:t>
      </w:r>
      <w:r w:rsidRPr="00722F9F">
        <w:rPr>
          <w:szCs w:val="24"/>
        </w:rPr>
        <w:t>1</w:t>
      </w:r>
      <w:r w:rsidR="00FA7AA9">
        <w:rPr>
          <w:szCs w:val="24"/>
        </w:rPr>
        <w:t> </w:t>
      </w:r>
      <w:r w:rsidRPr="00722F9F">
        <w:rPr>
          <w:szCs w:val="24"/>
        </w:rPr>
        <w:t>765</w:t>
      </w:r>
      <w:r w:rsidR="00FA7AA9">
        <w:rPr>
          <w:szCs w:val="24"/>
        </w:rPr>
        <w:t> </w:t>
      </w:r>
      <w:r w:rsidRPr="00722F9F">
        <w:rPr>
          <w:szCs w:val="24"/>
        </w:rPr>
        <w:t>zamestnancov (12,3</w:t>
      </w:r>
      <w:r w:rsidR="00FA7AA9">
        <w:rPr>
          <w:szCs w:val="24"/>
        </w:rPr>
        <w:t> </w:t>
      </w:r>
      <w:r w:rsidRPr="00722F9F">
        <w:rPr>
          <w:szCs w:val="24"/>
        </w:rPr>
        <w:t>% zo skutočného počtu zamestnancov za rok 2025) a odmena pri</w:t>
      </w:r>
      <w:r w:rsidR="00FA7AA9">
        <w:rPr>
          <w:szCs w:val="24"/>
        </w:rPr>
        <w:t> </w:t>
      </w:r>
      <w:r w:rsidRPr="00722F9F">
        <w:rPr>
          <w:szCs w:val="24"/>
        </w:rPr>
        <w:t>príležitosti vianočných sviatkov v sume 1 977 tis. eur pre 3</w:t>
      </w:r>
      <w:r w:rsidR="00FA7AA9">
        <w:rPr>
          <w:szCs w:val="24"/>
        </w:rPr>
        <w:t> </w:t>
      </w:r>
      <w:r w:rsidRPr="00722F9F">
        <w:rPr>
          <w:szCs w:val="24"/>
        </w:rPr>
        <w:t>386 osôb (23,6</w:t>
      </w:r>
      <w:r w:rsidR="00FA7AA9">
        <w:rPr>
          <w:szCs w:val="24"/>
        </w:rPr>
        <w:t> </w:t>
      </w:r>
      <w:r w:rsidRPr="00722F9F">
        <w:rPr>
          <w:szCs w:val="24"/>
        </w:rPr>
        <w:t>% zo</w:t>
      </w:r>
      <w:r w:rsidR="00FA7AA9">
        <w:rPr>
          <w:szCs w:val="24"/>
        </w:rPr>
        <w:t> </w:t>
      </w:r>
      <w:r w:rsidRPr="00722F9F">
        <w:rPr>
          <w:szCs w:val="24"/>
        </w:rPr>
        <w:t>skutočného počtu zamestnancov za rok 2025).</w:t>
      </w:r>
    </w:p>
    <w:p w14:paraId="1884883C" w14:textId="77777777" w:rsidR="00722F9F" w:rsidRDefault="00722F9F" w:rsidP="00D5791A">
      <w:pPr>
        <w:spacing w:line="240" w:lineRule="auto"/>
        <w:jc w:val="both"/>
        <w:rPr>
          <w:szCs w:val="24"/>
        </w:rPr>
      </w:pPr>
    </w:p>
    <w:p w14:paraId="1D3C1E4D" w14:textId="0DA30503" w:rsidR="00722F9F" w:rsidRPr="00722F9F" w:rsidRDefault="00722F9F" w:rsidP="00D5791A">
      <w:pPr>
        <w:spacing w:line="240" w:lineRule="auto"/>
        <w:jc w:val="both"/>
        <w:rPr>
          <w:szCs w:val="24"/>
        </w:rPr>
      </w:pPr>
      <w:r w:rsidRPr="00722F9F">
        <w:rPr>
          <w:szCs w:val="24"/>
        </w:rPr>
        <w:t xml:space="preserve">Pre </w:t>
      </w:r>
      <w:r w:rsidRPr="00722F9F">
        <w:rPr>
          <w:b/>
          <w:szCs w:val="24"/>
        </w:rPr>
        <w:t>aparáty ústredných orgánov</w:t>
      </w:r>
      <w:r w:rsidRPr="00722F9F">
        <w:rPr>
          <w:szCs w:val="24"/>
        </w:rPr>
        <w:t xml:space="preserve"> bol na rok 2025 schválený záväzný </w:t>
      </w:r>
      <w:r w:rsidRPr="00722F9F">
        <w:rPr>
          <w:b/>
          <w:szCs w:val="24"/>
        </w:rPr>
        <w:t>limit počtu zamestnancov</w:t>
      </w:r>
      <w:r w:rsidRPr="00722F9F">
        <w:rPr>
          <w:szCs w:val="24"/>
        </w:rPr>
        <w:t xml:space="preserve"> 15 614 osôb, z toho administratívne kapacity osobitne sledované v počte 1</w:t>
      </w:r>
      <w:r w:rsidR="00FA7AA9">
        <w:rPr>
          <w:szCs w:val="24"/>
        </w:rPr>
        <w:t> </w:t>
      </w:r>
      <w:r w:rsidRPr="00722F9F">
        <w:rPr>
          <w:szCs w:val="24"/>
        </w:rPr>
        <w:t>450 osôb. Schválený limit počtu zamestnancov bol v priebehu roka zvýšený o 657 osôb na</w:t>
      </w:r>
      <w:r w:rsidR="00FA7AA9">
        <w:rPr>
          <w:szCs w:val="24"/>
        </w:rPr>
        <w:t> </w:t>
      </w:r>
      <w:r w:rsidRPr="00722F9F">
        <w:rPr>
          <w:szCs w:val="24"/>
        </w:rPr>
        <w:t>16</w:t>
      </w:r>
      <w:r w:rsidR="00FA7AA9">
        <w:rPr>
          <w:szCs w:val="24"/>
        </w:rPr>
        <w:t> </w:t>
      </w:r>
      <w:r w:rsidRPr="00722F9F">
        <w:rPr>
          <w:szCs w:val="24"/>
        </w:rPr>
        <w:t>271 osôb. Najčastejšími dôvodmi úprav zvýšenia počtu zamestnancov aparátov ústredných orgánov bolo zabezpečenie projektových zamestnancov v počte 365</w:t>
      </w:r>
      <w:r w:rsidR="00FA7AA9">
        <w:rPr>
          <w:szCs w:val="24"/>
        </w:rPr>
        <w:t xml:space="preserve"> </w:t>
      </w:r>
      <w:r w:rsidRPr="00722F9F">
        <w:rPr>
          <w:szCs w:val="24"/>
        </w:rPr>
        <w:t xml:space="preserve">osôb a zamestnancov financovaných z prostriedkov </w:t>
      </w:r>
      <w:r w:rsidR="00C4036E">
        <w:rPr>
          <w:szCs w:val="24"/>
        </w:rPr>
        <w:t xml:space="preserve">POO </w:t>
      </w:r>
      <w:r w:rsidRPr="00722F9F">
        <w:rPr>
          <w:szCs w:val="24"/>
        </w:rPr>
        <w:t>v počte 88 osôb a</w:t>
      </w:r>
      <w:r w:rsidR="00FA7AA9">
        <w:rPr>
          <w:szCs w:val="24"/>
        </w:rPr>
        <w:t> </w:t>
      </w:r>
      <w:r w:rsidRPr="00722F9F">
        <w:rPr>
          <w:szCs w:val="24"/>
        </w:rPr>
        <w:t>personálne posilnenie aparátov ústredných orgánov v počte 136 osôb (najmä z dôvodu vnútorného presunu z podriadených rozpočtových organizácií do aparátu ústredného orgánu v kapitole Ministerstvo vnútra SR o 79 osôb a v kapitole Ministerstvo spravodlivosti SR počtu zamestnancov o 30 osôb).</w:t>
      </w:r>
    </w:p>
    <w:p w14:paraId="266323C0" w14:textId="3C12EC15" w:rsidR="00722F9F" w:rsidRPr="00722F9F" w:rsidRDefault="00722F9F" w:rsidP="00D5791A">
      <w:pPr>
        <w:spacing w:line="240" w:lineRule="auto"/>
        <w:jc w:val="both"/>
        <w:rPr>
          <w:szCs w:val="24"/>
        </w:rPr>
      </w:pPr>
      <w:r w:rsidRPr="00722F9F">
        <w:rPr>
          <w:szCs w:val="24"/>
        </w:rPr>
        <w:t>V skutočnosti počet zamestnancov v aparátoch ústredných orgánov v roku 2025 dosiahol počet 14</w:t>
      </w:r>
      <w:r w:rsidR="00864D75">
        <w:rPr>
          <w:szCs w:val="24"/>
        </w:rPr>
        <w:t> </w:t>
      </w:r>
      <w:r w:rsidRPr="00722F9F">
        <w:rPr>
          <w:szCs w:val="24"/>
        </w:rPr>
        <w:t>358 osôb, v porovnaní s rokom 2024 ide o nárast o 364 osôb (2,6</w:t>
      </w:r>
      <w:r w:rsidR="00864D75">
        <w:rPr>
          <w:szCs w:val="24"/>
        </w:rPr>
        <w:t> </w:t>
      </w:r>
      <w:r w:rsidRPr="00722F9F">
        <w:rPr>
          <w:szCs w:val="24"/>
        </w:rPr>
        <w:t>%). Skutočný počet administratívnych kapacít osobitne sledovaných v roku 2025 v aparátoch ústredných orgánov dosiahol počet 1 283 osôb.</w:t>
      </w:r>
    </w:p>
    <w:p w14:paraId="3C0E5495" w14:textId="77777777" w:rsidR="00722F9F" w:rsidRDefault="00722F9F" w:rsidP="00D5791A">
      <w:pPr>
        <w:spacing w:line="240" w:lineRule="auto"/>
        <w:jc w:val="both"/>
        <w:rPr>
          <w:szCs w:val="24"/>
        </w:rPr>
      </w:pPr>
    </w:p>
    <w:p w14:paraId="445F43EF" w14:textId="63A624AC" w:rsidR="00722F9F" w:rsidRPr="00722F9F" w:rsidRDefault="00722F9F" w:rsidP="00D5791A">
      <w:pPr>
        <w:spacing w:line="240" w:lineRule="auto"/>
        <w:jc w:val="both"/>
        <w:rPr>
          <w:szCs w:val="24"/>
        </w:rPr>
      </w:pPr>
      <w:r w:rsidRPr="00722F9F">
        <w:rPr>
          <w:szCs w:val="24"/>
        </w:rPr>
        <w:t>Uznesením vlády SR č.</w:t>
      </w:r>
      <w:r w:rsidR="00864D75">
        <w:rPr>
          <w:szCs w:val="24"/>
        </w:rPr>
        <w:t> </w:t>
      </w:r>
      <w:r w:rsidRPr="00722F9F">
        <w:rPr>
          <w:szCs w:val="24"/>
        </w:rPr>
        <w:t>606/2024 bola v prílohe č.</w:t>
      </w:r>
      <w:r w:rsidR="00864D75">
        <w:rPr>
          <w:szCs w:val="24"/>
        </w:rPr>
        <w:t> </w:t>
      </w:r>
      <w:r w:rsidRPr="00722F9F">
        <w:rPr>
          <w:szCs w:val="24"/>
        </w:rPr>
        <w:t>2 na rok 2025 schválená systemizácia príslušníkov finančnej správy, systemizácia policajtov v štátnej službe, systemizácia príslušníkov Hasičského a záchranného zboru a príslušníkov Horskej záchrannej služby v štátnej službe a systemizácia profesionálnych vojakov v štátnej službe. Záväzné ukazovatele systemizácie z kódu zdroja 111 boli vo všetkých dotknutých kapitolách štátneho rozpočtu dodržané. V kapitole Ministerstvo vnútra SR boli nad rámec systemizácie použité finančné prostriedky zo zdrojov EÚ a spolufinancovania zo ŠR a </w:t>
      </w:r>
      <w:r w:rsidR="00C4036E">
        <w:rPr>
          <w:szCs w:val="24"/>
        </w:rPr>
        <w:t>POO</w:t>
      </w:r>
      <w:r w:rsidRPr="00722F9F">
        <w:rPr>
          <w:szCs w:val="24"/>
        </w:rPr>
        <w:t xml:space="preserve"> pre</w:t>
      </w:r>
      <w:r w:rsidR="00864D75">
        <w:rPr>
          <w:szCs w:val="24"/>
        </w:rPr>
        <w:t> </w:t>
      </w:r>
      <w:r w:rsidRPr="00722F9F">
        <w:rPr>
          <w:szCs w:val="24"/>
        </w:rPr>
        <w:t>policajtov v sume 1</w:t>
      </w:r>
      <w:r w:rsidR="00864D75">
        <w:rPr>
          <w:szCs w:val="24"/>
        </w:rPr>
        <w:t> </w:t>
      </w:r>
      <w:r w:rsidRPr="00722F9F">
        <w:rPr>
          <w:szCs w:val="24"/>
        </w:rPr>
        <w:t>tis.</w:t>
      </w:r>
      <w:r w:rsidR="00864D75">
        <w:rPr>
          <w:szCs w:val="24"/>
        </w:rPr>
        <w:t> </w:t>
      </w:r>
      <w:r w:rsidRPr="00722F9F">
        <w:rPr>
          <w:szCs w:val="24"/>
        </w:rPr>
        <w:t>eur a pre príslušníkov Hasičského a záchranného zboru a príslušníkov Horskej záchrannej služby v štátnej službe v sume 1</w:t>
      </w:r>
      <w:r w:rsidR="00864D75">
        <w:rPr>
          <w:szCs w:val="24"/>
        </w:rPr>
        <w:t> </w:t>
      </w:r>
      <w:r w:rsidRPr="00722F9F">
        <w:rPr>
          <w:szCs w:val="24"/>
        </w:rPr>
        <w:t>347</w:t>
      </w:r>
      <w:r w:rsidR="00864D75">
        <w:rPr>
          <w:szCs w:val="24"/>
        </w:rPr>
        <w:t> </w:t>
      </w:r>
      <w:r w:rsidRPr="00722F9F">
        <w:rPr>
          <w:szCs w:val="24"/>
        </w:rPr>
        <w:t>tis.</w:t>
      </w:r>
      <w:r w:rsidR="00864D75">
        <w:rPr>
          <w:szCs w:val="24"/>
        </w:rPr>
        <w:t> </w:t>
      </w:r>
      <w:r w:rsidRPr="00722F9F">
        <w:rPr>
          <w:szCs w:val="24"/>
        </w:rPr>
        <w:t>eur. V kapitole Národný bezpečnostný úrad boli nad</w:t>
      </w:r>
      <w:r w:rsidR="00E67125">
        <w:rPr>
          <w:szCs w:val="24"/>
        </w:rPr>
        <w:t> </w:t>
      </w:r>
      <w:r w:rsidRPr="00722F9F">
        <w:rPr>
          <w:szCs w:val="24"/>
        </w:rPr>
        <w:t>rámec systemizácie použité finančné prostriedky z ostatných samostatných účtov na</w:t>
      </w:r>
      <w:r w:rsidR="00E67125">
        <w:rPr>
          <w:szCs w:val="24"/>
        </w:rPr>
        <w:t> </w:t>
      </w:r>
      <w:r w:rsidRPr="00722F9F">
        <w:rPr>
          <w:szCs w:val="24"/>
        </w:rPr>
        <w:t>projekty pre</w:t>
      </w:r>
      <w:r w:rsidR="00E67125">
        <w:rPr>
          <w:szCs w:val="24"/>
        </w:rPr>
        <w:t> </w:t>
      </w:r>
      <w:r w:rsidRPr="00722F9F">
        <w:rPr>
          <w:szCs w:val="24"/>
        </w:rPr>
        <w:t>policajtov v sume 63</w:t>
      </w:r>
      <w:r w:rsidR="00864D75">
        <w:rPr>
          <w:szCs w:val="24"/>
        </w:rPr>
        <w:t> </w:t>
      </w:r>
      <w:r w:rsidRPr="00722F9F">
        <w:rPr>
          <w:szCs w:val="24"/>
        </w:rPr>
        <w:t>tis.</w:t>
      </w:r>
      <w:r w:rsidR="00864D75">
        <w:rPr>
          <w:szCs w:val="24"/>
        </w:rPr>
        <w:t> </w:t>
      </w:r>
      <w:r w:rsidRPr="00722F9F">
        <w:rPr>
          <w:szCs w:val="24"/>
        </w:rPr>
        <w:t>eur. V kapitole Ministerstvo spravodlivosti SR boli nad</w:t>
      </w:r>
      <w:r w:rsidR="00E67125">
        <w:rPr>
          <w:szCs w:val="24"/>
        </w:rPr>
        <w:t> </w:t>
      </w:r>
      <w:r w:rsidRPr="00722F9F">
        <w:rPr>
          <w:szCs w:val="24"/>
        </w:rPr>
        <w:t>rámec systemizácie použité finančné prostriedky zo</w:t>
      </w:r>
      <w:r w:rsidR="00864D75">
        <w:rPr>
          <w:szCs w:val="24"/>
        </w:rPr>
        <w:t> </w:t>
      </w:r>
      <w:r w:rsidRPr="00722F9F">
        <w:rPr>
          <w:szCs w:val="24"/>
        </w:rPr>
        <w:t>zdrojov EÚ a spolufinancovania zo</w:t>
      </w:r>
      <w:r w:rsidR="00E67125">
        <w:rPr>
          <w:szCs w:val="24"/>
        </w:rPr>
        <w:t> </w:t>
      </w:r>
      <w:r w:rsidRPr="00722F9F">
        <w:rPr>
          <w:szCs w:val="24"/>
        </w:rPr>
        <w:t>ŠR na</w:t>
      </w:r>
      <w:r w:rsidR="00E67125">
        <w:rPr>
          <w:szCs w:val="24"/>
        </w:rPr>
        <w:t> </w:t>
      </w:r>
      <w:r w:rsidRPr="00722F9F">
        <w:rPr>
          <w:szCs w:val="24"/>
        </w:rPr>
        <w:t>projekty pre príslušníkov Zboru väzenskej a justičnej stráže v sume 589</w:t>
      </w:r>
      <w:r w:rsidR="00864D75">
        <w:rPr>
          <w:szCs w:val="24"/>
        </w:rPr>
        <w:t> </w:t>
      </w:r>
      <w:r w:rsidRPr="00722F9F">
        <w:rPr>
          <w:szCs w:val="24"/>
        </w:rPr>
        <w:t>tis.</w:t>
      </w:r>
      <w:r w:rsidR="00864D75">
        <w:rPr>
          <w:szCs w:val="24"/>
        </w:rPr>
        <w:t> </w:t>
      </w:r>
      <w:r w:rsidRPr="00722F9F">
        <w:rPr>
          <w:szCs w:val="24"/>
        </w:rPr>
        <w:t>eur.</w:t>
      </w:r>
    </w:p>
    <w:p w14:paraId="177B024D" w14:textId="77777777" w:rsidR="00722F9F" w:rsidRDefault="00722F9F" w:rsidP="00D5791A">
      <w:pPr>
        <w:spacing w:line="240" w:lineRule="auto"/>
        <w:jc w:val="both"/>
        <w:rPr>
          <w:b/>
          <w:i/>
          <w:szCs w:val="24"/>
        </w:rPr>
      </w:pPr>
    </w:p>
    <w:p w14:paraId="15BDF0BB" w14:textId="0CCFB5B8" w:rsidR="00722F9F" w:rsidRPr="00722F9F" w:rsidRDefault="00722F9F" w:rsidP="00D5791A">
      <w:pPr>
        <w:spacing w:line="240" w:lineRule="auto"/>
        <w:jc w:val="both"/>
        <w:rPr>
          <w:b/>
          <w:i/>
          <w:szCs w:val="24"/>
        </w:rPr>
      </w:pPr>
      <w:r w:rsidRPr="00722F9F">
        <w:rPr>
          <w:b/>
          <w:i/>
          <w:szCs w:val="24"/>
        </w:rPr>
        <w:t xml:space="preserve">Prehľad o plnení limitu počtu zamestnancov rozpočtových organizácií kapitol štátneho rozpočtu, miezd, platov, služobných príjmov a ostatných osobných vyrovnaní aparátov ústredných orgánov kapitol štátneho rozpočtu na rok 2024 vrátane vyhodnotenia systemizácií </w:t>
      </w:r>
      <w:r w:rsidRPr="00722F9F">
        <w:rPr>
          <w:b/>
          <w:i/>
          <w:szCs w:val="24"/>
        </w:rPr>
        <w:lastRenderedPageBreak/>
        <w:t>schválených uznesením vlády SR je uvedený v tabuľkách 23, 25, 26, 27 a 28 tabuľkovej časti štátneho záverečného účtu.</w:t>
      </w:r>
    </w:p>
    <w:p w14:paraId="425C544B" w14:textId="77777777" w:rsidR="00D46A5E" w:rsidRPr="0050710A" w:rsidRDefault="00D46A5E" w:rsidP="00D5791A">
      <w:pPr>
        <w:spacing w:line="240" w:lineRule="auto"/>
        <w:jc w:val="both"/>
        <w:rPr>
          <w:bCs/>
          <w:iCs/>
          <w:szCs w:val="24"/>
          <w:highlight w:val="yellow"/>
        </w:rPr>
      </w:pPr>
    </w:p>
    <w:p w14:paraId="27363A46" w14:textId="77777777" w:rsidR="004D69BF" w:rsidRDefault="004D69BF" w:rsidP="00126697">
      <w:pPr>
        <w:spacing w:line="240" w:lineRule="auto"/>
        <w:jc w:val="both"/>
        <w:rPr>
          <w:b/>
          <w:color w:val="5B9BD5" w:themeColor="accent1"/>
          <w:szCs w:val="24"/>
        </w:rPr>
      </w:pPr>
      <w:r w:rsidRPr="001544E3">
        <w:rPr>
          <w:b/>
          <w:color w:val="5B9BD5" w:themeColor="accent1"/>
          <w:szCs w:val="24"/>
        </w:rPr>
        <w:t>Poistné a príspevok do poisťovní</w:t>
      </w:r>
    </w:p>
    <w:p w14:paraId="58D41975" w14:textId="71C94368" w:rsidR="00E72F83" w:rsidRDefault="001544E3" w:rsidP="00D5791A">
      <w:pPr>
        <w:spacing w:line="240" w:lineRule="auto"/>
        <w:jc w:val="both"/>
        <w:rPr>
          <w:szCs w:val="24"/>
        </w:rPr>
      </w:pPr>
      <w:r w:rsidRPr="001544E3">
        <w:rPr>
          <w:szCs w:val="24"/>
        </w:rPr>
        <w:t>Kapitoly štátneho rozpočtu rozpísali v roku 2025 výdavky na poistné a príspevok do</w:t>
      </w:r>
      <w:r w:rsidR="00970FAF">
        <w:rPr>
          <w:szCs w:val="24"/>
        </w:rPr>
        <w:t> </w:t>
      </w:r>
      <w:r w:rsidRPr="001544E3">
        <w:rPr>
          <w:szCs w:val="24"/>
        </w:rPr>
        <w:t>poisťovní v sume 1</w:t>
      </w:r>
      <w:r w:rsidR="00D217DE">
        <w:rPr>
          <w:szCs w:val="24"/>
        </w:rPr>
        <w:t> </w:t>
      </w:r>
      <w:r w:rsidRPr="001544E3">
        <w:rPr>
          <w:szCs w:val="24"/>
        </w:rPr>
        <w:t>221</w:t>
      </w:r>
      <w:r w:rsidR="00D217DE">
        <w:rPr>
          <w:szCs w:val="24"/>
        </w:rPr>
        <w:t> </w:t>
      </w:r>
      <w:r w:rsidRPr="001544E3">
        <w:rPr>
          <w:szCs w:val="24"/>
        </w:rPr>
        <w:t>194</w:t>
      </w:r>
      <w:r w:rsidR="00D217DE">
        <w:rPr>
          <w:szCs w:val="24"/>
        </w:rPr>
        <w:t> </w:t>
      </w:r>
      <w:r w:rsidRPr="001544E3">
        <w:rPr>
          <w:szCs w:val="24"/>
        </w:rPr>
        <w:t>tis.</w:t>
      </w:r>
      <w:r w:rsidR="00D217DE">
        <w:rPr>
          <w:szCs w:val="24"/>
        </w:rPr>
        <w:t> </w:t>
      </w:r>
      <w:r w:rsidRPr="001544E3">
        <w:rPr>
          <w:szCs w:val="24"/>
        </w:rPr>
        <w:t>eur súhrnne za všetky zdroje. Oproti rozpočtu na rok 2024 ide o nárast o 50</w:t>
      </w:r>
      <w:r w:rsidR="00D217DE">
        <w:rPr>
          <w:szCs w:val="24"/>
        </w:rPr>
        <w:t> </w:t>
      </w:r>
      <w:r w:rsidRPr="001544E3">
        <w:rPr>
          <w:szCs w:val="24"/>
        </w:rPr>
        <w:t>912</w:t>
      </w:r>
      <w:r w:rsidR="00D217DE">
        <w:rPr>
          <w:szCs w:val="24"/>
        </w:rPr>
        <w:t> </w:t>
      </w:r>
      <w:r w:rsidRPr="001544E3">
        <w:rPr>
          <w:szCs w:val="24"/>
        </w:rPr>
        <w:t>tis.</w:t>
      </w:r>
      <w:r w:rsidR="00D217DE">
        <w:rPr>
          <w:szCs w:val="24"/>
        </w:rPr>
        <w:t> </w:t>
      </w:r>
      <w:r w:rsidRPr="001544E3">
        <w:rPr>
          <w:szCs w:val="24"/>
        </w:rPr>
        <w:t>eur. V priebehu roka bola suma rozpísaných výdavkov na poistné a príspevok do</w:t>
      </w:r>
      <w:r w:rsidR="00D217DE">
        <w:rPr>
          <w:szCs w:val="24"/>
        </w:rPr>
        <w:t> </w:t>
      </w:r>
      <w:r w:rsidRPr="001544E3">
        <w:rPr>
          <w:szCs w:val="24"/>
        </w:rPr>
        <w:t>poisťovní upravená na 1</w:t>
      </w:r>
      <w:r w:rsidR="00D217DE">
        <w:rPr>
          <w:szCs w:val="24"/>
        </w:rPr>
        <w:t> </w:t>
      </w:r>
      <w:r w:rsidRPr="001544E3">
        <w:rPr>
          <w:szCs w:val="24"/>
        </w:rPr>
        <w:t>289</w:t>
      </w:r>
      <w:r w:rsidR="00D217DE">
        <w:rPr>
          <w:szCs w:val="24"/>
        </w:rPr>
        <w:t> </w:t>
      </w:r>
      <w:r w:rsidRPr="001544E3">
        <w:rPr>
          <w:szCs w:val="24"/>
        </w:rPr>
        <w:t>056</w:t>
      </w:r>
      <w:r w:rsidR="00D217DE">
        <w:rPr>
          <w:szCs w:val="24"/>
        </w:rPr>
        <w:t> </w:t>
      </w:r>
      <w:r w:rsidRPr="001544E3">
        <w:rPr>
          <w:szCs w:val="24"/>
        </w:rPr>
        <w:t>tis.</w:t>
      </w:r>
      <w:r w:rsidR="00D217DE">
        <w:rPr>
          <w:szCs w:val="24"/>
        </w:rPr>
        <w:t> </w:t>
      </w:r>
      <w:r w:rsidRPr="001544E3">
        <w:rPr>
          <w:szCs w:val="24"/>
        </w:rPr>
        <w:t>eur</w:t>
      </w:r>
      <w:r w:rsidR="00D217DE">
        <w:rPr>
          <w:szCs w:val="24"/>
        </w:rPr>
        <w:t xml:space="preserve"> </w:t>
      </w:r>
      <w:r w:rsidRPr="001544E3">
        <w:rPr>
          <w:szCs w:val="24"/>
        </w:rPr>
        <w:t>súhrnne za všetky zdroje. Skutočné výdavky na poistné a príspevok do poisťovní súhrnne za všetky zdroje medziročne vzrástli o 80</w:t>
      </w:r>
      <w:r w:rsidR="00D217DE">
        <w:rPr>
          <w:szCs w:val="24"/>
        </w:rPr>
        <w:t> </w:t>
      </w:r>
      <w:r w:rsidRPr="001544E3">
        <w:rPr>
          <w:szCs w:val="24"/>
        </w:rPr>
        <w:t>947</w:t>
      </w:r>
      <w:r w:rsidR="00D217DE">
        <w:rPr>
          <w:szCs w:val="24"/>
        </w:rPr>
        <w:t> </w:t>
      </w:r>
      <w:r w:rsidRPr="001544E3">
        <w:rPr>
          <w:szCs w:val="24"/>
        </w:rPr>
        <w:t>tis.</w:t>
      </w:r>
      <w:r w:rsidR="00D217DE">
        <w:rPr>
          <w:szCs w:val="24"/>
        </w:rPr>
        <w:t> </w:t>
      </w:r>
      <w:r w:rsidRPr="001544E3">
        <w:rPr>
          <w:szCs w:val="24"/>
        </w:rPr>
        <w:t>eur (6,7 %) a dosiahli sumu 1 285</w:t>
      </w:r>
      <w:r w:rsidR="00D217DE">
        <w:rPr>
          <w:szCs w:val="24"/>
        </w:rPr>
        <w:t> </w:t>
      </w:r>
      <w:r w:rsidRPr="001544E3">
        <w:rPr>
          <w:szCs w:val="24"/>
        </w:rPr>
        <w:t>755</w:t>
      </w:r>
      <w:r w:rsidR="00D217DE">
        <w:rPr>
          <w:szCs w:val="24"/>
        </w:rPr>
        <w:t> </w:t>
      </w:r>
      <w:r w:rsidRPr="001544E3">
        <w:rPr>
          <w:szCs w:val="24"/>
        </w:rPr>
        <w:t>tis.</w:t>
      </w:r>
      <w:r w:rsidR="00D217DE">
        <w:rPr>
          <w:szCs w:val="24"/>
        </w:rPr>
        <w:t> </w:t>
      </w:r>
      <w:r w:rsidRPr="001544E3">
        <w:rPr>
          <w:szCs w:val="24"/>
        </w:rPr>
        <w:t>eur.</w:t>
      </w:r>
    </w:p>
    <w:p w14:paraId="75C8A453" w14:textId="77777777" w:rsidR="00E72F83" w:rsidRDefault="00E72F83" w:rsidP="00D5791A">
      <w:pPr>
        <w:spacing w:line="240" w:lineRule="auto"/>
        <w:jc w:val="both"/>
        <w:rPr>
          <w:szCs w:val="24"/>
        </w:rPr>
      </w:pPr>
    </w:p>
    <w:p w14:paraId="0376AD40" w14:textId="0E10F9EB" w:rsidR="001544E3" w:rsidRPr="001544E3" w:rsidRDefault="001544E3" w:rsidP="00D5791A">
      <w:pPr>
        <w:spacing w:line="240" w:lineRule="auto"/>
        <w:jc w:val="both"/>
        <w:rPr>
          <w:szCs w:val="24"/>
        </w:rPr>
      </w:pPr>
      <w:r w:rsidRPr="001544E3">
        <w:rPr>
          <w:szCs w:val="24"/>
        </w:rPr>
        <w:t>Vyššie čerpanie výdavkov na poistné nadväzuje na zvýšené čerpanie výdavkov na</w:t>
      </w:r>
      <w:r w:rsidR="00D217DE">
        <w:rPr>
          <w:szCs w:val="24"/>
        </w:rPr>
        <w:t> </w:t>
      </w:r>
      <w:r w:rsidRPr="001544E3">
        <w:rPr>
          <w:szCs w:val="24"/>
        </w:rPr>
        <w:t>mzdy, platy, služobné príjmy a ostatné osobné výdavky. Medziročné zvýšenie odvodov je aj z dôvodu zvýšenia poistného za zamestnávateľa na zdravotné poistenie o</w:t>
      </w:r>
      <w:r w:rsidR="00D217DE">
        <w:rPr>
          <w:szCs w:val="24"/>
        </w:rPr>
        <w:t> </w:t>
      </w:r>
      <w:r w:rsidRPr="001544E3">
        <w:rPr>
          <w:szCs w:val="24"/>
        </w:rPr>
        <w:t>1</w:t>
      </w:r>
      <w:r w:rsidR="00D217DE">
        <w:rPr>
          <w:szCs w:val="24"/>
        </w:rPr>
        <w:t> </w:t>
      </w:r>
      <w:r w:rsidRPr="001544E3">
        <w:rPr>
          <w:szCs w:val="24"/>
        </w:rPr>
        <w:t>%. Výdavky na</w:t>
      </w:r>
      <w:r w:rsidR="00D217DE">
        <w:rPr>
          <w:szCs w:val="24"/>
        </w:rPr>
        <w:t> </w:t>
      </w:r>
      <w:r w:rsidRPr="001544E3">
        <w:rPr>
          <w:szCs w:val="24"/>
        </w:rPr>
        <w:t>poistné a príspevok do poisťovní boli čerpané v tejto štruktúre:</w:t>
      </w:r>
    </w:p>
    <w:p w14:paraId="30643684" w14:textId="77777777" w:rsidR="00E72F83" w:rsidRDefault="00E72F83" w:rsidP="00D5791A">
      <w:pPr>
        <w:spacing w:line="240" w:lineRule="auto"/>
        <w:jc w:val="both"/>
        <w:rPr>
          <w:b/>
          <w:i/>
          <w:szCs w:val="24"/>
        </w:rPr>
      </w:pPr>
    </w:p>
    <w:p w14:paraId="7AE12CB7" w14:textId="0F41ED3A" w:rsidR="001544E3" w:rsidRPr="001544E3" w:rsidRDefault="001544E3" w:rsidP="00D5791A">
      <w:pPr>
        <w:spacing w:line="240" w:lineRule="auto"/>
        <w:jc w:val="both"/>
        <w:rPr>
          <w:szCs w:val="24"/>
        </w:rPr>
      </w:pPr>
      <w:r w:rsidRPr="001544E3">
        <w:rPr>
          <w:b/>
          <w:i/>
          <w:szCs w:val="24"/>
        </w:rPr>
        <w:t>Výdavky na poistné do Sociálnej poisťovne</w:t>
      </w:r>
      <w:r w:rsidRPr="001544E3">
        <w:rPr>
          <w:szCs w:val="24"/>
        </w:rPr>
        <w:t xml:space="preserve"> v sume 509</w:t>
      </w:r>
      <w:r w:rsidR="00D217DE">
        <w:rPr>
          <w:szCs w:val="24"/>
        </w:rPr>
        <w:t> </w:t>
      </w:r>
      <w:r w:rsidRPr="001544E3">
        <w:rPr>
          <w:szCs w:val="24"/>
        </w:rPr>
        <w:t>612</w:t>
      </w:r>
      <w:r w:rsidR="00D217DE">
        <w:rPr>
          <w:szCs w:val="24"/>
        </w:rPr>
        <w:t> </w:t>
      </w:r>
      <w:r w:rsidRPr="001544E3">
        <w:rPr>
          <w:szCs w:val="24"/>
        </w:rPr>
        <w:t>tis.</w:t>
      </w:r>
      <w:r w:rsidR="00D217DE">
        <w:rPr>
          <w:szCs w:val="24"/>
        </w:rPr>
        <w:t> </w:t>
      </w:r>
      <w:r w:rsidRPr="001544E3">
        <w:rPr>
          <w:szCs w:val="24"/>
        </w:rPr>
        <w:t>eur dosiahli medziročný nárast 8,1 % (r. 2024: 471</w:t>
      </w:r>
      <w:r w:rsidR="00D217DE">
        <w:rPr>
          <w:szCs w:val="24"/>
        </w:rPr>
        <w:t> </w:t>
      </w:r>
      <w:r w:rsidRPr="001544E3">
        <w:rPr>
          <w:szCs w:val="24"/>
        </w:rPr>
        <w:t>259</w:t>
      </w:r>
      <w:r w:rsidR="00D217DE">
        <w:rPr>
          <w:szCs w:val="24"/>
        </w:rPr>
        <w:t> </w:t>
      </w:r>
      <w:r w:rsidRPr="001544E3">
        <w:rPr>
          <w:szCs w:val="24"/>
        </w:rPr>
        <w:t>tis.</w:t>
      </w:r>
      <w:r w:rsidR="00D217DE">
        <w:rPr>
          <w:szCs w:val="24"/>
        </w:rPr>
        <w:t> </w:t>
      </w:r>
      <w:r w:rsidRPr="001544E3">
        <w:rPr>
          <w:szCs w:val="24"/>
        </w:rPr>
        <w:t>eur); z toho najvyšší objem tvorilo poistné na</w:t>
      </w:r>
      <w:r w:rsidR="00D217DE">
        <w:rPr>
          <w:szCs w:val="24"/>
        </w:rPr>
        <w:t> </w:t>
      </w:r>
      <w:r w:rsidRPr="001544E3">
        <w:rPr>
          <w:szCs w:val="24"/>
        </w:rPr>
        <w:t>starobné poistenie v sume 290</w:t>
      </w:r>
      <w:r w:rsidR="00D217DE">
        <w:rPr>
          <w:szCs w:val="24"/>
        </w:rPr>
        <w:t> </w:t>
      </w:r>
      <w:r w:rsidRPr="001544E3">
        <w:rPr>
          <w:szCs w:val="24"/>
        </w:rPr>
        <w:t>737</w:t>
      </w:r>
      <w:r w:rsidR="00D217DE">
        <w:rPr>
          <w:szCs w:val="24"/>
        </w:rPr>
        <w:t> </w:t>
      </w:r>
      <w:r w:rsidRPr="001544E3">
        <w:rPr>
          <w:szCs w:val="24"/>
        </w:rPr>
        <w:t>tis.</w:t>
      </w:r>
      <w:r w:rsidR="00D217DE">
        <w:rPr>
          <w:szCs w:val="24"/>
        </w:rPr>
        <w:t> </w:t>
      </w:r>
      <w:r w:rsidRPr="001544E3">
        <w:rPr>
          <w:szCs w:val="24"/>
        </w:rPr>
        <w:t>eur, poistné do rezervného fondu solidarity v sume 98</w:t>
      </w:r>
      <w:r w:rsidR="00D217DE">
        <w:rPr>
          <w:szCs w:val="24"/>
        </w:rPr>
        <w:t> </w:t>
      </w:r>
      <w:r w:rsidRPr="001544E3">
        <w:rPr>
          <w:szCs w:val="24"/>
        </w:rPr>
        <w:t>674</w:t>
      </w:r>
      <w:r w:rsidR="00D217DE">
        <w:rPr>
          <w:szCs w:val="24"/>
        </w:rPr>
        <w:t> </w:t>
      </w:r>
      <w:r w:rsidRPr="001544E3">
        <w:rPr>
          <w:szCs w:val="24"/>
        </w:rPr>
        <w:t>tis.</w:t>
      </w:r>
      <w:r w:rsidR="00D217DE">
        <w:rPr>
          <w:szCs w:val="24"/>
        </w:rPr>
        <w:t> </w:t>
      </w:r>
      <w:r w:rsidRPr="001544E3">
        <w:rPr>
          <w:szCs w:val="24"/>
        </w:rPr>
        <w:t>eur a poistné na invalidné poistenie v sume 58</w:t>
      </w:r>
      <w:r w:rsidR="00D217DE">
        <w:rPr>
          <w:szCs w:val="24"/>
        </w:rPr>
        <w:t> </w:t>
      </w:r>
      <w:r w:rsidRPr="001544E3">
        <w:rPr>
          <w:szCs w:val="24"/>
        </w:rPr>
        <w:t>188</w:t>
      </w:r>
      <w:r w:rsidR="00D217DE">
        <w:rPr>
          <w:szCs w:val="24"/>
        </w:rPr>
        <w:t> </w:t>
      </w:r>
      <w:r w:rsidRPr="001544E3">
        <w:rPr>
          <w:szCs w:val="24"/>
        </w:rPr>
        <w:t>tis.</w:t>
      </w:r>
      <w:r w:rsidR="00D217DE">
        <w:rPr>
          <w:szCs w:val="24"/>
        </w:rPr>
        <w:t> </w:t>
      </w:r>
      <w:r w:rsidRPr="001544E3">
        <w:rPr>
          <w:szCs w:val="24"/>
        </w:rPr>
        <w:t>eur. Rozpočet bol prekročený najmä na</w:t>
      </w:r>
      <w:r w:rsidR="00D217DE">
        <w:rPr>
          <w:szCs w:val="24"/>
        </w:rPr>
        <w:t> </w:t>
      </w:r>
      <w:r w:rsidRPr="001544E3">
        <w:rPr>
          <w:szCs w:val="24"/>
        </w:rPr>
        <w:t>starobnom poistení o 21</w:t>
      </w:r>
      <w:r w:rsidR="00D217DE">
        <w:rPr>
          <w:szCs w:val="24"/>
        </w:rPr>
        <w:t> </w:t>
      </w:r>
      <w:r w:rsidRPr="001544E3">
        <w:rPr>
          <w:szCs w:val="24"/>
        </w:rPr>
        <w:t>819</w:t>
      </w:r>
      <w:r w:rsidR="00D217DE">
        <w:rPr>
          <w:szCs w:val="24"/>
        </w:rPr>
        <w:t> </w:t>
      </w:r>
      <w:r w:rsidRPr="001544E3">
        <w:rPr>
          <w:szCs w:val="24"/>
        </w:rPr>
        <w:t>tis.</w:t>
      </w:r>
      <w:r w:rsidR="00D217DE">
        <w:rPr>
          <w:szCs w:val="24"/>
        </w:rPr>
        <w:t> </w:t>
      </w:r>
      <w:r w:rsidRPr="001544E3">
        <w:rPr>
          <w:szCs w:val="24"/>
        </w:rPr>
        <w:t>eur.</w:t>
      </w:r>
    </w:p>
    <w:p w14:paraId="0FEB9DC7" w14:textId="77777777" w:rsidR="00E72F83" w:rsidRDefault="00E72F83" w:rsidP="00D5791A">
      <w:pPr>
        <w:spacing w:line="240" w:lineRule="auto"/>
        <w:jc w:val="both"/>
        <w:rPr>
          <w:b/>
          <w:i/>
          <w:szCs w:val="24"/>
        </w:rPr>
      </w:pPr>
    </w:p>
    <w:p w14:paraId="2B7D58BA" w14:textId="7428AA39" w:rsidR="001544E3" w:rsidRPr="001544E3" w:rsidRDefault="001544E3" w:rsidP="00D5791A">
      <w:pPr>
        <w:spacing w:line="240" w:lineRule="auto"/>
        <w:jc w:val="both"/>
        <w:rPr>
          <w:szCs w:val="24"/>
        </w:rPr>
      </w:pPr>
      <w:r w:rsidRPr="001544E3">
        <w:rPr>
          <w:b/>
          <w:i/>
          <w:szCs w:val="24"/>
        </w:rPr>
        <w:t>Poistné na osobitné účty</w:t>
      </w:r>
      <w:r w:rsidRPr="001544E3">
        <w:rPr>
          <w:szCs w:val="24"/>
        </w:rPr>
        <w:t xml:space="preserve"> v kapitolách štátneho rozpočtu, do pôsobnosti ktorých patrí riadenie ozbrojených, bezpečnostných a záchranných zložiek, medziročne vzrástlo o 2,7 % a dosiahlo sumu 338</w:t>
      </w:r>
      <w:r w:rsidR="00D217DE">
        <w:rPr>
          <w:szCs w:val="24"/>
        </w:rPr>
        <w:t> </w:t>
      </w:r>
      <w:r w:rsidRPr="001544E3">
        <w:rPr>
          <w:szCs w:val="24"/>
        </w:rPr>
        <w:t>719</w:t>
      </w:r>
      <w:r w:rsidR="00D217DE">
        <w:rPr>
          <w:szCs w:val="24"/>
        </w:rPr>
        <w:t> </w:t>
      </w:r>
      <w:r w:rsidRPr="001544E3">
        <w:rPr>
          <w:szCs w:val="24"/>
        </w:rPr>
        <w:t>tis.</w:t>
      </w:r>
      <w:r w:rsidR="00D217DE">
        <w:rPr>
          <w:szCs w:val="24"/>
        </w:rPr>
        <w:t> </w:t>
      </w:r>
      <w:r w:rsidRPr="001544E3">
        <w:rPr>
          <w:szCs w:val="24"/>
        </w:rPr>
        <w:t>eur (r. 2024: 329</w:t>
      </w:r>
      <w:r w:rsidR="00D217DE">
        <w:rPr>
          <w:szCs w:val="24"/>
        </w:rPr>
        <w:t> </w:t>
      </w:r>
      <w:r w:rsidRPr="001544E3">
        <w:rPr>
          <w:szCs w:val="24"/>
        </w:rPr>
        <w:t>669</w:t>
      </w:r>
      <w:r w:rsidR="00D217DE">
        <w:rPr>
          <w:szCs w:val="24"/>
        </w:rPr>
        <w:t> </w:t>
      </w:r>
      <w:r w:rsidRPr="001544E3">
        <w:rPr>
          <w:szCs w:val="24"/>
        </w:rPr>
        <w:t>tis.</w:t>
      </w:r>
      <w:r w:rsidR="00D217DE">
        <w:rPr>
          <w:szCs w:val="24"/>
        </w:rPr>
        <w:t> </w:t>
      </w:r>
      <w:r w:rsidRPr="001544E3">
        <w:rPr>
          <w:szCs w:val="24"/>
        </w:rPr>
        <w:t>eur); z toho rozhodujúci podiel predstavovalo poistné na výsluhový dôchodok v sume 261</w:t>
      </w:r>
      <w:r w:rsidR="00D217DE">
        <w:rPr>
          <w:szCs w:val="24"/>
        </w:rPr>
        <w:t> </w:t>
      </w:r>
      <w:r w:rsidRPr="001544E3">
        <w:rPr>
          <w:szCs w:val="24"/>
        </w:rPr>
        <w:t>176 tis. eur. Poistné na</w:t>
      </w:r>
      <w:r w:rsidR="00D217DE">
        <w:rPr>
          <w:szCs w:val="24"/>
        </w:rPr>
        <w:t> </w:t>
      </w:r>
      <w:r w:rsidRPr="001544E3">
        <w:rPr>
          <w:szCs w:val="24"/>
        </w:rPr>
        <w:t>invalidný výsluhový dôchodok dosiahlo sumu 39 493 tis. eur a na nemocenské zabezpečenie sumu 18</w:t>
      </w:r>
      <w:r w:rsidR="00D217DE">
        <w:rPr>
          <w:szCs w:val="24"/>
        </w:rPr>
        <w:t> </w:t>
      </w:r>
      <w:r w:rsidRPr="001544E3">
        <w:rPr>
          <w:szCs w:val="24"/>
        </w:rPr>
        <w:t>200</w:t>
      </w:r>
      <w:r w:rsidR="00D217DE">
        <w:rPr>
          <w:szCs w:val="24"/>
        </w:rPr>
        <w:t> </w:t>
      </w:r>
      <w:r w:rsidRPr="001544E3">
        <w:rPr>
          <w:szCs w:val="24"/>
        </w:rPr>
        <w:t>tis.</w:t>
      </w:r>
      <w:r w:rsidR="00D217DE">
        <w:rPr>
          <w:szCs w:val="24"/>
        </w:rPr>
        <w:t> </w:t>
      </w:r>
      <w:r w:rsidRPr="001544E3">
        <w:rPr>
          <w:szCs w:val="24"/>
        </w:rPr>
        <w:t xml:space="preserve">eur. </w:t>
      </w:r>
    </w:p>
    <w:p w14:paraId="6166F489" w14:textId="77777777" w:rsidR="00E72F83" w:rsidRDefault="00E72F83" w:rsidP="00D5791A">
      <w:pPr>
        <w:spacing w:line="240" w:lineRule="auto"/>
        <w:jc w:val="both"/>
        <w:rPr>
          <w:b/>
          <w:i/>
        </w:rPr>
      </w:pPr>
    </w:p>
    <w:p w14:paraId="02C18EF2" w14:textId="2CA0B0CF" w:rsidR="001544E3" w:rsidRPr="00D217DE" w:rsidRDefault="001544E3" w:rsidP="00D217DE">
      <w:pPr>
        <w:spacing w:line="240" w:lineRule="auto"/>
        <w:jc w:val="both"/>
        <w:rPr>
          <w:szCs w:val="24"/>
        </w:rPr>
      </w:pPr>
      <w:r w:rsidRPr="00D217DE">
        <w:rPr>
          <w:b/>
          <w:i/>
          <w:szCs w:val="24"/>
        </w:rPr>
        <w:t>Poistné do zdravotných poisťovní</w:t>
      </w:r>
      <w:r w:rsidRPr="00D217DE">
        <w:rPr>
          <w:szCs w:val="24"/>
        </w:rPr>
        <w:t xml:space="preserve"> medziročne vzrástlo o 8,3</w:t>
      </w:r>
      <w:r w:rsidR="00D217DE" w:rsidRPr="00D217DE">
        <w:rPr>
          <w:szCs w:val="24"/>
        </w:rPr>
        <w:t> </w:t>
      </w:r>
      <w:r w:rsidRPr="00D217DE">
        <w:rPr>
          <w:szCs w:val="24"/>
        </w:rPr>
        <w:t>% a dosiahlo sumu 406</w:t>
      </w:r>
      <w:r w:rsidR="00D217DE" w:rsidRPr="00D217DE">
        <w:rPr>
          <w:szCs w:val="24"/>
        </w:rPr>
        <w:t> </w:t>
      </w:r>
      <w:r w:rsidRPr="00D217DE">
        <w:rPr>
          <w:szCs w:val="24"/>
        </w:rPr>
        <w:t>772</w:t>
      </w:r>
      <w:r w:rsidR="00D217DE" w:rsidRPr="00D217DE">
        <w:rPr>
          <w:szCs w:val="24"/>
        </w:rPr>
        <w:t> </w:t>
      </w:r>
      <w:r w:rsidRPr="00D217DE">
        <w:rPr>
          <w:szCs w:val="24"/>
        </w:rPr>
        <w:t>tis.</w:t>
      </w:r>
      <w:r w:rsidR="00D217DE" w:rsidRPr="00D217DE">
        <w:rPr>
          <w:szCs w:val="24"/>
        </w:rPr>
        <w:t> </w:t>
      </w:r>
      <w:r w:rsidRPr="00D217DE">
        <w:rPr>
          <w:szCs w:val="24"/>
        </w:rPr>
        <w:t>eur (r. 2024: 375</w:t>
      </w:r>
      <w:r w:rsidR="00D217DE" w:rsidRPr="00D217DE">
        <w:rPr>
          <w:szCs w:val="24"/>
        </w:rPr>
        <w:t> </w:t>
      </w:r>
      <w:r w:rsidRPr="00D217DE">
        <w:rPr>
          <w:szCs w:val="24"/>
        </w:rPr>
        <w:t>483</w:t>
      </w:r>
      <w:r w:rsidR="00D217DE" w:rsidRPr="00D217DE">
        <w:rPr>
          <w:szCs w:val="24"/>
        </w:rPr>
        <w:t> </w:t>
      </w:r>
      <w:r w:rsidRPr="00D217DE">
        <w:rPr>
          <w:szCs w:val="24"/>
        </w:rPr>
        <w:t>tis.</w:t>
      </w:r>
      <w:r w:rsidR="00D217DE" w:rsidRPr="00D217DE">
        <w:rPr>
          <w:szCs w:val="24"/>
        </w:rPr>
        <w:t> </w:t>
      </w:r>
      <w:r w:rsidRPr="00D217DE">
        <w:rPr>
          <w:szCs w:val="24"/>
        </w:rPr>
        <w:t>eur); v tom do Všeobecnej zdravotnej poisťovne bolo odvedených 249</w:t>
      </w:r>
      <w:r w:rsidR="00D217DE" w:rsidRPr="00D217DE">
        <w:rPr>
          <w:szCs w:val="24"/>
        </w:rPr>
        <w:t> </w:t>
      </w:r>
      <w:r w:rsidRPr="00D217DE">
        <w:rPr>
          <w:szCs w:val="24"/>
        </w:rPr>
        <w:t>251</w:t>
      </w:r>
      <w:r w:rsidR="00D217DE" w:rsidRPr="00D217DE">
        <w:rPr>
          <w:szCs w:val="24"/>
        </w:rPr>
        <w:t> </w:t>
      </w:r>
      <w:r w:rsidRPr="00D217DE">
        <w:rPr>
          <w:szCs w:val="24"/>
        </w:rPr>
        <w:t>tis.</w:t>
      </w:r>
      <w:r w:rsidR="00D217DE" w:rsidRPr="00D217DE">
        <w:rPr>
          <w:szCs w:val="24"/>
        </w:rPr>
        <w:t> </w:t>
      </w:r>
      <w:r w:rsidRPr="00D217DE">
        <w:rPr>
          <w:szCs w:val="24"/>
        </w:rPr>
        <w:t>eur a do ostatných zdravotných poisťovní 157</w:t>
      </w:r>
      <w:r w:rsidR="00D217DE" w:rsidRPr="00D217DE">
        <w:rPr>
          <w:szCs w:val="24"/>
        </w:rPr>
        <w:t> </w:t>
      </w:r>
      <w:r w:rsidRPr="00D217DE">
        <w:rPr>
          <w:szCs w:val="24"/>
        </w:rPr>
        <w:t>520</w:t>
      </w:r>
      <w:r w:rsidR="00D217DE" w:rsidRPr="00D217DE">
        <w:rPr>
          <w:szCs w:val="24"/>
        </w:rPr>
        <w:t> </w:t>
      </w:r>
      <w:r w:rsidRPr="00D217DE">
        <w:rPr>
          <w:szCs w:val="24"/>
        </w:rPr>
        <w:t>tis.</w:t>
      </w:r>
      <w:r w:rsidR="00D217DE" w:rsidRPr="00D217DE">
        <w:rPr>
          <w:szCs w:val="24"/>
        </w:rPr>
        <w:t> </w:t>
      </w:r>
      <w:r w:rsidRPr="00D217DE">
        <w:rPr>
          <w:szCs w:val="24"/>
        </w:rPr>
        <w:t>eur.</w:t>
      </w:r>
    </w:p>
    <w:p w14:paraId="7558C42C" w14:textId="77777777" w:rsidR="00E72F83" w:rsidRPr="00D217DE" w:rsidRDefault="00E72F83" w:rsidP="00D217DE">
      <w:pPr>
        <w:spacing w:line="240" w:lineRule="auto"/>
        <w:jc w:val="both"/>
        <w:rPr>
          <w:b/>
          <w:i/>
          <w:szCs w:val="24"/>
        </w:rPr>
      </w:pPr>
    </w:p>
    <w:p w14:paraId="5695964E" w14:textId="0735ED07" w:rsidR="001544E3" w:rsidRPr="00D217DE" w:rsidRDefault="001544E3" w:rsidP="00D217DE">
      <w:pPr>
        <w:spacing w:line="240" w:lineRule="auto"/>
        <w:jc w:val="both"/>
        <w:rPr>
          <w:szCs w:val="24"/>
        </w:rPr>
      </w:pPr>
      <w:r w:rsidRPr="00D217DE">
        <w:rPr>
          <w:b/>
          <w:i/>
          <w:szCs w:val="24"/>
        </w:rPr>
        <w:t>Príspevok do doplnkových dôchodkových poisťovní</w:t>
      </w:r>
      <w:r w:rsidRPr="00D217DE">
        <w:rPr>
          <w:szCs w:val="24"/>
        </w:rPr>
        <w:t xml:space="preserve"> bol odvedený v sume 30</w:t>
      </w:r>
      <w:r w:rsidR="00D217DE">
        <w:rPr>
          <w:szCs w:val="24"/>
        </w:rPr>
        <w:t> </w:t>
      </w:r>
      <w:r w:rsidRPr="00D217DE">
        <w:rPr>
          <w:szCs w:val="24"/>
        </w:rPr>
        <w:t>652</w:t>
      </w:r>
      <w:r w:rsidR="00D217DE">
        <w:rPr>
          <w:szCs w:val="24"/>
        </w:rPr>
        <w:t> </w:t>
      </w:r>
      <w:r w:rsidRPr="00D217DE">
        <w:rPr>
          <w:szCs w:val="24"/>
        </w:rPr>
        <w:t>tis.</w:t>
      </w:r>
      <w:r w:rsidR="00D217DE">
        <w:rPr>
          <w:szCs w:val="24"/>
        </w:rPr>
        <w:t> </w:t>
      </w:r>
      <w:r w:rsidRPr="00D217DE">
        <w:rPr>
          <w:szCs w:val="24"/>
        </w:rPr>
        <w:t>eur (r.</w:t>
      </w:r>
      <w:r w:rsidR="00D217DE">
        <w:rPr>
          <w:szCs w:val="24"/>
        </w:rPr>
        <w:t> </w:t>
      </w:r>
      <w:r w:rsidRPr="00D217DE">
        <w:rPr>
          <w:szCs w:val="24"/>
        </w:rPr>
        <w:t>2024: 28</w:t>
      </w:r>
      <w:r w:rsidR="00D217DE">
        <w:rPr>
          <w:szCs w:val="24"/>
        </w:rPr>
        <w:t> </w:t>
      </w:r>
      <w:r w:rsidRPr="00D217DE">
        <w:rPr>
          <w:szCs w:val="24"/>
        </w:rPr>
        <w:t>308</w:t>
      </w:r>
      <w:r w:rsidR="00D217DE">
        <w:rPr>
          <w:szCs w:val="24"/>
        </w:rPr>
        <w:t> </w:t>
      </w:r>
      <w:r w:rsidRPr="00D217DE">
        <w:rPr>
          <w:szCs w:val="24"/>
        </w:rPr>
        <w:t>tis.</w:t>
      </w:r>
      <w:r w:rsidR="00D217DE">
        <w:rPr>
          <w:szCs w:val="24"/>
        </w:rPr>
        <w:t> </w:t>
      </w:r>
      <w:r w:rsidRPr="00D217DE">
        <w:rPr>
          <w:szCs w:val="24"/>
        </w:rPr>
        <w:t>eur) a medziročne vzrástol o 8,3</w:t>
      </w:r>
      <w:r w:rsidR="00D217DE">
        <w:rPr>
          <w:szCs w:val="24"/>
        </w:rPr>
        <w:t> </w:t>
      </w:r>
      <w:r w:rsidRPr="00D217DE">
        <w:rPr>
          <w:szCs w:val="24"/>
        </w:rPr>
        <w:t>%.</w:t>
      </w:r>
    </w:p>
    <w:p w14:paraId="001D3260" w14:textId="77777777" w:rsidR="00D46A5E" w:rsidRPr="00D217DE" w:rsidRDefault="00D46A5E" w:rsidP="00D217DE">
      <w:pPr>
        <w:spacing w:line="240" w:lineRule="auto"/>
        <w:jc w:val="both"/>
        <w:rPr>
          <w:rFonts w:cs="Times New Roman"/>
          <w:szCs w:val="24"/>
          <w:highlight w:val="yellow"/>
        </w:rPr>
      </w:pPr>
    </w:p>
    <w:p w14:paraId="3E39D216" w14:textId="2563EF6B" w:rsidR="004D69BF" w:rsidRDefault="004D69BF" w:rsidP="00126697">
      <w:pPr>
        <w:spacing w:line="240" w:lineRule="auto"/>
        <w:jc w:val="both"/>
        <w:rPr>
          <w:b/>
          <w:color w:val="5B9BD5" w:themeColor="accent1"/>
          <w:szCs w:val="24"/>
        </w:rPr>
      </w:pPr>
      <w:r w:rsidRPr="00961C05">
        <w:rPr>
          <w:b/>
          <w:color w:val="5B9BD5" w:themeColor="accent1"/>
          <w:szCs w:val="24"/>
        </w:rPr>
        <w:t>Tovary a</w:t>
      </w:r>
      <w:r w:rsidR="00D5791A">
        <w:rPr>
          <w:b/>
          <w:color w:val="5B9BD5" w:themeColor="accent1"/>
          <w:szCs w:val="24"/>
        </w:rPr>
        <w:t> </w:t>
      </w:r>
      <w:r w:rsidRPr="00961C05">
        <w:rPr>
          <w:b/>
          <w:color w:val="5B9BD5" w:themeColor="accent1"/>
          <w:szCs w:val="24"/>
        </w:rPr>
        <w:t>služby</w:t>
      </w:r>
    </w:p>
    <w:p w14:paraId="3341B6F4" w14:textId="6049F3D5" w:rsidR="00961C05" w:rsidRDefault="00961C05" w:rsidP="00D5791A">
      <w:pPr>
        <w:suppressAutoHyphens/>
        <w:spacing w:line="240" w:lineRule="auto"/>
        <w:jc w:val="both"/>
        <w:rPr>
          <w:rFonts w:eastAsia="Calibri" w:cs="Times New Roman"/>
          <w:szCs w:val="24"/>
        </w:rPr>
      </w:pPr>
      <w:r w:rsidRPr="005A00C0">
        <w:rPr>
          <w:rFonts w:eastAsia="Calibri" w:cs="Times New Roman"/>
          <w:szCs w:val="24"/>
        </w:rPr>
        <w:t xml:space="preserve">Výdavky na tovary a služby boli rozpočtované v sume </w:t>
      </w:r>
      <w:r w:rsidR="00632A05">
        <w:rPr>
          <w:rFonts w:eastAsia="Calibri" w:cs="Times New Roman"/>
          <w:szCs w:val="24"/>
        </w:rPr>
        <w:t>4 222 067</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čo bolo oproti roku 2024 viac o 859</w:t>
      </w:r>
      <w:r w:rsidR="00D217DE">
        <w:rPr>
          <w:rFonts w:eastAsia="Calibri" w:cs="Times New Roman"/>
          <w:szCs w:val="24"/>
        </w:rPr>
        <w:t> </w:t>
      </w:r>
      <w:r>
        <w:rPr>
          <w:rFonts w:eastAsia="Calibri" w:cs="Times New Roman"/>
          <w:szCs w:val="24"/>
        </w:rPr>
        <w:t>862</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Medziročný nárast ovplyvnilo vyššie rozpočtovanie EU fondov za</w:t>
      </w:r>
      <w:r w:rsidR="00D217DE">
        <w:rPr>
          <w:rFonts w:eastAsia="Calibri" w:cs="Times New Roman"/>
          <w:szCs w:val="24"/>
        </w:rPr>
        <w:t> </w:t>
      </w:r>
      <w:r>
        <w:rPr>
          <w:rFonts w:eastAsia="Calibri" w:cs="Times New Roman"/>
          <w:szCs w:val="24"/>
        </w:rPr>
        <w:t>4.</w:t>
      </w:r>
      <w:r w:rsidR="00D217DE">
        <w:rPr>
          <w:rFonts w:eastAsia="Calibri" w:cs="Times New Roman"/>
          <w:szCs w:val="24"/>
        </w:rPr>
        <w:t> </w:t>
      </w:r>
      <w:r>
        <w:rPr>
          <w:rFonts w:eastAsia="Calibri" w:cs="Times New Roman"/>
          <w:szCs w:val="24"/>
        </w:rPr>
        <w:t>programové obdobie, ktoré v rámci platieb štátnej rozpočtovej organizácii na</w:t>
      </w:r>
      <w:r w:rsidR="00D217DE">
        <w:rPr>
          <w:rFonts w:eastAsia="Calibri" w:cs="Times New Roman"/>
          <w:szCs w:val="24"/>
        </w:rPr>
        <w:t> </w:t>
      </w:r>
      <w:r>
        <w:rPr>
          <w:rFonts w:eastAsia="Calibri" w:cs="Times New Roman"/>
          <w:szCs w:val="24"/>
        </w:rPr>
        <w:t>projekty EÚ bolo vyššie o 754</w:t>
      </w:r>
      <w:r w:rsidR="00D217DE">
        <w:rPr>
          <w:rFonts w:eastAsia="Calibri" w:cs="Times New Roman"/>
          <w:szCs w:val="24"/>
        </w:rPr>
        <w:t> </w:t>
      </w:r>
      <w:r>
        <w:rPr>
          <w:rFonts w:eastAsia="Calibri" w:cs="Times New Roman"/>
          <w:szCs w:val="24"/>
        </w:rPr>
        <w:t>358</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a spolufinancovanie k týmto prostriedkom bolo rozpočtované vyššie o 157</w:t>
      </w:r>
      <w:r w:rsidR="00D217DE">
        <w:rPr>
          <w:rFonts w:eastAsia="Calibri" w:cs="Times New Roman"/>
          <w:szCs w:val="24"/>
        </w:rPr>
        <w:t> </w:t>
      </w:r>
      <w:r>
        <w:rPr>
          <w:rFonts w:eastAsia="Calibri" w:cs="Times New Roman"/>
          <w:szCs w:val="24"/>
        </w:rPr>
        <w:t>033</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Zdroje POO boli rozpočtované medziročne vyššie o 33</w:t>
      </w:r>
      <w:r w:rsidR="00D217DE">
        <w:rPr>
          <w:rFonts w:eastAsia="Calibri" w:cs="Times New Roman"/>
          <w:szCs w:val="24"/>
        </w:rPr>
        <w:t> </w:t>
      </w:r>
      <w:r>
        <w:rPr>
          <w:rFonts w:eastAsia="Calibri" w:cs="Times New Roman"/>
          <w:szCs w:val="24"/>
        </w:rPr>
        <w:t>988</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Čerpanie týchto prostriedkov sa potom realizuje na príslušných druhových výdavkoch (vrátane bežných transferoch či kapitálových výdavkoch).</w:t>
      </w:r>
    </w:p>
    <w:p w14:paraId="5C097183" w14:textId="77777777" w:rsidR="00961C05" w:rsidRDefault="00961C05" w:rsidP="00D5791A">
      <w:pPr>
        <w:suppressAutoHyphens/>
        <w:spacing w:line="240" w:lineRule="auto"/>
        <w:jc w:val="both"/>
        <w:rPr>
          <w:rFonts w:eastAsia="Calibri" w:cs="Times New Roman"/>
          <w:szCs w:val="24"/>
        </w:rPr>
      </w:pPr>
    </w:p>
    <w:p w14:paraId="7B147465" w14:textId="7F853AC9" w:rsidR="00961C05" w:rsidRDefault="00961C05" w:rsidP="00D5791A">
      <w:pPr>
        <w:suppressAutoHyphens/>
        <w:spacing w:line="240" w:lineRule="auto"/>
        <w:jc w:val="both"/>
        <w:rPr>
          <w:rFonts w:eastAsia="Calibri" w:cs="Times New Roman"/>
          <w:szCs w:val="24"/>
        </w:rPr>
      </w:pPr>
      <w:r>
        <w:rPr>
          <w:rFonts w:eastAsia="Calibri" w:cs="Times New Roman"/>
          <w:szCs w:val="24"/>
        </w:rPr>
        <w:t>Z ostatných tovarov a služieb boli medziročne nižšie rozpočtované napr. materiál (o</w:t>
      </w:r>
      <w:r w:rsidR="00D217DE">
        <w:rPr>
          <w:rFonts w:eastAsia="Calibri" w:cs="Times New Roman"/>
          <w:szCs w:val="24"/>
        </w:rPr>
        <w:t> </w:t>
      </w:r>
      <w:r>
        <w:rPr>
          <w:rFonts w:eastAsia="Calibri" w:cs="Times New Roman"/>
          <w:szCs w:val="24"/>
        </w:rPr>
        <w:t>44</w:t>
      </w:r>
      <w:r w:rsidR="00D217DE">
        <w:rPr>
          <w:rFonts w:eastAsia="Calibri" w:cs="Times New Roman"/>
          <w:szCs w:val="24"/>
        </w:rPr>
        <w:t> </w:t>
      </w:r>
      <w:r>
        <w:rPr>
          <w:rFonts w:eastAsia="Calibri" w:cs="Times New Roman"/>
          <w:szCs w:val="24"/>
        </w:rPr>
        <w:t>344</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z toho najmä špeciálny materiál o 20</w:t>
      </w:r>
      <w:r w:rsidR="00D217DE">
        <w:rPr>
          <w:rFonts w:eastAsia="Calibri" w:cs="Times New Roman"/>
          <w:szCs w:val="24"/>
        </w:rPr>
        <w:t> </w:t>
      </w:r>
      <w:r>
        <w:rPr>
          <w:rFonts w:eastAsia="Calibri" w:cs="Times New Roman"/>
          <w:szCs w:val="24"/>
        </w:rPr>
        <w:t>852</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a všeobecný materiál o 11</w:t>
      </w:r>
      <w:r w:rsidR="00D217DE">
        <w:rPr>
          <w:rFonts w:eastAsia="Calibri" w:cs="Times New Roman"/>
          <w:szCs w:val="24"/>
        </w:rPr>
        <w:t> </w:t>
      </w:r>
      <w:r>
        <w:rPr>
          <w:rFonts w:eastAsia="Calibri" w:cs="Times New Roman"/>
          <w:szCs w:val="24"/>
        </w:rPr>
        <w:t>677</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Zníženie výdavkov na materiál sa očakávalo najmä v rezorte obrany a zdravotníctva. Výdavky na energie sa rozpočtovali nižšie oproti roku 2024 úhrnom o 31</w:t>
      </w:r>
      <w:r w:rsidR="00D217DE">
        <w:rPr>
          <w:rFonts w:eastAsia="Calibri" w:cs="Times New Roman"/>
          <w:szCs w:val="24"/>
        </w:rPr>
        <w:t> </w:t>
      </w:r>
      <w:r>
        <w:rPr>
          <w:rFonts w:eastAsia="Calibri" w:cs="Times New Roman"/>
          <w:szCs w:val="24"/>
        </w:rPr>
        <w:t>352</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všetky druhy nájomného boli rozpočtované nižšie o 19</w:t>
      </w:r>
      <w:r w:rsidR="00D217DE">
        <w:rPr>
          <w:rFonts w:eastAsia="Calibri" w:cs="Times New Roman"/>
          <w:szCs w:val="24"/>
        </w:rPr>
        <w:t> </w:t>
      </w:r>
      <w:r>
        <w:rPr>
          <w:rFonts w:eastAsia="Calibri" w:cs="Times New Roman"/>
          <w:szCs w:val="24"/>
        </w:rPr>
        <w:t>591</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a rutinná a štandardná údržba bola rozpočtovaná nižšie o 18</w:t>
      </w:r>
      <w:r w:rsidR="00D217DE">
        <w:rPr>
          <w:rFonts w:eastAsia="Calibri" w:cs="Times New Roman"/>
          <w:szCs w:val="24"/>
        </w:rPr>
        <w:t> </w:t>
      </w:r>
      <w:r>
        <w:rPr>
          <w:rFonts w:eastAsia="Calibri" w:cs="Times New Roman"/>
          <w:szCs w:val="24"/>
        </w:rPr>
        <w:t>854</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 xml:space="preserve">eur. Medziročne vyššie sa </w:t>
      </w:r>
      <w:r>
        <w:rPr>
          <w:rFonts w:eastAsia="Calibri" w:cs="Times New Roman"/>
          <w:szCs w:val="24"/>
        </w:rPr>
        <w:lastRenderedPageBreak/>
        <w:t>rozpočtovali špeciálne služby, o 32</w:t>
      </w:r>
      <w:r w:rsidR="00D217DE">
        <w:rPr>
          <w:rFonts w:eastAsia="Calibri" w:cs="Times New Roman"/>
          <w:szCs w:val="24"/>
        </w:rPr>
        <w:t> </w:t>
      </w:r>
      <w:r>
        <w:rPr>
          <w:rFonts w:eastAsia="Calibri" w:cs="Times New Roman"/>
          <w:szCs w:val="24"/>
        </w:rPr>
        <w:t>319</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ktoré sa plánovali vyššie najmä v rezorte obrany a pôdohospodárstva.</w:t>
      </w:r>
    </w:p>
    <w:p w14:paraId="715E0182" w14:textId="77777777" w:rsidR="00961C05" w:rsidRDefault="00961C05" w:rsidP="00D5791A">
      <w:pPr>
        <w:suppressAutoHyphens/>
        <w:spacing w:line="240" w:lineRule="auto"/>
        <w:jc w:val="both"/>
        <w:rPr>
          <w:rFonts w:eastAsia="Calibri" w:cs="Times New Roman"/>
          <w:szCs w:val="24"/>
        </w:rPr>
      </w:pPr>
    </w:p>
    <w:p w14:paraId="5AC24B03" w14:textId="7FD283C0" w:rsidR="00961C05" w:rsidRDefault="00961C05" w:rsidP="00D5791A">
      <w:pPr>
        <w:suppressAutoHyphens/>
        <w:spacing w:line="240" w:lineRule="auto"/>
        <w:jc w:val="both"/>
        <w:rPr>
          <w:rFonts w:eastAsia="Calibri" w:cs="Times New Roman"/>
          <w:szCs w:val="24"/>
        </w:rPr>
      </w:pPr>
      <w:r>
        <w:rPr>
          <w:rFonts w:eastAsia="Calibri" w:cs="Times New Roman"/>
          <w:szCs w:val="24"/>
        </w:rPr>
        <w:t>Na celkových výdavkoch na tovary a služby za rok 2025 v hodnote 2 776</w:t>
      </w:r>
      <w:r w:rsidR="00D217DE">
        <w:rPr>
          <w:rFonts w:eastAsia="Calibri" w:cs="Times New Roman"/>
          <w:szCs w:val="24"/>
        </w:rPr>
        <w:t> </w:t>
      </w:r>
      <w:r>
        <w:rPr>
          <w:rFonts w:eastAsia="Calibri" w:cs="Times New Roman"/>
          <w:szCs w:val="24"/>
        </w:rPr>
        <w:t>337</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sa podieľajú najmä kapitoly Ministerstvo obrany SR (663</w:t>
      </w:r>
      <w:r w:rsidR="00D217DE">
        <w:rPr>
          <w:rFonts w:eastAsia="Calibri" w:cs="Times New Roman"/>
          <w:szCs w:val="24"/>
        </w:rPr>
        <w:t> </w:t>
      </w:r>
      <w:r>
        <w:rPr>
          <w:rFonts w:eastAsia="Calibri" w:cs="Times New Roman"/>
          <w:szCs w:val="24"/>
        </w:rPr>
        <w:t>577</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Ministerstvo vnútra SR (525</w:t>
      </w:r>
      <w:r w:rsidR="00D217DE">
        <w:rPr>
          <w:rFonts w:eastAsia="Calibri" w:cs="Times New Roman"/>
          <w:szCs w:val="24"/>
        </w:rPr>
        <w:t> </w:t>
      </w:r>
      <w:r>
        <w:rPr>
          <w:rFonts w:eastAsia="Calibri" w:cs="Times New Roman"/>
          <w:szCs w:val="24"/>
        </w:rPr>
        <w:t>870</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Ministerstvo dopravy SR (316</w:t>
      </w:r>
      <w:r w:rsidR="00D217DE">
        <w:rPr>
          <w:rFonts w:eastAsia="Calibri" w:cs="Times New Roman"/>
          <w:szCs w:val="24"/>
        </w:rPr>
        <w:t> </w:t>
      </w:r>
      <w:r>
        <w:rPr>
          <w:rFonts w:eastAsia="Calibri" w:cs="Times New Roman"/>
          <w:szCs w:val="24"/>
        </w:rPr>
        <w:t>753</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Ministerstvo školstva, výskumu, vývoja a mládeže SR (210</w:t>
      </w:r>
      <w:r w:rsidR="00D217DE">
        <w:rPr>
          <w:rFonts w:eastAsia="Calibri" w:cs="Times New Roman"/>
          <w:szCs w:val="24"/>
        </w:rPr>
        <w:t> </w:t>
      </w:r>
      <w:r>
        <w:rPr>
          <w:rFonts w:eastAsia="Calibri" w:cs="Times New Roman"/>
          <w:szCs w:val="24"/>
        </w:rPr>
        <w:t>364</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w:t>
      </w:r>
    </w:p>
    <w:p w14:paraId="53A96E22" w14:textId="77777777" w:rsidR="00961C05" w:rsidRDefault="00961C05" w:rsidP="00D5791A">
      <w:pPr>
        <w:suppressAutoHyphens/>
        <w:spacing w:line="240" w:lineRule="auto"/>
        <w:jc w:val="both"/>
        <w:rPr>
          <w:rFonts w:eastAsia="Calibri" w:cs="Times New Roman"/>
          <w:szCs w:val="24"/>
          <w:u w:val="single"/>
        </w:rPr>
      </w:pPr>
    </w:p>
    <w:p w14:paraId="6AC4A9E6" w14:textId="3507E26A" w:rsidR="00961C05" w:rsidRDefault="00961C05" w:rsidP="00D5791A">
      <w:pPr>
        <w:suppressAutoHyphens/>
        <w:spacing w:line="240" w:lineRule="auto"/>
        <w:jc w:val="both"/>
        <w:rPr>
          <w:rFonts w:eastAsia="Calibri" w:cs="Times New Roman"/>
          <w:szCs w:val="24"/>
        </w:rPr>
      </w:pPr>
      <w:r w:rsidRPr="008A3498">
        <w:rPr>
          <w:rFonts w:eastAsia="Calibri" w:cs="Times New Roman"/>
          <w:b/>
          <w:bCs/>
          <w:szCs w:val="24"/>
        </w:rPr>
        <w:t>V rámci služieb</w:t>
      </w:r>
      <w:r w:rsidRPr="00650834">
        <w:rPr>
          <w:rFonts w:eastAsia="Calibri" w:cs="Times New Roman"/>
          <w:szCs w:val="24"/>
        </w:rPr>
        <w:t xml:space="preserve"> tvoria najvyššie výdavky špeciálne služby</w:t>
      </w:r>
      <w:r>
        <w:rPr>
          <w:rFonts w:eastAsia="Calibri" w:cs="Times New Roman"/>
          <w:szCs w:val="24"/>
        </w:rPr>
        <w:t xml:space="preserve"> 364</w:t>
      </w:r>
      <w:r w:rsidR="00D217DE">
        <w:rPr>
          <w:rFonts w:eastAsia="Calibri" w:cs="Times New Roman"/>
          <w:szCs w:val="24"/>
        </w:rPr>
        <w:t> </w:t>
      </w:r>
      <w:r>
        <w:rPr>
          <w:rFonts w:eastAsia="Calibri" w:cs="Times New Roman"/>
          <w:szCs w:val="24"/>
        </w:rPr>
        <w:t>482</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odmeny a príspevky 236</w:t>
      </w:r>
      <w:r w:rsidR="00D217DE">
        <w:rPr>
          <w:rFonts w:eastAsia="Calibri" w:cs="Times New Roman"/>
          <w:szCs w:val="24"/>
        </w:rPr>
        <w:t> </w:t>
      </w:r>
      <w:r>
        <w:rPr>
          <w:rFonts w:eastAsia="Calibri" w:cs="Times New Roman"/>
          <w:szCs w:val="24"/>
        </w:rPr>
        <w:t>920</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platby za dostupnosť 189</w:t>
      </w:r>
      <w:r w:rsidR="00D217DE">
        <w:rPr>
          <w:rFonts w:eastAsia="Calibri" w:cs="Times New Roman"/>
          <w:szCs w:val="24"/>
        </w:rPr>
        <w:t> </w:t>
      </w:r>
      <w:r>
        <w:rPr>
          <w:rFonts w:eastAsia="Calibri" w:cs="Times New Roman"/>
          <w:szCs w:val="24"/>
        </w:rPr>
        <w:t>824</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a všeobecné služby 116</w:t>
      </w:r>
      <w:r w:rsidR="00D217DE">
        <w:rPr>
          <w:rFonts w:eastAsia="Calibri" w:cs="Times New Roman"/>
          <w:szCs w:val="24"/>
        </w:rPr>
        <w:t> </w:t>
      </w:r>
      <w:r>
        <w:rPr>
          <w:rFonts w:eastAsia="Calibri" w:cs="Times New Roman"/>
          <w:szCs w:val="24"/>
        </w:rPr>
        <w:t>155</w:t>
      </w:r>
      <w:r w:rsidR="00D217DE">
        <w:rPr>
          <w:rFonts w:eastAsia="Calibri" w:cs="Times New Roman"/>
          <w:szCs w:val="24"/>
        </w:rPr>
        <w:t> </w:t>
      </w:r>
      <w:r>
        <w:rPr>
          <w:rFonts w:eastAsia="Calibri" w:cs="Times New Roman"/>
          <w:szCs w:val="24"/>
        </w:rPr>
        <w:t>tis.</w:t>
      </w:r>
      <w:r w:rsidR="00D217DE">
        <w:rPr>
          <w:rFonts w:eastAsia="Calibri" w:cs="Times New Roman"/>
          <w:szCs w:val="24"/>
        </w:rPr>
        <w:t> </w:t>
      </w:r>
      <w:r>
        <w:rPr>
          <w:rFonts w:eastAsia="Calibri" w:cs="Times New Roman"/>
          <w:szCs w:val="24"/>
        </w:rPr>
        <w:t>eur. Služby zahŕňajú aj iné položky, súvisiace s bežnou prevádzkou štátnych organizácií ako napríklad prídel do sociálneho fondu, stravovanie, zaplatené dane, reprezentačné výdavky, poistné a ďalšie, ktoré svojím objemom z pohľadu celkových služieb nie sú významné.</w:t>
      </w:r>
    </w:p>
    <w:p w14:paraId="37621836" w14:textId="77777777" w:rsidR="00BF0B29" w:rsidRDefault="00BF0B29" w:rsidP="00D5791A">
      <w:pPr>
        <w:shd w:val="clear" w:color="auto" w:fill="FFFFFF"/>
        <w:spacing w:line="240" w:lineRule="auto"/>
        <w:jc w:val="both"/>
        <w:rPr>
          <w:rFonts w:eastAsia="Times New Roman" w:cs="Times New Roman"/>
          <w:szCs w:val="24"/>
          <w:lang w:eastAsia="sk-SK"/>
        </w:rPr>
      </w:pPr>
    </w:p>
    <w:p w14:paraId="15B6C768" w14:textId="0026C2D1" w:rsidR="00961C05" w:rsidRDefault="00961C05" w:rsidP="00D5791A">
      <w:pPr>
        <w:shd w:val="clear" w:color="auto" w:fill="FFFFFF"/>
        <w:spacing w:line="240" w:lineRule="auto"/>
        <w:jc w:val="both"/>
        <w:rPr>
          <w:rFonts w:eastAsia="Calibri" w:cs="Times New Roman"/>
          <w:szCs w:val="24"/>
          <w:shd w:val="clear" w:color="auto" w:fill="FFFFFF"/>
        </w:rPr>
      </w:pPr>
      <w:r>
        <w:rPr>
          <w:rFonts w:eastAsia="Times New Roman" w:cs="Times New Roman"/>
          <w:szCs w:val="24"/>
          <w:lang w:eastAsia="sk-SK"/>
        </w:rPr>
        <w:t xml:space="preserve">Zo </w:t>
      </w:r>
      <w:r w:rsidRPr="00992865">
        <w:rPr>
          <w:rFonts w:eastAsia="Times New Roman" w:cs="Times New Roman"/>
          <w:szCs w:val="24"/>
          <w:u w:val="single"/>
          <w:lang w:eastAsia="sk-SK"/>
        </w:rPr>
        <w:t>špeciálnych služieb</w:t>
      </w:r>
      <w:r>
        <w:rPr>
          <w:rFonts w:eastAsia="Times New Roman" w:cs="Times New Roman"/>
          <w:szCs w:val="24"/>
          <w:lang w:eastAsia="sk-SK"/>
        </w:rPr>
        <w:t xml:space="preserve"> </w:t>
      </w:r>
      <w:r w:rsidRPr="005F15A4">
        <w:rPr>
          <w:rFonts w:eastAsia="Times New Roman" w:cs="Times New Roman"/>
          <w:szCs w:val="24"/>
          <w:lang w:eastAsia="sk-SK"/>
        </w:rPr>
        <w:t>vyčerpalo</w:t>
      </w:r>
      <w:r w:rsidRPr="005F15A4">
        <w:rPr>
          <w:rFonts w:eastAsia="Times New Roman" w:cs="Times New Roman"/>
          <w:color w:val="FF0000"/>
          <w:szCs w:val="24"/>
          <w:lang w:eastAsia="sk-SK"/>
        </w:rPr>
        <w:t xml:space="preserve"> </w:t>
      </w:r>
      <w:r w:rsidRPr="008A3498">
        <w:rPr>
          <w:rFonts w:eastAsia="Times New Roman" w:cs="Times New Roman"/>
          <w:szCs w:val="24"/>
          <w:lang w:eastAsia="sk-SK"/>
        </w:rPr>
        <w:t xml:space="preserve">Ministerstvo obrany SR </w:t>
      </w:r>
      <w:r w:rsidR="005F15A4" w:rsidRPr="008A3498">
        <w:rPr>
          <w:rFonts w:eastAsia="Times New Roman" w:cs="Times New Roman"/>
          <w:szCs w:val="24"/>
          <w:lang w:eastAsia="sk-SK"/>
        </w:rPr>
        <w:t>147 093</w:t>
      </w:r>
      <w:r w:rsidRPr="008A3498">
        <w:rPr>
          <w:rFonts w:eastAsia="Times New Roman" w:cs="Times New Roman"/>
          <w:szCs w:val="24"/>
          <w:lang w:eastAsia="sk-SK"/>
        </w:rPr>
        <w:t> tis. eur,</w:t>
      </w:r>
      <w:r w:rsidR="008A3498">
        <w:rPr>
          <w:rFonts w:eastAsia="Times New Roman" w:cs="Times New Roman"/>
          <w:color w:val="FF0000"/>
          <w:szCs w:val="24"/>
          <w:lang w:eastAsia="sk-SK"/>
        </w:rPr>
        <w:t xml:space="preserve"> </w:t>
      </w:r>
      <w:r w:rsidRPr="008A3498">
        <w:rPr>
          <w:rFonts w:eastAsia="Calibri" w:cs="Times New Roman"/>
          <w:szCs w:val="24"/>
          <w:shd w:val="clear" w:color="auto" w:fill="FFFFFF"/>
        </w:rPr>
        <w:t>najmä na zabezpečenie plnenia úloh v rámci obrany štátu a v </w:t>
      </w:r>
      <w:r w:rsidRPr="008A3498">
        <w:rPr>
          <w:rFonts w:eastAsia="Times New Roman" w:cs="Times New Roman"/>
          <w:szCs w:val="24"/>
          <w:lang w:eastAsia="sk-SK"/>
        </w:rPr>
        <w:t>súvislosti s realizáciou modernizačných projektov rezortu obrany.</w:t>
      </w:r>
      <w:r w:rsidRPr="005F15A4">
        <w:rPr>
          <w:rFonts w:eastAsia="Times New Roman" w:cs="Times New Roman"/>
          <w:color w:val="FF0000"/>
          <w:szCs w:val="24"/>
          <w:lang w:eastAsia="sk-SK"/>
        </w:rPr>
        <w:t xml:space="preserve"> </w:t>
      </w:r>
      <w:r w:rsidRPr="005F15A4">
        <w:rPr>
          <w:rFonts w:eastAsia="Times New Roman" w:cs="Times New Roman"/>
          <w:szCs w:val="24"/>
          <w:lang w:eastAsia="sk-SK"/>
        </w:rPr>
        <w:t>V čerpaní výdavkov</w:t>
      </w:r>
      <w:r w:rsidRPr="00992865">
        <w:rPr>
          <w:rFonts w:eastAsia="Times New Roman" w:cs="Times New Roman"/>
          <w:szCs w:val="24"/>
          <w:lang w:eastAsia="sk-SK"/>
        </w:rPr>
        <w:t xml:space="preserve"> špeciáln</w:t>
      </w:r>
      <w:r>
        <w:rPr>
          <w:rFonts w:eastAsia="Times New Roman" w:cs="Times New Roman"/>
          <w:szCs w:val="24"/>
          <w:lang w:eastAsia="sk-SK"/>
        </w:rPr>
        <w:t>ych</w:t>
      </w:r>
      <w:r w:rsidRPr="00992865">
        <w:rPr>
          <w:rFonts w:eastAsia="Times New Roman" w:cs="Times New Roman"/>
          <w:szCs w:val="24"/>
          <w:lang w:eastAsia="sk-SK"/>
        </w:rPr>
        <w:t xml:space="preserve"> služ</w:t>
      </w:r>
      <w:r>
        <w:rPr>
          <w:rFonts w:eastAsia="Times New Roman" w:cs="Times New Roman"/>
          <w:szCs w:val="24"/>
          <w:lang w:eastAsia="sk-SK"/>
        </w:rPr>
        <w:t>ie</w:t>
      </w:r>
      <w:r w:rsidRPr="00992865">
        <w:rPr>
          <w:rFonts w:eastAsia="Times New Roman" w:cs="Times New Roman"/>
          <w:szCs w:val="24"/>
          <w:lang w:eastAsia="sk-SK"/>
        </w:rPr>
        <w:t>b sa tiež podieľa Slove</w:t>
      </w:r>
      <w:r>
        <w:rPr>
          <w:rFonts w:eastAsia="Times New Roman" w:cs="Times New Roman"/>
          <w:szCs w:val="24"/>
          <w:lang w:eastAsia="sk-SK"/>
        </w:rPr>
        <w:t xml:space="preserve">nská informačná služba sumou </w:t>
      </w:r>
      <w:r w:rsidR="005F15A4">
        <w:rPr>
          <w:rFonts w:eastAsia="Times New Roman" w:cs="Times New Roman"/>
          <w:szCs w:val="24"/>
          <w:lang w:eastAsia="sk-SK"/>
        </w:rPr>
        <w:t>102 603</w:t>
      </w:r>
      <w:r w:rsidRPr="00992865">
        <w:rPr>
          <w:rFonts w:eastAsia="Times New Roman" w:cs="Times New Roman"/>
          <w:szCs w:val="24"/>
          <w:lang w:eastAsia="sk-SK"/>
        </w:rPr>
        <w:t> tis. eur</w:t>
      </w:r>
      <w:r>
        <w:rPr>
          <w:rFonts w:eastAsia="Times New Roman" w:cs="Times New Roman"/>
          <w:szCs w:val="24"/>
          <w:lang w:eastAsia="sk-SK"/>
        </w:rPr>
        <w:t xml:space="preserve">, čo však z pohľadu možnosti zverejňovania údajov </w:t>
      </w:r>
      <w:r w:rsidRPr="00BF0B29">
        <w:rPr>
          <w:rFonts w:eastAsia="Times New Roman" w:cs="Times New Roman"/>
          <w:szCs w:val="24"/>
          <w:lang w:eastAsia="sk-SK"/>
        </w:rPr>
        <w:t>tvorí celkový objem bežných výdavkov (bez detailu z dôvodu utajovaných skutočností)</w:t>
      </w:r>
      <w:r w:rsidR="00BF0B29" w:rsidRPr="00BF0B29">
        <w:rPr>
          <w:rFonts w:eastAsia="Times New Roman" w:cs="Times New Roman"/>
          <w:szCs w:val="24"/>
          <w:lang w:eastAsia="sk-SK"/>
        </w:rPr>
        <w:t>.</w:t>
      </w:r>
      <w:r w:rsidRPr="00BF0B29">
        <w:rPr>
          <w:rFonts w:eastAsia="Times New Roman" w:cs="Times New Roman"/>
          <w:color w:val="FF0000"/>
          <w:szCs w:val="24"/>
          <w:lang w:eastAsia="sk-SK"/>
        </w:rPr>
        <w:t xml:space="preserve"> </w:t>
      </w:r>
      <w:r w:rsidRPr="00BF0B29">
        <w:rPr>
          <w:rFonts w:eastAsia="Calibri" w:cs="Times New Roman"/>
          <w:szCs w:val="24"/>
        </w:rPr>
        <w:t xml:space="preserve">Ministerstvo pôdohospodárstva SR </w:t>
      </w:r>
      <w:r w:rsidR="00BF0B29" w:rsidRPr="00BF0B29">
        <w:rPr>
          <w:rFonts w:eastAsia="Calibri" w:cs="Times New Roman"/>
          <w:szCs w:val="24"/>
        </w:rPr>
        <w:t xml:space="preserve">čerpalo </w:t>
      </w:r>
      <w:r w:rsidRPr="00BF0B29">
        <w:rPr>
          <w:rFonts w:eastAsia="Calibri" w:cs="Times New Roman"/>
          <w:szCs w:val="24"/>
        </w:rPr>
        <w:t>sum</w:t>
      </w:r>
      <w:r w:rsidR="00BF0B29" w:rsidRPr="00BF0B29">
        <w:rPr>
          <w:rFonts w:eastAsia="Calibri" w:cs="Times New Roman"/>
          <w:szCs w:val="24"/>
        </w:rPr>
        <w:t>u</w:t>
      </w:r>
      <w:r w:rsidRPr="00BF0B29">
        <w:rPr>
          <w:rFonts w:eastAsia="Calibri" w:cs="Times New Roman"/>
          <w:szCs w:val="24"/>
        </w:rPr>
        <w:t xml:space="preserve"> 29</w:t>
      </w:r>
      <w:r w:rsidR="00D217DE" w:rsidRPr="00BF0B29">
        <w:rPr>
          <w:rFonts w:eastAsia="Calibri" w:cs="Times New Roman"/>
          <w:szCs w:val="24"/>
        </w:rPr>
        <w:t> </w:t>
      </w:r>
      <w:r w:rsidRPr="00BF0B29">
        <w:rPr>
          <w:rFonts w:eastAsia="Calibri" w:cs="Times New Roman"/>
          <w:szCs w:val="24"/>
        </w:rPr>
        <w:t>779</w:t>
      </w:r>
      <w:r w:rsidR="00D217DE" w:rsidRPr="00BF0B29">
        <w:rPr>
          <w:rFonts w:eastAsia="Calibri" w:cs="Times New Roman"/>
          <w:szCs w:val="24"/>
        </w:rPr>
        <w:t> </w:t>
      </w:r>
      <w:r w:rsidRPr="00BF0B29">
        <w:rPr>
          <w:rFonts w:eastAsia="Calibri" w:cs="Times New Roman"/>
          <w:szCs w:val="24"/>
        </w:rPr>
        <w:t>tis.</w:t>
      </w:r>
      <w:r w:rsidR="00D217DE" w:rsidRPr="00BF0B29">
        <w:rPr>
          <w:rFonts w:eastAsia="Calibri" w:cs="Times New Roman"/>
          <w:szCs w:val="24"/>
        </w:rPr>
        <w:t> </w:t>
      </w:r>
      <w:r w:rsidRPr="00BF0B29">
        <w:rPr>
          <w:rFonts w:eastAsia="Calibri" w:cs="Times New Roman"/>
          <w:szCs w:val="24"/>
        </w:rPr>
        <w:t>eur</w:t>
      </w:r>
      <w:r w:rsidR="00BF0B29" w:rsidRPr="00BF0B29">
        <w:rPr>
          <w:rFonts w:eastAsia="Calibri" w:cs="Times New Roman"/>
          <w:szCs w:val="24"/>
        </w:rPr>
        <w:t xml:space="preserve"> na špeciálne služby, a to najmä na financovanie projektov pozemkových úprav a registrov obnovenej evidencie pozemkov</w:t>
      </w:r>
      <w:r w:rsidR="00BF0B29">
        <w:rPr>
          <w:rFonts w:eastAsia="Calibri" w:cs="Times New Roman"/>
          <w:szCs w:val="24"/>
        </w:rPr>
        <w:t>, na</w:t>
      </w:r>
      <w:r w:rsidR="008A3498">
        <w:rPr>
          <w:rFonts w:eastAsia="Calibri" w:cs="Times New Roman"/>
          <w:szCs w:val="24"/>
        </w:rPr>
        <w:t> </w:t>
      </w:r>
      <w:r w:rsidR="00BF0B29">
        <w:rPr>
          <w:rFonts w:eastAsia="Calibri" w:cs="Times New Roman"/>
          <w:szCs w:val="24"/>
        </w:rPr>
        <w:t>poradenské služby v rámci technickej pomoci Programu rozvoja vidieka 2014-2020 a</w:t>
      </w:r>
      <w:r w:rsidR="008A3498">
        <w:rPr>
          <w:rFonts w:eastAsia="Calibri" w:cs="Times New Roman"/>
          <w:szCs w:val="24"/>
        </w:rPr>
        <w:t> </w:t>
      </w:r>
      <w:r w:rsidR="00BF0B29">
        <w:rPr>
          <w:rFonts w:eastAsia="Calibri" w:cs="Times New Roman"/>
          <w:szCs w:val="24"/>
        </w:rPr>
        <w:t>na</w:t>
      </w:r>
      <w:r w:rsidR="008A3498">
        <w:rPr>
          <w:rFonts w:eastAsia="Calibri" w:cs="Times New Roman"/>
          <w:szCs w:val="24"/>
        </w:rPr>
        <w:t> </w:t>
      </w:r>
      <w:r w:rsidR="00BF0B29">
        <w:rPr>
          <w:rFonts w:eastAsia="Calibri" w:cs="Times New Roman"/>
          <w:szCs w:val="24"/>
        </w:rPr>
        <w:t>ostatné služby v oblasti právnych a poradenských služieb, certifikácie a audítorských služieb.</w:t>
      </w:r>
    </w:p>
    <w:p w14:paraId="4722B267" w14:textId="77777777" w:rsidR="00BF0B29" w:rsidRDefault="00BF0B29" w:rsidP="00D5791A">
      <w:pPr>
        <w:shd w:val="clear" w:color="auto" w:fill="FFFFFF"/>
        <w:spacing w:line="240" w:lineRule="auto"/>
        <w:jc w:val="both"/>
        <w:rPr>
          <w:rFonts w:eastAsia="Calibri" w:cs="Times New Roman"/>
          <w:szCs w:val="24"/>
          <w:u w:val="single"/>
          <w:shd w:val="clear" w:color="auto" w:fill="FFFFFF"/>
        </w:rPr>
      </w:pPr>
    </w:p>
    <w:p w14:paraId="3A511F14" w14:textId="28B870D5" w:rsidR="005F15A4" w:rsidRDefault="005F15A4" w:rsidP="005F15A4">
      <w:pPr>
        <w:shd w:val="clear" w:color="auto" w:fill="FFFFFF"/>
        <w:spacing w:line="240" w:lineRule="auto"/>
        <w:jc w:val="both"/>
        <w:rPr>
          <w:rFonts w:eastAsia="Calibri" w:cs="Times New Roman"/>
          <w:szCs w:val="24"/>
          <w:shd w:val="clear" w:color="auto" w:fill="FFFFFF"/>
        </w:rPr>
      </w:pPr>
      <w:r w:rsidRPr="00FB4030">
        <w:rPr>
          <w:rFonts w:eastAsia="Calibri" w:cs="Times New Roman"/>
          <w:szCs w:val="24"/>
          <w:u w:val="single"/>
          <w:shd w:val="clear" w:color="auto" w:fill="FFFFFF"/>
        </w:rPr>
        <w:t>Odmeny a príspevky</w:t>
      </w:r>
      <w:r>
        <w:rPr>
          <w:rFonts w:eastAsia="Calibri" w:cs="Times New Roman"/>
          <w:szCs w:val="24"/>
          <w:shd w:val="clear" w:color="auto" w:fill="FFFFFF"/>
        </w:rPr>
        <w:t xml:space="preserve"> dosiahli v rezorte obrany 108 973 tis. eur a tvorili zároveň aj rozhodujúcu sumu medziročného rastu týchto výdavkov</w:t>
      </w:r>
      <w:r>
        <w:rPr>
          <w:rStyle w:val="Odkaznapoznmkupodiarou"/>
          <w:rFonts w:eastAsia="Calibri" w:cs="Times New Roman"/>
          <w:szCs w:val="24"/>
          <w:shd w:val="clear" w:color="auto" w:fill="FFFFFF"/>
        </w:rPr>
        <w:footnoteReference w:id="24"/>
      </w:r>
      <w:r>
        <w:rPr>
          <w:rFonts w:eastAsia="Calibri" w:cs="Times New Roman"/>
          <w:szCs w:val="24"/>
          <w:shd w:val="clear" w:color="auto" w:fill="FFFFFF"/>
        </w:rPr>
        <w:t xml:space="preserve">. </w:t>
      </w:r>
      <w:r w:rsidRPr="00741BE0">
        <w:rPr>
          <w:rFonts w:eastAsia="Calibri" w:cs="Times New Roman"/>
          <w:szCs w:val="24"/>
          <w:shd w:val="clear" w:color="auto" w:fill="FFFFFF"/>
        </w:rPr>
        <w:t xml:space="preserve">Vo výdavkoch sa realizovalo </w:t>
      </w:r>
      <w:r>
        <w:rPr>
          <w:rFonts w:eastAsia="Calibri" w:cs="Times New Roman"/>
          <w:szCs w:val="24"/>
          <w:shd w:val="clear" w:color="auto" w:fill="FFFFFF"/>
        </w:rPr>
        <w:t>poskytovanie pravidelných a motivačných príspevkov a odmien</w:t>
      </w:r>
      <w:r w:rsidRPr="00621893">
        <w:rPr>
          <w:rFonts w:eastAsia="Calibri" w:cs="Times New Roman"/>
          <w:szCs w:val="24"/>
          <w:shd w:val="clear" w:color="auto" w:fill="FFFFFF"/>
        </w:rPr>
        <w:t>, vrátane príspevku na civilné odievanie zamestnancov, výdavkov na kondičnú prípravu a regeneráciu športovej reprezentácie, hodnostného platu vojakov v zálohe, jednorazových príspevkov za mimoriadnu službu, ako aj finančných a motivačných príspevkov súvisiacich</w:t>
      </w:r>
      <w:r w:rsidR="008A3498">
        <w:rPr>
          <w:rFonts w:eastAsia="Calibri" w:cs="Times New Roman"/>
          <w:szCs w:val="24"/>
          <w:shd w:val="clear" w:color="auto" w:fill="FFFFFF"/>
        </w:rPr>
        <w:t xml:space="preserve"> </w:t>
      </w:r>
      <w:r w:rsidRPr="00621893">
        <w:rPr>
          <w:rFonts w:eastAsia="Calibri" w:cs="Times New Roman"/>
          <w:szCs w:val="24"/>
          <w:shd w:val="clear" w:color="auto" w:fill="FFFFFF"/>
        </w:rPr>
        <w:t>so služobným pomerom profesionálneho vojaka (príspevky aktivačné, náborové a na bývanie).</w:t>
      </w:r>
    </w:p>
    <w:p w14:paraId="552222B3" w14:textId="4C485583" w:rsidR="005F15A4" w:rsidRPr="00621893" w:rsidRDefault="005F15A4" w:rsidP="005F15A4">
      <w:pPr>
        <w:shd w:val="clear" w:color="auto" w:fill="FFFFFF"/>
        <w:spacing w:line="240" w:lineRule="auto"/>
        <w:jc w:val="both"/>
        <w:rPr>
          <w:rFonts w:eastAsia="Calibri" w:cs="Times New Roman"/>
          <w:szCs w:val="24"/>
          <w:shd w:val="clear" w:color="auto" w:fill="FFFFFF"/>
        </w:rPr>
      </w:pPr>
      <w:r w:rsidRPr="00621893">
        <w:rPr>
          <w:rFonts w:eastAsia="Calibri" w:cs="Times New Roman"/>
          <w:szCs w:val="24"/>
          <w:shd w:val="clear" w:color="auto" w:fill="FFFFFF"/>
        </w:rPr>
        <w:t>Súčasne došlo k zavedeniu nových výdavkových titulov, najmä stabilizačného príspevku a finančného príspevku pre žandára, ktoré predstavujú systémové opatrenia zamerané na</w:t>
      </w:r>
      <w:r w:rsidR="008A3498">
        <w:rPr>
          <w:rFonts w:eastAsia="Calibri" w:cs="Times New Roman"/>
          <w:szCs w:val="24"/>
          <w:shd w:val="clear" w:color="auto" w:fill="FFFFFF"/>
        </w:rPr>
        <w:t> </w:t>
      </w:r>
      <w:r w:rsidRPr="00621893">
        <w:rPr>
          <w:rFonts w:eastAsia="Calibri" w:cs="Times New Roman"/>
          <w:szCs w:val="24"/>
          <w:shd w:val="clear" w:color="auto" w:fill="FFFFFF"/>
        </w:rPr>
        <w:t>zvýšenie atraktivity a stabilizáciu vojenského personálu.</w:t>
      </w:r>
    </w:p>
    <w:p w14:paraId="1999FE1A" w14:textId="77777777" w:rsidR="005F15A4" w:rsidRDefault="005F15A4" w:rsidP="005F15A4">
      <w:pPr>
        <w:shd w:val="clear" w:color="auto" w:fill="FFFFFF"/>
        <w:spacing w:line="240" w:lineRule="auto"/>
        <w:jc w:val="both"/>
        <w:rPr>
          <w:rFonts w:eastAsia="Calibri" w:cs="Times New Roman"/>
          <w:szCs w:val="24"/>
          <w:shd w:val="clear" w:color="auto" w:fill="FFFFFF"/>
        </w:rPr>
      </w:pPr>
    </w:p>
    <w:p w14:paraId="200C9502" w14:textId="20F088EB" w:rsidR="00961C05" w:rsidRDefault="005F15A4" w:rsidP="005F15A4">
      <w:pPr>
        <w:shd w:val="clear" w:color="auto" w:fill="FFFFFF"/>
        <w:spacing w:line="240" w:lineRule="auto"/>
        <w:jc w:val="both"/>
        <w:rPr>
          <w:rFonts w:eastAsia="Calibri" w:cs="Times New Roman"/>
          <w:szCs w:val="24"/>
          <w:shd w:val="clear" w:color="auto" w:fill="FFFFFF"/>
        </w:rPr>
      </w:pPr>
      <w:r>
        <w:rPr>
          <w:rFonts w:eastAsia="Calibri" w:cs="Times New Roman"/>
          <w:szCs w:val="24"/>
          <w:shd w:val="clear" w:color="auto" w:fill="FFFFFF"/>
        </w:rPr>
        <w:t>Ministerstvo vnútra SR vynaložilo na odmeny a príspevky 70 560 tis. eur, a medziročne boli vyššie o 51 963 tis. eur.</w:t>
      </w:r>
      <w:r w:rsidRPr="0080652B">
        <w:t xml:space="preserve"> </w:t>
      </w:r>
      <w:r>
        <w:t xml:space="preserve">Konkrétne išlo </w:t>
      </w:r>
      <w:r w:rsidRPr="0080652B">
        <w:rPr>
          <w:rFonts w:eastAsia="Calibri" w:cs="Times New Roman"/>
          <w:szCs w:val="24"/>
          <w:shd w:val="clear" w:color="auto" w:fill="FFFFFF"/>
        </w:rPr>
        <w:t>o čerpanie najmä na príspevok na bývanie, na nové príspevky na podporu a udržanie zamestnanosti v silových zložkách a to na dočasný stabilizačný/náborový príspevok v nadväznosti na novelu zákona č. 73/1998 Z. z. o štátnej službe príslušníkov Policajného zboru, Slovenskej informačnej služby, Zboru väzenskej a justičnej stráže SR a Železničnej polície v znení neskorších predpisov</w:t>
      </w:r>
      <w:r w:rsidR="008A3498" w:rsidRPr="008A3498">
        <w:rPr>
          <w:rFonts w:eastAsia="Calibri" w:cs="Times New Roman"/>
          <w:szCs w:val="24"/>
          <w:shd w:val="clear" w:color="auto" w:fill="FFFFFF"/>
        </w:rPr>
        <w:t>.</w:t>
      </w:r>
    </w:p>
    <w:p w14:paraId="6D901480" w14:textId="77777777" w:rsidR="00BF0B29" w:rsidRDefault="00BF0B29" w:rsidP="00D5791A">
      <w:pPr>
        <w:shd w:val="clear" w:color="auto" w:fill="FFFFFF"/>
        <w:spacing w:line="240" w:lineRule="auto"/>
        <w:jc w:val="both"/>
        <w:rPr>
          <w:rFonts w:eastAsia="Calibri" w:cs="Times New Roman"/>
          <w:szCs w:val="24"/>
          <w:u w:val="single"/>
          <w:shd w:val="clear" w:color="auto" w:fill="FFFFFF"/>
        </w:rPr>
      </w:pPr>
    </w:p>
    <w:p w14:paraId="1DBD385C" w14:textId="1922F7FB" w:rsidR="00961C05" w:rsidRDefault="00961C05" w:rsidP="00D5791A">
      <w:pPr>
        <w:shd w:val="clear" w:color="auto" w:fill="FFFFFF"/>
        <w:spacing w:line="240" w:lineRule="auto"/>
        <w:jc w:val="both"/>
        <w:rPr>
          <w:rFonts w:eastAsia="Calibri" w:cs="Times New Roman"/>
          <w:szCs w:val="24"/>
          <w:shd w:val="clear" w:color="auto" w:fill="FFFFFF"/>
        </w:rPr>
      </w:pPr>
      <w:r w:rsidRPr="00FB4030">
        <w:rPr>
          <w:rFonts w:eastAsia="Calibri" w:cs="Times New Roman"/>
          <w:szCs w:val="24"/>
          <w:u w:val="single"/>
          <w:shd w:val="clear" w:color="auto" w:fill="FFFFFF"/>
        </w:rPr>
        <w:t>Platby za dostupnosť</w:t>
      </w:r>
      <w:r>
        <w:rPr>
          <w:rFonts w:eastAsia="Calibri" w:cs="Times New Roman"/>
          <w:szCs w:val="24"/>
          <w:shd w:val="clear" w:color="auto" w:fill="FFFFFF"/>
        </w:rPr>
        <w:t xml:space="preserve"> uhrádza Ministerstvo dopravy SR (189</w:t>
      </w:r>
      <w:r w:rsidR="00D217DE">
        <w:rPr>
          <w:rFonts w:eastAsia="Calibri" w:cs="Times New Roman"/>
          <w:szCs w:val="24"/>
          <w:shd w:val="clear" w:color="auto" w:fill="FFFFFF"/>
        </w:rPr>
        <w:t> </w:t>
      </w:r>
      <w:r>
        <w:rPr>
          <w:rFonts w:eastAsia="Calibri" w:cs="Times New Roman"/>
          <w:szCs w:val="24"/>
          <w:shd w:val="clear" w:color="auto" w:fill="FFFFFF"/>
        </w:rPr>
        <w:t>823</w:t>
      </w:r>
      <w:r w:rsidR="00D217DE">
        <w:rPr>
          <w:rFonts w:eastAsia="Calibri" w:cs="Times New Roman"/>
          <w:szCs w:val="24"/>
          <w:shd w:val="clear" w:color="auto" w:fill="FFFFFF"/>
        </w:rPr>
        <w:t> </w:t>
      </w:r>
      <w:r>
        <w:rPr>
          <w:rFonts w:eastAsia="Calibri" w:cs="Times New Roman"/>
          <w:szCs w:val="24"/>
          <w:shd w:val="clear" w:color="auto" w:fill="FFFFFF"/>
        </w:rPr>
        <w:t>tis.</w:t>
      </w:r>
      <w:r w:rsidR="00D217DE">
        <w:rPr>
          <w:rFonts w:eastAsia="Calibri" w:cs="Times New Roman"/>
          <w:szCs w:val="24"/>
          <w:shd w:val="clear" w:color="auto" w:fill="FFFFFF"/>
        </w:rPr>
        <w:t> </w:t>
      </w:r>
      <w:r>
        <w:rPr>
          <w:rFonts w:eastAsia="Calibri" w:cs="Times New Roman"/>
          <w:szCs w:val="24"/>
          <w:shd w:val="clear" w:color="auto" w:fill="FFFFFF"/>
        </w:rPr>
        <w:t>eur) a súvisia s platbami za projekty cestnej infraštruktúry PPP – R1, D4/R7.</w:t>
      </w:r>
    </w:p>
    <w:p w14:paraId="7F27D199" w14:textId="07104C0D" w:rsidR="00961C05" w:rsidRPr="008E112F" w:rsidRDefault="00961C05" w:rsidP="00D5791A">
      <w:pPr>
        <w:shd w:val="clear" w:color="auto" w:fill="FFFFFF"/>
        <w:spacing w:line="240" w:lineRule="auto"/>
        <w:jc w:val="both"/>
        <w:rPr>
          <w:rFonts w:eastAsia="Calibri" w:cs="Times New Roman"/>
          <w:szCs w:val="24"/>
        </w:rPr>
      </w:pPr>
      <w:r>
        <w:rPr>
          <w:rFonts w:eastAsia="Calibri" w:cs="Times New Roman"/>
          <w:szCs w:val="24"/>
        </w:rPr>
        <w:lastRenderedPageBreak/>
        <w:t>V</w:t>
      </w:r>
      <w:r w:rsidRPr="008E112F">
        <w:rPr>
          <w:rFonts w:eastAsia="Calibri" w:cs="Times New Roman"/>
          <w:szCs w:val="24"/>
        </w:rPr>
        <w:t xml:space="preserve">ýdavky </w:t>
      </w:r>
      <w:r w:rsidRPr="00B54C90">
        <w:rPr>
          <w:rFonts w:eastAsia="Calibri" w:cs="Times New Roman"/>
          <w:szCs w:val="24"/>
        </w:rPr>
        <w:t>na</w:t>
      </w:r>
      <w:r w:rsidRPr="00B54C90">
        <w:rPr>
          <w:rFonts w:eastAsia="Calibri" w:cs="Times New Roman"/>
          <w:i/>
          <w:szCs w:val="24"/>
        </w:rPr>
        <w:t xml:space="preserve"> </w:t>
      </w:r>
      <w:r w:rsidRPr="00B54C90">
        <w:rPr>
          <w:rFonts w:eastAsia="Calibri" w:cs="Times New Roman"/>
          <w:iCs/>
          <w:szCs w:val="24"/>
          <w:u w:val="single"/>
        </w:rPr>
        <w:t>všeobecné služby</w:t>
      </w:r>
      <w:r w:rsidRPr="00B54C90">
        <w:rPr>
          <w:rFonts w:eastAsia="Calibri" w:cs="Times New Roman"/>
          <w:iCs/>
          <w:szCs w:val="24"/>
        </w:rPr>
        <w:t xml:space="preserve"> </w:t>
      </w:r>
      <w:r w:rsidRPr="00B54C90">
        <w:rPr>
          <w:rFonts w:eastAsia="Calibri" w:cs="Times New Roman"/>
          <w:szCs w:val="24"/>
        </w:rPr>
        <w:t>dosiahli skutočné čerpanie 116</w:t>
      </w:r>
      <w:r w:rsidR="00D217DE" w:rsidRPr="00B54C90">
        <w:rPr>
          <w:rFonts w:eastAsia="Calibri" w:cs="Times New Roman"/>
          <w:szCs w:val="24"/>
        </w:rPr>
        <w:t> </w:t>
      </w:r>
      <w:r w:rsidRPr="00B54C90">
        <w:rPr>
          <w:rFonts w:eastAsia="Calibri" w:cs="Times New Roman"/>
          <w:szCs w:val="24"/>
        </w:rPr>
        <w:t>155 tis. eur</w:t>
      </w:r>
      <w:r w:rsidRPr="00B54C90">
        <w:rPr>
          <w:rFonts w:eastAsia="Calibri" w:cs="Times New Roman"/>
          <w:i/>
          <w:szCs w:val="24"/>
        </w:rPr>
        <w:t>.</w:t>
      </w:r>
      <w:r w:rsidR="00D217DE" w:rsidRPr="00B54C90">
        <w:rPr>
          <w:rFonts w:eastAsia="Calibri" w:cs="Times New Roman"/>
          <w:iCs/>
          <w:szCs w:val="24"/>
        </w:rPr>
        <w:t xml:space="preserve"> </w:t>
      </w:r>
      <w:r w:rsidRPr="00B54C90">
        <w:rPr>
          <w:rFonts w:eastAsia="Calibri" w:cs="Times New Roman"/>
          <w:szCs w:val="24"/>
        </w:rPr>
        <w:t>Ide o výkony obstarávané do</w:t>
      </w:r>
      <w:r w:rsidRPr="008E112F">
        <w:rPr>
          <w:rFonts w:eastAsia="Calibri" w:cs="Times New Roman"/>
          <w:szCs w:val="24"/>
        </w:rPr>
        <w:t>dávateľským spôsobom, ktoré predstavujú služby súvisiace so správou štátnych budov a</w:t>
      </w:r>
      <w:r>
        <w:rPr>
          <w:rFonts w:eastAsia="Calibri" w:cs="Times New Roman"/>
          <w:szCs w:val="24"/>
        </w:rPr>
        <w:t> </w:t>
      </w:r>
      <w:r w:rsidRPr="008E112F">
        <w:rPr>
          <w:rFonts w:eastAsia="Calibri" w:cs="Times New Roman"/>
          <w:szCs w:val="24"/>
        </w:rPr>
        <w:t>zariadení</w:t>
      </w:r>
      <w:r>
        <w:rPr>
          <w:rFonts w:eastAsia="Calibri" w:cs="Times New Roman"/>
          <w:szCs w:val="24"/>
        </w:rPr>
        <w:t xml:space="preserve"> </w:t>
      </w:r>
      <w:r w:rsidRPr="008E112F">
        <w:rPr>
          <w:rFonts w:eastAsia="Calibri" w:cs="Times New Roman"/>
          <w:szCs w:val="24"/>
        </w:rPr>
        <w:t>(napr. čistiace a upratovacie služby, odvoz a likvidácia odpadu, ako aj platby za externé služby, ako sú tlmočenie, prekladateľské služby, výkon revízií a kontrol dopravnej techniky, výdavky na prevádzku varovného systému civilnej obrany, odmeny asistentom poslancov a podobne).</w:t>
      </w:r>
      <w:r>
        <w:rPr>
          <w:rFonts w:eastAsia="Calibri" w:cs="Times New Roman"/>
          <w:szCs w:val="24"/>
        </w:rPr>
        <w:t xml:space="preserve"> </w:t>
      </w:r>
    </w:p>
    <w:p w14:paraId="5EBB0DF9" w14:textId="77777777" w:rsidR="00BF0B29" w:rsidRDefault="00BF0B29" w:rsidP="00D5791A">
      <w:pPr>
        <w:spacing w:line="240" w:lineRule="auto"/>
        <w:jc w:val="both"/>
        <w:rPr>
          <w:rFonts w:eastAsia="Calibri" w:cs="Times New Roman"/>
          <w:b/>
          <w:i/>
          <w:iCs/>
          <w:szCs w:val="24"/>
        </w:rPr>
      </w:pPr>
    </w:p>
    <w:p w14:paraId="35A0D2EB" w14:textId="4947B36C" w:rsidR="00961C05" w:rsidRPr="008E112F" w:rsidRDefault="00961C05" w:rsidP="00D5791A">
      <w:pPr>
        <w:spacing w:line="240" w:lineRule="auto"/>
        <w:jc w:val="both"/>
        <w:rPr>
          <w:rFonts w:eastAsia="Calibri" w:cs="Times New Roman"/>
          <w:szCs w:val="24"/>
        </w:rPr>
      </w:pPr>
      <w:r w:rsidRPr="009D1DCA">
        <w:rPr>
          <w:rFonts w:eastAsia="Calibri" w:cs="Times New Roman"/>
          <w:b/>
          <w:i/>
          <w:iCs/>
          <w:szCs w:val="24"/>
        </w:rPr>
        <w:t>Rutinná a štandardná údržba</w:t>
      </w:r>
      <w:r w:rsidRPr="008E112F">
        <w:rPr>
          <w:rFonts w:eastAsia="Calibri" w:cs="Times New Roman"/>
          <w:color w:val="FF0000"/>
          <w:szCs w:val="24"/>
        </w:rPr>
        <w:t xml:space="preserve"> </w:t>
      </w:r>
      <w:r w:rsidRPr="008E112F">
        <w:rPr>
          <w:rFonts w:eastAsia="Calibri" w:cs="Times New Roman"/>
          <w:szCs w:val="24"/>
        </w:rPr>
        <w:t xml:space="preserve">predstavovala výdavky v sume </w:t>
      </w:r>
      <w:r>
        <w:rPr>
          <w:rFonts w:eastAsia="Calibri" w:cs="Times New Roman"/>
          <w:szCs w:val="24"/>
        </w:rPr>
        <w:t>487</w:t>
      </w:r>
      <w:r w:rsidR="007354C1">
        <w:rPr>
          <w:rFonts w:eastAsia="Calibri" w:cs="Times New Roman"/>
          <w:szCs w:val="24"/>
        </w:rPr>
        <w:t> </w:t>
      </w:r>
      <w:r>
        <w:rPr>
          <w:rFonts w:eastAsia="Calibri" w:cs="Times New Roman"/>
          <w:szCs w:val="24"/>
        </w:rPr>
        <w:t>001</w:t>
      </w:r>
      <w:r w:rsidRPr="008E112F">
        <w:rPr>
          <w:rFonts w:eastAsia="Calibri" w:cs="Times New Roman"/>
          <w:szCs w:val="24"/>
        </w:rPr>
        <w:t> tis. eur. Išlo najmä o dodávateľsky obstarávané práce a výkony, ktorými sa zabezpečuje bežná prevádzka majetku, napr. budov, prevádzkového zariadenia, kancelárskeho vybavenia, softvéru a pod.</w:t>
      </w:r>
      <w:r w:rsidR="007354C1">
        <w:rPr>
          <w:rFonts w:eastAsia="Calibri" w:cs="Times New Roman"/>
          <w:szCs w:val="24"/>
        </w:rPr>
        <w:t xml:space="preserve"> </w:t>
      </w:r>
      <w:r w:rsidRPr="008E112F">
        <w:rPr>
          <w:rFonts w:eastAsia="Calibri" w:cs="Times New Roman"/>
          <w:szCs w:val="24"/>
        </w:rPr>
        <w:t xml:space="preserve">Objemovo najväčšie čerpanie si vyžiadala údržba </w:t>
      </w:r>
      <w:r w:rsidRPr="00A64ED5">
        <w:rPr>
          <w:rFonts w:eastAsia="Calibri" w:cs="Times New Roman"/>
          <w:bCs/>
          <w:iCs/>
          <w:szCs w:val="24"/>
          <w:u w:val="single"/>
        </w:rPr>
        <w:t>unikátneho softvéru</w:t>
      </w:r>
      <w:r w:rsidRPr="008E112F">
        <w:rPr>
          <w:rFonts w:eastAsia="Calibri" w:cs="Times New Roman"/>
          <w:szCs w:val="24"/>
        </w:rPr>
        <w:t xml:space="preserve"> (</w:t>
      </w:r>
      <w:r>
        <w:rPr>
          <w:rFonts w:eastAsia="Calibri" w:cs="Times New Roman"/>
          <w:szCs w:val="24"/>
        </w:rPr>
        <w:t>160</w:t>
      </w:r>
      <w:r w:rsidR="007354C1">
        <w:rPr>
          <w:rFonts w:eastAsia="Calibri" w:cs="Times New Roman"/>
          <w:szCs w:val="24"/>
        </w:rPr>
        <w:t> </w:t>
      </w:r>
      <w:r>
        <w:rPr>
          <w:rFonts w:eastAsia="Calibri" w:cs="Times New Roman"/>
          <w:szCs w:val="24"/>
        </w:rPr>
        <w:t>004</w:t>
      </w:r>
      <w:r w:rsidRPr="008E112F">
        <w:rPr>
          <w:rFonts w:eastAsia="Calibri" w:cs="Times New Roman"/>
          <w:szCs w:val="24"/>
        </w:rPr>
        <w:t> tis. eur),</w:t>
      </w:r>
      <w:r w:rsidR="007354C1">
        <w:rPr>
          <w:rFonts w:eastAsia="Calibri" w:cs="Times New Roman"/>
          <w:szCs w:val="24"/>
        </w:rPr>
        <w:t xml:space="preserve"> </w:t>
      </w:r>
      <w:r w:rsidRPr="008E112F">
        <w:rPr>
          <w:rFonts w:eastAsia="Calibri" w:cs="Times New Roman"/>
          <w:szCs w:val="24"/>
        </w:rPr>
        <w:t xml:space="preserve">údržba </w:t>
      </w:r>
      <w:r w:rsidRPr="00A64ED5">
        <w:rPr>
          <w:rFonts w:eastAsia="Calibri" w:cs="Times New Roman"/>
          <w:bCs/>
          <w:iCs/>
          <w:szCs w:val="24"/>
          <w:u w:val="single"/>
        </w:rPr>
        <w:t>budov, objektov alebo ich častí</w:t>
      </w:r>
      <w:r w:rsidRPr="008E112F">
        <w:rPr>
          <w:rFonts w:eastAsia="Calibri" w:cs="Times New Roman"/>
          <w:color w:val="FF0000"/>
          <w:szCs w:val="24"/>
        </w:rPr>
        <w:t xml:space="preserve"> </w:t>
      </w:r>
      <w:r w:rsidRPr="008E112F">
        <w:rPr>
          <w:rFonts w:eastAsia="Calibri" w:cs="Times New Roman"/>
          <w:szCs w:val="24"/>
        </w:rPr>
        <w:t>(</w:t>
      </w:r>
      <w:r>
        <w:rPr>
          <w:rFonts w:eastAsia="Calibri" w:cs="Times New Roman"/>
          <w:szCs w:val="24"/>
        </w:rPr>
        <w:t>150</w:t>
      </w:r>
      <w:r w:rsidR="007354C1">
        <w:rPr>
          <w:rFonts w:eastAsia="Calibri" w:cs="Times New Roman"/>
          <w:szCs w:val="24"/>
        </w:rPr>
        <w:t> </w:t>
      </w:r>
      <w:r>
        <w:rPr>
          <w:rFonts w:eastAsia="Calibri" w:cs="Times New Roman"/>
          <w:szCs w:val="24"/>
        </w:rPr>
        <w:t>710 </w:t>
      </w:r>
      <w:r w:rsidRPr="008E112F">
        <w:rPr>
          <w:rFonts w:eastAsia="Calibri" w:cs="Times New Roman"/>
          <w:szCs w:val="24"/>
        </w:rPr>
        <w:t xml:space="preserve">tis. eur), údržba </w:t>
      </w:r>
      <w:r w:rsidRPr="00A64ED5">
        <w:rPr>
          <w:rFonts w:eastAsia="Calibri" w:cs="Times New Roman"/>
          <w:bCs/>
          <w:iCs/>
          <w:szCs w:val="24"/>
          <w:u w:val="single"/>
        </w:rPr>
        <w:t>špeciálnych strojov, prístrojov, zariadení a techniky</w:t>
      </w:r>
      <w:r w:rsidRPr="008E112F">
        <w:rPr>
          <w:rFonts w:eastAsia="Calibri" w:cs="Times New Roman"/>
          <w:b/>
          <w:i/>
          <w:szCs w:val="24"/>
        </w:rPr>
        <w:t xml:space="preserve"> </w:t>
      </w:r>
      <w:r w:rsidRPr="008E112F">
        <w:rPr>
          <w:rFonts w:eastAsia="Calibri" w:cs="Times New Roman"/>
          <w:szCs w:val="24"/>
        </w:rPr>
        <w:t>(</w:t>
      </w:r>
      <w:r>
        <w:rPr>
          <w:rFonts w:eastAsia="Calibri" w:cs="Times New Roman"/>
          <w:szCs w:val="24"/>
        </w:rPr>
        <w:t>62</w:t>
      </w:r>
      <w:r w:rsidR="00970FAF">
        <w:rPr>
          <w:rFonts w:eastAsia="Calibri" w:cs="Times New Roman"/>
          <w:szCs w:val="24"/>
        </w:rPr>
        <w:t> </w:t>
      </w:r>
      <w:r>
        <w:rPr>
          <w:rFonts w:eastAsia="Calibri" w:cs="Times New Roman"/>
          <w:szCs w:val="24"/>
        </w:rPr>
        <w:t>672</w:t>
      </w:r>
      <w:r w:rsidR="00970FAF">
        <w:rPr>
          <w:rFonts w:eastAsia="Calibri" w:cs="Times New Roman"/>
          <w:szCs w:val="24"/>
        </w:rPr>
        <w:t> </w:t>
      </w:r>
      <w:r w:rsidRPr="008E112F">
        <w:rPr>
          <w:rFonts w:eastAsia="Calibri" w:cs="Times New Roman"/>
          <w:szCs w:val="24"/>
        </w:rPr>
        <w:t>tis. eur)</w:t>
      </w:r>
      <w:r>
        <w:rPr>
          <w:rFonts w:eastAsia="Calibri" w:cs="Times New Roman"/>
          <w:szCs w:val="24"/>
        </w:rPr>
        <w:t xml:space="preserve">, </w:t>
      </w:r>
      <w:r w:rsidRPr="00A64ED5">
        <w:rPr>
          <w:rFonts w:eastAsia="Calibri" w:cs="Times New Roman"/>
          <w:bCs/>
          <w:iCs/>
          <w:szCs w:val="24"/>
          <w:u w:val="single"/>
        </w:rPr>
        <w:t>komunikačnej infraštruktúry</w:t>
      </w:r>
      <w:r w:rsidRPr="008E112F">
        <w:rPr>
          <w:rFonts w:eastAsia="Calibri" w:cs="Times New Roman"/>
          <w:szCs w:val="24"/>
        </w:rPr>
        <w:t xml:space="preserve"> (</w:t>
      </w:r>
      <w:r>
        <w:rPr>
          <w:rFonts w:eastAsia="Calibri" w:cs="Times New Roman"/>
          <w:szCs w:val="24"/>
        </w:rPr>
        <w:t>35</w:t>
      </w:r>
      <w:r w:rsidR="007354C1">
        <w:rPr>
          <w:rFonts w:eastAsia="Calibri" w:cs="Times New Roman"/>
          <w:szCs w:val="24"/>
        </w:rPr>
        <w:t> </w:t>
      </w:r>
      <w:r>
        <w:rPr>
          <w:rFonts w:eastAsia="Calibri" w:cs="Times New Roman"/>
          <w:szCs w:val="24"/>
        </w:rPr>
        <w:t>689</w:t>
      </w:r>
      <w:r w:rsidRPr="008E112F">
        <w:rPr>
          <w:rFonts w:eastAsia="Calibri" w:cs="Times New Roman"/>
          <w:szCs w:val="24"/>
        </w:rPr>
        <w:t> tis. eur)</w:t>
      </w:r>
      <w:r>
        <w:rPr>
          <w:rFonts w:eastAsia="Calibri" w:cs="Times New Roman"/>
          <w:szCs w:val="24"/>
        </w:rPr>
        <w:t>.</w:t>
      </w:r>
    </w:p>
    <w:p w14:paraId="75C8506B" w14:textId="6ED19425" w:rsidR="00961C05" w:rsidRDefault="00961C05" w:rsidP="00D5791A">
      <w:pPr>
        <w:spacing w:line="240" w:lineRule="auto"/>
        <w:jc w:val="both"/>
        <w:rPr>
          <w:rFonts w:eastAsia="Calibri" w:cs="Times New Roman"/>
          <w:szCs w:val="24"/>
        </w:rPr>
      </w:pPr>
      <w:r>
        <w:rPr>
          <w:rFonts w:eastAsia="Calibri" w:cs="Times New Roman"/>
          <w:szCs w:val="24"/>
        </w:rPr>
        <w:t>Z pohľadu kapitol predstavujú najvyššie výdavky u Ministerstva vnútra SR (122</w:t>
      </w:r>
      <w:r w:rsidR="007354C1">
        <w:rPr>
          <w:rFonts w:eastAsia="Calibri" w:cs="Times New Roman"/>
          <w:szCs w:val="24"/>
        </w:rPr>
        <w:t> </w:t>
      </w:r>
      <w:r>
        <w:rPr>
          <w:rFonts w:eastAsia="Calibri" w:cs="Times New Roman"/>
          <w:szCs w:val="24"/>
        </w:rPr>
        <w:t>836</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Ministerstva obrany SR (102</w:t>
      </w:r>
      <w:r w:rsidR="007354C1">
        <w:rPr>
          <w:rFonts w:eastAsia="Calibri" w:cs="Times New Roman"/>
          <w:szCs w:val="24"/>
        </w:rPr>
        <w:t> </w:t>
      </w:r>
      <w:r>
        <w:rPr>
          <w:rFonts w:eastAsia="Calibri" w:cs="Times New Roman"/>
          <w:szCs w:val="24"/>
        </w:rPr>
        <w:t>920</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Ministerstva dopravy SR (90</w:t>
      </w:r>
      <w:r w:rsidR="007354C1">
        <w:rPr>
          <w:rFonts w:eastAsia="Calibri" w:cs="Times New Roman"/>
          <w:szCs w:val="24"/>
        </w:rPr>
        <w:t> </w:t>
      </w:r>
      <w:r>
        <w:rPr>
          <w:rFonts w:eastAsia="Calibri" w:cs="Times New Roman"/>
          <w:szCs w:val="24"/>
        </w:rPr>
        <w:t>680</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a Ministerstva financií SR (64</w:t>
      </w:r>
      <w:r w:rsidR="007354C1">
        <w:rPr>
          <w:rFonts w:eastAsia="Calibri" w:cs="Times New Roman"/>
          <w:szCs w:val="24"/>
        </w:rPr>
        <w:t> </w:t>
      </w:r>
      <w:r>
        <w:rPr>
          <w:rFonts w:eastAsia="Calibri" w:cs="Times New Roman"/>
          <w:szCs w:val="24"/>
        </w:rPr>
        <w:t>405</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w:t>
      </w:r>
    </w:p>
    <w:p w14:paraId="6CBE337D" w14:textId="77777777" w:rsidR="00961C05" w:rsidRDefault="00961C05" w:rsidP="00D5791A">
      <w:pPr>
        <w:spacing w:line="240" w:lineRule="auto"/>
        <w:jc w:val="both"/>
        <w:rPr>
          <w:rFonts w:eastAsia="Calibri" w:cs="Times New Roman"/>
          <w:szCs w:val="24"/>
          <w:highlight w:val="yellow"/>
        </w:rPr>
      </w:pPr>
    </w:p>
    <w:p w14:paraId="4F29782B" w14:textId="2D794C19" w:rsidR="00961C05" w:rsidRDefault="00961C05" w:rsidP="00D5791A">
      <w:pPr>
        <w:spacing w:line="240" w:lineRule="auto"/>
        <w:jc w:val="both"/>
        <w:rPr>
          <w:rFonts w:eastAsia="Calibri" w:cs="Times New Roman"/>
          <w:szCs w:val="24"/>
        </w:rPr>
      </w:pPr>
      <w:r>
        <w:rPr>
          <w:rFonts w:eastAsia="Calibri" w:cs="Times New Roman"/>
          <w:szCs w:val="24"/>
        </w:rPr>
        <w:t>Ministerstvo dopravy SR smeruje výdavky najmä na údržbu a opravu cestnej infraštruktúry prostredníctvom Slovenskej správy ciest (objem výdavkov 80</w:t>
      </w:r>
      <w:r w:rsidR="007354C1">
        <w:rPr>
          <w:rFonts w:eastAsia="Calibri" w:cs="Times New Roman"/>
          <w:szCs w:val="24"/>
        </w:rPr>
        <w:t> </w:t>
      </w:r>
      <w:r>
        <w:rPr>
          <w:rFonts w:eastAsia="Calibri" w:cs="Times New Roman"/>
          <w:szCs w:val="24"/>
        </w:rPr>
        <w:t>980</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Ministerstvo financií SR v prípade údržby softvéru vynaložilo 10</w:t>
      </w:r>
      <w:r w:rsidR="007354C1">
        <w:rPr>
          <w:rFonts w:eastAsia="Calibri" w:cs="Times New Roman"/>
          <w:szCs w:val="24"/>
        </w:rPr>
        <w:t> </w:t>
      </w:r>
      <w:r>
        <w:rPr>
          <w:rFonts w:eastAsia="Calibri" w:cs="Times New Roman"/>
          <w:szCs w:val="24"/>
        </w:rPr>
        <w:t>206</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jeho podriadené rozpočtové organizácie DataCentrum a Finančné riaditeľstvo SR ďalších 38</w:t>
      </w:r>
      <w:r w:rsidR="007354C1">
        <w:rPr>
          <w:rFonts w:eastAsia="Calibri" w:cs="Times New Roman"/>
          <w:szCs w:val="24"/>
        </w:rPr>
        <w:t> </w:t>
      </w:r>
      <w:r>
        <w:rPr>
          <w:rFonts w:eastAsia="Calibri" w:cs="Times New Roman"/>
          <w:szCs w:val="24"/>
        </w:rPr>
        <w:t>000</w:t>
      </w:r>
      <w:r w:rsidR="007354C1">
        <w:rPr>
          <w:rFonts w:eastAsia="Calibri" w:cs="Times New Roman"/>
          <w:szCs w:val="24"/>
        </w:rPr>
        <w:t> </w:t>
      </w:r>
      <w:r w:rsidR="005F15A4">
        <w:rPr>
          <w:rFonts w:eastAsia="Calibri" w:cs="Times New Roman"/>
          <w:szCs w:val="24"/>
        </w:rPr>
        <w:t>tis</w:t>
      </w:r>
      <w:r>
        <w:rPr>
          <w:rFonts w:eastAsia="Calibri" w:cs="Times New Roman"/>
          <w:szCs w:val="24"/>
        </w:rPr>
        <w:t>.</w:t>
      </w:r>
      <w:r w:rsidR="007354C1">
        <w:rPr>
          <w:rFonts w:eastAsia="Calibri" w:cs="Times New Roman"/>
          <w:szCs w:val="24"/>
        </w:rPr>
        <w:t> </w:t>
      </w:r>
      <w:r>
        <w:rPr>
          <w:rFonts w:eastAsia="Calibri" w:cs="Times New Roman"/>
          <w:szCs w:val="24"/>
        </w:rPr>
        <w:t>eur z dôvodu správy viacerých nadrezortných informačných systémov a aplikačného vybavenia.</w:t>
      </w:r>
    </w:p>
    <w:p w14:paraId="620766E9" w14:textId="77777777" w:rsidR="00961C05" w:rsidRDefault="00961C05" w:rsidP="00D5791A">
      <w:pPr>
        <w:spacing w:line="240" w:lineRule="auto"/>
        <w:jc w:val="both"/>
        <w:rPr>
          <w:rFonts w:eastAsia="Calibri" w:cs="Times New Roman"/>
          <w:szCs w:val="24"/>
        </w:rPr>
      </w:pPr>
    </w:p>
    <w:p w14:paraId="04F3D634" w14:textId="6BAB2E3D" w:rsidR="00961C05" w:rsidRPr="008E112F" w:rsidRDefault="00961C05" w:rsidP="00D5791A">
      <w:pPr>
        <w:spacing w:line="240" w:lineRule="auto"/>
        <w:jc w:val="both"/>
        <w:rPr>
          <w:rFonts w:eastAsia="Calibri" w:cs="Times New Roman"/>
          <w:szCs w:val="24"/>
        </w:rPr>
      </w:pPr>
      <w:r w:rsidRPr="00795D97">
        <w:rPr>
          <w:rFonts w:eastAsia="Calibri" w:cs="Times New Roman"/>
          <w:szCs w:val="24"/>
        </w:rPr>
        <w:t>Výdavky na</w:t>
      </w:r>
      <w:r w:rsidRPr="00795D97">
        <w:rPr>
          <w:rFonts w:eastAsia="Calibri" w:cs="Times New Roman"/>
          <w:b/>
          <w:szCs w:val="24"/>
        </w:rPr>
        <w:t> </w:t>
      </w:r>
      <w:r w:rsidRPr="009D1741">
        <w:rPr>
          <w:rFonts w:eastAsia="Calibri" w:cs="Times New Roman"/>
          <w:b/>
          <w:i/>
          <w:iCs/>
          <w:szCs w:val="24"/>
        </w:rPr>
        <w:t>materiál</w:t>
      </w:r>
      <w:r w:rsidRPr="00795D97">
        <w:rPr>
          <w:rFonts w:eastAsia="Calibri" w:cs="Times New Roman"/>
          <w:szCs w:val="24"/>
        </w:rPr>
        <w:t xml:space="preserve"> predstavujú </w:t>
      </w:r>
      <w:r>
        <w:rPr>
          <w:rFonts w:eastAsia="Calibri" w:cs="Times New Roman"/>
          <w:szCs w:val="24"/>
        </w:rPr>
        <w:t>tretie</w:t>
      </w:r>
      <w:r w:rsidRPr="00795D97">
        <w:rPr>
          <w:rFonts w:eastAsia="Calibri" w:cs="Times New Roman"/>
          <w:szCs w:val="24"/>
        </w:rPr>
        <w:t xml:space="preserve"> najvyššie čerpanie finančných prostriedkov </w:t>
      </w:r>
      <w:r w:rsidRPr="008E112F">
        <w:rPr>
          <w:rFonts w:eastAsia="Calibri" w:cs="Times New Roman"/>
          <w:szCs w:val="24"/>
        </w:rPr>
        <w:t xml:space="preserve">v rámci tovarov a služieb. Dosiahli sumu </w:t>
      </w:r>
      <w:r>
        <w:rPr>
          <w:rFonts w:eastAsia="Calibri" w:cs="Times New Roman"/>
          <w:szCs w:val="24"/>
        </w:rPr>
        <w:t>411</w:t>
      </w:r>
      <w:r w:rsidR="007354C1">
        <w:rPr>
          <w:rFonts w:eastAsia="Calibri" w:cs="Times New Roman"/>
          <w:szCs w:val="24"/>
        </w:rPr>
        <w:t> </w:t>
      </w:r>
      <w:r w:rsidR="005F15A4">
        <w:rPr>
          <w:rFonts w:eastAsia="Calibri" w:cs="Times New Roman"/>
          <w:szCs w:val="24"/>
        </w:rPr>
        <w:t>801</w:t>
      </w:r>
      <w:r w:rsidR="005F15A4" w:rsidRPr="008E112F">
        <w:rPr>
          <w:rFonts w:eastAsia="Calibri" w:cs="Times New Roman"/>
          <w:szCs w:val="24"/>
        </w:rPr>
        <w:t> </w:t>
      </w:r>
      <w:r w:rsidRPr="008E112F">
        <w:rPr>
          <w:rFonts w:eastAsia="Calibri" w:cs="Times New Roman"/>
          <w:szCs w:val="24"/>
        </w:rPr>
        <w:t>tis. eur, pričom ide o výdavky, ktoré súvisia priamo s bežnou prevádzkou jednotlivých rozpočtových organizácií, ale aj s poskytovaním určitej formy pomoci napr. pre fyzické osoby.</w:t>
      </w:r>
      <w:r>
        <w:rPr>
          <w:rFonts w:eastAsia="Calibri" w:cs="Times New Roman"/>
          <w:szCs w:val="24"/>
        </w:rPr>
        <w:t xml:space="preserve"> Oproti rozpočtu sa zvýšili výdavky celkom o 98</w:t>
      </w:r>
      <w:r w:rsidR="007354C1">
        <w:rPr>
          <w:rFonts w:eastAsia="Calibri" w:cs="Times New Roman"/>
          <w:szCs w:val="24"/>
        </w:rPr>
        <w:t> </w:t>
      </w:r>
      <w:r>
        <w:rPr>
          <w:rFonts w:eastAsia="Calibri" w:cs="Times New Roman"/>
          <w:szCs w:val="24"/>
        </w:rPr>
        <w:t>304</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a to najmä na výpočtovú techniku, 92</w:t>
      </w:r>
      <w:r w:rsidR="007354C1">
        <w:rPr>
          <w:rFonts w:eastAsia="Calibri" w:cs="Times New Roman"/>
          <w:szCs w:val="24"/>
        </w:rPr>
        <w:t> </w:t>
      </w:r>
      <w:r>
        <w:rPr>
          <w:rFonts w:eastAsia="Calibri" w:cs="Times New Roman"/>
          <w:szCs w:val="24"/>
        </w:rPr>
        <w:t>049</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a licencie 24</w:t>
      </w:r>
      <w:r w:rsidR="007354C1">
        <w:rPr>
          <w:rFonts w:eastAsia="Calibri" w:cs="Times New Roman"/>
          <w:szCs w:val="24"/>
        </w:rPr>
        <w:t> </w:t>
      </w:r>
      <w:r>
        <w:rPr>
          <w:rFonts w:eastAsia="Calibri" w:cs="Times New Roman"/>
          <w:szCs w:val="24"/>
        </w:rPr>
        <w:t>982</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Pokles oproti rozpočtu zaznamenal napr. špeciálny materiál o 19</w:t>
      </w:r>
      <w:r w:rsidR="007354C1">
        <w:rPr>
          <w:rFonts w:eastAsia="Calibri" w:cs="Times New Roman"/>
          <w:szCs w:val="24"/>
        </w:rPr>
        <w:t> </w:t>
      </w:r>
      <w:r>
        <w:rPr>
          <w:rFonts w:eastAsia="Calibri" w:cs="Times New Roman"/>
          <w:szCs w:val="24"/>
        </w:rPr>
        <w:t>195</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 a výdavky na</w:t>
      </w:r>
      <w:r w:rsidR="007354C1">
        <w:rPr>
          <w:rFonts w:eastAsia="Calibri" w:cs="Times New Roman"/>
          <w:szCs w:val="24"/>
        </w:rPr>
        <w:t> </w:t>
      </w:r>
      <w:r>
        <w:rPr>
          <w:rFonts w:eastAsia="Calibri" w:cs="Times New Roman"/>
          <w:szCs w:val="24"/>
        </w:rPr>
        <w:t>periodiká, knihy, učebnice o 15</w:t>
      </w:r>
      <w:r w:rsidR="007354C1">
        <w:rPr>
          <w:rFonts w:eastAsia="Calibri" w:cs="Times New Roman"/>
          <w:szCs w:val="24"/>
        </w:rPr>
        <w:t> </w:t>
      </w:r>
      <w:r>
        <w:rPr>
          <w:rFonts w:eastAsia="Calibri" w:cs="Times New Roman"/>
          <w:szCs w:val="24"/>
        </w:rPr>
        <w:t>342</w:t>
      </w:r>
      <w:r w:rsidR="007354C1">
        <w:rPr>
          <w:rFonts w:eastAsia="Calibri" w:cs="Times New Roman"/>
          <w:szCs w:val="24"/>
        </w:rPr>
        <w:t> </w:t>
      </w:r>
      <w:r>
        <w:rPr>
          <w:rFonts w:eastAsia="Calibri" w:cs="Times New Roman"/>
          <w:szCs w:val="24"/>
        </w:rPr>
        <w:t>tis.</w:t>
      </w:r>
      <w:r w:rsidR="007354C1">
        <w:rPr>
          <w:rFonts w:eastAsia="Calibri" w:cs="Times New Roman"/>
          <w:szCs w:val="24"/>
        </w:rPr>
        <w:t> </w:t>
      </w:r>
      <w:r>
        <w:rPr>
          <w:rFonts w:eastAsia="Calibri" w:cs="Times New Roman"/>
          <w:szCs w:val="24"/>
        </w:rPr>
        <w:t>eur.</w:t>
      </w:r>
    </w:p>
    <w:p w14:paraId="090D6D56" w14:textId="77777777" w:rsidR="00961C05" w:rsidRDefault="00961C05" w:rsidP="00D5791A">
      <w:pPr>
        <w:shd w:val="clear" w:color="auto" w:fill="FFFFFF"/>
        <w:spacing w:line="240" w:lineRule="auto"/>
        <w:jc w:val="both"/>
        <w:rPr>
          <w:rFonts w:eastAsia="Calibri" w:cs="Times New Roman"/>
          <w:szCs w:val="24"/>
          <w:lang w:eastAsia="sk-SK"/>
        </w:rPr>
      </w:pPr>
    </w:p>
    <w:p w14:paraId="196D2E6F" w14:textId="0549ECCD" w:rsidR="00961C05" w:rsidRDefault="00961C05" w:rsidP="00D5791A">
      <w:pPr>
        <w:shd w:val="clear" w:color="auto" w:fill="FFFFFF"/>
        <w:spacing w:line="240" w:lineRule="auto"/>
        <w:jc w:val="both"/>
        <w:rPr>
          <w:rFonts w:eastAsia="Calibri" w:cs="Times New Roman"/>
          <w:szCs w:val="24"/>
          <w:lang w:eastAsia="sk-SK"/>
        </w:rPr>
      </w:pPr>
      <w:r w:rsidRPr="008E112F">
        <w:rPr>
          <w:rFonts w:eastAsia="Calibri" w:cs="Times New Roman"/>
          <w:szCs w:val="24"/>
          <w:lang w:eastAsia="sk-SK"/>
        </w:rPr>
        <w:t xml:space="preserve">Najviac prostriedkov sa vynaložilo </w:t>
      </w:r>
      <w:r w:rsidRPr="006172B6">
        <w:rPr>
          <w:rFonts w:eastAsia="Calibri" w:cs="Times New Roman"/>
          <w:szCs w:val="24"/>
          <w:lang w:eastAsia="sk-SK"/>
        </w:rPr>
        <w:t>na</w:t>
      </w:r>
      <w:r>
        <w:rPr>
          <w:rFonts w:eastAsia="Calibri" w:cs="Times New Roman"/>
          <w:szCs w:val="24"/>
          <w:lang w:eastAsia="sk-SK"/>
        </w:rPr>
        <w:t xml:space="preserve"> </w:t>
      </w:r>
      <w:r w:rsidRPr="003037D6">
        <w:rPr>
          <w:rFonts w:eastAsia="Calibri" w:cs="Times New Roman"/>
          <w:szCs w:val="24"/>
          <w:u w:val="single"/>
          <w:lang w:eastAsia="sk-SK"/>
        </w:rPr>
        <w:t>výpočtovú techniku</w:t>
      </w:r>
      <w:r>
        <w:rPr>
          <w:rFonts w:eastAsia="Calibri" w:cs="Times New Roman"/>
          <w:szCs w:val="24"/>
          <w:lang w:eastAsia="sk-SK"/>
        </w:rPr>
        <w:t xml:space="preserve"> 109</w:t>
      </w:r>
      <w:r w:rsidR="007354C1">
        <w:rPr>
          <w:rFonts w:eastAsia="Calibri" w:cs="Times New Roman"/>
          <w:szCs w:val="24"/>
          <w:lang w:eastAsia="sk-SK"/>
        </w:rPr>
        <w:t> </w:t>
      </w:r>
      <w:r>
        <w:rPr>
          <w:rFonts w:eastAsia="Calibri" w:cs="Times New Roman"/>
          <w:szCs w:val="24"/>
          <w:lang w:eastAsia="sk-SK"/>
        </w:rPr>
        <w:t>760</w:t>
      </w:r>
      <w:r w:rsidR="007354C1">
        <w:rPr>
          <w:rFonts w:eastAsia="Calibri" w:cs="Times New Roman"/>
          <w:szCs w:val="24"/>
          <w:lang w:eastAsia="sk-SK"/>
        </w:rPr>
        <w:t> </w:t>
      </w:r>
      <w:r>
        <w:rPr>
          <w:rFonts w:eastAsia="Calibri" w:cs="Times New Roman"/>
          <w:szCs w:val="24"/>
          <w:lang w:eastAsia="sk-SK"/>
        </w:rPr>
        <w:t>tis.</w:t>
      </w:r>
      <w:r w:rsidR="007354C1">
        <w:rPr>
          <w:rFonts w:eastAsia="Calibri" w:cs="Times New Roman"/>
          <w:szCs w:val="24"/>
          <w:lang w:eastAsia="sk-SK"/>
        </w:rPr>
        <w:t> </w:t>
      </w:r>
      <w:r>
        <w:rPr>
          <w:rFonts w:eastAsia="Calibri" w:cs="Times New Roman"/>
          <w:szCs w:val="24"/>
          <w:lang w:eastAsia="sk-SK"/>
        </w:rPr>
        <w:t>eur a </w:t>
      </w:r>
      <w:r w:rsidRPr="003037D6">
        <w:rPr>
          <w:rFonts w:eastAsia="Calibri" w:cs="Times New Roman"/>
          <w:szCs w:val="24"/>
          <w:u w:val="single"/>
          <w:lang w:eastAsia="sk-SK"/>
        </w:rPr>
        <w:t>špeciálny materiál</w:t>
      </w:r>
      <w:r>
        <w:rPr>
          <w:rFonts w:eastAsia="Calibri" w:cs="Times New Roman"/>
          <w:szCs w:val="24"/>
          <w:lang w:eastAsia="sk-SK"/>
        </w:rPr>
        <w:t xml:space="preserve"> 92</w:t>
      </w:r>
      <w:r w:rsidR="007354C1">
        <w:rPr>
          <w:rFonts w:eastAsia="Calibri" w:cs="Times New Roman"/>
          <w:szCs w:val="24"/>
          <w:lang w:eastAsia="sk-SK"/>
        </w:rPr>
        <w:t> </w:t>
      </w:r>
      <w:r>
        <w:rPr>
          <w:rFonts w:eastAsia="Calibri" w:cs="Times New Roman"/>
          <w:szCs w:val="24"/>
          <w:lang w:eastAsia="sk-SK"/>
        </w:rPr>
        <w:t>972</w:t>
      </w:r>
      <w:r w:rsidR="007354C1">
        <w:rPr>
          <w:rFonts w:eastAsia="Calibri" w:cs="Times New Roman"/>
          <w:szCs w:val="24"/>
          <w:lang w:eastAsia="sk-SK"/>
        </w:rPr>
        <w:t> </w:t>
      </w:r>
      <w:r>
        <w:rPr>
          <w:rFonts w:eastAsia="Calibri" w:cs="Times New Roman"/>
          <w:szCs w:val="24"/>
          <w:lang w:eastAsia="sk-SK"/>
        </w:rPr>
        <w:t>tis.</w:t>
      </w:r>
      <w:r w:rsidR="007354C1">
        <w:rPr>
          <w:rFonts w:eastAsia="Calibri" w:cs="Times New Roman"/>
          <w:szCs w:val="24"/>
          <w:lang w:eastAsia="sk-SK"/>
        </w:rPr>
        <w:t> </w:t>
      </w:r>
      <w:r>
        <w:rPr>
          <w:rFonts w:eastAsia="Calibri" w:cs="Times New Roman"/>
          <w:szCs w:val="24"/>
          <w:lang w:eastAsia="sk-SK"/>
        </w:rPr>
        <w:t xml:space="preserve">eur, </w:t>
      </w:r>
      <w:r w:rsidRPr="003037D6">
        <w:rPr>
          <w:rFonts w:eastAsia="Calibri" w:cs="Times New Roman"/>
          <w:szCs w:val="24"/>
          <w:u w:val="single"/>
          <w:lang w:eastAsia="sk-SK"/>
        </w:rPr>
        <w:t>všeobecný materiál</w:t>
      </w:r>
      <w:r>
        <w:rPr>
          <w:rFonts w:eastAsia="Calibri" w:cs="Times New Roman"/>
          <w:szCs w:val="24"/>
          <w:lang w:eastAsia="sk-SK"/>
        </w:rPr>
        <w:t xml:space="preserve"> 56</w:t>
      </w:r>
      <w:r w:rsidR="007354C1">
        <w:rPr>
          <w:rFonts w:eastAsia="Calibri" w:cs="Times New Roman"/>
          <w:szCs w:val="24"/>
          <w:lang w:eastAsia="sk-SK"/>
        </w:rPr>
        <w:t> </w:t>
      </w:r>
      <w:r>
        <w:rPr>
          <w:rFonts w:eastAsia="Calibri" w:cs="Times New Roman"/>
          <w:szCs w:val="24"/>
          <w:lang w:eastAsia="sk-SK"/>
        </w:rPr>
        <w:t>911</w:t>
      </w:r>
      <w:r w:rsidR="007354C1">
        <w:rPr>
          <w:rFonts w:eastAsia="Calibri" w:cs="Times New Roman"/>
          <w:szCs w:val="24"/>
          <w:lang w:eastAsia="sk-SK"/>
        </w:rPr>
        <w:t> </w:t>
      </w:r>
      <w:r>
        <w:rPr>
          <w:rFonts w:eastAsia="Calibri" w:cs="Times New Roman"/>
          <w:szCs w:val="24"/>
          <w:lang w:eastAsia="sk-SK"/>
        </w:rPr>
        <w:t>tis.</w:t>
      </w:r>
      <w:r w:rsidR="007354C1">
        <w:rPr>
          <w:rFonts w:eastAsia="Calibri" w:cs="Times New Roman"/>
          <w:szCs w:val="24"/>
          <w:lang w:eastAsia="sk-SK"/>
        </w:rPr>
        <w:t> </w:t>
      </w:r>
      <w:r>
        <w:rPr>
          <w:rFonts w:eastAsia="Calibri" w:cs="Times New Roman"/>
          <w:szCs w:val="24"/>
          <w:lang w:eastAsia="sk-SK"/>
        </w:rPr>
        <w:t>eur a </w:t>
      </w:r>
      <w:r w:rsidRPr="003037D6">
        <w:rPr>
          <w:rFonts w:eastAsia="Calibri" w:cs="Times New Roman"/>
          <w:szCs w:val="24"/>
          <w:u w:val="single"/>
          <w:lang w:eastAsia="sk-SK"/>
        </w:rPr>
        <w:t>pracovné odevy, pracovné pomôcky</w:t>
      </w:r>
      <w:r>
        <w:rPr>
          <w:rFonts w:eastAsia="Calibri" w:cs="Times New Roman"/>
          <w:szCs w:val="24"/>
          <w:lang w:eastAsia="sk-SK"/>
        </w:rPr>
        <w:t xml:space="preserve"> 41</w:t>
      </w:r>
      <w:r w:rsidR="007354C1">
        <w:rPr>
          <w:rFonts w:eastAsia="Calibri" w:cs="Times New Roman"/>
          <w:szCs w:val="24"/>
          <w:lang w:eastAsia="sk-SK"/>
        </w:rPr>
        <w:t> </w:t>
      </w:r>
      <w:r>
        <w:rPr>
          <w:rFonts w:eastAsia="Calibri" w:cs="Times New Roman"/>
          <w:szCs w:val="24"/>
          <w:lang w:eastAsia="sk-SK"/>
        </w:rPr>
        <w:t>753</w:t>
      </w:r>
      <w:r w:rsidR="007354C1">
        <w:rPr>
          <w:rFonts w:eastAsia="Calibri" w:cs="Times New Roman"/>
          <w:szCs w:val="24"/>
          <w:lang w:eastAsia="sk-SK"/>
        </w:rPr>
        <w:t> </w:t>
      </w:r>
      <w:r>
        <w:rPr>
          <w:rFonts w:eastAsia="Calibri" w:cs="Times New Roman"/>
          <w:szCs w:val="24"/>
          <w:lang w:eastAsia="sk-SK"/>
        </w:rPr>
        <w:t>tis.</w:t>
      </w:r>
      <w:r w:rsidR="007354C1">
        <w:rPr>
          <w:rFonts w:eastAsia="Calibri" w:cs="Times New Roman"/>
          <w:szCs w:val="24"/>
          <w:lang w:eastAsia="sk-SK"/>
        </w:rPr>
        <w:t> </w:t>
      </w:r>
      <w:r>
        <w:rPr>
          <w:rFonts w:eastAsia="Calibri" w:cs="Times New Roman"/>
          <w:szCs w:val="24"/>
          <w:lang w:eastAsia="sk-SK"/>
        </w:rPr>
        <w:t>eur.</w:t>
      </w:r>
    </w:p>
    <w:p w14:paraId="15C74E05" w14:textId="77777777" w:rsidR="00961C05" w:rsidRDefault="00961C05" w:rsidP="00D5791A">
      <w:pPr>
        <w:shd w:val="clear" w:color="auto" w:fill="FFFFFF"/>
        <w:spacing w:line="240" w:lineRule="auto"/>
        <w:jc w:val="both"/>
        <w:rPr>
          <w:rFonts w:eastAsia="Calibri" w:cs="Times New Roman"/>
          <w:szCs w:val="24"/>
          <w:highlight w:val="yellow"/>
          <w:lang w:eastAsia="sk-SK"/>
        </w:rPr>
      </w:pPr>
    </w:p>
    <w:p w14:paraId="0E38E796" w14:textId="77777777" w:rsidR="005F15A4" w:rsidRPr="005F15A4" w:rsidRDefault="00961C05" w:rsidP="005F15A4">
      <w:pPr>
        <w:shd w:val="clear" w:color="auto" w:fill="FFFFFF"/>
        <w:spacing w:line="240" w:lineRule="auto"/>
        <w:jc w:val="both"/>
        <w:rPr>
          <w:rFonts w:eastAsia="Calibri" w:cs="Times New Roman"/>
          <w:szCs w:val="24"/>
          <w:lang w:eastAsia="sk-SK"/>
        </w:rPr>
      </w:pPr>
      <w:r w:rsidRPr="00A64ED5">
        <w:rPr>
          <w:rFonts w:eastAsia="Calibri" w:cs="Times New Roman"/>
          <w:szCs w:val="24"/>
          <w:lang w:eastAsia="sk-SK"/>
        </w:rPr>
        <w:t>Výpočtová technika, ktorá nie je hradená z kapitálových výdavkov (nespĺňa výšku ocenenia, dobu používania, a má skôr spotrebný charakter ako napr. príslušenstvo k počítačom, monitory a obrazovky, tlačiarne a podobne) bola obstarávaná najmä v kapitole Ministerstva školstva, výskumu, vývoja a mládeže SR 86</w:t>
      </w:r>
      <w:r w:rsidR="007354C1" w:rsidRPr="00A64ED5">
        <w:rPr>
          <w:rFonts w:eastAsia="Calibri" w:cs="Times New Roman"/>
          <w:szCs w:val="24"/>
          <w:lang w:eastAsia="sk-SK"/>
        </w:rPr>
        <w:t> </w:t>
      </w:r>
      <w:r w:rsidRPr="00A64ED5">
        <w:rPr>
          <w:rFonts w:eastAsia="Calibri" w:cs="Times New Roman"/>
          <w:szCs w:val="24"/>
          <w:lang w:eastAsia="sk-SK"/>
        </w:rPr>
        <w:t>341</w:t>
      </w:r>
      <w:r w:rsidR="007354C1" w:rsidRPr="00A64ED5">
        <w:rPr>
          <w:rFonts w:eastAsia="Calibri" w:cs="Times New Roman"/>
          <w:szCs w:val="24"/>
          <w:lang w:eastAsia="sk-SK"/>
        </w:rPr>
        <w:t> </w:t>
      </w:r>
      <w:r w:rsidRPr="00A64ED5">
        <w:rPr>
          <w:rFonts w:eastAsia="Calibri" w:cs="Times New Roman"/>
          <w:szCs w:val="24"/>
          <w:lang w:eastAsia="sk-SK"/>
        </w:rPr>
        <w:t>tis.</w:t>
      </w:r>
      <w:r w:rsidR="007354C1" w:rsidRPr="00A64ED5">
        <w:rPr>
          <w:rFonts w:eastAsia="Calibri" w:cs="Times New Roman"/>
          <w:szCs w:val="24"/>
          <w:lang w:eastAsia="sk-SK"/>
        </w:rPr>
        <w:t> </w:t>
      </w:r>
      <w:r w:rsidRPr="00A64ED5">
        <w:rPr>
          <w:rFonts w:eastAsia="Calibri" w:cs="Times New Roman"/>
          <w:szCs w:val="24"/>
          <w:lang w:eastAsia="sk-SK"/>
        </w:rPr>
        <w:t>eur, ide o najväčší rozdiel oproti rozpočtu 85</w:t>
      </w:r>
      <w:r w:rsidR="007354C1" w:rsidRPr="00A64ED5">
        <w:rPr>
          <w:rFonts w:eastAsia="Calibri" w:cs="Times New Roman"/>
          <w:szCs w:val="24"/>
          <w:lang w:eastAsia="sk-SK"/>
        </w:rPr>
        <w:t> </w:t>
      </w:r>
      <w:r w:rsidRPr="00A64ED5">
        <w:rPr>
          <w:rFonts w:eastAsia="Calibri" w:cs="Times New Roman"/>
          <w:szCs w:val="24"/>
          <w:lang w:eastAsia="sk-SK"/>
        </w:rPr>
        <w:t>785</w:t>
      </w:r>
      <w:r w:rsidR="007354C1" w:rsidRPr="00A64ED5">
        <w:rPr>
          <w:rFonts w:eastAsia="Calibri" w:cs="Times New Roman"/>
          <w:szCs w:val="24"/>
          <w:lang w:eastAsia="sk-SK"/>
        </w:rPr>
        <w:t> </w:t>
      </w:r>
      <w:r w:rsidRPr="00A64ED5">
        <w:rPr>
          <w:rFonts w:eastAsia="Calibri" w:cs="Times New Roman"/>
          <w:szCs w:val="24"/>
          <w:lang w:eastAsia="sk-SK"/>
        </w:rPr>
        <w:t>tis.</w:t>
      </w:r>
      <w:r w:rsidR="007354C1" w:rsidRPr="00A64ED5">
        <w:rPr>
          <w:rFonts w:eastAsia="Calibri" w:cs="Times New Roman"/>
          <w:szCs w:val="24"/>
          <w:lang w:eastAsia="sk-SK"/>
        </w:rPr>
        <w:t> </w:t>
      </w:r>
      <w:r w:rsidRPr="00A64ED5">
        <w:rPr>
          <w:rFonts w:eastAsia="Calibri" w:cs="Times New Roman"/>
          <w:szCs w:val="24"/>
          <w:lang w:eastAsia="sk-SK"/>
        </w:rPr>
        <w:t>eur a zároveň takmer celú hodnotu celkového medziročného nárastu týchto výdavkov</w:t>
      </w:r>
      <w:r w:rsidR="005F15A4" w:rsidRPr="00A64ED5">
        <w:rPr>
          <w:rFonts w:eastAsia="Calibri" w:cs="Times New Roman"/>
          <w:szCs w:val="24"/>
          <w:lang w:eastAsia="sk-SK"/>
        </w:rPr>
        <w:t xml:space="preserve"> o</w:t>
      </w:r>
      <w:r w:rsidRPr="00A64ED5">
        <w:rPr>
          <w:rFonts w:eastAsia="Calibri" w:cs="Times New Roman"/>
          <w:szCs w:val="24"/>
          <w:lang w:eastAsia="sk-SK"/>
        </w:rPr>
        <w:t xml:space="preserve"> 81</w:t>
      </w:r>
      <w:r w:rsidR="007354C1" w:rsidRPr="00A64ED5">
        <w:rPr>
          <w:rFonts w:eastAsia="Calibri" w:cs="Times New Roman"/>
          <w:szCs w:val="24"/>
          <w:lang w:eastAsia="sk-SK"/>
        </w:rPr>
        <w:t> </w:t>
      </w:r>
      <w:r w:rsidRPr="00A64ED5">
        <w:rPr>
          <w:rFonts w:eastAsia="Calibri" w:cs="Times New Roman"/>
          <w:szCs w:val="24"/>
          <w:lang w:eastAsia="sk-SK"/>
        </w:rPr>
        <w:t>825</w:t>
      </w:r>
      <w:r w:rsidR="007354C1" w:rsidRPr="00A64ED5">
        <w:rPr>
          <w:rFonts w:eastAsia="Calibri" w:cs="Times New Roman"/>
          <w:szCs w:val="24"/>
          <w:lang w:eastAsia="sk-SK"/>
        </w:rPr>
        <w:t> </w:t>
      </w:r>
      <w:r w:rsidRPr="00A64ED5">
        <w:rPr>
          <w:rFonts w:eastAsia="Calibri" w:cs="Times New Roman"/>
          <w:szCs w:val="24"/>
          <w:lang w:eastAsia="sk-SK"/>
        </w:rPr>
        <w:t>tis.</w:t>
      </w:r>
      <w:r w:rsidR="007354C1" w:rsidRPr="00A64ED5">
        <w:rPr>
          <w:rFonts w:eastAsia="Calibri" w:cs="Times New Roman"/>
          <w:szCs w:val="24"/>
          <w:lang w:eastAsia="sk-SK"/>
        </w:rPr>
        <w:t> </w:t>
      </w:r>
      <w:r w:rsidRPr="00A64ED5">
        <w:rPr>
          <w:rFonts w:eastAsia="Calibri" w:cs="Times New Roman"/>
          <w:szCs w:val="24"/>
          <w:lang w:eastAsia="sk-SK"/>
        </w:rPr>
        <w:t xml:space="preserve">eur. </w:t>
      </w:r>
    </w:p>
    <w:p w14:paraId="35B5CB96" w14:textId="77777777" w:rsidR="005F15A4" w:rsidRPr="005F15A4" w:rsidRDefault="005F15A4" w:rsidP="005F15A4">
      <w:pPr>
        <w:shd w:val="clear" w:color="auto" w:fill="FFFFFF"/>
        <w:spacing w:line="240" w:lineRule="auto"/>
        <w:jc w:val="both"/>
        <w:rPr>
          <w:rFonts w:eastAsia="Calibri" w:cs="Times New Roman"/>
          <w:szCs w:val="24"/>
          <w:lang w:eastAsia="sk-SK"/>
        </w:rPr>
      </w:pPr>
      <w:r w:rsidRPr="005F15A4">
        <w:rPr>
          <w:rFonts w:eastAsia="Calibri" w:cs="Times New Roman"/>
          <w:szCs w:val="24"/>
          <w:lang w:eastAsia="sk-SK"/>
        </w:rPr>
        <w:t>Išlo o nákupy výpočtovej techniky najmä zo zdrojov POO v rámci komponentu 7-Vzdelávanie pre 21. storočie (55 702 tis. eur POO a 15 805 tis. eur POO DPH)</w:t>
      </w:r>
    </w:p>
    <w:p w14:paraId="0C9B0BE1" w14:textId="5B06B45E" w:rsidR="00961C05" w:rsidRDefault="00961C05" w:rsidP="00D5791A">
      <w:pPr>
        <w:shd w:val="clear" w:color="auto" w:fill="FFFFFF"/>
        <w:spacing w:line="240" w:lineRule="auto"/>
        <w:jc w:val="both"/>
        <w:rPr>
          <w:rFonts w:eastAsia="Calibri" w:cs="Times New Roman"/>
          <w:szCs w:val="24"/>
          <w:lang w:eastAsia="sk-SK"/>
        </w:rPr>
      </w:pPr>
    </w:p>
    <w:p w14:paraId="33236904" w14:textId="286D74A6" w:rsidR="00961C05" w:rsidRDefault="00961C05" w:rsidP="00D5791A">
      <w:pPr>
        <w:shd w:val="clear" w:color="auto" w:fill="FFFFFF"/>
        <w:spacing w:line="240" w:lineRule="auto"/>
        <w:jc w:val="both"/>
        <w:rPr>
          <w:rFonts w:eastAsia="Calibri" w:cs="Times New Roman"/>
          <w:szCs w:val="24"/>
          <w:lang w:eastAsia="sk-SK"/>
        </w:rPr>
      </w:pPr>
      <w:r>
        <w:rPr>
          <w:rFonts w:eastAsia="Calibri" w:cs="Times New Roman"/>
          <w:iCs/>
          <w:szCs w:val="24"/>
          <w:u w:val="single"/>
          <w:lang w:eastAsia="sk-SK"/>
        </w:rPr>
        <w:t>Š</w:t>
      </w:r>
      <w:r w:rsidRPr="006172B6">
        <w:rPr>
          <w:rFonts w:eastAsia="Calibri" w:cs="Times New Roman"/>
          <w:iCs/>
          <w:szCs w:val="24"/>
          <w:u w:val="single"/>
          <w:lang w:eastAsia="sk-SK"/>
        </w:rPr>
        <w:t>peciálny materiál</w:t>
      </w:r>
      <w:r w:rsidRPr="008E112F">
        <w:rPr>
          <w:rFonts w:eastAsia="Calibri" w:cs="Times New Roman"/>
          <w:szCs w:val="24"/>
          <w:lang w:eastAsia="sk-SK"/>
        </w:rPr>
        <w:t xml:space="preserve"> </w:t>
      </w:r>
      <w:r>
        <w:rPr>
          <w:rFonts w:eastAsia="Calibri" w:cs="Times New Roman"/>
          <w:szCs w:val="24"/>
          <w:lang w:eastAsia="sk-SK"/>
        </w:rPr>
        <w:t xml:space="preserve">tvoria výdavky najmä kapitoly </w:t>
      </w:r>
      <w:r w:rsidRPr="00B3511E">
        <w:rPr>
          <w:rFonts w:eastAsia="Calibri" w:cs="Times New Roman"/>
          <w:szCs w:val="24"/>
        </w:rPr>
        <w:t>Ministerstv</w:t>
      </w:r>
      <w:r>
        <w:rPr>
          <w:rFonts w:eastAsia="Calibri" w:cs="Times New Roman"/>
          <w:szCs w:val="24"/>
        </w:rPr>
        <w:t>a</w:t>
      </w:r>
      <w:r w:rsidRPr="00B3511E">
        <w:rPr>
          <w:rFonts w:eastAsia="Calibri" w:cs="Times New Roman"/>
          <w:szCs w:val="24"/>
        </w:rPr>
        <w:t xml:space="preserve"> obrany SR </w:t>
      </w:r>
      <w:r>
        <w:rPr>
          <w:rFonts w:eastAsia="Calibri" w:cs="Times New Roman"/>
          <w:szCs w:val="24"/>
        </w:rPr>
        <w:t>82</w:t>
      </w:r>
      <w:r w:rsidR="007354C1">
        <w:rPr>
          <w:rFonts w:eastAsia="Calibri" w:cs="Times New Roman"/>
          <w:szCs w:val="24"/>
        </w:rPr>
        <w:t> </w:t>
      </w:r>
      <w:r>
        <w:rPr>
          <w:rFonts w:eastAsia="Calibri" w:cs="Times New Roman"/>
          <w:szCs w:val="24"/>
        </w:rPr>
        <w:t>041</w:t>
      </w:r>
      <w:r w:rsidRPr="00B3511E">
        <w:rPr>
          <w:rFonts w:eastAsia="Calibri" w:cs="Times New Roman"/>
          <w:szCs w:val="24"/>
        </w:rPr>
        <w:t> tis. eur, ktoré realizovalo úhrady najmä na nákup munície, výzbroje, techniky a náhradných dielov pre letecký výcvik, výcvik pozemných zložiek Ozbrojených síl SR, pre</w:t>
      </w:r>
      <w:r w:rsidR="007354C1">
        <w:rPr>
          <w:rFonts w:eastAsia="Calibri" w:cs="Times New Roman"/>
          <w:szCs w:val="24"/>
        </w:rPr>
        <w:t> </w:t>
      </w:r>
      <w:r w:rsidRPr="00B3511E">
        <w:rPr>
          <w:rFonts w:eastAsia="Calibri" w:cs="Times New Roman"/>
          <w:szCs w:val="24"/>
        </w:rPr>
        <w:t>operácie v rámci</w:t>
      </w:r>
      <w:r w:rsidRPr="00B3511E">
        <w:rPr>
          <w:rFonts w:eastAsia="Calibri" w:cs="Times New Roman"/>
          <w:szCs w:val="24"/>
          <w:lang w:eastAsia="sk-SK"/>
        </w:rPr>
        <w:t xml:space="preserve"> medzinárodného krízového manažmentu. Ministerstvo vnútra SR čerpalo v rámci tejto podpoložky sumu</w:t>
      </w:r>
      <w:r>
        <w:rPr>
          <w:rFonts w:eastAsia="Calibri" w:cs="Times New Roman"/>
          <w:szCs w:val="24"/>
          <w:lang w:eastAsia="sk-SK"/>
        </w:rPr>
        <w:t xml:space="preserve"> 9 068</w:t>
      </w:r>
      <w:r w:rsidRPr="00B3511E">
        <w:rPr>
          <w:rFonts w:eastAsia="Calibri" w:cs="Times New Roman"/>
          <w:szCs w:val="24"/>
          <w:lang w:eastAsia="sk-SK"/>
        </w:rPr>
        <w:t> tis. eur najmä na obstaranie osobných dokladov</w:t>
      </w:r>
      <w:r w:rsidRPr="008E112F">
        <w:rPr>
          <w:rFonts w:eastAsia="Calibri" w:cs="Times New Roman"/>
          <w:szCs w:val="24"/>
          <w:lang w:eastAsia="sk-SK"/>
        </w:rPr>
        <w:t xml:space="preserve"> a dokladov k vozidlám </w:t>
      </w:r>
      <w:r w:rsidRPr="008E112F">
        <w:rPr>
          <w:rFonts w:eastAsia="Calibri" w:cs="Times New Roman"/>
          <w:szCs w:val="24"/>
          <w:lang w:eastAsia="sk-SK"/>
        </w:rPr>
        <w:lastRenderedPageBreak/>
        <w:t>(občiansky preukaz, cestovný pas s</w:t>
      </w:r>
      <w:r>
        <w:rPr>
          <w:rFonts w:eastAsia="Calibri" w:cs="Times New Roman"/>
          <w:szCs w:val="24"/>
          <w:lang w:eastAsia="sk-SK"/>
        </w:rPr>
        <w:t> </w:t>
      </w:r>
      <w:r w:rsidRPr="008E112F">
        <w:rPr>
          <w:rFonts w:eastAsia="Calibri" w:cs="Times New Roman"/>
          <w:szCs w:val="24"/>
          <w:lang w:eastAsia="sk-SK"/>
        </w:rPr>
        <w:t>biometriou, osvedčenie o evidencii vozidla, vodičský preukaz formát EÚ) a</w:t>
      </w:r>
      <w:r w:rsidR="007354C1">
        <w:rPr>
          <w:rFonts w:eastAsia="Calibri" w:cs="Times New Roman"/>
          <w:szCs w:val="24"/>
          <w:lang w:eastAsia="sk-SK"/>
        </w:rPr>
        <w:t> </w:t>
      </w:r>
      <w:r w:rsidRPr="008E112F">
        <w:rPr>
          <w:rFonts w:eastAsia="Calibri" w:cs="Times New Roman"/>
          <w:szCs w:val="24"/>
          <w:lang w:eastAsia="sk-SK"/>
        </w:rPr>
        <w:t>na</w:t>
      </w:r>
      <w:r w:rsidR="007354C1">
        <w:rPr>
          <w:rFonts w:eastAsia="Calibri" w:cs="Times New Roman"/>
          <w:szCs w:val="24"/>
          <w:lang w:eastAsia="sk-SK"/>
        </w:rPr>
        <w:t> </w:t>
      </w:r>
      <w:r w:rsidRPr="008E112F">
        <w:rPr>
          <w:rFonts w:eastAsia="Calibri" w:cs="Times New Roman"/>
          <w:szCs w:val="24"/>
          <w:lang w:eastAsia="sk-SK"/>
        </w:rPr>
        <w:t>nákup výzbroje a</w:t>
      </w:r>
      <w:r>
        <w:rPr>
          <w:rFonts w:eastAsia="Calibri" w:cs="Times New Roman"/>
          <w:szCs w:val="24"/>
          <w:lang w:eastAsia="sk-SK"/>
        </w:rPr>
        <w:t> </w:t>
      </w:r>
      <w:r w:rsidRPr="008E112F">
        <w:rPr>
          <w:rFonts w:eastAsia="Calibri" w:cs="Times New Roman"/>
          <w:szCs w:val="24"/>
          <w:lang w:eastAsia="sk-SK"/>
        </w:rPr>
        <w:t>munície</w:t>
      </w:r>
      <w:r>
        <w:rPr>
          <w:rFonts w:eastAsia="Calibri" w:cs="Times New Roman"/>
          <w:szCs w:val="24"/>
          <w:lang w:eastAsia="sk-SK"/>
        </w:rPr>
        <w:t xml:space="preserve"> pre policajný zbor</w:t>
      </w:r>
      <w:r w:rsidRPr="008E112F">
        <w:rPr>
          <w:rFonts w:eastAsia="Calibri" w:cs="Times New Roman"/>
          <w:szCs w:val="24"/>
          <w:lang w:eastAsia="sk-SK"/>
        </w:rPr>
        <w:t>.</w:t>
      </w:r>
    </w:p>
    <w:p w14:paraId="744711B9" w14:textId="77777777" w:rsidR="000E212E" w:rsidRPr="0050710A" w:rsidRDefault="000E212E" w:rsidP="00532D85">
      <w:pPr>
        <w:spacing w:line="240" w:lineRule="auto"/>
        <w:jc w:val="both"/>
        <w:rPr>
          <w:rFonts w:eastAsia="Calibri" w:cs="Times New Roman"/>
          <w:szCs w:val="24"/>
          <w:highlight w:val="yellow"/>
          <w:lang w:eastAsia="sk-SK"/>
        </w:rPr>
      </w:pPr>
    </w:p>
    <w:p w14:paraId="774147E9" w14:textId="77777777" w:rsidR="004D69BF" w:rsidRPr="00046DF3" w:rsidRDefault="004D69BF" w:rsidP="004C293E">
      <w:pPr>
        <w:spacing w:line="240" w:lineRule="auto"/>
        <w:jc w:val="both"/>
        <w:rPr>
          <w:b/>
          <w:color w:val="5B9BD5" w:themeColor="accent1"/>
          <w:szCs w:val="24"/>
        </w:rPr>
      </w:pPr>
      <w:r w:rsidRPr="00046DF3">
        <w:rPr>
          <w:b/>
          <w:color w:val="5B9BD5" w:themeColor="accent1"/>
          <w:szCs w:val="24"/>
        </w:rPr>
        <w:t>Bežné transfery</w:t>
      </w:r>
    </w:p>
    <w:p w14:paraId="07C41CA3" w14:textId="77777777" w:rsidR="00046DF3" w:rsidRPr="008E112F" w:rsidRDefault="00046DF3" w:rsidP="007453BD">
      <w:pPr>
        <w:spacing w:line="240" w:lineRule="auto"/>
        <w:jc w:val="both"/>
        <w:rPr>
          <w:rFonts w:eastAsia="Calibri" w:cs="Times New Roman"/>
          <w:szCs w:val="24"/>
        </w:rPr>
      </w:pPr>
      <w:r w:rsidRPr="008E112F">
        <w:rPr>
          <w:rFonts w:eastAsia="Calibri" w:cs="Times New Roman"/>
          <w:szCs w:val="24"/>
        </w:rPr>
        <w:t xml:space="preserve">Bežné transfery, </w:t>
      </w:r>
      <w:r>
        <w:rPr>
          <w:rFonts w:eastAsia="Calibri" w:cs="Times New Roman"/>
          <w:szCs w:val="24"/>
        </w:rPr>
        <w:t xml:space="preserve">ktoré sú poskytované hlavne subjektom verejnej správy, neziskovým právnickým osobám, ale aj </w:t>
      </w:r>
      <w:r w:rsidRPr="008E112F">
        <w:rPr>
          <w:rFonts w:eastAsia="Calibri" w:cs="Times New Roman"/>
          <w:szCs w:val="24"/>
        </w:rPr>
        <w:t>jednotlivcom</w:t>
      </w:r>
      <w:r>
        <w:rPr>
          <w:rFonts w:eastAsia="Calibri" w:cs="Times New Roman"/>
          <w:szCs w:val="24"/>
        </w:rPr>
        <w:t xml:space="preserve">, nefinančným subjektom či do zahraničia, </w:t>
      </w:r>
      <w:r w:rsidRPr="008E112F">
        <w:rPr>
          <w:rFonts w:eastAsia="Calibri" w:cs="Times New Roman"/>
          <w:szCs w:val="24"/>
        </w:rPr>
        <w:t>tvorili v roku 202</w:t>
      </w:r>
      <w:r>
        <w:rPr>
          <w:rFonts w:eastAsia="Calibri" w:cs="Times New Roman"/>
          <w:szCs w:val="24"/>
        </w:rPr>
        <w:t>5</w:t>
      </w:r>
      <w:r w:rsidRPr="008E112F">
        <w:rPr>
          <w:rFonts w:eastAsia="Calibri" w:cs="Times New Roman"/>
          <w:szCs w:val="24"/>
        </w:rPr>
        <w:t xml:space="preserve"> </w:t>
      </w:r>
      <w:r>
        <w:rPr>
          <w:rFonts w:eastAsia="Calibri" w:cs="Times New Roman"/>
          <w:szCs w:val="24"/>
        </w:rPr>
        <w:t>62,9</w:t>
      </w:r>
      <w:r w:rsidRPr="008E112F">
        <w:rPr>
          <w:rFonts w:eastAsia="Calibri" w:cs="Times New Roman"/>
          <w:szCs w:val="24"/>
        </w:rPr>
        <w:t> %</w:t>
      </w:r>
      <w:r>
        <w:rPr>
          <w:rFonts w:eastAsia="Calibri" w:cs="Times New Roman"/>
          <w:szCs w:val="24"/>
        </w:rPr>
        <w:t xml:space="preserve"> celkových výdavkov a až 73,7 % bežných výdavkov</w:t>
      </w:r>
      <w:r w:rsidRPr="008E112F">
        <w:rPr>
          <w:rFonts w:eastAsia="Calibri" w:cs="Times New Roman"/>
          <w:szCs w:val="24"/>
        </w:rPr>
        <w:t>.</w:t>
      </w:r>
    </w:p>
    <w:p w14:paraId="35291B98" w14:textId="77777777" w:rsidR="00046DF3" w:rsidRDefault="00046DF3" w:rsidP="007453BD">
      <w:pPr>
        <w:spacing w:line="240" w:lineRule="auto"/>
        <w:jc w:val="both"/>
        <w:rPr>
          <w:rFonts w:eastAsia="Calibri" w:cs="Times New Roman"/>
          <w:szCs w:val="24"/>
        </w:rPr>
      </w:pPr>
    </w:p>
    <w:p w14:paraId="098B5490" w14:textId="5E9CF840" w:rsidR="00046DF3" w:rsidRDefault="00046DF3" w:rsidP="007453BD">
      <w:pPr>
        <w:spacing w:line="240" w:lineRule="auto"/>
        <w:jc w:val="both"/>
        <w:rPr>
          <w:rFonts w:eastAsia="Calibri" w:cs="Times New Roman"/>
          <w:szCs w:val="24"/>
        </w:rPr>
      </w:pPr>
      <w:r>
        <w:rPr>
          <w:rFonts w:eastAsia="Calibri" w:cs="Times New Roman"/>
          <w:szCs w:val="24"/>
        </w:rPr>
        <w:t>Z pohľadu použitých zdrojov, ktoré sa na bežné transfery uvoľnili, išlo najmä o zdroj štátneho rozpočtu, 19 078</w:t>
      </w:r>
      <w:r w:rsidR="002267CE">
        <w:rPr>
          <w:rFonts w:eastAsia="Calibri" w:cs="Times New Roman"/>
          <w:szCs w:val="24"/>
        </w:rPr>
        <w:t> </w:t>
      </w:r>
      <w:r>
        <w:rPr>
          <w:rFonts w:eastAsia="Calibri" w:cs="Times New Roman"/>
          <w:szCs w:val="24"/>
        </w:rPr>
        <w:t>031</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prostriedky ŠR na spolufinancovanie 269</w:t>
      </w:r>
      <w:r w:rsidR="00970FAF">
        <w:rPr>
          <w:rFonts w:eastAsia="Calibri" w:cs="Times New Roman"/>
          <w:szCs w:val="24"/>
        </w:rPr>
        <w:t> </w:t>
      </w:r>
      <w:r>
        <w:rPr>
          <w:rFonts w:eastAsia="Calibri" w:cs="Times New Roman"/>
          <w:szCs w:val="24"/>
        </w:rPr>
        <w:t>385</w:t>
      </w:r>
      <w:r w:rsidR="00970FAF">
        <w:rPr>
          <w:rFonts w:eastAsia="Calibri" w:cs="Times New Roman"/>
          <w:szCs w:val="24"/>
        </w:rPr>
        <w:t> </w:t>
      </w:r>
      <w:r>
        <w:rPr>
          <w:rFonts w:eastAsia="Calibri" w:cs="Times New Roman"/>
          <w:szCs w:val="24"/>
        </w:rPr>
        <w:t>tis.</w:t>
      </w:r>
      <w:r w:rsidR="00970FAF">
        <w:rPr>
          <w:rFonts w:eastAsia="Calibri" w:cs="Times New Roman"/>
          <w:szCs w:val="24"/>
        </w:rPr>
        <w:t> </w:t>
      </w:r>
      <w:r>
        <w:rPr>
          <w:rFonts w:eastAsia="Calibri" w:cs="Times New Roman"/>
          <w:szCs w:val="24"/>
        </w:rPr>
        <w:t>eur, zdroje z</w:t>
      </w:r>
      <w:r w:rsidR="00970FAF">
        <w:rPr>
          <w:rFonts w:eastAsia="Calibri" w:cs="Times New Roman"/>
          <w:szCs w:val="24"/>
        </w:rPr>
        <w:t> </w:t>
      </w:r>
      <w:r>
        <w:rPr>
          <w:rFonts w:eastAsia="Calibri" w:cs="Times New Roman"/>
          <w:szCs w:val="24"/>
        </w:rPr>
        <w:t>eurofondov tvorili 1 329</w:t>
      </w:r>
      <w:r w:rsidR="002267CE">
        <w:rPr>
          <w:rFonts w:eastAsia="Calibri" w:cs="Times New Roman"/>
          <w:szCs w:val="24"/>
        </w:rPr>
        <w:t> </w:t>
      </w:r>
      <w:r>
        <w:rPr>
          <w:rFonts w:eastAsia="Calibri" w:cs="Times New Roman"/>
          <w:szCs w:val="24"/>
        </w:rPr>
        <w:t>449</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Z </w:t>
      </w:r>
      <w:r w:rsidR="00C4036E">
        <w:rPr>
          <w:rFonts w:eastAsia="Calibri" w:cs="Times New Roman"/>
          <w:szCs w:val="24"/>
        </w:rPr>
        <w:t>POO</w:t>
      </w:r>
      <w:r>
        <w:rPr>
          <w:rFonts w:eastAsia="Calibri" w:cs="Times New Roman"/>
          <w:szCs w:val="24"/>
        </w:rPr>
        <w:t xml:space="preserve"> (bez DPH) bolo použitých 259</w:t>
      </w:r>
      <w:r w:rsidR="002267CE">
        <w:rPr>
          <w:rFonts w:eastAsia="Calibri" w:cs="Times New Roman"/>
          <w:szCs w:val="24"/>
        </w:rPr>
        <w:t> </w:t>
      </w:r>
      <w:r>
        <w:rPr>
          <w:rFonts w:eastAsia="Calibri" w:cs="Times New Roman"/>
          <w:szCs w:val="24"/>
        </w:rPr>
        <w:t>996</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w:t>
      </w:r>
    </w:p>
    <w:p w14:paraId="78EB65D9" w14:textId="77777777" w:rsidR="00046DF3" w:rsidRDefault="00046DF3" w:rsidP="007453BD">
      <w:pPr>
        <w:spacing w:line="240" w:lineRule="auto"/>
        <w:jc w:val="both"/>
        <w:rPr>
          <w:rFonts w:eastAsia="Calibri" w:cs="Times New Roman"/>
          <w:szCs w:val="24"/>
        </w:rPr>
      </w:pPr>
    </w:p>
    <w:p w14:paraId="4137C665" w14:textId="51C51D53" w:rsidR="00046DF3" w:rsidRDefault="00046DF3" w:rsidP="007453BD">
      <w:pPr>
        <w:spacing w:line="240" w:lineRule="auto"/>
        <w:jc w:val="both"/>
        <w:rPr>
          <w:rFonts w:eastAsia="Calibri" w:cs="Times New Roman"/>
          <w:szCs w:val="24"/>
        </w:rPr>
      </w:pPr>
      <w:r>
        <w:rPr>
          <w:rFonts w:eastAsia="Calibri" w:cs="Times New Roman"/>
          <w:szCs w:val="24"/>
        </w:rPr>
        <w:t xml:space="preserve">Medziročne sa vyššie rozpočtovali práve zdroje zo štátneho </w:t>
      </w:r>
      <w:r w:rsidRPr="00BE4F86">
        <w:rPr>
          <w:rFonts w:eastAsia="Calibri" w:cs="Times New Roman"/>
          <w:szCs w:val="24"/>
        </w:rPr>
        <w:t>rozpočtu, o</w:t>
      </w:r>
      <w:r w:rsidR="002267CE">
        <w:rPr>
          <w:rFonts w:eastAsia="Calibri" w:cs="Times New Roman"/>
          <w:szCs w:val="24"/>
        </w:rPr>
        <w:t> </w:t>
      </w:r>
      <w:r w:rsidRPr="00BE4F86">
        <w:rPr>
          <w:rFonts w:eastAsia="Calibri" w:cs="Times New Roman"/>
          <w:szCs w:val="24"/>
        </w:rPr>
        <w:t>2</w:t>
      </w:r>
      <w:r w:rsidR="002267CE">
        <w:rPr>
          <w:rFonts w:eastAsia="Calibri" w:cs="Times New Roman"/>
          <w:szCs w:val="24"/>
        </w:rPr>
        <w:t> </w:t>
      </w:r>
      <w:r w:rsidRPr="00BE4F86">
        <w:rPr>
          <w:rFonts w:eastAsia="Calibri" w:cs="Times New Roman"/>
          <w:szCs w:val="24"/>
        </w:rPr>
        <w:t>284</w:t>
      </w:r>
      <w:r w:rsidR="002267CE">
        <w:rPr>
          <w:rFonts w:eastAsia="Calibri" w:cs="Times New Roman"/>
          <w:szCs w:val="24"/>
        </w:rPr>
        <w:t> </w:t>
      </w:r>
      <w:r w:rsidRPr="00BE4F86">
        <w:rPr>
          <w:rFonts w:eastAsia="Calibri" w:cs="Times New Roman"/>
          <w:szCs w:val="24"/>
        </w:rPr>
        <w:t>576</w:t>
      </w:r>
      <w:r w:rsidR="002267CE">
        <w:rPr>
          <w:rFonts w:eastAsia="Calibri" w:cs="Times New Roman"/>
          <w:szCs w:val="24"/>
        </w:rPr>
        <w:t> </w:t>
      </w:r>
      <w:r w:rsidRPr="00BE4F86">
        <w:rPr>
          <w:rFonts w:eastAsia="Calibri" w:cs="Times New Roman"/>
          <w:szCs w:val="24"/>
        </w:rPr>
        <w:t>tis.</w:t>
      </w:r>
      <w:r w:rsidR="002267CE">
        <w:rPr>
          <w:rFonts w:eastAsia="Calibri" w:cs="Times New Roman"/>
          <w:szCs w:val="24"/>
        </w:rPr>
        <w:t> </w:t>
      </w:r>
      <w:r w:rsidRPr="00BE4F86">
        <w:rPr>
          <w:rFonts w:eastAsia="Calibri" w:cs="Times New Roman"/>
          <w:szCs w:val="24"/>
        </w:rPr>
        <w:t>eur, a to hlavne na transfer Sociálnej poisťovni o 1 150</w:t>
      </w:r>
      <w:r w:rsidR="002267CE">
        <w:rPr>
          <w:rFonts w:eastAsia="Calibri" w:cs="Times New Roman"/>
          <w:szCs w:val="24"/>
        </w:rPr>
        <w:t> </w:t>
      </w:r>
      <w:r w:rsidRPr="00BE4F86">
        <w:rPr>
          <w:rFonts w:eastAsia="Calibri" w:cs="Times New Roman"/>
          <w:szCs w:val="24"/>
        </w:rPr>
        <w:t>000</w:t>
      </w:r>
      <w:r w:rsidR="002267CE">
        <w:rPr>
          <w:rFonts w:eastAsia="Calibri" w:cs="Times New Roman"/>
          <w:szCs w:val="24"/>
        </w:rPr>
        <w:t> </w:t>
      </w:r>
      <w:r w:rsidRPr="00BE4F86">
        <w:rPr>
          <w:rFonts w:eastAsia="Calibri" w:cs="Times New Roman"/>
          <w:szCs w:val="24"/>
        </w:rPr>
        <w:t>tis</w:t>
      </w:r>
      <w:r w:rsidR="002267CE">
        <w:rPr>
          <w:rFonts w:eastAsia="Calibri" w:cs="Times New Roman"/>
          <w:szCs w:val="24"/>
        </w:rPr>
        <w:t>. </w:t>
      </w:r>
      <w:r w:rsidRPr="00BE4F86">
        <w:rPr>
          <w:rFonts w:eastAsia="Calibri" w:cs="Times New Roman"/>
          <w:szCs w:val="24"/>
        </w:rPr>
        <w:t>eur a transfer na</w:t>
      </w:r>
      <w:r w:rsidR="002267CE">
        <w:rPr>
          <w:rFonts w:eastAsia="Calibri" w:cs="Times New Roman"/>
          <w:szCs w:val="24"/>
        </w:rPr>
        <w:t> </w:t>
      </w:r>
      <w:r w:rsidRPr="00BE4F86">
        <w:rPr>
          <w:rFonts w:eastAsia="Calibri" w:cs="Times New Roman"/>
          <w:szCs w:val="24"/>
        </w:rPr>
        <w:t>krytie výdavkov súvisiacich so správou štátneho dlhu o 1</w:t>
      </w:r>
      <w:r w:rsidR="002267CE">
        <w:rPr>
          <w:rFonts w:eastAsia="Calibri" w:cs="Times New Roman"/>
          <w:szCs w:val="24"/>
        </w:rPr>
        <w:t> </w:t>
      </w:r>
      <w:r w:rsidRPr="00BE4F86">
        <w:rPr>
          <w:rFonts w:eastAsia="Calibri" w:cs="Times New Roman"/>
          <w:szCs w:val="24"/>
        </w:rPr>
        <w:t>646</w:t>
      </w:r>
      <w:r w:rsidR="002267CE">
        <w:rPr>
          <w:rFonts w:eastAsia="Calibri" w:cs="Times New Roman"/>
          <w:szCs w:val="24"/>
        </w:rPr>
        <w:t> </w:t>
      </w:r>
      <w:r w:rsidRPr="00BE4F86">
        <w:rPr>
          <w:rFonts w:eastAsia="Calibri" w:cs="Times New Roman"/>
          <w:szCs w:val="24"/>
        </w:rPr>
        <w:t>243</w:t>
      </w:r>
      <w:r w:rsidR="002267CE">
        <w:rPr>
          <w:rFonts w:eastAsia="Calibri" w:cs="Times New Roman"/>
          <w:szCs w:val="24"/>
        </w:rPr>
        <w:t> </w:t>
      </w:r>
      <w:r w:rsidRPr="00BE4F86">
        <w:rPr>
          <w:rFonts w:eastAsia="Calibri" w:cs="Times New Roman"/>
          <w:szCs w:val="24"/>
        </w:rPr>
        <w:t>tis.</w:t>
      </w:r>
      <w:r w:rsidR="002267CE">
        <w:rPr>
          <w:rFonts w:eastAsia="Calibri" w:cs="Times New Roman"/>
          <w:szCs w:val="24"/>
        </w:rPr>
        <w:t> </w:t>
      </w:r>
      <w:r w:rsidRPr="00BE4F86">
        <w:rPr>
          <w:rFonts w:eastAsia="Calibri" w:cs="Times New Roman"/>
          <w:szCs w:val="24"/>
        </w:rPr>
        <w:t>eur. Vyššie boli rozpočtované aj transfery obciam na úhradu nákladov preneseného výkonu štátnej správy o 654</w:t>
      </w:r>
      <w:r w:rsidR="002267CE">
        <w:rPr>
          <w:rFonts w:eastAsia="Calibri" w:cs="Times New Roman"/>
          <w:szCs w:val="24"/>
        </w:rPr>
        <w:t> </w:t>
      </w:r>
      <w:r w:rsidRPr="00BE4F86">
        <w:rPr>
          <w:rFonts w:eastAsia="Calibri" w:cs="Times New Roman"/>
          <w:szCs w:val="24"/>
        </w:rPr>
        <w:t>887</w:t>
      </w:r>
      <w:r w:rsidR="002267CE">
        <w:rPr>
          <w:rFonts w:eastAsia="Calibri" w:cs="Times New Roman"/>
          <w:szCs w:val="24"/>
        </w:rPr>
        <w:t> </w:t>
      </w:r>
      <w:r w:rsidRPr="00BE4F86">
        <w:rPr>
          <w:rFonts w:eastAsia="Calibri" w:cs="Times New Roman"/>
          <w:szCs w:val="24"/>
        </w:rPr>
        <w:t>tis.</w:t>
      </w:r>
      <w:r w:rsidR="002267CE">
        <w:rPr>
          <w:rFonts w:eastAsia="Calibri" w:cs="Times New Roman"/>
          <w:szCs w:val="24"/>
        </w:rPr>
        <w:t> </w:t>
      </w:r>
      <w:r w:rsidRPr="00BE4F86">
        <w:rPr>
          <w:rFonts w:eastAsia="Calibri" w:cs="Times New Roman"/>
          <w:szCs w:val="24"/>
        </w:rPr>
        <w:t>eur, na</w:t>
      </w:r>
      <w:r w:rsidR="002267CE">
        <w:rPr>
          <w:rFonts w:eastAsia="Calibri" w:cs="Times New Roman"/>
          <w:szCs w:val="24"/>
        </w:rPr>
        <w:t> </w:t>
      </w:r>
      <w:r w:rsidRPr="00BE4F86">
        <w:rPr>
          <w:rFonts w:eastAsia="Calibri" w:cs="Times New Roman"/>
          <w:szCs w:val="24"/>
        </w:rPr>
        <w:t>platené poistné za skupiny osôb ustanovené zákonom o 248</w:t>
      </w:r>
      <w:r w:rsidR="002267CE">
        <w:rPr>
          <w:rFonts w:eastAsia="Calibri" w:cs="Times New Roman"/>
          <w:szCs w:val="24"/>
        </w:rPr>
        <w:t> </w:t>
      </w:r>
      <w:r w:rsidRPr="00BE4F86">
        <w:rPr>
          <w:rFonts w:eastAsia="Calibri" w:cs="Times New Roman"/>
          <w:szCs w:val="24"/>
        </w:rPr>
        <w:t>926</w:t>
      </w:r>
      <w:r w:rsidR="002267CE">
        <w:rPr>
          <w:rFonts w:eastAsia="Calibri" w:cs="Times New Roman"/>
          <w:szCs w:val="24"/>
        </w:rPr>
        <w:t> </w:t>
      </w:r>
      <w:r w:rsidRPr="00BE4F86">
        <w:rPr>
          <w:rFonts w:eastAsia="Calibri" w:cs="Times New Roman"/>
          <w:szCs w:val="24"/>
        </w:rPr>
        <w:t>tis.</w:t>
      </w:r>
      <w:r w:rsidR="002267CE">
        <w:rPr>
          <w:rFonts w:eastAsia="Calibri" w:cs="Times New Roman"/>
          <w:szCs w:val="24"/>
        </w:rPr>
        <w:t> </w:t>
      </w:r>
      <w:r w:rsidRPr="00BE4F86">
        <w:rPr>
          <w:rFonts w:eastAsia="Calibri" w:cs="Times New Roman"/>
          <w:szCs w:val="24"/>
        </w:rPr>
        <w:t>eur</w:t>
      </w:r>
      <w:r>
        <w:rPr>
          <w:rFonts w:eastAsia="Calibri" w:cs="Times New Roman"/>
          <w:szCs w:val="24"/>
        </w:rPr>
        <w:t xml:space="preserve"> a</w:t>
      </w:r>
      <w:r w:rsidR="006671FD">
        <w:rPr>
          <w:rFonts w:eastAsia="Calibri" w:cs="Times New Roman"/>
          <w:szCs w:val="24"/>
        </w:rPr>
        <w:t> </w:t>
      </w:r>
      <w:r>
        <w:rPr>
          <w:rFonts w:eastAsia="Calibri" w:cs="Times New Roman"/>
          <w:szCs w:val="24"/>
        </w:rPr>
        <w:t>na</w:t>
      </w:r>
      <w:r w:rsidR="006671FD">
        <w:rPr>
          <w:rFonts w:eastAsia="Calibri" w:cs="Times New Roman"/>
          <w:szCs w:val="24"/>
        </w:rPr>
        <w:t> </w:t>
      </w:r>
      <w:r>
        <w:rPr>
          <w:rFonts w:eastAsia="Calibri" w:cs="Times New Roman"/>
          <w:szCs w:val="24"/>
        </w:rPr>
        <w:t>peňažné príspevky na</w:t>
      </w:r>
      <w:r w:rsidR="002267CE">
        <w:rPr>
          <w:rFonts w:eastAsia="Calibri" w:cs="Times New Roman"/>
          <w:szCs w:val="24"/>
        </w:rPr>
        <w:t> </w:t>
      </w:r>
      <w:r>
        <w:rPr>
          <w:rFonts w:eastAsia="Calibri" w:cs="Times New Roman"/>
          <w:szCs w:val="24"/>
        </w:rPr>
        <w:t>kompenzáciu o 225</w:t>
      </w:r>
      <w:r w:rsidR="002267CE">
        <w:rPr>
          <w:rFonts w:eastAsia="Calibri" w:cs="Times New Roman"/>
          <w:szCs w:val="24"/>
        </w:rPr>
        <w:t> </w:t>
      </w:r>
      <w:r>
        <w:rPr>
          <w:rFonts w:eastAsia="Calibri" w:cs="Times New Roman"/>
          <w:szCs w:val="24"/>
        </w:rPr>
        <w:t>546</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Z dôvodu poskytovania 13.</w:t>
      </w:r>
      <w:r w:rsidR="002267CE">
        <w:rPr>
          <w:rFonts w:eastAsia="Calibri" w:cs="Times New Roman"/>
          <w:szCs w:val="24"/>
        </w:rPr>
        <w:t> </w:t>
      </w:r>
      <w:r>
        <w:rPr>
          <w:rFonts w:eastAsia="Calibri" w:cs="Times New Roman"/>
          <w:szCs w:val="24"/>
        </w:rPr>
        <w:t>dôchodkov ako dôchodkovej dávky už z rozpočtu Sociálnej poisťovne bol tento transfer jednotlivcom nerozpočtovaný v ŠR a tým kompenzoval rast celkových bežných transferov medziročne o 822</w:t>
      </w:r>
      <w:r w:rsidR="002267CE">
        <w:rPr>
          <w:rFonts w:eastAsia="Calibri" w:cs="Times New Roman"/>
          <w:szCs w:val="24"/>
        </w:rPr>
        <w:t> </w:t>
      </w:r>
      <w:r>
        <w:rPr>
          <w:rFonts w:eastAsia="Calibri" w:cs="Times New Roman"/>
          <w:szCs w:val="24"/>
        </w:rPr>
        <w:t>904</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(hodnota rozpočtu v roku 2024).</w:t>
      </w:r>
    </w:p>
    <w:p w14:paraId="4ED32A62" w14:textId="77777777" w:rsidR="00046DF3" w:rsidRDefault="00046DF3" w:rsidP="007453BD">
      <w:pPr>
        <w:spacing w:line="240" w:lineRule="auto"/>
        <w:jc w:val="both"/>
        <w:rPr>
          <w:rFonts w:eastAsia="Calibri" w:cs="Times New Roman"/>
          <w:szCs w:val="24"/>
        </w:rPr>
      </w:pPr>
    </w:p>
    <w:p w14:paraId="13C2DF5E" w14:textId="32B2A38D" w:rsidR="00046DF3" w:rsidRDefault="00046DF3" w:rsidP="007453BD">
      <w:pPr>
        <w:spacing w:line="240" w:lineRule="auto"/>
        <w:jc w:val="both"/>
        <w:rPr>
          <w:rFonts w:eastAsia="Calibri" w:cs="Times New Roman"/>
          <w:szCs w:val="24"/>
        </w:rPr>
      </w:pPr>
      <w:r>
        <w:rPr>
          <w:rFonts w:eastAsia="Calibri" w:cs="Times New Roman"/>
          <w:szCs w:val="24"/>
        </w:rPr>
        <w:t>Skutočné plnenie bežných transferov sa nenaplnilo o 436</w:t>
      </w:r>
      <w:r w:rsidR="002267CE">
        <w:rPr>
          <w:rFonts w:eastAsia="Calibri" w:cs="Times New Roman"/>
          <w:szCs w:val="24"/>
        </w:rPr>
        <w:t> </w:t>
      </w:r>
      <w:r>
        <w:rPr>
          <w:rFonts w:eastAsia="Calibri" w:cs="Times New Roman"/>
          <w:szCs w:val="24"/>
        </w:rPr>
        <w:t>182</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a to najmä pri</w:t>
      </w:r>
      <w:r w:rsidR="002267CE">
        <w:rPr>
          <w:rFonts w:eastAsia="Calibri" w:cs="Times New Roman"/>
          <w:szCs w:val="24"/>
        </w:rPr>
        <w:t> </w:t>
      </w:r>
      <w:r>
        <w:rPr>
          <w:rFonts w:eastAsia="Calibri" w:cs="Times New Roman"/>
          <w:szCs w:val="24"/>
        </w:rPr>
        <w:t>transferoch zo zdrojov ŠR, ktoré boli nižšie oproti rozpočtu o 1 353</w:t>
      </w:r>
      <w:r w:rsidR="002267CE">
        <w:rPr>
          <w:rFonts w:eastAsia="Calibri" w:cs="Times New Roman"/>
          <w:szCs w:val="24"/>
        </w:rPr>
        <w:t> </w:t>
      </w:r>
      <w:r>
        <w:rPr>
          <w:rFonts w:eastAsia="Calibri" w:cs="Times New Roman"/>
          <w:szCs w:val="24"/>
        </w:rPr>
        <w:t>925</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pričom úspora sa dosiahla na transfere štátnej rozpočtovej organizácii o 822</w:t>
      </w:r>
      <w:r w:rsidR="002267CE">
        <w:rPr>
          <w:rFonts w:eastAsia="Calibri" w:cs="Times New Roman"/>
          <w:szCs w:val="24"/>
        </w:rPr>
        <w:t> </w:t>
      </w:r>
      <w:r>
        <w:rPr>
          <w:rFonts w:eastAsia="Calibri" w:cs="Times New Roman"/>
          <w:szCs w:val="24"/>
        </w:rPr>
        <w:t>349</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transfere Sociálnej poisťovni 295</w:t>
      </w:r>
      <w:r w:rsidR="002267CE">
        <w:rPr>
          <w:rFonts w:eastAsia="Calibri" w:cs="Times New Roman"/>
          <w:szCs w:val="24"/>
        </w:rPr>
        <w:t> </w:t>
      </w:r>
      <w:r>
        <w:rPr>
          <w:rFonts w:eastAsia="Calibri" w:cs="Times New Roman"/>
          <w:szCs w:val="24"/>
        </w:rPr>
        <w:t>000</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na peňažné náležitosti v ozbrojených silách o 155</w:t>
      </w:r>
      <w:r w:rsidR="002267CE">
        <w:rPr>
          <w:rFonts w:eastAsia="Calibri" w:cs="Times New Roman"/>
          <w:szCs w:val="24"/>
        </w:rPr>
        <w:t> </w:t>
      </w:r>
      <w:r>
        <w:rPr>
          <w:rFonts w:eastAsia="Calibri" w:cs="Times New Roman"/>
          <w:szCs w:val="24"/>
        </w:rPr>
        <w:t>616</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a ďalších transferoch. Naopak, vyššie transfery boli napríklad obciam a VUC, štátnej príspevkovej organizácii.</w:t>
      </w:r>
    </w:p>
    <w:p w14:paraId="299BC73A" w14:textId="77777777" w:rsidR="00046DF3" w:rsidRDefault="00046DF3" w:rsidP="007453BD">
      <w:pPr>
        <w:spacing w:line="240" w:lineRule="auto"/>
        <w:jc w:val="both"/>
        <w:rPr>
          <w:rFonts w:eastAsia="Calibri" w:cs="Times New Roman"/>
          <w:szCs w:val="24"/>
        </w:rPr>
      </w:pPr>
    </w:p>
    <w:p w14:paraId="310A512C" w14:textId="51CCAEE9" w:rsidR="00063ECA" w:rsidRDefault="00046DF3" w:rsidP="007453BD">
      <w:pPr>
        <w:spacing w:line="240" w:lineRule="auto"/>
        <w:jc w:val="both"/>
        <w:rPr>
          <w:rFonts w:eastAsia="Calibri" w:cs="Times New Roman"/>
          <w:szCs w:val="24"/>
        </w:rPr>
      </w:pPr>
      <w:r>
        <w:rPr>
          <w:rFonts w:eastAsia="Calibri" w:cs="Times New Roman"/>
          <w:szCs w:val="24"/>
        </w:rPr>
        <w:t>Zo zdrojov spolufinancovania boli vyššie ako rozpočet o 168</w:t>
      </w:r>
      <w:r w:rsidR="002267CE">
        <w:rPr>
          <w:rFonts w:eastAsia="Calibri" w:cs="Times New Roman"/>
          <w:szCs w:val="24"/>
        </w:rPr>
        <w:t> </w:t>
      </w:r>
      <w:r>
        <w:rPr>
          <w:rFonts w:eastAsia="Calibri" w:cs="Times New Roman"/>
          <w:szCs w:val="24"/>
        </w:rPr>
        <w:t>138</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z toho najviac štátnym príspevkovým organizáciám o 50</w:t>
      </w:r>
      <w:r w:rsidR="002267CE">
        <w:rPr>
          <w:rFonts w:eastAsia="Calibri" w:cs="Times New Roman"/>
          <w:szCs w:val="24"/>
        </w:rPr>
        <w:t> </w:t>
      </w:r>
      <w:r>
        <w:rPr>
          <w:rFonts w:eastAsia="Calibri" w:cs="Times New Roman"/>
          <w:szCs w:val="24"/>
        </w:rPr>
        <w:t>503</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obci (okrem úhrady nákladov na</w:t>
      </w:r>
      <w:r w:rsidR="002267CE">
        <w:rPr>
          <w:rFonts w:eastAsia="Calibri" w:cs="Times New Roman"/>
          <w:szCs w:val="24"/>
        </w:rPr>
        <w:t> </w:t>
      </w:r>
      <w:r>
        <w:rPr>
          <w:rFonts w:eastAsia="Calibri" w:cs="Times New Roman"/>
          <w:szCs w:val="24"/>
        </w:rPr>
        <w:t>prenesený výkon štátnej správy) o 21</w:t>
      </w:r>
      <w:r w:rsidR="002267CE">
        <w:rPr>
          <w:rFonts w:eastAsia="Calibri" w:cs="Times New Roman"/>
          <w:szCs w:val="24"/>
        </w:rPr>
        <w:t> </w:t>
      </w:r>
      <w:r>
        <w:rPr>
          <w:rFonts w:eastAsia="Calibri" w:cs="Times New Roman"/>
          <w:szCs w:val="24"/>
        </w:rPr>
        <w:t>306</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a ostatným subjektom verejnej správy o 33</w:t>
      </w:r>
      <w:r w:rsidR="002267CE">
        <w:rPr>
          <w:rFonts w:eastAsia="Calibri" w:cs="Times New Roman"/>
          <w:szCs w:val="24"/>
        </w:rPr>
        <w:t> </w:t>
      </w:r>
      <w:r>
        <w:rPr>
          <w:rFonts w:eastAsia="Calibri" w:cs="Times New Roman"/>
          <w:szCs w:val="24"/>
        </w:rPr>
        <w:t>615</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Zdroj EŠIF bol použitý oproti rozpočtu viac o 711</w:t>
      </w:r>
      <w:r w:rsidR="002267CE">
        <w:rPr>
          <w:rFonts w:eastAsia="Calibri" w:cs="Times New Roman"/>
          <w:szCs w:val="24"/>
        </w:rPr>
        <w:t> </w:t>
      </w:r>
      <w:r>
        <w:rPr>
          <w:rFonts w:eastAsia="Calibri" w:cs="Times New Roman"/>
          <w:szCs w:val="24"/>
        </w:rPr>
        <w:t>154</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a prostriedky POO boli použité viac o 62</w:t>
      </w:r>
      <w:r w:rsidR="002267CE">
        <w:rPr>
          <w:rFonts w:eastAsia="Calibri" w:cs="Times New Roman"/>
          <w:szCs w:val="24"/>
        </w:rPr>
        <w:t> </w:t>
      </w:r>
      <w:r>
        <w:rPr>
          <w:rFonts w:eastAsia="Calibri" w:cs="Times New Roman"/>
          <w:szCs w:val="24"/>
        </w:rPr>
        <w:t>635</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w:t>
      </w:r>
    </w:p>
    <w:p w14:paraId="49D17293" w14:textId="77777777" w:rsidR="004C293E" w:rsidRDefault="004C293E" w:rsidP="004C293E">
      <w:pPr>
        <w:spacing w:line="240" w:lineRule="auto"/>
        <w:jc w:val="both"/>
        <w:rPr>
          <w:rFonts w:eastAsia="Calibri" w:cs="Times New Roman"/>
          <w:szCs w:val="24"/>
        </w:rPr>
      </w:pPr>
    </w:p>
    <w:p w14:paraId="7FA8B772" w14:textId="24E2EF7D" w:rsidR="00063ECA" w:rsidRDefault="00063ECA" w:rsidP="00063ECA">
      <w:pPr>
        <w:spacing w:line="240" w:lineRule="auto"/>
        <w:rPr>
          <w:rFonts w:eastAsia="Calibri" w:cs="Times New Roman"/>
          <w:szCs w:val="24"/>
        </w:rPr>
      </w:pPr>
      <w:r w:rsidRPr="008E112F">
        <w:rPr>
          <w:rFonts w:eastAsia="Calibri" w:cs="Times New Roman"/>
          <w:szCs w:val="24"/>
        </w:rPr>
        <w:t>Prehľad bežných transferov podľa skupín prijímateľov poskytuje nasledovná tabuľka:</w:t>
      </w:r>
    </w:p>
    <w:p w14:paraId="33DD0DB6" w14:textId="77777777" w:rsidR="00D46A5E" w:rsidRPr="0050710A" w:rsidRDefault="00D46A5E" w:rsidP="00532D85">
      <w:pPr>
        <w:spacing w:line="240" w:lineRule="auto"/>
        <w:jc w:val="both"/>
        <w:rPr>
          <w:rFonts w:eastAsia="Calibri" w:cs="Times New Roman"/>
          <w:szCs w:val="24"/>
          <w:highlight w:val="yellow"/>
        </w:rPr>
      </w:pPr>
    </w:p>
    <w:p w14:paraId="55043082" w14:textId="2916701C" w:rsidR="008F4860" w:rsidRPr="00063ECA" w:rsidRDefault="008F4860" w:rsidP="00532D85">
      <w:pPr>
        <w:pStyle w:val="Popis"/>
        <w:jc w:val="both"/>
        <w:rPr>
          <w:i/>
          <w:lang w:eastAsia="sk-SK"/>
        </w:rPr>
      </w:pPr>
      <w:bookmarkStart w:id="122" w:name="_Toc196313657"/>
      <w:bookmarkStart w:id="123" w:name="_Toc227670167"/>
      <w:r w:rsidRPr="00063ECA">
        <w:rPr>
          <w:lang w:eastAsia="sk-SK"/>
        </w:rPr>
        <w:t xml:space="preserve">Tabuľka </w:t>
      </w:r>
      <w:r w:rsidRPr="00063ECA">
        <w:rPr>
          <w:i/>
          <w:lang w:eastAsia="sk-SK"/>
        </w:rPr>
        <w:fldChar w:fldCharType="begin"/>
      </w:r>
      <w:r w:rsidRPr="00063ECA">
        <w:rPr>
          <w:lang w:eastAsia="sk-SK"/>
        </w:rPr>
        <w:instrText xml:space="preserve"> SEQ Tabuľka \* ARABIC </w:instrText>
      </w:r>
      <w:r w:rsidRPr="00063ECA">
        <w:rPr>
          <w:i/>
          <w:lang w:eastAsia="sk-SK"/>
        </w:rPr>
        <w:fldChar w:fldCharType="separate"/>
      </w:r>
      <w:r w:rsidR="00396BE8">
        <w:rPr>
          <w:noProof/>
          <w:lang w:eastAsia="sk-SK"/>
        </w:rPr>
        <w:t>31</w:t>
      </w:r>
      <w:r w:rsidRPr="00063ECA">
        <w:rPr>
          <w:i/>
          <w:lang w:eastAsia="sk-SK"/>
        </w:rPr>
        <w:fldChar w:fldCharType="end"/>
      </w:r>
      <w:r w:rsidRPr="00063ECA">
        <w:rPr>
          <w:lang w:eastAsia="sk-SK"/>
        </w:rPr>
        <w:t xml:space="preserve"> - Bežné transfery štátneho rozpočtu</w:t>
      </w:r>
      <w:bookmarkEnd w:id="122"/>
      <w:bookmarkEnd w:id="123"/>
    </w:p>
    <w:tbl>
      <w:tblPr>
        <w:tblW w:w="5000" w:type="pct"/>
        <w:tblCellMar>
          <w:left w:w="70" w:type="dxa"/>
          <w:right w:w="70" w:type="dxa"/>
        </w:tblCellMar>
        <w:tblLook w:val="04A0" w:firstRow="1" w:lastRow="0" w:firstColumn="1" w:lastColumn="0" w:noHBand="0" w:noVBand="1"/>
      </w:tblPr>
      <w:tblGrid>
        <w:gridCol w:w="4028"/>
        <w:gridCol w:w="1008"/>
        <w:gridCol w:w="1007"/>
        <w:gridCol w:w="1009"/>
        <w:gridCol w:w="1009"/>
        <w:gridCol w:w="1009"/>
      </w:tblGrid>
      <w:tr w:rsidR="00063ECA" w:rsidRPr="00D0395E" w14:paraId="7ABF04A4" w14:textId="77777777" w:rsidTr="002267CE">
        <w:trPr>
          <w:trHeight w:val="330"/>
          <w:tblHeader/>
        </w:trPr>
        <w:tc>
          <w:tcPr>
            <w:tcW w:w="2221" w:type="pct"/>
            <w:vMerge w:val="restart"/>
            <w:tcBorders>
              <w:top w:val="single" w:sz="4" w:space="0" w:color="auto"/>
              <w:left w:val="nil"/>
              <w:bottom w:val="single" w:sz="8" w:space="0" w:color="000000"/>
              <w:right w:val="nil"/>
            </w:tcBorders>
            <w:vAlign w:val="center"/>
            <w:hideMark/>
          </w:tcPr>
          <w:p w14:paraId="0E29ADB9" w14:textId="77777777" w:rsidR="00063ECA" w:rsidRPr="00D0395E" w:rsidRDefault="00063ECA" w:rsidP="000E04C4">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56" w:type="pct"/>
            <w:tcBorders>
              <w:top w:val="single" w:sz="4" w:space="0" w:color="auto"/>
              <w:left w:val="nil"/>
              <w:bottom w:val="nil"/>
              <w:right w:val="nil"/>
            </w:tcBorders>
            <w:noWrap/>
            <w:vAlign w:val="center"/>
            <w:hideMark/>
          </w:tcPr>
          <w:p w14:paraId="6FFA460E"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555" w:type="pct"/>
            <w:tcBorders>
              <w:top w:val="single" w:sz="4" w:space="0" w:color="auto"/>
              <w:left w:val="nil"/>
              <w:bottom w:val="nil"/>
              <w:right w:val="nil"/>
            </w:tcBorders>
            <w:noWrap/>
            <w:vAlign w:val="center"/>
            <w:hideMark/>
          </w:tcPr>
          <w:p w14:paraId="6F5E7B99"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556" w:type="pct"/>
            <w:tcBorders>
              <w:top w:val="single" w:sz="4" w:space="0" w:color="auto"/>
              <w:left w:val="nil"/>
              <w:bottom w:val="nil"/>
              <w:right w:val="nil"/>
            </w:tcBorders>
            <w:noWrap/>
            <w:vAlign w:val="center"/>
            <w:hideMark/>
          </w:tcPr>
          <w:p w14:paraId="16B887CF"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R</w:t>
            </w:r>
          </w:p>
        </w:tc>
        <w:tc>
          <w:tcPr>
            <w:tcW w:w="556" w:type="pct"/>
            <w:tcBorders>
              <w:top w:val="single" w:sz="4" w:space="0" w:color="auto"/>
              <w:left w:val="nil"/>
              <w:bottom w:val="nil"/>
              <w:right w:val="nil"/>
            </w:tcBorders>
            <w:noWrap/>
            <w:vAlign w:val="center"/>
            <w:hideMark/>
          </w:tcPr>
          <w:p w14:paraId="403EC0FA"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c>
          <w:tcPr>
            <w:tcW w:w="556" w:type="pct"/>
            <w:tcBorders>
              <w:top w:val="single" w:sz="4" w:space="0" w:color="auto"/>
              <w:left w:val="nil"/>
              <w:bottom w:val="nil"/>
              <w:right w:val="nil"/>
            </w:tcBorders>
            <w:noWrap/>
            <w:vAlign w:val="center"/>
            <w:hideMark/>
          </w:tcPr>
          <w:p w14:paraId="427E1A2D"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063ECA" w:rsidRPr="00D0395E" w14:paraId="7538D71B" w14:textId="77777777" w:rsidTr="002267CE">
        <w:trPr>
          <w:trHeight w:val="46"/>
          <w:tblHeader/>
        </w:trPr>
        <w:tc>
          <w:tcPr>
            <w:tcW w:w="2221" w:type="pct"/>
            <w:vMerge/>
            <w:tcBorders>
              <w:top w:val="nil"/>
              <w:left w:val="nil"/>
              <w:bottom w:val="single" w:sz="4" w:space="0" w:color="auto"/>
              <w:right w:val="nil"/>
            </w:tcBorders>
            <w:vAlign w:val="center"/>
            <w:hideMark/>
          </w:tcPr>
          <w:p w14:paraId="0D21EEAF" w14:textId="77777777" w:rsidR="00063ECA" w:rsidRPr="00D0395E" w:rsidRDefault="00063ECA" w:rsidP="000E04C4">
            <w:pPr>
              <w:spacing w:line="240" w:lineRule="auto"/>
              <w:rPr>
                <w:rFonts w:eastAsia="Times New Roman" w:cs="Times New Roman"/>
                <w:b/>
                <w:bCs/>
                <w:color w:val="000000"/>
                <w:sz w:val="18"/>
                <w:szCs w:val="18"/>
                <w:lang w:eastAsia="sk-SK"/>
              </w:rPr>
            </w:pPr>
          </w:p>
        </w:tc>
        <w:tc>
          <w:tcPr>
            <w:tcW w:w="556" w:type="pct"/>
            <w:tcBorders>
              <w:top w:val="nil"/>
              <w:left w:val="nil"/>
              <w:bottom w:val="single" w:sz="4" w:space="0" w:color="auto"/>
              <w:right w:val="nil"/>
            </w:tcBorders>
            <w:noWrap/>
            <w:vAlign w:val="center"/>
            <w:hideMark/>
          </w:tcPr>
          <w:p w14:paraId="69CE60A6"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555" w:type="pct"/>
            <w:tcBorders>
              <w:top w:val="nil"/>
              <w:left w:val="nil"/>
              <w:bottom w:val="single" w:sz="4" w:space="0" w:color="auto"/>
              <w:right w:val="nil"/>
            </w:tcBorders>
            <w:noWrap/>
            <w:vAlign w:val="center"/>
            <w:hideMark/>
          </w:tcPr>
          <w:p w14:paraId="2D5EBF89"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556" w:type="pct"/>
            <w:tcBorders>
              <w:top w:val="nil"/>
              <w:left w:val="nil"/>
              <w:bottom w:val="single" w:sz="4" w:space="0" w:color="auto"/>
              <w:right w:val="nil"/>
            </w:tcBorders>
            <w:noWrap/>
            <w:vAlign w:val="center"/>
            <w:hideMark/>
          </w:tcPr>
          <w:p w14:paraId="26E6AE95"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556" w:type="pct"/>
            <w:tcBorders>
              <w:top w:val="nil"/>
              <w:left w:val="nil"/>
              <w:bottom w:val="single" w:sz="4" w:space="0" w:color="auto"/>
              <w:right w:val="nil"/>
            </w:tcBorders>
            <w:noWrap/>
            <w:vAlign w:val="center"/>
            <w:hideMark/>
          </w:tcPr>
          <w:p w14:paraId="7AC44C5D"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56" w:type="pct"/>
            <w:tcBorders>
              <w:top w:val="nil"/>
              <w:left w:val="nil"/>
              <w:bottom w:val="single" w:sz="4" w:space="0" w:color="auto"/>
              <w:right w:val="nil"/>
            </w:tcBorders>
            <w:noWrap/>
            <w:vAlign w:val="center"/>
            <w:hideMark/>
          </w:tcPr>
          <w:p w14:paraId="57B27B81"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063ECA" w:rsidRPr="00D0395E" w14:paraId="756DFDC0" w14:textId="77777777" w:rsidTr="002267CE">
        <w:trPr>
          <w:trHeight w:val="330"/>
        </w:trPr>
        <w:tc>
          <w:tcPr>
            <w:tcW w:w="2221" w:type="pct"/>
            <w:tcBorders>
              <w:top w:val="single" w:sz="4" w:space="0" w:color="auto"/>
              <w:left w:val="nil"/>
              <w:bottom w:val="nil"/>
              <w:right w:val="nil"/>
            </w:tcBorders>
            <w:noWrap/>
            <w:vAlign w:val="center"/>
            <w:hideMark/>
          </w:tcPr>
          <w:p w14:paraId="20A11F72"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v rámci verejnej správy</w:t>
            </w:r>
          </w:p>
        </w:tc>
        <w:tc>
          <w:tcPr>
            <w:tcW w:w="556" w:type="pct"/>
            <w:tcBorders>
              <w:top w:val="single" w:sz="4" w:space="0" w:color="auto"/>
              <w:left w:val="nil"/>
              <w:bottom w:val="nil"/>
              <w:right w:val="nil"/>
            </w:tcBorders>
            <w:vAlign w:val="center"/>
          </w:tcPr>
          <w:p w14:paraId="60401CF9"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7 726 188</w:t>
            </w:r>
          </w:p>
        </w:tc>
        <w:tc>
          <w:tcPr>
            <w:tcW w:w="555" w:type="pct"/>
            <w:tcBorders>
              <w:top w:val="single" w:sz="4" w:space="0" w:color="auto"/>
              <w:left w:val="nil"/>
              <w:bottom w:val="nil"/>
              <w:right w:val="nil"/>
            </w:tcBorders>
            <w:vAlign w:val="center"/>
            <w:hideMark/>
          </w:tcPr>
          <w:p w14:paraId="16A45E04"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9 923 665</w:t>
            </w:r>
          </w:p>
        </w:tc>
        <w:tc>
          <w:tcPr>
            <w:tcW w:w="556" w:type="pct"/>
            <w:tcBorders>
              <w:top w:val="single" w:sz="4" w:space="0" w:color="auto"/>
              <w:left w:val="nil"/>
              <w:bottom w:val="nil"/>
              <w:right w:val="nil"/>
            </w:tcBorders>
            <w:vAlign w:val="center"/>
          </w:tcPr>
          <w:p w14:paraId="3AB785F6"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11 079 625</w:t>
            </w:r>
          </w:p>
        </w:tc>
        <w:tc>
          <w:tcPr>
            <w:tcW w:w="556" w:type="pct"/>
            <w:tcBorders>
              <w:top w:val="single" w:sz="4" w:space="0" w:color="auto"/>
              <w:left w:val="nil"/>
              <w:bottom w:val="nil"/>
              <w:right w:val="nil"/>
            </w:tcBorders>
            <w:vAlign w:val="center"/>
          </w:tcPr>
          <w:p w14:paraId="2D9B0549"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11 294 281</w:t>
            </w:r>
          </w:p>
        </w:tc>
        <w:tc>
          <w:tcPr>
            <w:tcW w:w="556" w:type="pct"/>
            <w:tcBorders>
              <w:top w:val="single" w:sz="4" w:space="0" w:color="auto"/>
              <w:left w:val="nil"/>
              <w:bottom w:val="nil"/>
              <w:right w:val="nil"/>
            </w:tcBorders>
            <w:vAlign w:val="center"/>
          </w:tcPr>
          <w:p w14:paraId="2F268FF9"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214 656</w:t>
            </w:r>
          </w:p>
        </w:tc>
      </w:tr>
      <w:tr w:rsidR="00063ECA" w:rsidRPr="00D0395E" w14:paraId="0EE854D0" w14:textId="77777777" w:rsidTr="002267CE">
        <w:trPr>
          <w:trHeight w:val="330"/>
        </w:trPr>
        <w:tc>
          <w:tcPr>
            <w:tcW w:w="2221" w:type="pct"/>
            <w:tcBorders>
              <w:top w:val="nil"/>
              <w:left w:val="nil"/>
              <w:bottom w:val="nil"/>
              <w:right w:val="nil"/>
            </w:tcBorders>
            <w:noWrap/>
            <w:vAlign w:val="center"/>
            <w:hideMark/>
          </w:tcPr>
          <w:p w14:paraId="17AC94BB"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toho</w:t>
            </w:r>
          </w:p>
        </w:tc>
        <w:tc>
          <w:tcPr>
            <w:tcW w:w="556" w:type="pct"/>
            <w:tcBorders>
              <w:top w:val="nil"/>
              <w:left w:val="nil"/>
              <w:bottom w:val="nil"/>
              <w:right w:val="nil"/>
            </w:tcBorders>
            <w:vAlign w:val="center"/>
          </w:tcPr>
          <w:p w14:paraId="52D285A7" w14:textId="77777777" w:rsidR="00063ECA" w:rsidRPr="00D0395E" w:rsidRDefault="00063ECA" w:rsidP="000E04C4">
            <w:pPr>
              <w:spacing w:line="240" w:lineRule="auto"/>
              <w:rPr>
                <w:rFonts w:eastAsia="Times New Roman" w:cs="Times New Roman"/>
                <w:color w:val="000000"/>
                <w:sz w:val="18"/>
                <w:szCs w:val="18"/>
                <w:lang w:eastAsia="sk-SK"/>
              </w:rPr>
            </w:pPr>
          </w:p>
        </w:tc>
        <w:tc>
          <w:tcPr>
            <w:tcW w:w="555" w:type="pct"/>
            <w:tcBorders>
              <w:top w:val="nil"/>
              <w:left w:val="nil"/>
              <w:bottom w:val="nil"/>
              <w:right w:val="nil"/>
            </w:tcBorders>
            <w:vAlign w:val="center"/>
            <w:hideMark/>
          </w:tcPr>
          <w:p w14:paraId="715E2896"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4448094A"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1A992D08"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01615AE3" w14:textId="77777777" w:rsidR="00063ECA" w:rsidRPr="00D0395E" w:rsidRDefault="00063ECA" w:rsidP="000E04C4">
            <w:pPr>
              <w:spacing w:line="240" w:lineRule="auto"/>
              <w:jc w:val="right"/>
              <w:rPr>
                <w:rFonts w:eastAsia="Times New Roman" w:cs="Times New Roman"/>
                <w:color w:val="000000"/>
                <w:sz w:val="18"/>
                <w:szCs w:val="18"/>
                <w:lang w:eastAsia="sk-SK"/>
              </w:rPr>
            </w:pPr>
          </w:p>
        </w:tc>
      </w:tr>
      <w:tr w:rsidR="00063ECA" w:rsidRPr="00D0395E" w14:paraId="4A1CE526" w14:textId="77777777" w:rsidTr="002267CE">
        <w:trPr>
          <w:trHeight w:val="330"/>
        </w:trPr>
        <w:tc>
          <w:tcPr>
            <w:tcW w:w="2221" w:type="pct"/>
            <w:tcBorders>
              <w:top w:val="nil"/>
              <w:left w:val="nil"/>
              <w:bottom w:val="nil"/>
              <w:right w:val="nil"/>
            </w:tcBorders>
            <w:noWrap/>
            <w:vAlign w:val="center"/>
            <w:hideMark/>
          </w:tcPr>
          <w:p w14:paraId="020A78B3"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Sociálnej poisťovni</w:t>
            </w:r>
          </w:p>
        </w:tc>
        <w:tc>
          <w:tcPr>
            <w:tcW w:w="556" w:type="pct"/>
            <w:tcBorders>
              <w:top w:val="nil"/>
              <w:left w:val="nil"/>
              <w:bottom w:val="nil"/>
              <w:right w:val="nil"/>
            </w:tcBorders>
            <w:vAlign w:val="center"/>
          </w:tcPr>
          <w:p w14:paraId="66C50E6E"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1 172 509</w:t>
            </w:r>
          </w:p>
        </w:tc>
        <w:tc>
          <w:tcPr>
            <w:tcW w:w="555" w:type="pct"/>
            <w:tcBorders>
              <w:top w:val="nil"/>
              <w:left w:val="nil"/>
              <w:bottom w:val="nil"/>
              <w:right w:val="nil"/>
            </w:tcBorders>
            <w:vAlign w:val="center"/>
            <w:hideMark/>
          </w:tcPr>
          <w:p w14:paraId="30C77847"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2 744 462</w:t>
            </w:r>
          </w:p>
        </w:tc>
        <w:tc>
          <w:tcPr>
            <w:tcW w:w="556" w:type="pct"/>
            <w:tcBorders>
              <w:top w:val="nil"/>
              <w:left w:val="nil"/>
              <w:bottom w:val="nil"/>
              <w:right w:val="nil"/>
            </w:tcBorders>
            <w:vAlign w:val="center"/>
          </w:tcPr>
          <w:p w14:paraId="6F5E1A93" w14:textId="77777777" w:rsidR="00063ECA" w:rsidRPr="008708F5" w:rsidRDefault="00063ECA" w:rsidP="000E04C4">
            <w:pPr>
              <w:spacing w:line="240" w:lineRule="auto"/>
              <w:jc w:val="right"/>
              <w:rPr>
                <w:rFonts w:eastAsia="Times New Roman" w:cs="Times New Roman"/>
                <w:color w:val="000000"/>
                <w:sz w:val="18"/>
                <w:szCs w:val="18"/>
                <w:lang w:eastAsia="sk-SK"/>
              </w:rPr>
            </w:pPr>
            <w:r w:rsidRPr="008708F5">
              <w:rPr>
                <w:rFonts w:eastAsia="Times New Roman" w:cs="Times New Roman"/>
                <w:color w:val="000000"/>
                <w:sz w:val="18"/>
                <w:szCs w:val="18"/>
                <w:lang w:eastAsia="sk-SK"/>
              </w:rPr>
              <w:t>2 750 000</w:t>
            </w:r>
          </w:p>
        </w:tc>
        <w:tc>
          <w:tcPr>
            <w:tcW w:w="556" w:type="pct"/>
            <w:tcBorders>
              <w:top w:val="nil"/>
              <w:left w:val="nil"/>
              <w:bottom w:val="nil"/>
              <w:right w:val="nil"/>
            </w:tcBorders>
            <w:vAlign w:val="center"/>
          </w:tcPr>
          <w:p w14:paraId="082E70FE" w14:textId="77777777" w:rsidR="00063ECA" w:rsidRPr="008708F5" w:rsidRDefault="00063ECA" w:rsidP="000E04C4">
            <w:pPr>
              <w:spacing w:line="240" w:lineRule="auto"/>
              <w:jc w:val="right"/>
              <w:rPr>
                <w:rFonts w:eastAsia="Times New Roman" w:cs="Times New Roman"/>
                <w:color w:val="000000"/>
                <w:sz w:val="18"/>
                <w:szCs w:val="18"/>
                <w:lang w:eastAsia="sk-SK"/>
              </w:rPr>
            </w:pPr>
            <w:r w:rsidRPr="008708F5">
              <w:rPr>
                <w:rFonts w:eastAsia="Times New Roman" w:cs="Times New Roman"/>
                <w:color w:val="000000"/>
                <w:sz w:val="18"/>
                <w:szCs w:val="18"/>
                <w:lang w:eastAsia="sk-SK"/>
              </w:rPr>
              <w:t>2 455 000</w:t>
            </w:r>
          </w:p>
        </w:tc>
        <w:tc>
          <w:tcPr>
            <w:tcW w:w="556" w:type="pct"/>
            <w:tcBorders>
              <w:top w:val="nil"/>
              <w:left w:val="nil"/>
              <w:bottom w:val="nil"/>
              <w:right w:val="nil"/>
            </w:tcBorders>
            <w:vAlign w:val="center"/>
          </w:tcPr>
          <w:p w14:paraId="78B16FDA" w14:textId="77777777" w:rsidR="00063ECA" w:rsidRPr="008708F5" w:rsidRDefault="00063ECA" w:rsidP="000E04C4">
            <w:pPr>
              <w:spacing w:line="240" w:lineRule="auto"/>
              <w:jc w:val="right"/>
              <w:rPr>
                <w:rFonts w:eastAsia="Times New Roman" w:cs="Times New Roman"/>
                <w:color w:val="000000"/>
                <w:sz w:val="18"/>
                <w:szCs w:val="18"/>
                <w:lang w:eastAsia="sk-SK"/>
              </w:rPr>
            </w:pPr>
            <w:r w:rsidRPr="008708F5">
              <w:rPr>
                <w:rFonts w:eastAsia="Times New Roman" w:cs="Times New Roman"/>
                <w:color w:val="000000"/>
                <w:sz w:val="18"/>
                <w:szCs w:val="18"/>
                <w:lang w:eastAsia="sk-SK"/>
              </w:rPr>
              <w:t>-295 000</w:t>
            </w:r>
          </w:p>
        </w:tc>
      </w:tr>
      <w:tr w:rsidR="00063ECA" w:rsidRPr="00D0395E" w14:paraId="10596300" w14:textId="77777777" w:rsidTr="002267CE">
        <w:trPr>
          <w:trHeight w:val="330"/>
        </w:trPr>
        <w:tc>
          <w:tcPr>
            <w:tcW w:w="2221" w:type="pct"/>
            <w:tcBorders>
              <w:top w:val="nil"/>
              <w:left w:val="nil"/>
              <w:bottom w:val="nil"/>
              <w:right w:val="nil"/>
            </w:tcBorders>
            <w:noWrap/>
            <w:vAlign w:val="center"/>
            <w:hideMark/>
          </w:tcPr>
          <w:p w14:paraId="518FAC75"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rozpočtovej organizácii</w:t>
            </w:r>
          </w:p>
        </w:tc>
        <w:tc>
          <w:tcPr>
            <w:tcW w:w="556" w:type="pct"/>
            <w:tcBorders>
              <w:top w:val="nil"/>
              <w:left w:val="nil"/>
              <w:bottom w:val="nil"/>
              <w:right w:val="nil"/>
            </w:tcBorders>
            <w:vAlign w:val="center"/>
          </w:tcPr>
          <w:p w14:paraId="0FD7F38D"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1 176 278</w:t>
            </w:r>
          </w:p>
        </w:tc>
        <w:tc>
          <w:tcPr>
            <w:tcW w:w="555" w:type="pct"/>
            <w:tcBorders>
              <w:top w:val="nil"/>
              <w:left w:val="nil"/>
              <w:bottom w:val="nil"/>
              <w:right w:val="nil"/>
            </w:tcBorders>
            <w:vAlign w:val="center"/>
            <w:hideMark/>
          </w:tcPr>
          <w:p w14:paraId="6AA7230A"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1 309 488</w:t>
            </w:r>
          </w:p>
        </w:tc>
        <w:tc>
          <w:tcPr>
            <w:tcW w:w="556" w:type="pct"/>
            <w:tcBorders>
              <w:top w:val="nil"/>
              <w:left w:val="nil"/>
              <w:bottom w:val="nil"/>
              <w:right w:val="nil"/>
            </w:tcBorders>
            <w:vAlign w:val="center"/>
          </w:tcPr>
          <w:p w14:paraId="28F82707"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2 467 159</w:t>
            </w:r>
          </w:p>
        </w:tc>
        <w:tc>
          <w:tcPr>
            <w:tcW w:w="556" w:type="pct"/>
            <w:tcBorders>
              <w:top w:val="nil"/>
              <w:left w:val="nil"/>
              <w:bottom w:val="nil"/>
              <w:right w:val="nil"/>
            </w:tcBorders>
            <w:vAlign w:val="center"/>
          </w:tcPr>
          <w:p w14:paraId="52FDFCB3"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1 648 214</w:t>
            </w:r>
          </w:p>
        </w:tc>
        <w:tc>
          <w:tcPr>
            <w:tcW w:w="556" w:type="pct"/>
            <w:tcBorders>
              <w:top w:val="nil"/>
              <w:left w:val="nil"/>
              <w:bottom w:val="nil"/>
              <w:right w:val="nil"/>
            </w:tcBorders>
            <w:vAlign w:val="center"/>
          </w:tcPr>
          <w:p w14:paraId="74D451F7"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-818 945</w:t>
            </w:r>
          </w:p>
        </w:tc>
      </w:tr>
      <w:tr w:rsidR="00063ECA" w:rsidRPr="00D0395E" w14:paraId="39C24AE7" w14:textId="77777777" w:rsidTr="002267CE">
        <w:trPr>
          <w:trHeight w:val="330"/>
        </w:trPr>
        <w:tc>
          <w:tcPr>
            <w:tcW w:w="2221" w:type="pct"/>
            <w:tcBorders>
              <w:top w:val="nil"/>
              <w:left w:val="nil"/>
              <w:bottom w:val="nil"/>
              <w:right w:val="nil"/>
            </w:tcBorders>
            <w:noWrap/>
            <w:vAlign w:val="center"/>
            <w:hideMark/>
          </w:tcPr>
          <w:p w14:paraId="5037AAA0"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obci </w:t>
            </w:r>
          </w:p>
        </w:tc>
        <w:tc>
          <w:tcPr>
            <w:tcW w:w="556" w:type="pct"/>
            <w:tcBorders>
              <w:top w:val="nil"/>
              <w:left w:val="nil"/>
              <w:bottom w:val="nil"/>
              <w:right w:val="nil"/>
            </w:tcBorders>
            <w:vAlign w:val="center"/>
          </w:tcPr>
          <w:p w14:paraId="02999BBD"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2 042 605</w:t>
            </w:r>
          </w:p>
        </w:tc>
        <w:tc>
          <w:tcPr>
            <w:tcW w:w="555" w:type="pct"/>
            <w:tcBorders>
              <w:top w:val="nil"/>
              <w:left w:val="nil"/>
              <w:bottom w:val="nil"/>
              <w:right w:val="nil"/>
            </w:tcBorders>
            <w:vAlign w:val="center"/>
            <w:hideMark/>
          </w:tcPr>
          <w:p w14:paraId="59F84C71"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2 100 571</w:t>
            </w:r>
          </w:p>
        </w:tc>
        <w:tc>
          <w:tcPr>
            <w:tcW w:w="556" w:type="pct"/>
            <w:tcBorders>
              <w:top w:val="nil"/>
              <w:left w:val="nil"/>
              <w:bottom w:val="nil"/>
              <w:right w:val="nil"/>
            </w:tcBorders>
            <w:vAlign w:val="center"/>
          </w:tcPr>
          <w:p w14:paraId="25998065"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2 549 098</w:t>
            </w:r>
          </w:p>
        </w:tc>
        <w:tc>
          <w:tcPr>
            <w:tcW w:w="556" w:type="pct"/>
            <w:tcBorders>
              <w:top w:val="nil"/>
              <w:left w:val="nil"/>
              <w:bottom w:val="nil"/>
              <w:right w:val="nil"/>
            </w:tcBorders>
            <w:vAlign w:val="center"/>
          </w:tcPr>
          <w:p w14:paraId="0CDF580B"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2 860 698</w:t>
            </w:r>
          </w:p>
        </w:tc>
        <w:tc>
          <w:tcPr>
            <w:tcW w:w="556" w:type="pct"/>
            <w:tcBorders>
              <w:top w:val="nil"/>
              <w:left w:val="nil"/>
              <w:bottom w:val="nil"/>
              <w:right w:val="nil"/>
            </w:tcBorders>
            <w:vAlign w:val="center"/>
          </w:tcPr>
          <w:p w14:paraId="6F415E0F"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311 600</w:t>
            </w:r>
          </w:p>
        </w:tc>
      </w:tr>
      <w:tr w:rsidR="00063ECA" w:rsidRPr="00D0395E" w14:paraId="7D52F679" w14:textId="77777777" w:rsidTr="002267CE">
        <w:trPr>
          <w:trHeight w:val="330"/>
        </w:trPr>
        <w:tc>
          <w:tcPr>
            <w:tcW w:w="2221" w:type="pct"/>
            <w:tcBorders>
              <w:top w:val="nil"/>
              <w:left w:val="nil"/>
              <w:bottom w:val="nil"/>
              <w:right w:val="nil"/>
            </w:tcBorders>
            <w:noWrap/>
            <w:vAlign w:val="center"/>
            <w:hideMark/>
          </w:tcPr>
          <w:p w14:paraId="6DC057A8"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z toho </w:t>
            </w:r>
          </w:p>
        </w:tc>
        <w:tc>
          <w:tcPr>
            <w:tcW w:w="556" w:type="pct"/>
            <w:tcBorders>
              <w:top w:val="nil"/>
              <w:left w:val="nil"/>
              <w:bottom w:val="nil"/>
              <w:right w:val="nil"/>
            </w:tcBorders>
            <w:vAlign w:val="center"/>
          </w:tcPr>
          <w:p w14:paraId="06EFBCC6" w14:textId="77777777" w:rsidR="00063ECA" w:rsidRPr="00D0395E" w:rsidRDefault="00063ECA" w:rsidP="000E04C4">
            <w:pPr>
              <w:spacing w:line="240" w:lineRule="auto"/>
              <w:rPr>
                <w:rFonts w:eastAsia="Times New Roman" w:cs="Times New Roman"/>
                <w:color w:val="000000"/>
                <w:sz w:val="18"/>
                <w:szCs w:val="18"/>
                <w:lang w:eastAsia="sk-SK"/>
              </w:rPr>
            </w:pPr>
          </w:p>
        </w:tc>
        <w:tc>
          <w:tcPr>
            <w:tcW w:w="555" w:type="pct"/>
            <w:tcBorders>
              <w:top w:val="nil"/>
              <w:left w:val="nil"/>
              <w:bottom w:val="nil"/>
              <w:right w:val="nil"/>
            </w:tcBorders>
            <w:vAlign w:val="center"/>
            <w:hideMark/>
          </w:tcPr>
          <w:p w14:paraId="3629AB68"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77A18673"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0AAFE989"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199ED4B6" w14:textId="77777777" w:rsidR="00063ECA" w:rsidRPr="00D0395E" w:rsidRDefault="00063ECA" w:rsidP="000E04C4">
            <w:pPr>
              <w:spacing w:line="240" w:lineRule="auto"/>
              <w:jc w:val="right"/>
              <w:rPr>
                <w:rFonts w:eastAsia="Times New Roman" w:cs="Times New Roman"/>
                <w:color w:val="000000"/>
                <w:sz w:val="18"/>
                <w:szCs w:val="18"/>
                <w:lang w:eastAsia="sk-SK"/>
              </w:rPr>
            </w:pPr>
          </w:p>
        </w:tc>
      </w:tr>
      <w:tr w:rsidR="00063ECA" w:rsidRPr="00D0395E" w14:paraId="100E3D4A" w14:textId="77777777" w:rsidTr="002267CE">
        <w:trPr>
          <w:trHeight w:val="330"/>
        </w:trPr>
        <w:tc>
          <w:tcPr>
            <w:tcW w:w="2221" w:type="pct"/>
            <w:tcBorders>
              <w:top w:val="nil"/>
              <w:left w:val="nil"/>
              <w:bottom w:val="nil"/>
              <w:right w:val="nil"/>
            </w:tcBorders>
            <w:noWrap/>
            <w:vAlign w:val="center"/>
            <w:hideMark/>
          </w:tcPr>
          <w:p w14:paraId="72C66E2C" w14:textId="77777777" w:rsidR="00063ECA" w:rsidRDefault="00063ECA" w:rsidP="000E04C4">
            <w:pPr>
              <w:spacing w:line="240" w:lineRule="auto"/>
              <w:ind w:left="357" w:hanging="357"/>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úhradu nákladov preneseného výkonu </w:t>
            </w:r>
          </w:p>
          <w:p w14:paraId="417D95AE" w14:textId="77777777" w:rsidR="00063ECA" w:rsidRPr="00D0395E" w:rsidRDefault="00063ECA" w:rsidP="000E04C4">
            <w:pPr>
              <w:spacing w:line="240" w:lineRule="auto"/>
              <w:ind w:left="357"/>
              <w:rPr>
                <w:rFonts w:eastAsia="Times New Roman" w:cs="Times New Roman"/>
                <w:color w:val="000000"/>
                <w:sz w:val="18"/>
                <w:szCs w:val="18"/>
                <w:lang w:eastAsia="sk-SK"/>
              </w:rPr>
            </w:pPr>
            <w:r w:rsidRPr="00D0395E">
              <w:rPr>
                <w:rFonts w:eastAsia="Times New Roman" w:cs="Times New Roman"/>
                <w:color w:val="000000"/>
                <w:sz w:val="18"/>
                <w:szCs w:val="18"/>
                <w:lang w:eastAsia="sk-SK"/>
              </w:rPr>
              <w:t>štátnej správy</w:t>
            </w:r>
          </w:p>
        </w:tc>
        <w:tc>
          <w:tcPr>
            <w:tcW w:w="556" w:type="pct"/>
            <w:tcBorders>
              <w:top w:val="nil"/>
              <w:left w:val="nil"/>
              <w:bottom w:val="nil"/>
              <w:right w:val="nil"/>
            </w:tcBorders>
            <w:vAlign w:val="center"/>
          </w:tcPr>
          <w:p w14:paraId="09E40C41"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1 450 171</w:t>
            </w:r>
          </w:p>
        </w:tc>
        <w:tc>
          <w:tcPr>
            <w:tcW w:w="555" w:type="pct"/>
            <w:tcBorders>
              <w:top w:val="nil"/>
              <w:left w:val="nil"/>
              <w:bottom w:val="nil"/>
              <w:right w:val="nil"/>
            </w:tcBorders>
            <w:vAlign w:val="center"/>
            <w:hideMark/>
          </w:tcPr>
          <w:p w14:paraId="0CB6DD80"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1 612 589</w:t>
            </w:r>
          </w:p>
        </w:tc>
        <w:tc>
          <w:tcPr>
            <w:tcW w:w="556" w:type="pct"/>
            <w:tcBorders>
              <w:top w:val="nil"/>
              <w:left w:val="nil"/>
              <w:bottom w:val="nil"/>
              <w:right w:val="nil"/>
            </w:tcBorders>
            <w:vAlign w:val="center"/>
          </w:tcPr>
          <w:p w14:paraId="5E5C40B4"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2 265 955</w:t>
            </w:r>
          </w:p>
        </w:tc>
        <w:tc>
          <w:tcPr>
            <w:tcW w:w="556" w:type="pct"/>
            <w:tcBorders>
              <w:top w:val="nil"/>
              <w:left w:val="nil"/>
              <w:bottom w:val="nil"/>
              <w:right w:val="nil"/>
            </w:tcBorders>
            <w:vAlign w:val="center"/>
          </w:tcPr>
          <w:p w14:paraId="142B24F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2 356 294</w:t>
            </w:r>
          </w:p>
        </w:tc>
        <w:tc>
          <w:tcPr>
            <w:tcW w:w="556" w:type="pct"/>
            <w:tcBorders>
              <w:top w:val="nil"/>
              <w:left w:val="nil"/>
              <w:bottom w:val="nil"/>
              <w:right w:val="nil"/>
            </w:tcBorders>
            <w:vAlign w:val="center"/>
          </w:tcPr>
          <w:p w14:paraId="5636D174"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90 339</w:t>
            </w:r>
          </w:p>
        </w:tc>
      </w:tr>
      <w:tr w:rsidR="00063ECA" w:rsidRPr="00D0395E" w14:paraId="2FD70D28" w14:textId="77777777" w:rsidTr="002267CE">
        <w:trPr>
          <w:trHeight w:val="330"/>
        </w:trPr>
        <w:tc>
          <w:tcPr>
            <w:tcW w:w="2221" w:type="pct"/>
            <w:tcBorders>
              <w:top w:val="nil"/>
              <w:left w:val="nil"/>
              <w:bottom w:val="nil"/>
              <w:right w:val="nil"/>
            </w:tcBorders>
            <w:noWrap/>
            <w:vAlign w:val="center"/>
            <w:hideMark/>
          </w:tcPr>
          <w:p w14:paraId="0D51F3D0"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VÚC</w:t>
            </w:r>
          </w:p>
        </w:tc>
        <w:tc>
          <w:tcPr>
            <w:tcW w:w="556" w:type="pct"/>
            <w:tcBorders>
              <w:top w:val="nil"/>
              <w:left w:val="nil"/>
              <w:bottom w:val="nil"/>
              <w:right w:val="nil"/>
            </w:tcBorders>
            <w:vAlign w:val="center"/>
          </w:tcPr>
          <w:p w14:paraId="1C032152"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703 903</w:t>
            </w:r>
          </w:p>
        </w:tc>
        <w:tc>
          <w:tcPr>
            <w:tcW w:w="555" w:type="pct"/>
            <w:tcBorders>
              <w:top w:val="nil"/>
              <w:left w:val="nil"/>
              <w:bottom w:val="nil"/>
              <w:right w:val="nil"/>
            </w:tcBorders>
            <w:vAlign w:val="center"/>
            <w:hideMark/>
          </w:tcPr>
          <w:p w14:paraId="3F220774"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698 518</w:t>
            </w:r>
          </w:p>
        </w:tc>
        <w:tc>
          <w:tcPr>
            <w:tcW w:w="556" w:type="pct"/>
            <w:tcBorders>
              <w:top w:val="nil"/>
              <w:left w:val="nil"/>
              <w:bottom w:val="nil"/>
              <w:right w:val="nil"/>
            </w:tcBorders>
            <w:vAlign w:val="center"/>
          </w:tcPr>
          <w:p w14:paraId="1784BD9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718 089</w:t>
            </w:r>
          </w:p>
        </w:tc>
        <w:tc>
          <w:tcPr>
            <w:tcW w:w="556" w:type="pct"/>
            <w:tcBorders>
              <w:top w:val="nil"/>
              <w:left w:val="nil"/>
              <w:bottom w:val="nil"/>
              <w:right w:val="nil"/>
            </w:tcBorders>
            <w:vAlign w:val="center"/>
          </w:tcPr>
          <w:p w14:paraId="5A6B0D05"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796 659</w:t>
            </w:r>
          </w:p>
        </w:tc>
        <w:tc>
          <w:tcPr>
            <w:tcW w:w="556" w:type="pct"/>
            <w:tcBorders>
              <w:top w:val="nil"/>
              <w:left w:val="nil"/>
              <w:bottom w:val="nil"/>
              <w:right w:val="nil"/>
            </w:tcBorders>
            <w:vAlign w:val="center"/>
          </w:tcPr>
          <w:p w14:paraId="57DF629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78 570</w:t>
            </w:r>
          </w:p>
        </w:tc>
      </w:tr>
      <w:tr w:rsidR="00063ECA" w:rsidRPr="00D0395E" w14:paraId="78EEB317" w14:textId="77777777" w:rsidTr="002267CE">
        <w:trPr>
          <w:trHeight w:val="330"/>
        </w:trPr>
        <w:tc>
          <w:tcPr>
            <w:tcW w:w="2221" w:type="pct"/>
            <w:tcBorders>
              <w:top w:val="nil"/>
              <w:left w:val="nil"/>
              <w:bottom w:val="nil"/>
              <w:right w:val="nil"/>
            </w:tcBorders>
            <w:noWrap/>
            <w:vAlign w:val="center"/>
            <w:hideMark/>
          </w:tcPr>
          <w:p w14:paraId="6820957D"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lastRenderedPageBreak/>
              <w:t xml:space="preserve">       z toho </w:t>
            </w:r>
          </w:p>
        </w:tc>
        <w:tc>
          <w:tcPr>
            <w:tcW w:w="556" w:type="pct"/>
            <w:tcBorders>
              <w:top w:val="nil"/>
              <w:left w:val="nil"/>
              <w:bottom w:val="nil"/>
              <w:right w:val="nil"/>
            </w:tcBorders>
            <w:vAlign w:val="center"/>
          </w:tcPr>
          <w:p w14:paraId="4513D412" w14:textId="77777777" w:rsidR="00063ECA" w:rsidRPr="00D0395E" w:rsidRDefault="00063ECA" w:rsidP="000E04C4">
            <w:pPr>
              <w:spacing w:line="240" w:lineRule="auto"/>
              <w:rPr>
                <w:rFonts w:eastAsia="Times New Roman" w:cs="Times New Roman"/>
                <w:color w:val="000000"/>
                <w:sz w:val="18"/>
                <w:szCs w:val="18"/>
                <w:lang w:eastAsia="sk-SK"/>
              </w:rPr>
            </w:pPr>
          </w:p>
        </w:tc>
        <w:tc>
          <w:tcPr>
            <w:tcW w:w="555" w:type="pct"/>
            <w:tcBorders>
              <w:top w:val="nil"/>
              <w:left w:val="nil"/>
              <w:bottom w:val="nil"/>
              <w:right w:val="nil"/>
            </w:tcBorders>
            <w:vAlign w:val="center"/>
            <w:hideMark/>
          </w:tcPr>
          <w:p w14:paraId="24BB9374"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4B14859B"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6D567B8C"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29CEADCF" w14:textId="77777777" w:rsidR="00063ECA" w:rsidRPr="00D0395E" w:rsidRDefault="00063ECA" w:rsidP="000E04C4">
            <w:pPr>
              <w:spacing w:line="240" w:lineRule="auto"/>
              <w:jc w:val="right"/>
              <w:rPr>
                <w:rFonts w:eastAsia="Times New Roman" w:cs="Times New Roman"/>
                <w:color w:val="000000"/>
                <w:sz w:val="18"/>
                <w:szCs w:val="18"/>
                <w:lang w:eastAsia="sk-SK"/>
              </w:rPr>
            </w:pPr>
          </w:p>
        </w:tc>
      </w:tr>
      <w:tr w:rsidR="00063ECA" w:rsidRPr="00D0395E" w14:paraId="389A7538" w14:textId="77777777" w:rsidTr="002267CE">
        <w:trPr>
          <w:trHeight w:val="330"/>
        </w:trPr>
        <w:tc>
          <w:tcPr>
            <w:tcW w:w="2221" w:type="pct"/>
            <w:tcBorders>
              <w:top w:val="nil"/>
              <w:left w:val="nil"/>
              <w:bottom w:val="nil"/>
              <w:right w:val="nil"/>
            </w:tcBorders>
            <w:noWrap/>
            <w:vAlign w:val="center"/>
            <w:hideMark/>
          </w:tcPr>
          <w:p w14:paraId="785971D6" w14:textId="77777777" w:rsidR="00063ECA" w:rsidRDefault="00063ECA" w:rsidP="000E04C4">
            <w:pPr>
              <w:spacing w:line="240" w:lineRule="auto"/>
              <w:ind w:left="357" w:hanging="357"/>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úhradu nákladov preneseného výkonu </w:t>
            </w:r>
          </w:p>
          <w:p w14:paraId="1A7121F2" w14:textId="77777777" w:rsidR="00063ECA" w:rsidRPr="00D0395E" w:rsidRDefault="00063ECA" w:rsidP="000E04C4">
            <w:pPr>
              <w:spacing w:line="240" w:lineRule="auto"/>
              <w:ind w:left="357"/>
              <w:rPr>
                <w:rFonts w:eastAsia="Times New Roman" w:cs="Times New Roman"/>
                <w:color w:val="000000"/>
                <w:sz w:val="18"/>
                <w:szCs w:val="18"/>
                <w:lang w:eastAsia="sk-SK"/>
              </w:rPr>
            </w:pPr>
            <w:r w:rsidRPr="00D0395E">
              <w:rPr>
                <w:rFonts w:eastAsia="Times New Roman" w:cs="Times New Roman"/>
                <w:color w:val="000000"/>
                <w:sz w:val="18"/>
                <w:szCs w:val="18"/>
                <w:lang w:eastAsia="sk-SK"/>
              </w:rPr>
              <w:t>štátnej správy</w:t>
            </w:r>
          </w:p>
        </w:tc>
        <w:tc>
          <w:tcPr>
            <w:tcW w:w="556" w:type="pct"/>
            <w:tcBorders>
              <w:top w:val="nil"/>
              <w:left w:val="nil"/>
              <w:bottom w:val="nil"/>
              <w:right w:val="nil"/>
            </w:tcBorders>
            <w:vAlign w:val="center"/>
          </w:tcPr>
          <w:p w14:paraId="012FF67E"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637 506</w:t>
            </w:r>
          </w:p>
        </w:tc>
        <w:tc>
          <w:tcPr>
            <w:tcW w:w="555" w:type="pct"/>
            <w:tcBorders>
              <w:top w:val="nil"/>
              <w:left w:val="nil"/>
              <w:bottom w:val="nil"/>
              <w:right w:val="nil"/>
            </w:tcBorders>
            <w:vAlign w:val="center"/>
            <w:hideMark/>
          </w:tcPr>
          <w:p w14:paraId="280FEE61"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683 572</w:t>
            </w:r>
          </w:p>
        </w:tc>
        <w:tc>
          <w:tcPr>
            <w:tcW w:w="556" w:type="pct"/>
            <w:tcBorders>
              <w:top w:val="nil"/>
              <w:left w:val="nil"/>
              <w:bottom w:val="nil"/>
              <w:right w:val="nil"/>
            </w:tcBorders>
            <w:vAlign w:val="center"/>
          </w:tcPr>
          <w:p w14:paraId="0638D855"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710 750</w:t>
            </w:r>
          </w:p>
        </w:tc>
        <w:tc>
          <w:tcPr>
            <w:tcW w:w="556" w:type="pct"/>
            <w:tcBorders>
              <w:top w:val="nil"/>
              <w:left w:val="nil"/>
              <w:bottom w:val="nil"/>
              <w:right w:val="nil"/>
            </w:tcBorders>
            <w:vAlign w:val="center"/>
          </w:tcPr>
          <w:p w14:paraId="4DCFF2BB"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732 755</w:t>
            </w:r>
          </w:p>
        </w:tc>
        <w:tc>
          <w:tcPr>
            <w:tcW w:w="556" w:type="pct"/>
            <w:tcBorders>
              <w:top w:val="nil"/>
              <w:left w:val="nil"/>
              <w:bottom w:val="nil"/>
              <w:right w:val="nil"/>
            </w:tcBorders>
            <w:vAlign w:val="center"/>
          </w:tcPr>
          <w:p w14:paraId="3D9FDAD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22 005</w:t>
            </w:r>
          </w:p>
        </w:tc>
      </w:tr>
      <w:tr w:rsidR="00063ECA" w:rsidRPr="00D0395E" w14:paraId="2DB3C76B" w14:textId="77777777" w:rsidTr="002267CE">
        <w:trPr>
          <w:trHeight w:val="330"/>
        </w:trPr>
        <w:tc>
          <w:tcPr>
            <w:tcW w:w="2221" w:type="pct"/>
            <w:tcBorders>
              <w:top w:val="nil"/>
              <w:left w:val="nil"/>
              <w:bottom w:val="nil"/>
              <w:right w:val="nil"/>
            </w:tcBorders>
            <w:noWrap/>
            <w:vAlign w:val="center"/>
            <w:hideMark/>
          </w:tcPr>
          <w:p w14:paraId="188FB166"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Verejnej vysokej škole</w:t>
            </w:r>
          </w:p>
        </w:tc>
        <w:tc>
          <w:tcPr>
            <w:tcW w:w="556" w:type="pct"/>
            <w:tcBorders>
              <w:top w:val="nil"/>
              <w:left w:val="nil"/>
              <w:bottom w:val="nil"/>
              <w:right w:val="nil"/>
            </w:tcBorders>
            <w:vAlign w:val="center"/>
          </w:tcPr>
          <w:p w14:paraId="5B95578A"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746 863</w:t>
            </w:r>
          </w:p>
        </w:tc>
        <w:tc>
          <w:tcPr>
            <w:tcW w:w="555" w:type="pct"/>
            <w:tcBorders>
              <w:top w:val="nil"/>
              <w:left w:val="nil"/>
              <w:bottom w:val="nil"/>
              <w:right w:val="nil"/>
            </w:tcBorders>
            <w:vAlign w:val="center"/>
            <w:hideMark/>
          </w:tcPr>
          <w:p w14:paraId="0B4C3FE6"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852 910</w:t>
            </w:r>
          </w:p>
        </w:tc>
        <w:tc>
          <w:tcPr>
            <w:tcW w:w="556" w:type="pct"/>
            <w:tcBorders>
              <w:top w:val="nil"/>
              <w:left w:val="nil"/>
              <w:bottom w:val="nil"/>
              <w:right w:val="nil"/>
            </w:tcBorders>
            <w:vAlign w:val="center"/>
          </w:tcPr>
          <w:p w14:paraId="073C0A36"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828 494</w:t>
            </w:r>
          </w:p>
        </w:tc>
        <w:tc>
          <w:tcPr>
            <w:tcW w:w="556" w:type="pct"/>
            <w:tcBorders>
              <w:top w:val="nil"/>
              <w:left w:val="nil"/>
              <w:bottom w:val="nil"/>
              <w:right w:val="nil"/>
            </w:tcBorders>
            <w:vAlign w:val="center"/>
          </w:tcPr>
          <w:p w14:paraId="2560812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971 002</w:t>
            </w:r>
          </w:p>
        </w:tc>
        <w:tc>
          <w:tcPr>
            <w:tcW w:w="556" w:type="pct"/>
            <w:tcBorders>
              <w:top w:val="nil"/>
              <w:left w:val="nil"/>
              <w:bottom w:val="nil"/>
              <w:right w:val="nil"/>
            </w:tcBorders>
            <w:vAlign w:val="center"/>
          </w:tcPr>
          <w:p w14:paraId="024860BC"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142 508</w:t>
            </w:r>
          </w:p>
        </w:tc>
      </w:tr>
      <w:tr w:rsidR="00063ECA" w:rsidRPr="00D0395E" w14:paraId="65BE2514" w14:textId="77777777" w:rsidTr="002267CE">
        <w:trPr>
          <w:trHeight w:val="330"/>
        </w:trPr>
        <w:tc>
          <w:tcPr>
            <w:tcW w:w="2221" w:type="pct"/>
            <w:tcBorders>
              <w:top w:val="nil"/>
              <w:left w:val="nil"/>
              <w:bottom w:val="nil"/>
              <w:right w:val="nil"/>
            </w:tcBorders>
            <w:noWrap/>
            <w:vAlign w:val="center"/>
            <w:hideMark/>
          </w:tcPr>
          <w:p w14:paraId="64F61369"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Príspevkovej organizácii</w:t>
            </w:r>
          </w:p>
        </w:tc>
        <w:tc>
          <w:tcPr>
            <w:tcW w:w="556" w:type="pct"/>
            <w:tcBorders>
              <w:top w:val="nil"/>
              <w:left w:val="nil"/>
              <w:bottom w:val="nil"/>
              <w:right w:val="nil"/>
            </w:tcBorders>
            <w:vAlign w:val="center"/>
          </w:tcPr>
          <w:p w14:paraId="4F53952F"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623 870</w:t>
            </w:r>
          </w:p>
        </w:tc>
        <w:tc>
          <w:tcPr>
            <w:tcW w:w="555" w:type="pct"/>
            <w:tcBorders>
              <w:top w:val="nil"/>
              <w:left w:val="nil"/>
              <w:bottom w:val="nil"/>
              <w:right w:val="nil"/>
            </w:tcBorders>
            <w:vAlign w:val="center"/>
            <w:hideMark/>
          </w:tcPr>
          <w:p w14:paraId="548F1772"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699 001</w:t>
            </w:r>
          </w:p>
        </w:tc>
        <w:tc>
          <w:tcPr>
            <w:tcW w:w="556" w:type="pct"/>
            <w:tcBorders>
              <w:top w:val="nil"/>
              <w:left w:val="nil"/>
              <w:bottom w:val="nil"/>
              <w:right w:val="nil"/>
            </w:tcBorders>
            <w:vAlign w:val="center"/>
          </w:tcPr>
          <w:p w14:paraId="1083556C"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366 487</w:t>
            </w:r>
          </w:p>
        </w:tc>
        <w:tc>
          <w:tcPr>
            <w:tcW w:w="556" w:type="pct"/>
            <w:tcBorders>
              <w:top w:val="nil"/>
              <w:left w:val="nil"/>
              <w:bottom w:val="nil"/>
              <w:right w:val="nil"/>
            </w:tcBorders>
            <w:vAlign w:val="center"/>
          </w:tcPr>
          <w:p w14:paraId="1970BE05"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750 413</w:t>
            </w:r>
          </w:p>
        </w:tc>
        <w:tc>
          <w:tcPr>
            <w:tcW w:w="556" w:type="pct"/>
            <w:tcBorders>
              <w:top w:val="nil"/>
              <w:left w:val="nil"/>
              <w:bottom w:val="nil"/>
              <w:right w:val="nil"/>
            </w:tcBorders>
            <w:vAlign w:val="center"/>
          </w:tcPr>
          <w:p w14:paraId="1536789F"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383 926</w:t>
            </w:r>
          </w:p>
        </w:tc>
      </w:tr>
      <w:tr w:rsidR="00063ECA" w:rsidRPr="00D0395E" w14:paraId="0EBC8A40" w14:textId="77777777" w:rsidTr="002267CE">
        <w:trPr>
          <w:trHeight w:val="330"/>
        </w:trPr>
        <w:tc>
          <w:tcPr>
            <w:tcW w:w="2221" w:type="pct"/>
            <w:tcBorders>
              <w:top w:val="nil"/>
              <w:left w:val="nil"/>
              <w:bottom w:val="nil"/>
              <w:right w:val="nil"/>
            </w:tcBorders>
            <w:noWrap/>
            <w:vAlign w:val="center"/>
            <w:hideMark/>
          </w:tcPr>
          <w:p w14:paraId="4AA16EBF"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Železniciam SR</w:t>
            </w:r>
          </w:p>
        </w:tc>
        <w:tc>
          <w:tcPr>
            <w:tcW w:w="556" w:type="pct"/>
            <w:tcBorders>
              <w:top w:val="nil"/>
              <w:left w:val="nil"/>
              <w:bottom w:val="nil"/>
              <w:right w:val="nil"/>
            </w:tcBorders>
            <w:vAlign w:val="center"/>
          </w:tcPr>
          <w:p w14:paraId="2E22603E"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414 404</w:t>
            </w:r>
          </w:p>
        </w:tc>
        <w:tc>
          <w:tcPr>
            <w:tcW w:w="555" w:type="pct"/>
            <w:tcBorders>
              <w:top w:val="nil"/>
              <w:left w:val="nil"/>
              <w:bottom w:val="nil"/>
              <w:right w:val="nil"/>
            </w:tcBorders>
            <w:vAlign w:val="center"/>
            <w:hideMark/>
          </w:tcPr>
          <w:p w14:paraId="77D2EF9B"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475 224</w:t>
            </w:r>
          </w:p>
        </w:tc>
        <w:tc>
          <w:tcPr>
            <w:tcW w:w="556" w:type="pct"/>
            <w:tcBorders>
              <w:top w:val="nil"/>
              <w:left w:val="nil"/>
              <w:bottom w:val="nil"/>
              <w:right w:val="nil"/>
            </w:tcBorders>
            <w:vAlign w:val="center"/>
          </w:tcPr>
          <w:p w14:paraId="723EF947"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481 470</w:t>
            </w:r>
          </w:p>
        </w:tc>
        <w:tc>
          <w:tcPr>
            <w:tcW w:w="556" w:type="pct"/>
            <w:tcBorders>
              <w:top w:val="nil"/>
              <w:left w:val="nil"/>
              <w:bottom w:val="nil"/>
              <w:right w:val="nil"/>
            </w:tcBorders>
            <w:vAlign w:val="center"/>
          </w:tcPr>
          <w:p w14:paraId="74EE0F40"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515 758</w:t>
            </w:r>
          </w:p>
        </w:tc>
        <w:tc>
          <w:tcPr>
            <w:tcW w:w="556" w:type="pct"/>
            <w:tcBorders>
              <w:top w:val="nil"/>
              <w:left w:val="nil"/>
              <w:bottom w:val="nil"/>
              <w:right w:val="nil"/>
            </w:tcBorders>
            <w:vAlign w:val="center"/>
          </w:tcPr>
          <w:p w14:paraId="6BCC113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34 288</w:t>
            </w:r>
          </w:p>
        </w:tc>
      </w:tr>
      <w:tr w:rsidR="00063ECA" w:rsidRPr="00D0395E" w14:paraId="6A9CBE89" w14:textId="77777777" w:rsidTr="002267CE">
        <w:trPr>
          <w:trHeight w:val="330"/>
        </w:trPr>
        <w:tc>
          <w:tcPr>
            <w:tcW w:w="2221" w:type="pct"/>
            <w:tcBorders>
              <w:top w:val="nil"/>
              <w:left w:val="nil"/>
              <w:bottom w:val="nil"/>
              <w:right w:val="nil"/>
            </w:tcBorders>
            <w:noWrap/>
            <w:vAlign w:val="center"/>
            <w:hideMark/>
          </w:tcPr>
          <w:p w14:paraId="7210800E"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Železničnej spoločnosti Slovensko</w:t>
            </w:r>
          </w:p>
        </w:tc>
        <w:tc>
          <w:tcPr>
            <w:tcW w:w="556" w:type="pct"/>
            <w:tcBorders>
              <w:top w:val="nil"/>
              <w:left w:val="nil"/>
              <w:bottom w:val="nil"/>
              <w:right w:val="nil"/>
            </w:tcBorders>
            <w:vAlign w:val="center"/>
          </w:tcPr>
          <w:p w14:paraId="7E0D8BDF"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411 526</w:t>
            </w:r>
          </w:p>
        </w:tc>
        <w:tc>
          <w:tcPr>
            <w:tcW w:w="555" w:type="pct"/>
            <w:tcBorders>
              <w:top w:val="nil"/>
              <w:left w:val="nil"/>
              <w:bottom w:val="nil"/>
              <w:right w:val="nil"/>
            </w:tcBorders>
            <w:vAlign w:val="center"/>
            <w:hideMark/>
          </w:tcPr>
          <w:p w14:paraId="68BBF4B4"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428 793</w:t>
            </w:r>
          </w:p>
        </w:tc>
        <w:tc>
          <w:tcPr>
            <w:tcW w:w="556" w:type="pct"/>
            <w:tcBorders>
              <w:top w:val="nil"/>
              <w:left w:val="nil"/>
              <w:bottom w:val="nil"/>
              <w:right w:val="nil"/>
            </w:tcBorders>
            <w:vAlign w:val="center"/>
          </w:tcPr>
          <w:p w14:paraId="0DA77FA0"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430 019</w:t>
            </w:r>
          </w:p>
        </w:tc>
        <w:tc>
          <w:tcPr>
            <w:tcW w:w="556" w:type="pct"/>
            <w:tcBorders>
              <w:top w:val="nil"/>
              <w:left w:val="nil"/>
              <w:bottom w:val="nil"/>
              <w:right w:val="nil"/>
            </w:tcBorders>
            <w:vAlign w:val="center"/>
          </w:tcPr>
          <w:p w14:paraId="6DD7D59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454 079</w:t>
            </w:r>
          </w:p>
        </w:tc>
        <w:tc>
          <w:tcPr>
            <w:tcW w:w="556" w:type="pct"/>
            <w:tcBorders>
              <w:top w:val="nil"/>
              <w:left w:val="nil"/>
              <w:bottom w:val="nil"/>
              <w:right w:val="nil"/>
            </w:tcBorders>
            <w:vAlign w:val="center"/>
          </w:tcPr>
          <w:p w14:paraId="0C2B0CF5"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24 060</w:t>
            </w:r>
          </w:p>
        </w:tc>
      </w:tr>
      <w:tr w:rsidR="00063ECA" w:rsidRPr="00D0395E" w14:paraId="560ED0A5" w14:textId="77777777" w:rsidTr="002267CE">
        <w:trPr>
          <w:trHeight w:val="330"/>
        </w:trPr>
        <w:tc>
          <w:tcPr>
            <w:tcW w:w="2221" w:type="pct"/>
            <w:tcBorders>
              <w:top w:val="nil"/>
              <w:left w:val="nil"/>
              <w:bottom w:val="nil"/>
              <w:right w:val="nil"/>
            </w:tcBorders>
            <w:noWrap/>
            <w:vAlign w:val="center"/>
            <w:hideMark/>
          </w:tcPr>
          <w:p w14:paraId="1A467C11"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Štátnemu účelovému fondu</w:t>
            </w:r>
          </w:p>
        </w:tc>
        <w:tc>
          <w:tcPr>
            <w:tcW w:w="556" w:type="pct"/>
            <w:tcBorders>
              <w:top w:val="nil"/>
              <w:left w:val="nil"/>
              <w:bottom w:val="nil"/>
              <w:right w:val="nil"/>
            </w:tcBorders>
            <w:vAlign w:val="center"/>
          </w:tcPr>
          <w:p w14:paraId="1D125A0A"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74 361</w:t>
            </w:r>
          </w:p>
        </w:tc>
        <w:tc>
          <w:tcPr>
            <w:tcW w:w="555" w:type="pct"/>
            <w:tcBorders>
              <w:top w:val="nil"/>
              <w:left w:val="nil"/>
              <w:bottom w:val="nil"/>
              <w:right w:val="nil"/>
            </w:tcBorders>
            <w:vAlign w:val="center"/>
            <w:hideMark/>
          </w:tcPr>
          <w:p w14:paraId="6414FE82"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229 886</w:t>
            </w:r>
          </w:p>
        </w:tc>
        <w:tc>
          <w:tcPr>
            <w:tcW w:w="556" w:type="pct"/>
            <w:tcBorders>
              <w:top w:val="nil"/>
              <w:left w:val="nil"/>
              <w:bottom w:val="nil"/>
              <w:right w:val="nil"/>
            </w:tcBorders>
            <w:vAlign w:val="center"/>
          </w:tcPr>
          <w:p w14:paraId="1474A901"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56 594</w:t>
            </w:r>
          </w:p>
        </w:tc>
        <w:tc>
          <w:tcPr>
            <w:tcW w:w="556" w:type="pct"/>
            <w:tcBorders>
              <w:top w:val="nil"/>
              <w:left w:val="nil"/>
              <w:bottom w:val="nil"/>
              <w:right w:val="nil"/>
            </w:tcBorders>
            <w:vAlign w:val="center"/>
          </w:tcPr>
          <w:p w14:paraId="5A8454CB"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184 967</w:t>
            </w:r>
          </w:p>
        </w:tc>
        <w:tc>
          <w:tcPr>
            <w:tcW w:w="556" w:type="pct"/>
            <w:tcBorders>
              <w:top w:val="nil"/>
              <w:left w:val="nil"/>
              <w:bottom w:val="nil"/>
              <w:right w:val="nil"/>
            </w:tcBorders>
            <w:vAlign w:val="center"/>
          </w:tcPr>
          <w:p w14:paraId="21B5C9E3"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128 373</w:t>
            </w:r>
          </w:p>
        </w:tc>
      </w:tr>
      <w:tr w:rsidR="00063ECA" w:rsidRPr="00D0395E" w14:paraId="009B86BD" w14:textId="77777777" w:rsidTr="002267CE">
        <w:trPr>
          <w:trHeight w:val="330"/>
        </w:trPr>
        <w:tc>
          <w:tcPr>
            <w:tcW w:w="2221" w:type="pct"/>
            <w:tcBorders>
              <w:top w:val="nil"/>
              <w:left w:val="nil"/>
              <w:bottom w:val="nil"/>
              <w:right w:val="nil"/>
            </w:tcBorders>
            <w:noWrap/>
            <w:vAlign w:val="center"/>
            <w:hideMark/>
          </w:tcPr>
          <w:p w14:paraId="11673937"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Verejnej výskumnej inštitúcii</w:t>
            </w:r>
          </w:p>
        </w:tc>
        <w:tc>
          <w:tcPr>
            <w:tcW w:w="556" w:type="pct"/>
            <w:tcBorders>
              <w:top w:val="nil"/>
              <w:left w:val="nil"/>
              <w:bottom w:val="nil"/>
              <w:right w:val="nil"/>
            </w:tcBorders>
            <w:vAlign w:val="center"/>
          </w:tcPr>
          <w:p w14:paraId="400A9C57"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115 326</w:t>
            </w:r>
          </w:p>
        </w:tc>
        <w:tc>
          <w:tcPr>
            <w:tcW w:w="555" w:type="pct"/>
            <w:tcBorders>
              <w:top w:val="nil"/>
              <w:left w:val="nil"/>
              <w:bottom w:val="nil"/>
              <w:right w:val="nil"/>
            </w:tcBorders>
            <w:vAlign w:val="center"/>
            <w:hideMark/>
          </w:tcPr>
          <w:p w14:paraId="721C99A2"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143 783</w:t>
            </w:r>
          </w:p>
        </w:tc>
        <w:tc>
          <w:tcPr>
            <w:tcW w:w="556" w:type="pct"/>
            <w:tcBorders>
              <w:top w:val="nil"/>
              <w:left w:val="nil"/>
              <w:bottom w:val="nil"/>
              <w:right w:val="nil"/>
            </w:tcBorders>
            <w:vAlign w:val="center"/>
          </w:tcPr>
          <w:p w14:paraId="4E3EC87F"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126 164</w:t>
            </w:r>
          </w:p>
        </w:tc>
        <w:tc>
          <w:tcPr>
            <w:tcW w:w="556" w:type="pct"/>
            <w:tcBorders>
              <w:top w:val="nil"/>
              <w:left w:val="nil"/>
              <w:bottom w:val="nil"/>
              <w:right w:val="nil"/>
            </w:tcBorders>
            <w:vAlign w:val="center"/>
          </w:tcPr>
          <w:p w14:paraId="599E98A9"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159 637</w:t>
            </w:r>
          </w:p>
        </w:tc>
        <w:tc>
          <w:tcPr>
            <w:tcW w:w="556" w:type="pct"/>
            <w:tcBorders>
              <w:top w:val="nil"/>
              <w:left w:val="nil"/>
              <w:bottom w:val="nil"/>
              <w:right w:val="nil"/>
            </w:tcBorders>
            <w:vAlign w:val="center"/>
          </w:tcPr>
          <w:p w14:paraId="34537425"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33 473</w:t>
            </w:r>
          </w:p>
        </w:tc>
      </w:tr>
      <w:tr w:rsidR="00063ECA" w:rsidRPr="00D0395E" w14:paraId="6CA83C29" w14:textId="77777777" w:rsidTr="002267CE">
        <w:trPr>
          <w:trHeight w:val="480"/>
        </w:trPr>
        <w:tc>
          <w:tcPr>
            <w:tcW w:w="2221" w:type="pct"/>
            <w:tcBorders>
              <w:top w:val="nil"/>
              <w:left w:val="nil"/>
              <w:bottom w:val="nil"/>
              <w:right w:val="nil"/>
            </w:tcBorders>
            <w:vAlign w:val="center"/>
            <w:hideMark/>
          </w:tcPr>
          <w:p w14:paraId="698CA539"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Transfery jednotlivcom a nezisk. </w:t>
            </w:r>
            <w:r>
              <w:rPr>
                <w:rFonts w:eastAsia="Times New Roman" w:cs="Times New Roman"/>
                <w:color w:val="000000"/>
                <w:sz w:val="18"/>
                <w:szCs w:val="18"/>
                <w:lang w:eastAsia="sk-SK"/>
              </w:rPr>
              <w:t>práv. osobám</w:t>
            </w:r>
          </w:p>
        </w:tc>
        <w:tc>
          <w:tcPr>
            <w:tcW w:w="556" w:type="pct"/>
            <w:tcBorders>
              <w:top w:val="nil"/>
              <w:left w:val="nil"/>
              <w:bottom w:val="nil"/>
              <w:right w:val="nil"/>
            </w:tcBorders>
            <w:vAlign w:val="center"/>
          </w:tcPr>
          <w:p w14:paraId="53AB6E1F"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7 105 251</w:t>
            </w:r>
          </w:p>
        </w:tc>
        <w:tc>
          <w:tcPr>
            <w:tcW w:w="555" w:type="pct"/>
            <w:tcBorders>
              <w:top w:val="nil"/>
              <w:left w:val="nil"/>
              <w:bottom w:val="nil"/>
              <w:right w:val="nil"/>
            </w:tcBorders>
            <w:vAlign w:val="center"/>
            <w:hideMark/>
          </w:tcPr>
          <w:p w14:paraId="72AC8E93"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6 815 692</w:t>
            </w:r>
          </w:p>
        </w:tc>
        <w:tc>
          <w:tcPr>
            <w:tcW w:w="556" w:type="pct"/>
            <w:tcBorders>
              <w:top w:val="nil"/>
              <w:left w:val="nil"/>
              <w:bottom w:val="nil"/>
              <w:right w:val="nil"/>
            </w:tcBorders>
            <w:vAlign w:val="center"/>
          </w:tcPr>
          <w:p w14:paraId="60E68C25"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7 910 891</w:t>
            </w:r>
          </w:p>
        </w:tc>
        <w:tc>
          <w:tcPr>
            <w:tcW w:w="556" w:type="pct"/>
            <w:tcBorders>
              <w:top w:val="nil"/>
              <w:left w:val="nil"/>
              <w:bottom w:val="nil"/>
              <w:right w:val="nil"/>
            </w:tcBorders>
            <w:vAlign w:val="center"/>
          </w:tcPr>
          <w:p w14:paraId="079B5344" w14:textId="26912DF5"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7 279 </w:t>
            </w:r>
            <w:r w:rsidR="005F15A4">
              <w:rPr>
                <w:rFonts w:eastAsia="Times New Roman" w:cs="Times New Roman"/>
                <w:color w:val="000000"/>
                <w:sz w:val="18"/>
                <w:szCs w:val="18"/>
                <w:lang w:eastAsia="sk-SK"/>
              </w:rPr>
              <w:t>011</w:t>
            </w:r>
          </w:p>
        </w:tc>
        <w:tc>
          <w:tcPr>
            <w:tcW w:w="556" w:type="pct"/>
            <w:tcBorders>
              <w:top w:val="nil"/>
              <w:left w:val="nil"/>
              <w:bottom w:val="nil"/>
              <w:right w:val="nil"/>
            </w:tcBorders>
            <w:vAlign w:val="center"/>
          </w:tcPr>
          <w:p w14:paraId="6CD619CA"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-631 880</w:t>
            </w:r>
          </w:p>
        </w:tc>
      </w:tr>
      <w:tr w:rsidR="00063ECA" w:rsidRPr="00D0395E" w14:paraId="4152AA11" w14:textId="77777777" w:rsidTr="002267CE">
        <w:trPr>
          <w:trHeight w:val="330"/>
        </w:trPr>
        <w:tc>
          <w:tcPr>
            <w:tcW w:w="2221" w:type="pct"/>
            <w:tcBorders>
              <w:top w:val="nil"/>
              <w:left w:val="nil"/>
              <w:bottom w:val="nil"/>
              <w:right w:val="nil"/>
            </w:tcBorders>
            <w:vAlign w:val="center"/>
            <w:hideMark/>
          </w:tcPr>
          <w:p w14:paraId="0D18F2C0"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56" w:type="pct"/>
            <w:tcBorders>
              <w:top w:val="nil"/>
              <w:left w:val="nil"/>
              <w:bottom w:val="nil"/>
              <w:right w:val="nil"/>
            </w:tcBorders>
            <w:vAlign w:val="center"/>
          </w:tcPr>
          <w:p w14:paraId="11255AFD" w14:textId="77777777" w:rsidR="00063ECA" w:rsidRPr="00D0395E" w:rsidRDefault="00063ECA" w:rsidP="000E04C4">
            <w:pPr>
              <w:spacing w:line="240" w:lineRule="auto"/>
              <w:rPr>
                <w:rFonts w:eastAsia="Times New Roman" w:cs="Times New Roman"/>
                <w:color w:val="000000"/>
                <w:sz w:val="18"/>
                <w:szCs w:val="18"/>
                <w:lang w:eastAsia="sk-SK"/>
              </w:rPr>
            </w:pPr>
          </w:p>
        </w:tc>
        <w:tc>
          <w:tcPr>
            <w:tcW w:w="555" w:type="pct"/>
            <w:tcBorders>
              <w:top w:val="nil"/>
              <w:left w:val="nil"/>
              <w:bottom w:val="nil"/>
              <w:right w:val="nil"/>
            </w:tcBorders>
            <w:vAlign w:val="center"/>
            <w:hideMark/>
          </w:tcPr>
          <w:p w14:paraId="612047F7"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2E75C771"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7771056D" w14:textId="77777777" w:rsidR="00063ECA" w:rsidRPr="00D0395E" w:rsidRDefault="00063ECA" w:rsidP="000E04C4">
            <w:pPr>
              <w:spacing w:line="240" w:lineRule="auto"/>
              <w:jc w:val="right"/>
              <w:rPr>
                <w:rFonts w:eastAsia="Times New Roman" w:cs="Times New Roman"/>
                <w:sz w:val="18"/>
                <w:szCs w:val="18"/>
                <w:lang w:eastAsia="sk-SK"/>
              </w:rPr>
            </w:pPr>
          </w:p>
        </w:tc>
        <w:tc>
          <w:tcPr>
            <w:tcW w:w="556" w:type="pct"/>
            <w:tcBorders>
              <w:top w:val="nil"/>
              <w:left w:val="nil"/>
              <w:bottom w:val="nil"/>
              <w:right w:val="nil"/>
            </w:tcBorders>
            <w:vAlign w:val="center"/>
          </w:tcPr>
          <w:p w14:paraId="45EA1C76" w14:textId="77777777" w:rsidR="00063ECA" w:rsidRPr="00D0395E" w:rsidRDefault="00063ECA" w:rsidP="000E04C4">
            <w:pPr>
              <w:spacing w:line="240" w:lineRule="auto"/>
              <w:jc w:val="right"/>
              <w:rPr>
                <w:rFonts w:eastAsia="Times New Roman" w:cs="Times New Roman"/>
                <w:color w:val="000000"/>
                <w:sz w:val="18"/>
                <w:szCs w:val="18"/>
                <w:lang w:eastAsia="sk-SK"/>
              </w:rPr>
            </w:pPr>
          </w:p>
        </w:tc>
      </w:tr>
      <w:tr w:rsidR="00063ECA" w:rsidRPr="00D0395E" w14:paraId="704AF02C" w14:textId="77777777" w:rsidTr="002267CE">
        <w:trPr>
          <w:trHeight w:val="480"/>
        </w:trPr>
        <w:tc>
          <w:tcPr>
            <w:tcW w:w="2221" w:type="pct"/>
            <w:tcBorders>
              <w:top w:val="nil"/>
              <w:left w:val="nil"/>
              <w:bottom w:val="nil"/>
              <w:right w:val="nil"/>
            </w:tcBorders>
            <w:vAlign w:val="center"/>
            <w:hideMark/>
          </w:tcPr>
          <w:p w14:paraId="1B5327CB" w14:textId="77777777" w:rsidR="00063ECA" w:rsidRPr="00D0395E" w:rsidRDefault="00063ECA" w:rsidP="000E04C4">
            <w:pPr>
              <w:spacing w:line="240" w:lineRule="auto"/>
              <w:ind w:left="215" w:hanging="215"/>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platené poistné za skupiny osôb ustanoveného zákonom</w:t>
            </w:r>
          </w:p>
        </w:tc>
        <w:tc>
          <w:tcPr>
            <w:tcW w:w="556" w:type="pct"/>
            <w:tcBorders>
              <w:top w:val="nil"/>
              <w:left w:val="nil"/>
              <w:bottom w:val="nil"/>
              <w:right w:val="nil"/>
            </w:tcBorders>
            <w:vAlign w:val="center"/>
          </w:tcPr>
          <w:p w14:paraId="602A5383"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2 534 128</w:t>
            </w:r>
          </w:p>
        </w:tc>
        <w:tc>
          <w:tcPr>
            <w:tcW w:w="555" w:type="pct"/>
            <w:tcBorders>
              <w:top w:val="nil"/>
              <w:left w:val="nil"/>
              <w:bottom w:val="nil"/>
              <w:right w:val="nil"/>
            </w:tcBorders>
            <w:vAlign w:val="center"/>
            <w:hideMark/>
          </w:tcPr>
          <w:p w14:paraId="52D2AE57"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2 601 163</w:t>
            </w:r>
          </w:p>
        </w:tc>
        <w:tc>
          <w:tcPr>
            <w:tcW w:w="556" w:type="pct"/>
            <w:tcBorders>
              <w:top w:val="nil"/>
              <w:left w:val="nil"/>
              <w:bottom w:val="nil"/>
              <w:right w:val="nil"/>
            </w:tcBorders>
            <w:vAlign w:val="center"/>
          </w:tcPr>
          <w:p w14:paraId="77773311"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2 861 589</w:t>
            </w:r>
          </w:p>
        </w:tc>
        <w:tc>
          <w:tcPr>
            <w:tcW w:w="556" w:type="pct"/>
            <w:tcBorders>
              <w:top w:val="nil"/>
              <w:left w:val="nil"/>
              <w:bottom w:val="nil"/>
              <w:right w:val="nil"/>
            </w:tcBorders>
            <w:vAlign w:val="center"/>
          </w:tcPr>
          <w:p w14:paraId="32EF0FDC"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2 822 895</w:t>
            </w:r>
          </w:p>
        </w:tc>
        <w:tc>
          <w:tcPr>
            <w:tcW w:w="556" w:type="pct"/>
            <w:tcBorders>
              <w:top w:val="nil"/>
              <w:left w:val="nil"/>
              <w:bottom w:val="nil"/>
              <w:right w:val="nil"/>
            </w:tcBorders>
            <w:vAlign w:val="center"/>
          </w:tcPr>
          <w:p w14:paraId="184027F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-38 693</w:t>
            </w:r>
          </w:p>
        </w:tc>
      </w:tr>
      <w:tr w:rsidR="00063ECA" w:rsidRPr="00D0395E" w14:paraId="2A531B9A" w14:textId="77777777" w:rsidTr="002267CE">
        <w:trPr>
          <w:trHeight w:val="330"/>
        </w:trPr>
        <w:tc>
          <w:tcPr>
            <w:tcW w:w="2221" w:type="pct"/>
            <w:tcBorders>
              <w:top w:val="nil"/>
              <w:left w:val="nil"/>
              <w:bottom w:val="nil"/>
              <w:right w:val="nil"/>
            </w:tcBorders>
            <w:vAlign w:val="center"/>
            <w:hideMark/>
          </w:tcPr>
          <w:p w14:paraId="05ECAAF8"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peňažné príspevky na kompenzáciu</w:t>
            </w:r>
          </w:p>
        </w:tc>
        <w:tc>
          <w:tcPr>
            <w:tcW w:w="556" w:type="pct"/>
            <w:tcBorders>
              <w:top w:val="nil"/>
              <w:left w:val="nil"/>
              <w:bottom w:val="nil"/>
              <w:right w:val="nil"/>
            </w:tcBorders>
            <w:vAlign w:val="center"/>
          </w:tcPr>
          <w:p w14:paraId="63679D9F"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610 040</w:t>
            </w:r>
          </w:p>
        </w:tc>
        <w:tc>
          <w:tcPr>
            <w:tcW w:w="555" w:type="pct"/>
            <w:tcBorders>
              <w:top w:val="nil"/>
              <w:left w:val="nil"/>
              <w:bottom w:val="nil"/>
              <w:right w:val="nil"/>
            </w:tcBorders>
            <w:vAlign w:val="center"/>
            <w:hideMark/>
          </w:tcPr>
          <w:p w14:paraId="1916B913"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743 482</w:t>
            </w:r>
          </w:p>
        </w:tc>
        <w:tc>
          <w:tcPr>
            <w:tcW w:w="556" w:type="pct"/>
            <w:tcBorders>
              <w:top w:val="nil"/>
              <w:left w:val="nil"/>
              <w:bottom w:val="nil"/>
              <w:right w:val="nil"/>
            </w:tcBorders>
            <w:vAlign w:val="center"/>
          </w:tcPr>
          <w:p w14:paraId="17C6DF5A"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894 324</w:t>
            </w:r>
          </w:p>
        </w:tc>
        <w:tc>
          <w:tcPr>
            <w:tcW w:w="556" w:type="pct"/>
            <w:tcBorders>
              <w:top w:val="nil"/>
              <w:left w:val="nil"/>
              <w:bottom w:val="nil"/>
              <w:right w:val="nil"/>
            </w:tcBorders>
            <w:vAlign w:val="center"/>
          </w:tcPr>
          <w:p w14:paraId="4373442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887 012</w:t>
            </w:r>
          </w:p>
        </w:tc>
        <w:tc>
          <w:tcPr>
            <w:tcW w:w="556" w:type="pct"/>
            <w:tcBorders>
              <w:top w:val="nil"/>
              <w:left w:val="nil"/>
              <w:bottom w:val="nil"/>
              <w:right w:val="nil"/>
            </w:tcBorders>
            <w:vAlign w:val="center"/>
          </w:tcPr>
          <w:p w14:paraId="380B734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-7 312</w:t>
            </w:r>
          </w:p>
        </w:tc>
      </w:tr>
      <w:tr w:rsidR="00063ECA" w:rsidRPr="00D0395E" w14:paraId="2F8AC114" w14:textId="77777777" w:rsidTr="002267CE">
        <w:trPr>
          <w:trHeight w:val="330"/>
        </w:trPr>
        <w:tc>
          <w:tcPr>
            <w:tcW w:w="2221" w:type="pct"/>
            <w:tcBorders>
              <w:top w:val="nil"/>
              <w:left w:val="nil"/>
              <w:bottom w:val="nil"/>
              <w:right w:val="nil"/>
            </w:tcBorders>
            <w:vAlign w:val="center"/>
            <w:hideMark/>
          </w:tcPr>
          <w:p w14:paraId="5156B97D"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prídavok na dieťa</w:t>
            </w:r>
          </w:p>
        </w:tc>
        <w:tc>
          <w:tcPr>
            <w:tcW w:w="556" w:type="pct"/>
            <w:tcBorders>
              <w:top w:val="nil"/>
              <w:left w:val="nil"/>
              <w:bottom w:val="nil"/>
              <w:right w:val="nil"/>
            </w:tcBorders>
            <w:vAlign w:val="center"/>
          </w:tcPr>
          <w:p w14:paraId="0716C263"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778 585</w:t>
            </w:r>
          </w:p>
        </w:tc>
        <w:tc>
          <w:tcPr>
            <w:tcW w:w="555" w:type="pct"/>
            <w:tcBorders>
              <w:top w:val="nil"/>
              <w:left w:val="nil"/>
              <w:bottom w:val="nil"/>
              <w:right w:val="nil"/>
            </w:tcBorders>
            <w:vAlign w:val="center"/>
            <w:hideMark/>
          </w:tcPr>
          <w:p w14:paraId="0F2BF881"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815 211</w:t>
            </w:r>
          </w:p>
        </w:tc>
        <w:tc>
          <w:tcPr>
            <w:tcW w:w="556" w:type="pct"/>
            <w:tcBorders>
              <w:top w:val="nil"/>
              <w:left w:val="nil"/>
              <w:bottom w:val="nil"/>
              <w:right w:val="nil"/>
            </w:tcBorders>
            <w:vAlign w:val="center"/>
          </w:tcPr>
          <w:p w14:paraId="24E92A9B"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830 000</w:t>
            </w:r>
          </w:p>
        </w:tc>
        <w:tc>
          <w:tcPr>
            <w:tcW w:w="556" w:type="pct"/>
            <w:tcBorders>
              <w:top w:val="nil"/>
              <w:left w:val="nil"/>
              <w:bottom w:val="nil"/>
              <w:right w:val="nil"/>
            </w:tcBorders>
            <w:vAlign w:val="center"/>
          </w:tcPr>
          <w:p w14:paraId="20144990"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814 056</w:t>
            </w:r>
          </w:p>
        </w:tc>
        <w:tc>
          <w:tcPr>
            <w:tcW w:w="556" w:type="pct"/>
            <w:tcBorders>
              <w:top w:val="nil"/>
              <w:left w:val="nil"/>
              <w:bottom w:val="nil"/>
              <w:right w:val="nil"/>
            </w:tcBorders>
            <w:vAlign w:val="center"/>
          </w:tcPr>
          <w:p w14:paraId="4556D734"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-15 944</w:t>
            </w:r>
          </w:p>
        </w:tc>
      </w:tr>
      <w:tr w:rsidR="00063ECA" w:rsidRPr="00D0395E" w14:paraId="2FB79CBB" w14:textId="77777777" w:rsidTr="002267CE">
        <w:trPr>
          <w:trHeight w:val="330"/>
        </w:trPr>
        <w:tc>
          <w:tcPr>
            <w:tcW w:w="2221" w:type="pct"/>
            <w:tcBorders>
              <w:top w:val="nil"/>
              <w:left w:val="nil"/>
              <w:bottom w:val="nil"/>
              <w:right w:val="nil"/>
            </w:tcBorders>
            <w:vAlign w:val="center"/>
            <w:hideMark/>
          </w:tcPr>
          <w:p w14:paraId="791DF846"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rodičovský príspevok</w:t>
            </w:r>
          </w:p>
        </w:tc>
        <w:tc>
          <w:tcPr>
            <w:tcW w:w="556" w:type="pct"/>
            <w:tcBorders>
              <w:top w:val="nil"/>
              <w:left w:val="nil"/>
              <w:bottom w:val="nil"/>
              <w:right w:val="nil"/>
            </w:tcBorders>
            <w:vAlign w:val="center"/>
          </w:tcPr>
          <w:p w14:paraId="0DCA97BC"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657 272</w:t>
            </w:r>
          </w:p>
        </w:tc>
        <w:tc>
          <w:tcPr>
            <w:tcW w:w="555" w:type="pct"/>
            <w:tcBorders>
              <w:top w:val="nil"/>
              <w:left w:val="nil"/>
              <w:bottom w:val="nil"/>
              <w:right w:val="nil"/>
            </w:tcBorders>
            <w:vAlign w:val="center"/>
            <w:hideMark/>
          </w:tcPr>
          <w:p w14:paraId="302BB5FA"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694 253</w:t>
            </w:r>
          </w:p>
        </w:tc>
        <w:tc>
          <w:tcPr>
            <w:tcW w:w="556" w:type="pct"/>
            <w:tcBorders>
              <w:top w:val="nil"/>
              <w:left w:val="nil"/>
              <w:bottom w:val="nil"/>
              <w:right w:val="nil"/>
            </w:tcBorders>
            <w:vAlign w:val="center"/>
          </w:tcPr>
          <w:p w14:paraId="17F117E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749 603</w:t>
            </w:r>
          </w:p>
        </w:tc>
        <w:tc>
          <w:tcPr>
            <w:tcW w:w="556" w:type="pct"/>
            <w:tcBorders>
              <w:top w:val="nil"/>
              <w:left w:val="nil"/>
              <w:bottom w:val="nil"/>
              <w:right w:val="nil"/>
            </w:tcBorders>
            <w:vAlign w:val="center"/>
          </w:tcPr>
          <w:p w14:paraId="172DE756"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664 501</w:t>
            </w:r>
          </w:p>
        </w:tc>
        <w:tc>
          <w:tcPr>
            <w:tcW w:w="556" w:type="pct"/>
            <w:tcBorders>
              <w:top w:val="nil"/>
              <w:left w:val="nil"/>
              <w:bottom w:val="nil"/>
              <w:right w:val="nil"/>
            </w:tcBorders>
            <w:vAlign w:val="center"/>
          </w:tcPr>
          <w:p w14:paraId="5710847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-85 102</w:t>
            </w:r>
          </w:p>
        </w:tc>
      </w:tr>
      <w:tr w:rsidR="00063ECA" w:rsidRPr="00D0395E" w14:paraId="034A8F68" w14:textId="77777777" w:rsidTr="002267CE">
        <w:trPr>
          <w:trHeight w:val="330"/>
        </w:trPr>
        <w:tc>
          <w:tcPr>
            <w:tcW w:w="2221" w:type="pct"/>
            <w:tcBorders>
              <w:top w:val="nil"/>
              <w:left w:val="nil"/>
              <w:bottom w:val="nil"/>
              <w:right w:val="nil"/>
            </w:tcBorders>
            <w:vAlign w:val="center"/>
            <w:hideMark/>
          </w:tcPr>
          <w:p w14:paraId="32048C4C"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súkromnej škole</w:t>
            </w:r>
          </w:p>
        </w:tc>
        <w:tc>
          <w:tcPr>
            <w:tcW w:w="556" w:type="pct"/>
            <w:tcBorders>
              <w:top w:val="nil"/>
              <w:left w:val="nil"/>
              <w:bottom w:val="nil"/>
              <w:right w:val="nil"/>
            </w:tcBorders>
            <w:vAlign w:val="center"/>
          </w:tcPr>
          <w:p w14:paraId="73871BB2"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152 090</w:t>
            </w:r>
          </w:p>
        </w:tc>
        <w:tc>
          <w:tcPr>
            <w:tcW w:w="555" w:type="pct"/>
            <w:tcBorders>
              <w:top w:val="nil"/>
              <w:left w:val="nil"/>
              <w:bottom w:val="nil"/>
              <w:right w:val="nil"/>
            </w:tcBorders>
            <w:vAlign w:val="center"/>
            <w:hideMark/>
          </w:tcPr>
          <w:p w14:paraId="213E5E92"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186 683</w:t>
            </w:r>
          </w:p>
        </w:tc>
        <w:tc>
          <w:tcPr>
            <w:tcW w:w="556" w:type="pct"/>
            <w:tcBorders>
              <w:top w:val="nil"/>
              <w:left w:val="nil"/>
              <w:bottom w:val="nil"/>
              <w:right w:val="nil"/>
            </w:tcBorders>
            <w:vAlign w:val="center"/>
          </w:tcPr>
          <w:p w14:paraId="70BED7E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219 197</w:t>
            </w:r>
          </w:p>
        </w:tc>
        <w:tc>
          <w:tcPr>
            <w:tcW w:w="556" w:type="pct"/>
            <w:tcBorders>
              <w:top w:val="nil"/>
              <w:left w:val="nil"/>
              <w:bottom w:val="nil"/>
              <w:right w:val="nil"/>
            </w:tcBorders>
            <w:vAlign w:val="center"/>
          </w:tcPr>
          <w:p w14:paraId="646CF8E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250 884</w:t>
            </w:r>
          </w:p>
        </w:tc>
        <w:tc>
          <w:tcPr>
            <w:tcW w:w="556" w:type="pct"/>
            <w:tcBorders>
              <w:top w:val="nil"/>
              <w:left w:val="nil"/>
              <w:bottom w:val="nil"/>
              <w:right w:val="nil"/>
            </w:tcBorders>
            <w:vAlign w:val="center"/>
          </w:tcPr>
          <w:p w14:paraId="439697C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31 687</w:t>
            </w:r>
          </w:p>
        </w:tc>
      </w:tr>
      <w:tr w:rsidR="00063ECA" w:rsidRPr="00D0395E" w14:paraId="29E55CC4" w14:textId="77777777" w:rsidTr="002267CE">
        <w:trPr>
          <w:trHeight w:val="480"/>
        </w:trPr>
        <w:tc>
          <w:tcPr>
            <w:tcW w:w="2221" w:type="pct"/>
            <w:tcBorders>
              <w:top w:val="nil"/>
              <w:left w:val="nil"/>
              <w:bottom w:val="nil"/>
              <w:right w:val="nil"/>
            </w:tcBorders>
            <w:vAlign w:val="center"/>
            <w:hideMark/>
          </w:tcPr>
          <w:p w14:paraId="5E6C4CE4" w14:textId="77777777" w:rsidR="00063ECA" w:rsidRDefault="00063ECA" w:rsidP="000E04C4">
            <w:pPr>
              <w:spacing w:line="240" w:lineRule="auto"/>
              <w:ind w:left="215" w:hanging="215"/>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občianskemu združeniu, nadácii a</w:t>
            </w:r>
            <w:r>
              <w:rPr>
                <w:rFonts w:eastAsia="Times New Roman" w:cs="Times New Roman"/>
                <w:color w:val="000000"/>
                <w:sz w:val="18"/>
                <w:szCs w:val="18"/>
                <w:lang w:eastAsia="sk-SK"/>
              </w:rPr>
              <w:t> </w:t>
            </w:r>
          </w:p>
          <w:p w14:paraId="7BCEA4F0" w14:textId="77777777" w:rsidR="00063ECA" w:rsidRPr="00D0395E" w:rsidRDefault="00063ECA" w:rsidP="000E04C4">
            <w:pPr>
              <w:spacing w:line="240" w:lineRule="auto"/>
              <w:ind w:left="215"/>
              <w:rPr>
                <w:rFonts w:eastAsia="Times New Roman" w:cs="Times New Roman"/>
                <w:color w:val="000000"/>
                <w:sz w:val="18"/>
                <w:szCs w:val="18"/>
                <w:lang w:eastAsia="sk-SK"/>
              </w:rPr>
            </w:pPr>
            <w:r w:rsidRPr="00D0395E">
              <w:rPr>
                <w:rFonts w:eastAsia="Times New Roman" w:cs="Times New Roman"/>
                <w:color w:val="000000"/>
                <w:sz w:val="18"/>
                <w:szCs w:val="18"/>
                <w:lang w:eastAsia="sk-SK"/>
              </w:rPr>
              <w:t>neinvestič</w:t>
            </w:r>
            <w:r>
              <w:rPr>
                <w:rFonts w:eastAsia="Times New Roman" w:cs="Times New Roman"/>
                <w:color w:val="000000"/>
                <w:sz w:val="18"/>
                <w:szCs w:val="18"/>
                <w:lang w:eastAsia="sk-SK"/>
              </w:rPr>
              <w:t xml:space="preserve">. </w:t>
            </w:r>
            <w:r w:rsidRPr="00D0395E">
              <w:rPr>
                <w:rFonts w:eastAsia="Times New Roman" w:cs="Times New Roman"/>
                <w:color w:val="000000"/>
                <w:sz w:val="18"/>
                <w:szCs w:val="18"/>
                <w:lang w:eastAsia="sk-SK"/>
              </w:rPr>
              <w:t>fondu</w:t>
            </w:r>
          </w:p>
        </w:tc>
        <w:tc>
          <w:tcPr>
            <w:tcW w:w="556" w:type="pct"/>
            <w:tcBorders>
              <w:top w:val="nil"/>
              <w:left w:val="nil"/>
              <w:bottom w:val="nil"/>
              <w:right w:val="nil"/>
            </w:tcBorders>
            <w:vAlign w:val="center"/>
          </w:tcPr>
          <w:p w14:paraId="419A816D"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246 612</w:t>
            </w:r>
          </w:p>
        </w:tc>
        <w:tc>
          <w:tcPr>
            <w:tcW w:w="555" w:type="pct"/>
            <w:tcBorders>
              <w:top w:val="nil"/>
              <w:left w:val="nil"/>
              <w:bottom w:val="nil"/>
              <w:right w:val="nil"/>
            </w:tcBorders>
            <w:vAlign w:val="center"/>
            <w:hideMark/>
          </w:tcPr>
          <w:p w14:paraId="5F63FE59"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232 456</w:t>
            </w:r>
          </w:p>
        </w:tc>
        <w:tc>
          <w:tcPr>
            <w:tcW w:w="556" w:type="pct"/>
            <w:tcBorders>
              <w:top w:val="nil"/>
              <w:left w:val="nil"/>
              <w:bottom w:val="nil"/>
              <w:right w:val="nil"/>
            </w:tcBorders>
            <w:vAlign w:val="center"/>
          </w:tcPr>
          <w:p w14:paraId="1A218EA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209 668</w:t>
            </w:r>
          </w:p>
        </w:tc>
        <w:tc>
          <w:tcPr>
            <w:tcW w:w="556" w:type="pct"/>
            <w:tcBorders>
              <w:top w:val="nil"/>
              <w:left w:val="nil"/>
              <w:bottom w:val="nil"/>
              <w:right w:val="nil"/>
            </w:tcBorders>
            <w:vAlign w:val="center"/>
          </w:tcPr>
          <w:p w14:paraId="146B3D5F"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243 401</w:t>
            </w:r>
          </w:p>
        </w:tc>
        <w:tc>
          <w:tcPr>
            <w:tcW w:w="556" w:type="pct"/>
            <w:tcBorders>
              <w:top w:val="nil"/>
              <w:left w:val="nil"/>
              <w:bottom w:val="nil"/>
              <w:right w:val="nil"/>
            </w:tcBorders>
            <w:vAlign w:val="center"/>
          </w:tcPr>
          <w:p w14:paraId="711E13AA"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33 733</w:t>
            </w:r>
          </w:p>
        </w:tc>
      </w:tr>
      <w:tr w:rsidR="00063ECA" w:rsidRPr="00D0395E" w14:paraId="0353F80D" w14:textId="77777777" w:rsidTr="002267CE">
        <w:trPr>
          <w:trHeight w:val="330"/>
        </w:trPr>
        <w:tc>
          <w:tcPr>
            <w:tcW w:w="2221" w:type="pct"/>
            <w:tcBorders>
              <w:top w:val="nil"/>
              <w:left w:val="nil"/>
              <w:bottom w:val="nil"/>
              <w:right w:val="nil"/>
            </w:tcBorders>
            <w:vAlign w:val="center"/>
            <w:hideMark/>
          </w:tcPr>
          <w:p w14:paraId="5F24965B"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cirkevnej škole</w:t>
            </w:r>
          </w:p>
        </w:tc>
        <w:tc>
          <w:tcPr>
            <w:tcW w:w="556" w:type="pct"/>
            <w:tcBorders>
              <w:top w:val="nil"/>
              <w:left w:val="nil"/>
              <w:bottom w:val="nil"/>
              <w:right w:val="nil"/>
            </w:tcBorders>
            <w:vAlign w:val="center"/>
          </w:tcPr>
          <w:p w14:paraId="19A90205"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164 358</w:t>
            </w:r>
          </w:p>
        </w:tc>
        <w:tc>
          <w:tcPr>
            <w:tcW w:w="555" w:type="pct"/>
            <w:tcBorders>
              <w:top w:val="nil"/>
              <w:left w:val="nil"/>
              <w:bottom w:val="nil"/>
              <w:right w:val="nil"/>
            </w:tcBorders>
            <w:vAlign w:val="center"/>
            <w:hideMark/>
          </w:tcPr>
          <w:p w14:paraId="03BF2EF2"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183 147</w:t>
            </w:r>
          </w:p>
        </w:tc>
        <w:tc>
          <w:tcPr>
            <w:tcW w:w="556" w:type="pct"/>
            <w:tcBorders>
              <w:top w:val="nil"/>
              <w:left w:val="nil"/>
              <w:bottom w:val="nil"/>
              <w:right w:val="nil"/>
            </w:tcBorders>
            <w:vAlign w:val="center"/>
          </w:tcPr>
          <w:p w14:paraId="5878A51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221 100</w:t>
            </w:r>
          </w:p>
        </w:tc>
        <w:tc>
          <w:tcPr>
            <w:tcW w:w="556" w:type="pct"/>
            <w:tcBorders>
              <w:top w:val="nil"/>
              <w:left w:val="nil"/>
              <w:bottom w:val="nil"/>
              <w:right w:val="nil"/>
            </w:tcBorders>
            <w:vAlign w:val="center"/>
          </w:tcPr>
          <w:p w14:paraId="2761955B"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230 303</w:t>
            </w:r>
          </w:p>
        </w:tc>
        <w:tc>
          <w:tcPr>
            <w:tcW w:w="556" w:type="pct"/>
            <w:tcBorders>
              <w:top w:val="nil"/>
              <w:left w:val="nil"/>
              <w:bottom w:val="nil"/>
              <w:right w:val="nil"/>
            </w:tcBorders>
            <w:vAlign w:val="center"/>
          </w:tcPr>
          <w:p w14:paraId="65AB9A86"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9 203</w:t>
            </w:r>
          </w:p>
        </w:tc>
      </w:tr>
      <w:tr w:rsidR="00063ECA" w:rsidRPr="00D0395E" w14:paraId="15B7039B" w14:textId="77777777" w:rsidTr="002267CE">
        <w:trPr>
          <w:trHeight w:val="330"/>
        </w:trPr>
        <w:tc>
          <w:tcPr>
            <w:tcW w:w="2221" w:type="pct"/>
            <w:tcBorders>
              <w:top w:val="nil"/>
              <w:left w:val="nil"/>
              <w:bottom w:val="nil"/>
              <w:right w:val="nil"/>
            </w:tcBorders>
            <w:vAlign w:val="center"/>
            <w:hideMark/>
          </w:tcPr>
          <w:p w14:paraId="475FB761" w14:textId="77777777" w:rsidR="00063ECA" w:rsidRPr="00D0395E" w:rsidRDefault="00063ECA" w:rsidP="000E04C4">
            <w:pPr>
              <w:spacing w:line="240" w:lineRule="auto"/>
              <w:ind w:left="215" w:hanging="215"/>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na dávku v hmotnej núdzi a príspevky k dávke</w:t>
            </w:r>
          </w:p>
        </w:tc>
        <w:tc>
          <w:tcPr>
            <w:tcW w:w="556" w:type="pct"/>
            <w:tcBorders>
              <w:top w:val="nil"/>
              <w:left w:val="nil"/>
              <w:bottom w:val="nil"/>
              <w:right w:val="nil"/>
            </w:tcBorders>
            <w:vAlign w:val="center"/>
          </w:tcPr>
          <w:p w14:paraId="3E0AE7F8"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118 038</w:t>
            </w:r>
          </w:p>
        </w:tc>
        <w:tc>
          <w:tcPr>
            <w:tcW w:w="555" w:type="pct"/>
            <w:tcBorders>
              <w:top w:val="nil"/>
              <w:left w:val="nil"/>
              <w:bottom w:val="nil"/>
              <w:right w:val="nil"/>
            </w:tcBorders>
            <w:vAlign w:val="center"/>
            <w:hideMark/>
          </w:tcPr>
          <w:p w14:paraId="4371FCDF"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133 112</w:t>
            </w:r>
          </w:p>
        </w:tc>
        <w:tc>
          <w:tcPr>
            <w:tcW w:w="556" w:type="pct"/>
            <w:tcBorders>
              <w:top w:val="nil"/>
              <w:left w:val="nil"/>
              <w:bottom w:val="nil"/>
              <w:right w:val="nil"/>
            </w:tcBorders>
            <w:vAlign w:val="center"/>
          </w:tcPr>
          <w:p w14:paraId="06FEC07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141 622</w:t>
            </w:r>
          </w:p>
        </w:tc>
        <w:tc>
          <w:tcPr>
            <w:tcW w:w="556" w:type="pct"/>
            <w:tcBorders>
              <w:top w:val="nil"/>
              <w:left w:val="nil"/>
              <w:bottom w:val="nil"/>
              <w:right w:val="nil"/>
            </w:tcBorders>
            <w:vAlign w:val="center"/>
          </w:tcPr>
          <w:p w14:paraId="76298930"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129 374</w:t>
            </w:r>
          </w:p>
        </w:tc>
        <w:tc>
          <w:tcPr>
            <w:tcW w:w="556" w:type="pct"/>
            <w:tcBorders>
              <w:top w:val="nil"/>
              <w:left w:val="nil"/>
              <w:bottom w:val="nil"/>
              <w:right w:val="nil"/>
            </w:tcBorders>
            <w:vAlign w:val="center"/>
          </w:tcPr>
          <w:p w14:paraId="3280E3FC"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-12 248</w:t>
            </w:r>
          </w:p>
        </w:tc>
      </w:tr>
      <w:tr w:rsidR="00063ECA" w:rsidRPr="00D0395E" w14:paraId="000817C2" w14:textId="77777777" w:rsidTr="002267CE">
        <w:trPr>
          <w:trHeight w:val="330"/>
        </w:trPr>
        <w:tc>
          <w:tcPr>
            <w:tcW w:w="2221" w:type="pct"/>
            <w:tcBorders>
              <w:top w:val="nil"/>
              <w:left w:val="nil"/>
              <w:bottom w:val="nil"/>
              <w:right w:val="nil"/>
            </w:tcBorders>
            <w:vAlign w:val="center"/>
            <w:hideMark/>
          </w:tcPr>
          <w:p w14:paraId="2912089B"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neziskovej organizácii</w:t>
            </w:r>
          </w:p>
        </w:tc>
        <w:tc>
          <w:tcPr>
            <w:tcW w:w="556" w:type="pct"/>
            <w:tcBorders>
              <w:top w:val="nil"/>
              <w:left w:val="nil"/>
              <w:bottom w:val="nil"/>
              <w:right w:val="nil"/>
            </w:tcBorders>
            <w:vAlign w:val="center"/>
          </w:tcPr>
          <w:p w14:paraId="33E0FE19"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147 440</w:t>
            </w:r>
          </w:p>
        </w:tc>
        <w:tc>
          <w:tcPr>
            <w:tcW w:w="555" w:type="pct"/>
            <w:tcBorders>
              <w:top w:val="nil"/>
              <w:left w:val="nil"/>
              <w:bottom w:val="nil"/>
              <w:right w:val="nil"/>
            </w:tcBorders>
            <w:vAlign w:val="center"/>
            <w:hideMark/>
          </w:tcPr>
          <w:p w14:paraId="5980CC1D"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162 450</w:t>
            </w:r>
          </w:p>
        </w:tc>
        <w:tc>
          <w:tcPr>
            <w:tcW w:w="556" w:type="pct"/>
            <w:tcBorders>
              <w:top w:val="nil"/>
              <w:left w:val="nil"/>
              <w:bottom w:val="nil"/>
              <w:right w:val="nil"/>
            </w:tcBorders>
            <w:vAlign w:val="center"/>
          </w:tcPr>
          <w:p w14:paraId="3D2355D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234 094</w:t>
            </w:r>
          </w:p>
        </w:tc>
        <w:tc>
          <w:tcPr>
            <w:tcW w:w="556" w:type="pct"/>
            <w:tcBorders>
              <w:top w:val="nil"/>
              <w:left w:val="nil"/>
              <w:bottom w:val="nil"/>
              <w:right w:val="nil"/>
            </w:tcBorders>
            <w:vAlign w:val="center"/>
          </w:tcPr>
          <w:p w14:paraId="0FA1FD9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188 185</w:t>
            </w:r>
          </w:p>
        </w:tc>
        <w:tc>
          <w:tcPr>
            <w:tcW w:w="556" w:type="pct"/>
            <w:tcBorders>
              <w:top w:val="nil"/>
              <w:left w:val="nil"/>
              <w:bottom w:val="nil"/>
              <w:right w:val="nil"/>
            </w:tcBorders>
            <w:vAlign w:val="center"/>
          </w:tcPr>
          <w:p w14:paraId="548B5350"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-45 909</w:t>
            </w:r>
          </w:p>
        </w:tc>
      </w:tr>
      <w:tr w:rsidR="00063ECA" w:rsidRPr="00D0395E" w14:paraId="22EB71FC" w14:textId="77777777" w:rsidTr="002267CE">
        <w:trPr>
          <w:trHeight w:val="330"/>
        </w:trPr>
        <w:tc>
          <w:tcPr>
            <w:tcW w:w="2221" w:type="pct"/>
            <w:tcBorders>
              <w:top w:val="nil"/>
              <w:left w:val="nil"/>
              <w:bottom w:val="nil"/>
              <w:right w:val="nil"/>
            </w:tcBorders>
            <w:vAlign w:val="center"/>
            <w:hideMark/>
          </w:tcPr>
          <w:p w14:paraId="51840BF9"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jednotlivcovi</w:t>
            </w:r>
          </w:p>
        </w:tc>
        <w:tc>
          <w:tcPr>
            <w:tcW w:w="556" w:type="pct"/>
            <w:tcBorders>
              <w:top w:val="nil"/>
              <w:left w:val="nil"/>
              <w:bottom w:val="nil"/>
              <w:right w:val="nil"/>
            </w:tcBorders>
            <w:vAlign w:val="center"/>
          </w:tcPr>
          <w:p w14:paraId="51CC2686"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74 085</w:t>
            </w:r>
          </w:p>
        </w:tc>
        <w:tc>
          <w:tcPr>
            <w:tcW w:w="555" w:type="pct"/>
            <w:tcBorders>
              <w:top w:val="nil"/>
              <w:left w:val="nil"/>
              <w:bottom w:val="nil"/>
              <w:right w:val="nil"/>
            </w:tcBorders>
            <w:vAlign w:val="center"/>
            <w:hideMark/>
          </w:tcPr>
          <w:p w14:paraId="1FEECCB5"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101 409</w:t>
            </w:r>
          </w:p>
        </w:tc>
        <w:tc>
          <w:tcPr>
            <w:tcW w:w="556" w:type="pct"/>
            <w:tcBorders>
              <w:top w:val="nil"/>
              <w:left w:val="nil"/>
              <w:bottom w:val="nil"/>
              <w:right w:val="nil"/>
            </w:tcBorders>
            <w:vAlign w:val="center"/>
          </w:tcPr>
          <w:p w14:paraId="272FF00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99 108</w:t>
            </w:r>
          </w:p>
        </w:tc>
        <w:tc>
          <w:tcPr>
            <w:tcW w:w="556" w:type="pct"/>
            <w:tcBorders>
              <w:top w:val="nil"/>
              <w:left w:val="nil"/>
              <w:bottom w:val="nil"/>
              <w:right w:val="nil"/>
            </w:tcBorders>
            <w:vAlign w:val="center"/>
          </w:tcPr>
          <w:p w14:paraId="75191AA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141 426</w:t>
            </w:r>
          </w:p>
        </w:tc>
        <w:tc>
          <w:tcPr>
            <w:tcW w:w="556" w:type="pct"/>
            <w:tcBorders>
              <w:top w:val="nil"/>
              <w:left w:val="nil"/>
              <w:bottom w:val="nil"/>
              <w:right w:val="nil"/>
            </w:tcBorders>
            <w:vAlign w:val="center"/>
          </w:tcPr>
          <w:p w14:paraId="5F217DF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42 318</w:t>
            </w:r>
          </w:p>
        </w:tc>
      </w:tr>
      <w:tr w:rsidR="00063ECA" w:rsidRPr="00D0395E" w14:paraId="569E3E1A" w14:textId="77777777" w:rsidTr="002267CE">
        <w:trPr>
          <w:trHeight w:val="330"/>
        </w:trPr>
        <w:tc>
          <w:tcPr>
            <w:tcW w:w="2221" w:type="pct"/>
            <w:tcBorders>
              <w:top w:val="nil"/>
              <w:left w:val="nil"/>
              <w:bottom w:val="nil"/>
              <w:right w:val="nil"/>
            </w:tcBorders>
            <w:noWrap/>
            <w:vAlign w:val="center"/>
            <w:hideMark/>
          </w:tcPr>
          <w:p w14:paraId="3D809BED"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nefinančným subjektom</w:t>
            </w:r>
          </w:p>
        </w:tc>
        <w:tc>
          <w:tcPr>
            <w:tcW w:w="556" w:type="pct"/>
            <w:tcBorders>
              <w:top w:val="nil"/>
              <w:left w:val="nil"/>
              <w:bottom w:val="nil"/>
              <w:right w:val="nil"/>
            </w:tcBorders>
            <w:vAlign w:val="center"/>
          </w:tcPr>
          <w:p w14:paraId="09EAA29A"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4 020 638</w:t>
            </w:r>
          </w:p>
        </w:tc>
        <w:tc>
          <w:tcPr>
            <w:tcW w:w="555" w:type="pct"/>
            <w:tcBorders>
              <w:top w:val="nil"/>
              <w:left w:val="nil"/>
              <w:bottom w:val="nil"/>
              <w:right w:val="nil"/>
            </w:tcBorders>
            <w:vAlign w:val="center"/>
            <w:hideMark/>
          </w:tcPr>
          <w:p w14:paraId="096C96B6"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2 378 981</w:t>
            </w:r>
          </w:p>
        </w:tc>
        <w:tc>
          <w:tcPr>
            <w:tcW w:w="556" w:type="pct"/>
            <w:tcBorders>
              <w:top w:val="nil"/>
              <w:left w:val="nil"/>
              <w:bottom w:val="nil"/>
              <w:right w:val="nil"/>
            </w:tcBorders>
            <w:vAlign w:val="center"/>
          </w:tcPr>
          <w:p w14:paraId="25DE7067"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1 301 942</w:t>
            </w:r>
          </w:p>
        </w:tc>
        <w:tc>
          <w:tcPr>
            <w:tcW w:w="556" w:type="pct"/>
            <w:tcBorders>
              <w:top w:val="nil"/>
              <w:left w:val="nil"/>
              <w:bottom w:val="nil"/>
              <w:right w:val="nil"/>
            </w:tcBorders>
            <w:vAlign w:val="center"/>
          </w:tcPr>
          <w:p w14:paraId="618AE04E" w14:textId="57CE2906"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1 304 </w:t>
            </w:r>
            <w:r w:rsidR="005F15A4">
              <w:rPr>
                <w:rFonts w:eastAsia="Times New Roman" w:cs="Times New Roman"/>
                <w:color w:val="000000"/>
                <w:sz w:val="18"/>
                <w:szCs w:val="18"/>
                <w:lang w:eastAsia="sk-SK"/>
              </w:rPr>
              <w:t>841</w:t>
            </w:r>
          </w:p>
        </w:tc>
        <w:tc>
          <w:tcPr>
            <w:tcW w:w="556" w:type="pct"/>
            <w:tcBorders>
              <w:top w:val="nil"/>
              <w:left w:val="nil"/>
              <w:bottom w:val="nil"/>
              <w:right w:val="nil"/>
            </w:tcBorders>
            <w:vAlign w:val="center"/>
          </w:tcPr>
          <w:p w14:paraId="27CBF5B7" w14:textId="4C04363D"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 </w:t>
            </w:r>
            <w:r w:rsidR="005F15A4">
              <w:rPr>
                <w:rFonts w:eastAsia="Times New Roman" w:cs="Times New Roman"/>
                <w:color w:val="000000"/>
                <w:sz w:val="18"/>
                <w:szCs w:val="18"/>
                <w:lang w:eastAsia="sk-SK"/>
              </w:rPr>
              <w:t>899</w:t>
            </w:r>
          </w:p>
        </w:tc>
      </w:tr>
      <w:tr w:rsidR="00063ECA" w:rsidRPr="00D0395E" w14:paraId="07663F98" w14:textId="77777777" w:rsidTr="002267CE">
        <w:trPr>
          <w:trHeight w:val="330"/>
        </w:trPr>
        <w:tc>
          <w:tcPr>
            <w:tcW w:w="2221" w:type="pct"/>
            <w:tcBorders>
              <w:top w:val="nil"/>
              <w:left w:val="nil"/>
              <w:bottom w:val="nil"/>
              <w:right w:val="nil"/>
            </w:tcBorders>
            <w:noWrap/>
            <w:vAlign w:val="center"/>
            <w:hideMark/>
          </w:tcPr>
          <w:p w14:paraId="0FC1565F"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do zahraničia</w:t>
            </w:r>
          </w:p>
        </w:tc>
        <w:tc>
          <w:tcPr>
            <w:tcW w:w="556" w:type="pct"/>
            <w:tcBorders>
              <w:top w:val="nil"/>
              <w:left w:val="nil"/>
              <w:bottom w:val="nil"/>
              <w:right w:val="nil"/>
            </w:tcBorders>
            <w:vAlign w:val="center"/>
          </w:tcPr>
          <w:p w14:paraId="071B35B5"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1 071 926</w:t>
            </w:r>
          </w:p>
        </w:tc>
        <w:tc>
          <w:tcPr>
            <w:tcW w:w="555" w:type="pct"/>
            <w:tcBorders>
              <w:top w:val="nil"/>
              <w:left w:val="nil"/>
              <w:bottom w:val="nil"/>
              <w:right w:val="nil"/>
            </w:tcBorders>
            <w:vAlign w:val="center"/>
            <w:hideMark/>
          </w:tcPr>
          <w:p w14:paraId="39E82743"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928 684</w:t>
            </w:r>
          </w:p>
        </w:tc>
        <w:tc>
          <w:tcPr>
            <w:tcW w:w="556" w:type="pct"/>
            <w:tcBorders>
              <w:top w:val="nil"/>
              <w:left w:val="nil"/>
              <w:bottom w:val="nil"/>
              <w:right w:val="nil"/>
            </w:tcBorders>
            <w:vAlign w:val="center"/>
          </w:tcPr>
          <w:p w14:paraId="1A370C4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1 117 827</w:t>
            </w:r>
          </w:p>
        </w:tc>
        <w:tc>
          <w:tcPr>
            <w:tcW w:w="556" w:type="pct"/>
            <w:tcBorders>
              <w:top w:val="nil"/>
              <w:left w:val="nil"/>
              <w:bottom w:val="nil"/>
              <w:right w:val="nil"/>
            </w:tcBorders>
            <w:vAlign w:val="center"/>
          </w:tcPr>
          <w:p w14:paraId="4CDE0E6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1 098 148</w:t>
            </w:r>
          </w:p>
        </w:tc>
        <w:tc>
          <w:tcPr>
            <w:tcW w:w="556" w:type="pct"/>
            <w:tcBorders>
              <w:top w:val="nil"/>
              <w:left w:val="nil"/>
              <w:bottom w:val="nil"/>
              <w:right w:val="nil"/>
            </w:tcBorders>
            <w:vAlign w:val="center"/>
          </w:tcPr>
          <w:p w14:paraId="7DDC4C40" w14:textId="4B4C2CDA"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-19 </w:t>
            </w:r>
            <w:r w:rsidR="005F15A4">
              <w:rPr>
                <w:rFonts w:eastAsia="Times New Roman" w:cs="Times New Roman"/>
                <w:color w:val="000000"/>
                <w:sz w:val="18"/>
                <w:szCs w:val="18"/>
                <w:lang w:eastAsia="sk-SK"/>
              </w:rPr>
              <w:t>679</w:t>
            </w:r>
          </w:p>
        </w:tc>
      </w:tr>
      <w:tr w:rsidR="00063ECA" w:rsidRPr="00D0395E" w14:paraId="48335F9E" w14:textId="77777777" w:rsidTr="002267CE">
        <w:trPr>
          <w:trHeight w:val="345"/>
        </w:trPr>
        <w:tc>
          <w:tcPr>
            <w:tcW w:w="2221" w:type="pct"/>
            <w:tcBorders>
              <w:top w:val="nil"/>
              <w:left w:val="nil"/>
              <w:bottom w:val="single" w:sz="4" w:space="0" w:color="auto"/>
              <w:right w:val="nil"/>
            </w:tcBorders>
            <w:vAlign w:val="center"/>
            <w:hideMark/>
          </w:tcPr>
          <w:p w14:paraId="78A265EF"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Transfery do tuzemských finančných inštitúcií</w:t>
            </w:r>
          </w:p>
        </w:tc>
        <w:tc>
          <w:tcPr>
            <w:tcW w:w="556" w:type="pct"/>
            <w:tcBorders>
              <w:top w:val="nil"/>
              <w:left w:val="nil"/>
              <w:bottom w:val="single" w:sz="4" w:space="0" w:color="auto"/>
              <w:right w:val="nil"/>
            </w:tcBorders>
            <w:vAlign w:val="center"/>
          </w:tcPr>
          <w:p w14:paraId="092D791D"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122 161</w:t>
            </w:r>
          </w:p>
        </w:tc>
        <w:tc>
          <w:tcPr>
            <w:tcW w:w="555" w:type="pct"/>
            <w:tcBorders>
              <w:top w:val="nil"/>
              <w:left w:val="nil"/>
              <w:bottom w:val="single" w:sz="4" w:space="0" w:color="auto"/>
              <w:right w:val="nil"/>
            </w:tcBorders>
            <w:vAlign w:val="center"/>
            <w:hideMark/>
          </w:tcPr>
          <w:p w14:paraId="308C079B"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3 663</w:t>
            </w:r>
          </w:p>
        </w:tc>
        <w:tc>
          <w:tcPr>
            <w:tcW w:w="556" w:type="pct"/>
            <w:tcBorders>
              <w:top w:val="nil"/>
              <w:left w:val="nil"/>
              <w:bottom w:val="single" w:sz="4" w:space="0" w:color="auto"/>
              <w:right w:val="nil"/>
            </w:tcBorders>
            <w:vAlign w:val="center"/>
          </w:tcPr>
          <w:p w14:paraId="070C9663"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7 998</w:t>
            </w:r>
          </w:p>
        </w:tc>
        <w:tc>
          <w:tcPr>
            <w:tcW w:w="556" w:type="pct"/>
            <w:tcBorders>
              <w:top w:val="nil"/>
              <w:left w:val="nil"/>
              <w:bottom w:val="single" w:sz="4" w:space="0" w:color="auto"/>
              <w:right w:val="nil"/>
            </w:tcBorders>
            <w:vAlign w:val="center"/>
          </w:tcPr>
          <w:p w14:paraId="08F1F59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5 820</w:t>
            </w:r>
          </w:p>
        </w:tc>
        <w:tc>
          <w:tcPr>
            <w:tcW w:w="556" w:type="pct"/>
            <w:tcBorders>
              <w:top w:val="nil"/>
              <w:left w:val="nil"/>
              <w:bottom w:val="single" w:sz="4" w:space="0" w:color="auto"/>
              <w:right w:val="nil"/>
            </w:tcBorders>
            <w:vAlign w:val="center"/>
          </w:tcPr>
          <w:p w14:paraId="45682A81"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-2 1778</w:t>
            </w:r>
          </w:p>
        </w:tc>
      </w:tr>
      <w:tr w:rsidR="00063ECA" w:rsidRPr="00D0395E" w14:paraId="009ACD14" w14:textId="77777777" w:rsidTr="002267CE">
        <w:trPr>
          <w:trHeight w:val="345"/>
        </w:trPr>
        <w:tc>
          <w:tcPr>
            <w:tcW w:w="2221" w:type="pct"/>
            <w:tcBorders>
              <w:top w:val="single" w:sz="4" w:space="0" w:color="auto"/>
              <w:left w:val="nil"/>
              <w:bottom w:val="single" w:sz="4" w:space="0" w:color="auto"/>
              <w:right w:val="nil"/>
            </w:tcBorders>
            <w:vAlign w:val="center"/>
            <w:hideMark/>
          </w:tcPr>
          <w:p w14:paraId="75E8188C" w14:textId="77777777" w:rsidR="00063ECA" w:rsidRPr="00D0395E" w:rsidRDefault="00063ECA" w:rsidP="000E04C4">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Spolu</w:t>
            </w:r>
          </w:p>
        </w:tc>
        <w:tc>
          <w:tcPr>
            <w:tcW w:w="556" w:type="pct"/>
            <w:tcBorders>
              <w:top w:val="single" w:sz="4" w:space="0" w:color="auto"/>
              <w:left w:val="nil"/>
              <w:bottom w:val="single" w:sz="4" w:space="0" w:color="auto"/>
              <w:right w:val="nil"/>
            </w:tcBorders>
            <w:noWrap/>
            <w:vAlign w:val="center"/>
          </w:tcPr>
          <w:p w14:paraId="64029F21" w14:textId="77777777" w:rsidR="00063ECA" w:rsidRPr="00D0395E" w:rsidRDefault="00063ECA" w:rsidP="000E04C4">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20 046 164</w:t>
            </w:r>
          </w:p>
        </w:tc>
        <w:tc>
          <w:tcPr>
            <w:tcW w:w="555" w:type="pct"/>
            <w:tcBorders>
              <w:top w:val="single" w:sz="4" w:space="0" w:color="auto"/>
              <w:left w:val="nil"/>
              <w:bottom w:val="single" w:sz="4" w:space="0" w:color="auto"/>
              <w:right w:val="nil"/>
            </w:tcBorders>
            <w:noWrap/>
            <w:vAlign w:val="center"/>
            <w:hideMark/>
          </w:tcPr>
          <w:p w14:paraId="539FA0F6" w14:textId="77777777" w:rsidR="00063ECA" w:rsidRPr="00D0395E" w:rsidRDefault="00063ECA" w:rsidP="000E04C4">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20 050 685</w:t>
            </w:r>
          </w:p>
        </w:tc>
        <w:tc>
          <w:tcPr>
            <w:tcW w:w="556" w:type="pct"/>
            <w:tcBorders>
              <w:top w:val="single" w:sz="4" w:space="0" w:color="auto"/>
              <w:left w:val="nil"/>
              <w:bottom w:val="single" w:sz="4" w:space="0" w:color="auto"/>
              <w:right w:val="nil"/>
            </w:tcBorders>
            <w:noWrap/>
            <w:vAlign w:val="center"/>
          </w:tcPr>
          <w:p w14:paraId="2DEECD64" w14:textId="77777777" w:rsidR="00063ECA" w:rsidRPr="00D0395E" w:rsidRDefault="00063ECA" w:rsidP="000E04C4">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21 418 283</w:t>
            </w:r>
          </w:p>
        </w:tc>
        <w:tc>
          <w:tcPr>
            <w:tcW w:w="556" w:type="pct"/>
            <w:tcBorders>
              <w:top w:val="single" w:sz="4" w:space="0" w:color="auto"/>
              <w:left w:val="nil"/>
              <w:bottom w:val="single" w:sz="4" w:space="0" w:color="auto"/>
              <w:right w:val="nil"/>
            </w:tcBorders>
            <w:noWrap/>
            <w:vAlign w:val="center"/>
          </w:tcPr>
          <w:p w14:paraId="3D4A4EDE" w14:textId="77777777" w:rsidR="00063ECA" w:rsidRPr="00D0395E" w:rsidRDefault="00063ECA" w:rsidP="000E04C4">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20 982 101</w:t>
            </w:r>
          </w:p>
        </w:tc>
        <w:tc>
          <w:tcPr>
            <w:tcW w:w="556" w:type="pct"/>
            <w:tcBorders>
              <w:top w:val="single" w:sz="4" w:space="0" w:color="auto"/>
              <w:left w:val="nil"/>
              <w:bottom w:val="single" w:sz="4" w:space="0" w:color="auto"/>
              <w:right w:val="nil"/>
            </w:tcBorders>
            <w:noWrap/>
            <w:vAlign w:val="center"/>
          </w:tcPr>
          <w:p w14:paraId="66C076CF" w14:textId="77777777" w:rsidR="00063ECA" w:rsidRPr="00D0395E" w:rsidRDefault="00063ECA" w:rsidP="000E04C4">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-436 182</w:t>
            </w:r>
          </w:p>
        </w:tc>
      </w:tr>
    </w:tbl>
    <w:p w14:paraId="48D180C5" w14:textId="1C27CC8B" w:rsidR="001B4BBA" w:rsidRPr="00063ECA" w:rsidRDefault="004942CF" w:rsidP="004942CF">
      <w:pPr>
        <w:tabs>
          <w:tab w:val="right" w:pos="9070"/>
        </w:tabs>
        <w:spacing w:line="240" w:lineRule="auto"/>
        <w:jc w:val="both"/>
        <w:rPr>
          <w:rFonts w:eastAsia="Calibri" w:cs="Times New Roman"/>
          <w:sz w:val="18"/>
          <w:szCs w:val="18"/>
        </w:rPr>
      </w:pPr>
      <w:r w:rsidRPr="00063ECA">
        <w:rPr>
          <w:rFonts w:eastAsia="Calibri" w:cs="Times New Roman"/>
          <w:sz w:val="18"/>
          <w:szCs w:val="18"/>
        </w:rPr>
        <w:tab/>
      </w:r>
      <w:r w:rsidR="001B4BBA" w:rsidRPr="00063ECA">
        <w:rPr>
          <w:rFonts w:eastAsia="Calibri" w:cs="Times New Roman"/>
          <w:sz w:val="18"/>
          <w:szCs w:val="18"/>
        </w:rPr>
        <w:t>Zdroj: MF SR</w:t>
      </w:r>
    </w:p>
    <w:p w14:paraId="516AE1F4" w14:textId="77777777" w:rsidR="00647576" w:rsidRDefault="00647576" w:rsidP="00063ECA">
      <w:pPr>
        <w:spacing w:line="240" w:lineRule="auto"/>
        <w:jc w:val="both"/>
        <w:rPr>
          <w:rFonts w:eastAsia="Calibri" w:cs="Times New Roman"/>
          <w:b/>
          <w:i/>
          <w:szCs w:val="24"/>
        </w:rPr>
      </w:pPr>
      <w:bookmarkStart w:id="124" w:name="_Toc196313658"/>
    </w:p>
    <w:p w14:paraId="13DE134F" w14:textId="252B1744" w:rsidR="00063ECA" w:rsidRDefault="00063ECA" w:rsidP="00063ECA">
      <w:pPr>
        <w:spacing w:line="240" w:lineRule="auto"/>
        <w:jc w:val="both"/>
        <w:rPr>
          <w:rFonts w:eastAsia="Times New Roman" w:cs="Times New Roman"/>
          <w:color w:val="000000"/>
          <w:szCs w:val="24"/>
        </w:rPr>
      </w:pPr>
      <w:r w:rsidRPr="00B54C90">
        <w:rPr>
          <w:rFonts w:eastAsia="Calibri" w:cs="Times New Roman"/>
          <w:bCs/>
          <w:iCs/>
          <w:szCs w:val="24"/>
          <w:u w:val="single"/>
        </w:rPr>
        <w:t>Sociálnej poisťovni</w:t>
      </w:r>
      <w:r w:rsidRPr="00BE4F86">
        <w:rPr>
          <w:rFonts w:eastAsia="Calibri" w:cs="Times New Roman"/>
          <w:b/>
          <w:i/>
          <w:szCs w:val="24"/>
        </w:rPr>
        <w:t xml:space="preserve"> </w:t>
      </w:r>
      <w:r w:rsidRPr="00BE4F86">
        <w:rPr>
          <w:rFonts w:eastAsia="Calibri" w:cs="Times New Roman"/>
          <w:bCs/>
          <w:iCs/>
          <w:szCs w:val="24"/>
        </w:rPr>
        <w:t xml:space="preserve">bol prostredníctvom </w:t>
      </w:r>
      <w:r w:rsidRPr="00BE4F86">
        <w:rPr>
          <w:rFonts w:eastAsia="Calibri" w:cs="Times New Roman"/>
          <w:szCs w:val="24"/>
        </w:rPr>
        <w:t>Všeobecnej pokladničnej správy poskytnutý transfer</w:t>
      </w:r>
      <w:r>
        <w:rPr>
          <w:rFonts w:eastAsia="Calibri" w:cs="Times New Roman"/>
          <w:szCs w:val="24"/>
        </w:rPr>
        <w:t xml:space="preserve"> vo výške 2 455</w:t>
      </w:r>
      <w:r w:rsidR="002267CE">
        <w:rPr>
          <w:rFonts w:eastAsia="Calibri" w:cs="Times New Roman"/>
          <w:szCs w:val="24"/>
        </w:rPr>
        <w:t> </w:t>
      </w:r>
      <w:r>
        <w:rPr>
          <w:rFonts w:eastAsia="Calibri" w:cs="Times New Roman"/>
          <w:szCs w:val="24"/>
        </w:rPr>
        <w:t>000</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čo je oproti rozpočtu menej o 295</w:t>
      </w:r>
      <w:r w:rsidR="002267CE">
        <w:rPr>
          <w:rFonts w:eastAsia="Calibri" w:cs="Times New Roman"/>
          <w:szCs w:val="24"/>
        </w:rPr>
        <w:t> </w:t>
      </w:r>
      <w:r>
        <w:rPr>
          <w:rFonts w:eastAsia="Calibri" w:cs="Times New Roman"/>
          <w:szCs w:val="24"/>
        </w:rPr>
        <w:t>000</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Medziročne ide o sumu vyššiu o 30</w:t>
      </w:r>
      <w:r w:rsidR="002267CE">
        <w:rPr>
          <w:rFonts w:eastAsia="Calibri" w:cs="Times New Roman"/>
          <w:szCs w:val="24"/>
        </w:rPr>
        <w:t> </w:t>
      </w:r>
      <w:r>
        <w:rPr>
          <w:rFonts w:eastAsia="Calibri" w:cs="Times New Roman"/>
          <w:szCs w:val="24"/>
        </w:rPr>
        <w:t>000</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 xml:space="preserve">eur. </w:t>
      </w:r>
      <w:r w:rsidRPr="00345275">
        <w:rPr>
          <w:rFonts w:eastAsia="Times New Roman" w:cs="Times New Roman"/>
          <w:color w:val="000000"/>
          <w:szCs w:val="24"/>
        </w:rPr>
        <w:t>Podľa zákona č.</w:t>
      </w:r>
      <w:r w:rsidR="002267CE">
        <w:rPr>
          <w:rFonts w:eastAsia="Times New Roman" w:cs="Times New Roman"/>
          <w:color w:val="000000"/>
          <w:szCs w:val="24"/>
        </w:rPr>
        <w:t> </w:t>
      </w:r>
      <w:r w:rsidRPr="00345275">
        <w:rPr>
          <w:rFonts w:eastAsia="Times New Roman" w:cs="Times New Roman"/>
          <w:color w:val="000000"/>
          <w:szCs w:val="24"/>
        </w:rPr>
        <w:t>461/2003</w:t>
      </w:r>
      <w:r w:rsidR="002267CE">
        <w:rPr>
          <w:rFonts w:eastAsia="Times New Roman" w:cs="Times New Roman"/>
          <w:color w:val="000000"/>
          <w:szCs w:val="24"/>
        </w:rPr>
        <w:t> </w:t>
      </w:r>
      <w:r w:rsidRPr="00345275">
        <w:rPr>
          <w:rFonts w:eastAsia="Times New Roman" w:cs="Times New Roman"/>
          <w:color w:val="000000"/>
          <w:szCs w:val="24"/>
        </w:rPr>
        <w:t>Z.</w:t>
      </w:r>
      <w:r w:rsidR="002267CE">
        <w:rPr>
          <w:rFonts w:eastAsia="Times New Roman" w:cs="Times New Roman"/>
          <w:color w:val="000000"/>
          <w:szCs w:val="24"/>
        </w:rPr>
        <w:t> </w:t>
      </w:r>
      <w:r w:rsidRPr="00345275">
        <w:rPr>
          <w:rFonts w:eastAsia="Times New Roman" w:cs="Times New Roman"/>
          <w:color w:val="000000"/>
          <w:szCs w:val="24"/>
        </w:rPr>
        <w:t>z. o sociálnom poistení v</w:t>
      </w:r>
      <w:r w:rsidR="002267CE">
        <w:rPr>
          <w:rFonts w:eastAsia="Times New Roman" w:cs="Times New Roman"/>
          <w:color w:val="000000"/>
          <w:szCs w:val="24"/>
        </w:rPr>
        <w:t> </w:t>
      </w:r>
      <w:r w:rsidRPr="00345275">
        <w:rPr>
          <w:rFonts w:eastAsia="Times New Roman" w:cs="Times New Roman"/>
          <w:color w:val="000000"/>
          <w:szCs w:val="24"/>
        </w:rPr>
        <w:t>znení neskorších predpisov štát poskytuje v prípade platobnej neschopnosti niektorého zo</w:t>
      </w:r>
      <w:r w:rsidR="002267CE">
        <w:rPr>
          <w:rFonts w:eastAsia="Times New Roman" w:cs="Times New Roman"/>
          <w:color w:val="000000"/>
          <w:szCs w:val="24"/>
        </w:rPr>
        <w:t> </w:t>
      </w:r>
      <w:r w:rsidRPr="00345275">
        <w:rPr>
          <w:rFonts w:eastAsia="Times New Roman" w:cs="Times New Roman"/>
          <w:color w:val="000000"/>
          <w:szCs w:val="24"/>
        </w:rPr>
        <w:t xml:space="preserve">základných fondov Sociálnej poisťovni finančnú výpomoc. </w:t>
      </w:r>
      <w:r>
        <w:rPr>
          <w:rFonts w:eastAsia="Times New Roman" w:cs="Times New Roman"/>
          <w:color w:val="000000"/>
          <w:szCs w:val="24"/>
        </w:rPr>
        <w:t>Rozpočtovaná v</w:t>
      </w:r>
      <w:r w:rsidRPr="00345275">
        <w:rPr>
          <w:rFonts w:eastAsia="Times New Roman" w:cs="Times New Roman"/>
          <w:color w:val="000000"/>
          <w:szCs w:val="24"/>
        </w:rPr>
        <w:t>ýška transferu zo</w:t>
      </w:r>
      <w:r w:rsidR="002267CE">
        <w:rPr>
          <w:rFonts w:eastAsia="Times New Roman" w:cs="Times New Roman"/>
          <w:color w:val="000000"/>
          <w:szCs w:val="24"/>
        </w:rPr>
        <w:t> </w:t>
      </w:r>
      <w:r w:rsidRPr="00345275">
        <w:rPr>
          <w:rFonts w:eastAsia="Times New Roman" w:cs="Times New Roman"/>
          <w:color w:val="000000"/>
          <w:szCs w:val="24"/>
        </w:rPr>
        <w:t>štátneho rozpočtu zohľadň</w:t>
      </w:r>
      <w:r>
        <w:rPr>
          <w:rFonts w:eastAsia="Times New Roman" w:cs="Times New Roman"/>
          <w:color w:val="000000"/>
          <w:szCs w:val="24"/>
        </w:rPr>
        <w:t>ovala</w:t>
      </w:r>
      <w:r w:rsidRPr="00345275">
        <w:rPr>
          <w:rFonts w:eastAsia="Times New Roman" w:cs="Times New Roman"/>
          <w:color w:val="000000"/>
          <w:szCs w:val="24"/>
        </w:rPr>
        <w:t xml:space="preserve"> nevyhnutnú technickú rezervu finančných prostriedkov pre</w:t>
      </w:r>
      <w:r w:rsidR="002267CE">
        <w:rPr>
          <w:rFonts w:eastAsia="Times New Roman" w:cs="Times New Roman"/>
          <w:color w:val="000000"/>
          <w:szCs w:val="24"/>
        </w:rPr>
        <w:t> </w:t>
      </w:r>
      <w:r w:rsidRPr="00345275">
        <w:rPr>
          <w:rFonts w:eastAsia="Times New Roman" w:cs="Times New Roman"/>
          <w:color w:val="000000"/>
          <w:szCs w:val="24"/>
        </w:rPr>
        <w:t xml:space="preserve">zachovanie platobnej schopnosti Sociálnej poisťovne ako celku a jeho rast </w:t>
      </w:r>
      <w:r>
        <w:rPr>
          <w:rFonts w:eastAsia="Times New Roman" w:cs="Times New Roman"/>
          <w:color w:val="000000"/>
          <w:szCs w:val="24"/>
        </w:rPr>
        <w:t>bol</w:t>
      </w:r>
      <w:r w:rsidRPr="00345275">
        <w:rPr>
          <w:rFonts w:eastAsia="Times New Roman" w:cs="Times New Roman"/>
          <w:color w:val="000000"/>
          <w:szCs w:val="24"/>
        </w:rPr>
        <w:t xml:space="preserve"> indikovaný najmä zavedením plného </w:t>
      </w:r>
      <w:r w:rsidRPr="00290002">
        <w:rPr>
          <w:rFonts w:eastAsia="Times New Roman" w:cs="Times New Roman"/>
          <w:color w:val="000000"/>
          <w:szCs w:val="24"/>
        </w:rPr>
        <w:t>13.</w:t>
      </w:r>
      <w:r w:rsidR="002267CE">
        <w:rPr>
          <w:rFonts w:eastAsia="Times New Roman" w:cs="Times New Roman"/>
          <w:color w:val="000000"/>
          <w:szCs w:val="24"/>
        </w:rPr>
        <w:t> </w:t>
      </w:r>
      <w:r w:rsidRPr="00290002">
        <w:rPr>
          <w:rFonts w:eastAsia="Times New Roman" w:cs="Times New Roman"/>
          <w:color w:val="000000"/>
          <w:szCs w:val="24"/>
        </w:rPr>
        <w:t>dôchodku, valorizáciou a bežným medziročným nárastom výdavkov dôchodkového poistenia. Nižšia potreba transferu bola na základe pozitívnejšieho vývoja výdavkov na</w:t>
      </w:r>
      <w:r w:rsidR="002267CE">
        <w:rPr>
          <w:rFonts w:eastAsia="Times New Roman" w:cs="Times New Roman"/>
          <w:color w:val="000000"/>
          <w:szCs w:val="24"/>
        </w:rPr>
        <w:t> </w:t>
      </w:r>
      <w:r w:rsidRPr="00290002">
        <w:rPr>
          <w:rFonts w:eastAsia="Times New Roman" w:cs="Times New Roman"/>
          <w:color w:val="000000"/>
          <w:szCs w:val="24"/>
        </w:rPr>
        <w:t>dôchodkové dávky a výdavkov z nemocenského poistenia.</w:t>
      </w:r>
    </w:p>
    <w:p w14:paraId="0D980A02" w14:textId="77777777" w:rsidR="00B54C90" w:rsidRDefault="00B54C90" w:rsidP="00063ECA">
      <w:pPr>
        <w:spacing w:line="240" w:lineRule="auto"/>
        <w:jc w:val="both"/>
        <w:rPr>
          <w:rFonts w:eastAsia="Times New Roman" w:cs="Times New Roman"/>
          <w:color w:val="000000"/>
          <w:szCs w:val="24"/>
        </w:rPr>
      </w:pPr>
    </w:p>
    <w:p w14:paraId="499786D5" w14:textId="5147C982" w:rsidR="00063ECA" w:rsidRDefault="00063ECA" w:rsidP="002267CE">
      <w:pPr>
        <w:shd w:val="clear" w:color="auto" w:fill="FFFFFF"/>
        <w:spacing w:line="240" w:lineRule="auto"/>
        <w:jc w:val="both"/>
        <w:rPr>
          <w:rFonts w:eastAsia="Calibri" w:cs="Times New Roman"/>
          <w:szCs w:val="24"/>
          <w:lang w:eastAsia="sk-SK"/>
        </w:rPr>
      </w:pPr>
      <w:r w:rsidRPr="00B54C90">
        <w:rPr>
          <w:rFonts w:eastAsia="Calibri" w:cs="Times New Roman"/>
          <w:bCs/>
          <w:iCs/>
          <w:szCs w:val="24"/>
          <w:u w:val="single"/>
          <w:lang w:eastAsia="sk-SK"/>
        </w:rPr>
        <w:t>Transfery rozpočtovej organizácii</w:t>
      </w:r>
      <w:r w:rsidRPr="00F14D0D">
        <w:rPr>
          <w:rFonts w:eastAsia="Calibri" w:cs="Times New Roman"/>
          <w:szCs w:val="24"/>
          <w:lang w:eastAsia="sk-SK"/>
        </w:rPr>
        <w:t xml:space="preserve"> v sume 2</w:t>
      </w:r>
      <w:r w:rsidR="002267CE">
        <w:rPr>
          <w:rFonts w:eastAsia="Calibri" w:cs="Times New Roman"/>
          <w:szCs w:val="24"/>
          <w:lang w:eastAsia="sk-SK"/>
        </w:rPr>
        <w:t> </w:t>
      </w:r>
      <w:r w:rsidRPr="00F14D0D">
        <w:rPr>
          <w:rFonts w:eastAsia="Calibri" w:cs="Times New Roman"/>
          <w:szCs w:val="24"/>
          <w:lang w:eastAsia="sk-SK"/>
        </w:rPr>
        <w:t>467</w:t>
      </w:r>
      <w:r w:rsidR="002267CE">
        <w:rPr>
          <w:rFonts w:eastAsia="Calibri" w:cs="Times New Roman"/>
          <w:szCs w:val="24"/>
          <w:lang w:eastAsia="sk-SK"/>
        </w:rPr>
        <w:t> </w:t>
      </w:r>
      <w:r w:rsidRPr="00F14D0D">
        <w:rPr>
          <w:rFonts w:eastAsia="Calibri" w:cs="Times New Roman"/>
          <w:szCs w:val="24"/>
          <w:lang w:eastAsia="sk-SK"/>
        </w:rPr>
        <w:t xml:space="preserve">159 tis. eur obsahovali najmä krytie </w:t>
      </w:r>
      <w:r>
        <w:rPr>
          <w:rFonts w:eastAsia="Calibri" w:cs="Times New Roman"/>
          <w:szCs w:val="24"/>
          <w:lang w:eastAsia="sk-SK"/>
        </w:rPr>
        <w:t xml:space="preserve">výdavkov spojených so správou štátneho dlhu </w:t>
      </w:r>
      <w:r w:rsidRPr="008E112F">
        <w:rPr>
          <w:rFonts w:eastAsia="Calibri" w:cs="Times New Roman"/>
          <w:szCs w:val="24"/>
          <w:lang w:eastAsia="sk-SK"/>
        </w:rPr>
        <w:t xml:space="preserve">v sume </w:t>
      </w:r>
      <w:r>
        <w:rPr>
          <w:rFonts w:eastAsia="Calibri" w:cs="Times New Roman"/>
          <w:szCs w:val="24"/>
          <w:lang w:eastAsia="sk-SK"/>
        </w:rPr>
        <w:t>1</w:t>
      </w:r>
      <w:r w:rsidR="002267CE">
        <w:rPr>
          <w:rFonts w:eastAsia="Calibri" w:cs="Times New Roman"/>
          <w:szCs w:val="24"/>
          <w:lang w:eastAsia="sk-SK"/>
        </w:rPr>
        <w:t> </w:t>
      </w:r>
      <w:r>
        <w:rPr>
          <w:rFonts w:eastAsia="Calibri" w:cs="Times New Roman"/>
          <w:szCs w:val="24"/>
          <w:lang w:eastAsia="sk-SK"/>
        </w:rPr>
        <w:t>646</w:t>
      </w:r>
      <w:r w:rsidR="002267CE">
        <w:rPr>
          <w:rFonts w:eastAsia="Calibri" w:cs="Times New Roman"/>
          <w:szCs w:val="24"/>
          <w:lang w:eastAsia="sk-SK"/>
        </w:rPr>
        <w:t> </w:t>
      </w:r>
      <w:r>
        <w:rPr>
          <w:rFonts w:eastAsia="Calibri" w:cs="Times New Roman"/>
          <w:szCs w:val="24"/>
          <w:lang w:eastAsia="sk-SK"/>
        </w:rPr>
        <w:t>043</w:t>
      </w:r>
      <w:r>
        <w:rPr>
          <w:rFonts w:eastAsia="Calibri" w:cs="Times New Roman"/>
          <w:szCs w:val="24"/>
        </w:rPr>
        <w:t> </w:t>
      </w:r>
      <w:r w:rsidRPr="008E112F">
        <w:rPr>
          <w:rFonts w:eastAsia="Calibri" w:cs="Times New Roman"/>
          <w:szCs w:val="24"/>
          <w:lang w:eastAsia="sk-SK"/>
        </w:rPr>
        <w:t>tis. eur</w:t>
      </w:r>
      <w:r>
        <w:rPr>
          <w:rFonts w:eastAsia="Calibri" w:cs="Times New Roman"/>
          <w:szCs w:val="24"/>
          <w:lang w:eastAsia="sk-SK"/>
        </w:rPr>
        <w:t xml:space="preserve"> a na manipulačné poplatky 200</w:t>
      </w:r>
      <w:r w:rsidR="002267CE">
        <w:rPr>
          <w:rFonts w:eastAsia="Calibri" w:cs="Times New Roman"/>
          <w:szCs w:val="24"/>
          <w:lang w:eastAsia="sk-SK"/>
        </w:rPr>
        <w:t> </w:t>
      </w:r>
      <w:r>
        <w:rPr>
          <w:rFonts w:eastAsia="Calibri" w:cs="Times New Roman"/>
          <w:szCs w:val="24"/>
          <w:lang w:eastAsia="sk-SK"/>
        </w:rPr>
        <w:t>tis.</w:t>
      </w:r>
      <w:r w:rsidR="002267CE">
        <w:rPr>
          <w:rFonts w:eastAsia="Calibri" w:cs="Times New Roman"/>
          <w:szCs w:val="24"/>
          <w:lang w:eastAsia="sk-SK"/>
        </w:rPr>
        <w:t> </w:t>
      </w:r>
      <w:r>
        <w:rPr>
          <w:rFonts w:eastAsia="Calibri" w:cs="Times New Roman"/>
          <w:szCs w:val="24"/>
          <w:lang w:eastAsia="sk-SK"/>
        </w:rPr>
        <w:t>eur.</w:t>
      </w:r>
      <w:r w:rsidRPr="008E112F">
        <w:rPr>
          <w:rFonts w:eastAsia="Calibri" w:cs="Times New Roman"/>
          <w:szCs w:val="24"/>
          <w:lang w:eastAsia="sk-SK"/>
        </w:rPr>
        <w:t xml:space="preserve"> </w:t>
      </w:r>
      <w:r>
        <w:rPr>
          <w:rFonts w:eastAsia="Calibri" w:cs="Times New Roman"/>
          <w:szCs w:val="24"/>
          <w:lang w:eastAsia="sk-SK"/>
        </w:rPr>
        <w:t>Ide o účet, na ktorý počas roka smerujú inkasované príjmy z obchodov so</w:t>
      </w:r>
      <w:r w:rsidR="002267CE">
        <w:rPr>
          <w:rFonts w:eastAsia="Calibri" w:cs="Times New Roman"/>
          <w:szCs w:val="24"/>
          <w:lang w:eastAsia="sk-SK"/>
        </w:rPr>
        <w:t> </w:t>
      </w:r>
      <w:r>
        <w:rPr>
          <w:rFonts w:eastAsia="Calibri" w:cs="Times New Roman"/>
          <w:szCs w:val="24"/>
          <w:lang w:eastAsia="sk-SK"/>
        </w:rPr>
        <w:t xml:space="preserve">štátnym dlhom a výdavkov na štátny dlh (napr. splátky úrokov). Saldo účet umožňuje efektívnejšie </w:t>
      </w:r>
      <w:r>
        <w:rPr>
          <w:rFonts w:eastAsia="Calibri" w:cs="Times New Roman"/>
          <w:szCs w:val="24"/>
          <w:lang w:eastAsia="sk-SK"/>
        </w:rPr>
        <w:lastRenderedPageBreak/>
        <w:t>riadiť štátny dlh a z dosahovaných príjmov kryť požiadavky na výdavky, ktoré by boli inak uhrádzané zo štátneho rozpočtu. Na príjmy alebo potrebu dofinancovania výdavkov štátneho dlhu majú vplyv úrokové sadzby na trhu, objem dlhu a početnosť obchodov.</w:t>
      </w:r>
    </w:p>
    <w:p w14:paraId="755E2F38" w14:textId="77777777" w:rsidR="002267CE" w:rsidRDefault="002267CE" w:rsidP="002267CE">
      <w:pPr>
        <w:shd w:val="clear" w:color="auto" w:fill="FFFFFF"/>
        <w:spacing w:line="240" w:lineRule="auto"/>
        <w:jc w:val="both"/>
        <w:rPr>
          <w:rFonts w:eastAsia="Calibri" w:cs="Times New Roman"/>
          <w:szCs w:val="24"/>
          <w:lang w:eastAsia="sk-SK"/>
        </w:rPr>
      </w:pPr>
    </w:p>
    <w:p w14:paraId="551C6325" w14:textId="2572681F" w:rsidR="00063ECA" w:rsidRPr="008F4860" w:rsidRDefault="00063ECA" w:rsidP="002267CE">
      <w:pPr>
        <w:pStyle w:val="Popis"/>
        <w:keepNext/>
        <w:rPr>
          <w:rFonts w:eastAsia="Times New Roman" w:cs="Times New Roman"/>
          <w:b w:val="0"/>
          <w:bCs/>
          <w:i/>
          <w:iCs w:val="0"/>
          <w:color w:val="5B9BD5"/>
          <w:szCs w:val="20"/>
          <w:lang w:eastAsia="sk-SK"/>
        </w:rPr>
      </w:pPr>
      <w:bookmarkStart w:id="125" w:name="_Toc196389279"/>
      <w:bookmarkStart w:id="126" w:name="_Toc227670168"/>
      <w:r w:rsidRPr="00EC6C71">
        <w:rPr>
          <w:rFonts w:eastAsia="Times New Roman" w:cs="Times New Roman"/>
          <w:bCs/>
          <w:iCs w:val="0"/>
          <w:color w:val="5B9BD5"/>
          <w:szCs w:val="20"/>
          <w:lang w:eastAsia="sk-SK"/>
        </w:rPr>
        <w:t xml:space="preserve">Tabuľka </w:t>
      </w:r>
      <w:r w:rsidRPr="00EC6C71">
        <w:rPr>
          <w:rFonts w:eastAsia="Times New Roman" w:cs="Times New Roman"/>
          <w:b w:val="0"/>
          <w:bCs/>
          <w:i/>
          <w:iCs w:val="0"/>
          <w:color w:val="5B9BD5"/>
          <w:szCs w:val="20"/>
          <w:lang w:eastAsia="sk-SK"/>
        </w:rPr>
        <w:fldChar w:fldCharType="begin"/>
      </w:r>
      <w:r w:rsidRPr="00EC6C71">
        <w:rPr>
          <w:rFonts w:eastAsia="Times New Roman" w:cs="Times New Roman"/>
          <w:bCs/>
          <w:iCs w:val="0"/>
          <w:color w:val="5B9BD5"/>
          <w:szCs w:val="20"/>
          <w:lang w:eastAsia="sk-SK"/>
        </w:rPr>
        <w:instrText xml:space="preserve"> SEQ Tabuľka \* ARABIC </w:instrText>
      </w:r>
      <w:r w:rsidRPr="00EC6C71">
        <w:rPr>
          <w:rFonts w:eastAsia="Times New Roman" w:cs="Times New Roman"/>
          <w:b w:val="0"/>
          <w:bCs/>
          <w:i/>
          <w:iCs w:val="0"/>
          <w:color w:val="5B9BD5"/>
          <w:szCs w:val="20"/>
          <w:lang w:eastAsia="sk-SK"/>
        </w:rPr>
        <w:fldChar w:fldCharType="separate"/>
      </w:r>
      <w:r w:rsidR="00396BE8">
        <w:rPr>
          <w:rFonts w:eastAsia="Times New Roman" w:cs="Times New Roman"/>
          <w:bCs/>
          <w:iCs w:val="0"/>
          <w:noProof/>
          <w:color w:val="5B9BD5"/>
          <w:szCs w:val="20"/>
          <w:lang w:eastAsia="sk-SK"/>
        </w:rPr>
        <w:t>32</w:t>
      </w:r>
      <w:r w:rsidRPr="00EC6C71">
        <w:rPr>
          <w:rFonts w:eastAsia="Times New Roman" w:cs="Times New Roman"/>
          <w:b w:val="0"/>
          <w:bCs/>
          <w:i/>
          <w:iCs w:val="0"/>
          <w:color w:val="5B9BD5"/>
          <w:szCs w:val="20"/>
          <w:lang w:eastAsia="sk-SK"/>
        </w:rPr>
        <w:fldChar w:fldCharType="end"/>
      </w:r>
      <w:r w:rsidR="00F37F01" w:rsidRPr="00F37F01">
        <w:rPr>
          <w:rFonts w:eastAsia="Times New Roman" w:cs="Times New Roman"/>
          <w:color w:val="5B9BD5"/>
          <w:szCs w:val="20"/>
          <w:lang w:eastAsia="sk-SK"/>
        </w:rPr>
        <w:t>3</w:t>
      </w:r>
      <w:r w:rsidRPr="00F37F01">
        <w:rPr>
          <w:rFonts w:eastAsia="Times New Roman" w:cs="Times New Roman"/>
          <w:color w:val="5B9BD5"/>
          <w:szCs w:val="20"/>
          <w:lang w:eastAsia="sk-SK"/>
        </w:rPr>
        <w:t xml:space="preserve"> </w:t>
      </w:r>
      <w:r w:rsidRPr="00EC6C71">
        <w:rPr>
          <w:rFonts w:eastAsia="Times New Roman" w:cs="Times New Roman"/>
          <w:bCs/>
          <w:iCs w:val="0"/>
          <w:color w:val="5B9BD5"/>
          <w:szCs w:val="20"/>
          <w:lang w:eastAsia="sk-SK"/>
        </w:rPr>
        <w:t>- Výdavky na dlhovú službu</w:t>
      </w:r>
      <w:bookmarkEnd w:id="125"/>
      <w:bookmarkEnd w:id="126"/>
    </w:p>
    <w:tbl>
      <w:tblPr>
        <w:tblW w:w="5000" w:type="pct"/>
        <w:tblCellMar>
          <w:left w:w="70" w:type="dxa"/>
          <w:right w:w="70" w:type="dxa"/>
        </w:tblCellMar>
        <w:tblLook w:val="04A0" w:firstRow="1" w:lastRow="0" w:firstColumn="1" w:lastColumn="0" w:noHBand="0" w:noVBand="1"/>
      </w:tblPr>
      <w:tblGrid>
        <w:gridCol w:w="2511"/>
        <w:gridCol w:w="1814"/>
        <w:gridCol w:w="1393"/>
        <w:gridCol w:w="1137"/>
        <w:gridCol w:w="1235"/>
        <w:gridCol w:w="980"/>
      </w:tblGrid>
      <w:tr w:rsidR="00063ECA" w:rsidRPr="00D0395E" w14:paraId="49BBE525" w14:textId="77777777" w:rsidTr="000E04C4">
        <w:trPr>
          <w:trHeight w:val="286"/>
          <w:tblHeader/>
        </w:trPr>
        <w:tc>
          <w:tcPr>
            <w:tcW w:w="1384" w:type="pct"/>
            <w:vMerge w:val="restart"/>
            <w:tcBorders>
              <w:top w:val="single" w:sz="4" w:space="0" w:color="auto"/>
              <w:left w:val="nil"/>
              <w:right w:val="nil"/>
            </w:tcBorders>
            <w:shd w:val="clear" w:color="000000" w:fill="FFFFFF"/>
            <w:vAlign w:val="center"/>
            <w:hideMark/>
          </w:tcPr>
          <w:p w14:paraId="3D1468CB" w14:textId="77777777" w:rsidR="00063ECA" w:rsidRPr="00D0395E" w:rsidRDefault="00063ECA" w:rsidP="000E04C4">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1000" w:type="pct"/>
            <w:tcBorders>
              <w:top w:val="single" w:sz="4" w:space="0" w:color="auto"/>
              <w:left w:val="nil"/>
              <w:right w:val="nil"/>
            </w:tcBorders>
            <w:shd w:val="clear" w:color="000000" w:fill="FFFFFF"/>
            <w:vAlign w:val="center"/>
          </w:tcPr>
          <w:p w14:paraId="5305123B"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768" w:type="pct"/>
            <w:tcBorders>
              <w:top w:val="single" w:sz="4" w:space="0" w:color="auto"/>
              <w:left w:val="nil"/>
              <w:right w:val="nil"/>
            </w:tcBorders>
            <w:shd w:val="clear" w:color="000000" w:fill="FFFFFF"/>
            <w:vAlign w:val="center"/>
          </w:tcPr>
          <w:p w14:paraId="04993D26"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627" w:type="pct"/>
            <w:tcBorders>
              <w:top w:val="single" w:sz="4" w:space="0" w:color="auto"/>
              <w:left w:val="nil"/>
              <w:bottom w:val="nil"/>
              <w:right w:val="nil"/>
            </w:tcBorders>
            <w:shd w:val="clear" w:color="000000" w:fill="FFFFFF"/>
            <w:vAlign w:val="center"/>
            <w:hideMark/>
          </w:tcPr>
          <w:p w14:paraId="05CB9ADF"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R</w:t>
            </w:r>
          </w:p>
        </w:tc>
        <w:tc>
          <w:tcPr>
            <w:tcW w:w="681" w:type="pct"/>
            <w:tcBorders>
              <w:top w:val="single" w:sz="4" w:space="0" w:color="auto"/>
              <w:left w:val="nil"/>
              <w:bottom w:val="nil"/>
              <w:right w:val="nil"/>
            </w:tcBorders>
            <w:shd w:val="clear" w:color="000000" w:fill="FFFFFF"/>
            <w:vAlign w:val="center"/>
            <w:hideMark/>
          </w:tcPr>
          <w:p w14:paraId="6F011C19"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c>
          <w:tcPr>
            <w:tcW w:w="540" w:type="pct"/>
            <w:tcBorders>
              <w:top w:val="single" w:sz="4" w:space="0" w:color="auto"/>
              <w:left w:val="nil"/>
              <w:bottom w:val="nil"/>
              <w:right w:val="nil"/>
            </w:tcBorders>
            <w:shd w:val="clear" w:color="000000" w:fill="FFFFFF"/>
            <w:vAlign w:val="center"/>
            <w:hideMark/>
          </w:tcPr>
          <w:p w14:paraId="189FE90A"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Rozdiel</w:t>
            </w:r>
          </w:p>
        </w:tc>
      </w:tr>
      <w:tr w:rsidR="00063ECA" w:rsidRPr="00D0395E" w14:paraId="6CB11452" w14:textId="77777777" w:rsidTr="000E04C4">
        <w:trPr>
          <w:trHeight w:val="286"/>
          <w:tblHeader/>
        </w:trPr>
        <w:tc>
          <w:tcPr>
            <w:tcW w:w="1384" w:type="pct"/>
            <w:vMerge/>
            <w:tcBorders>
              <w:left w:val="nil"/>
              <w:bottom w:val="single" w:sz="4" w:space="0" w:color="auto"/>
              <w:right w:val="nil"/>
            </w:tcBorders>
            <w:shd w:val="clear" w:color="000000" w:fill="FFFFFF"/>
            <w:vAlign w:val="center"/>
            <w:hideMark/>
          </w:tcPr>
          <w:p w14:paraId="4852A557" w14:textId="77777777" w:rsidR="00063ECA" w:rsidRPr="00D0395E" w:rsidRDefault="00063ECA" w:rsidP="000E04C4">
            <w:pPr>
              <w:spacing w:line="240" w:lineRule="auto"/>
              <w:jc w:val="center"/>
              <w:rPr>
                <w:rFonts w:eastAsia="Times New Roman" w:cs="Times New Roman"/>
                <w:b/>
                <w:bCs/>
                <w:color w:val="000000"/>
                <w:sz w:val="18"/>
                <w:szCs w:val="18"/>
                <w:lang w:eastAsia="sk-SK"/>
              </w:rPr>
            </w:pPr>
          </w:p>
        </w:tc>
        <w:tc>
          <w:tcPr>
            <w:tcW w:w="1000" w:type="pct"/>
            <w:tcBorders>
              <w:left w:val="nil"/>
              <w:bottom w:val="single" w:sz="4" w:space="0" w:color="auto"/>
              <w:right w:val="nil"/>
            </w:tcBorders>
            <w:shd w:val="clear" w:color="000000" w:fill="FFFFFF"/>
            <w:vAlign w:val="center"/>
          </w:tcPr>
          <w:p w14:paraId="259DDFD6"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w:t>
            </w:r>
          </w:p>
        </w:tc>
        <w:tc>
          <w:tcPr>
            <w:tcW w:w="768" w:type="pct"/>
            <w:tcBorders>
              <w:left w:val="nil"/>
              <w:bottom w:val="single" w:sz="4" w:space="0" w:color="auto"/>
              <w:right w:val="nil"/>
            </w:tcBorders>
            <w:shd w:val="clear" w:color="000000" w:fill="FFFFFF"/>
            <w:vAlign w:val="center"/>
          </w:tcPr>
          <w:p w14:paraId="34A0D76E"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w:t>
            </w:r>
          </w:p>
        </w:tc>
        <w:tc>
          <w:tcPr>
            <w:tcW w:w="627" w:type="pct"/>
            <w:tcBorders>
              <w:top w:val="nil"/>
              <w:left w:val="nil"/>
              <w:bottom w:val="single" w:sz="4" w:space="0" w:color="auto"/>
              <w:right w:val="nil"/>
            </w:tcBorders>
            <w:shd w:val="clear" w:color="000000" w:fill="FFFFFF"/>
            <w:vAlign w:val="center"/>
            <w:hideMark/>
          </w:tcPr>
          <w:p w14:paraId="197563C4"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w:t>
            </w:r>
          </w:p>
        </w:tc>
        <w:tc>
          <w:tcPr>
            <w:tcW w:w="681" w:type="pct"/>
            <w:tcBorders>
              <w:top w:val="nil"/>
              <w:left w:val="nil"/>
              <w:bottom w:val="single" w:sz="4" w:space="0" w:color="auto"/>
              <w:right w:val="nil"/>
            </w:tcBorders>
            <w:shd w:val="clear" w:color="000000" w:fill="FFFFFF"/>
            <w:vAlign w:val="center"/>
            <w:hideMark/>
          </w:tcPr>
          <w:p w14:paraId="478110A6"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4</w:t>
            </w:r>
          </w:p>
        </w:tc>
        <w:tc>
          <w:tcPr>
            <w:tcW w:w="540" w:type="pct"/>
            <w:tcBorders>
              <w:top w:val="nil"/>
              <w:left w:val="nil"/>
              <w:bottom w:val="single" w:sz="4" w:space="0" w:color="auto"/>
              <w:right w:val="nil"/>
            </w:tcBorders>
            <w:shd w:val="clear" w:color="000000" w:fill="FFFFFF"/>
            <w:vAlign w:val="center"/>
            <w:hideMark/>
          </w:tcPr>
          <w:p w14:paraId="3D687DDB" w14:textId="77777777" w:rsidR="00063ECA" w:rsidRPr="00D0395E" w:rsidRDefault="00063ECA" w:rsidP="000E04C4">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5=4-3</w:t>
            </w:r>
          </w:p>
        </w:tc>
      </w:tr>
      <w:tr w:rsidR="00063ECA" w:rsidRPr="00D0395E" w14:paraId="7018E9C1" w14:textId="77777777" w:rsidTr="000E04C4">
        <w:trPr>
          <w:trHeight w:val="298"/>
        </w:trPr>
        <w:tc>
          <w:tcPr>
            <w:tcW w:w="1384" w:type="pct"/>
            <w:tcBorders>
              <w:top w:val="single" w:sz="4" w:space="0" w:color="auto"/>
              <w:left w:val="nil"/>
              <w:right w:val="nil"/>
            </w:tcBorders>
            <w:noWrap/>
            <w:vAlign w:val="center"/>
            <w:hideMark/>
          </w:tcPr>
          <w:p w14:paraId="60657EDB" w14:textId="77777777" w:rsidR="00063ECA" w:rsidRPr="00D0395E" w:rsidRDefault="00063ECA" w:rsidP="000E04C4">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dlhová služba - transfer</w:t>
            </w:r>
          </w:p>
        </w:tc>
        <w:tc>
          <w:tcPr>
            <w:tcW w:w="1000" w:type="pct"/>
            <w:tcBorders>
              <w:top w:val="single" w:sz="4" w:space="0" w:color="auto"/>
              <w:left w:val="nil"/>
              <w:right w:val="nil"/>
            </w:tcBorders>
            <w:vAlign w:val="center"/>
          </w:tcPr>
          <w:p w14:paraId="30C07525" w14:textId="77777777" w:rsidR="00063ECA" w:rsidRPr="00D0395E" w:rsidRDefault="00063ECA" w:rsidP="000E04C4">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1 072 931</w:t>
            </w:r>
          </w:p>
        </w:tc>
        <w:tc>
          <w:tcPr>
            <w:tcW w:w="768" w:type="pct"/>
            <w:tcBorders>
              <w:top w:val="single" w:sz="4" w:space="0" w:color="auto"/>
              <w:left w:val="nil"/>
              <w:right w:val="nil"/>
            </w:tcBorders>
            <w:vAlign w:val="center"/>
          </w:tcPr>
          <w:p w14:paraId="625AE142"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1 189 026</w:t>
            </w:r>
          </w:p>
        </w:tc>
        <w:tc>
          <w:tcPr>
            <w:tcW w:w="627" w:type="pct"/>
            <w:tcBorders>
              <w:top w:val="single" w:sz="4" w:space="0" w:color="auto"/>
              <w:left w:val="nil"/>
              <w:right w:val="nil"/>
            </w:tcBorders>
            <w:vAlign w:val="center"/>
          </w:tcPr>
          <w:p w14:paraId="5380927E"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1 646 043</w:t>
            </w:r>
          </w:p>
        </w:tc>
        <w:tc>
          <w:tcPr>
            <w:tcW w:w="681" w:type="pct"/>
            <w:tcBorders>
              <w:top w:val="single" w:sz="4" w:space="0" w:color="auto"/>
              <w:left w:val="nil"/>
              <w:right w:val="nil"/>
            </w:tcBorders>
            <w:vAlign w:val="center"/>
          </w:tcPr>
          <w:p w14:paraId="0680CCBC"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1 564 824</w:t>
            </w:r>
          </w:p>
        </w:tc>
        <w:tc>
          <w:tcPr>
            <w:tcW w:w="540" w:type="pct"/>
            <w:tcBorders>
              <w:top w:val="single" w:sz="4" w:space="0" w:color="auto"/>
              <w:left w:val="nil"/>
              <w:right w:val="nil"/>
            </w:tcBorders>
            <w:vAlign w:val="center"/>
          </w:tcPr>
          <w:p w14:paraId="163AFD6D"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-81 219</w:t>
            </w:r>
          </w:p>
        </w:tc>
      </w:tr>
      <w:tr w:rsidR="00063ECA" w:rsidRPr="00D0395E" w14:paraId="04A938DB" w14:textId="77777777" w:rsidTr="000E04C4">
        <w:trPr>
          <w:trHeight w:val="298"/>
        </w:trPr>
        <w:tc>
          <w:tcPr>
            <w:tcW w:w="1384" w:type="pct"/>
            <w:tcBorders>
              <w:left w:val="nil"/>
              <w:bottom w:val="single" w:sz="4" w:space="0" w:color="auto"/>
              <w:right w:val="nil"/>
            </w:tcBorders>
            <w:noWrap/>
            <w:vAlign w:val="center"/>
          </w:tcPr>
          <w:p w14:paraId="06CC82EF" w14:textId="77777777" w:rsidR="00063ECA" w:rsidRPr="00D0395E" w:rsidRDefault="00063ECA" w:rsidP="000E04C4">
            <w:pPr>
              <w:spacing w:line="240" w:lineRule="auto"/>
              <w:rPr>
                <w:rFonts w:eastAsia="Times New Roman" w:cs="Times New Roman"/>
                <w:color w:val="000000"/>
                <w:sz w:val="18"/>
                <w:szCs w:val="18"/>
                <w:lang w:eastAsia="sk-SK"/>
              </w:rPr>
            </w:pPr>
            <w:r>
              <w:rPr>
                <w:rFonts w:eastAsia="Times New Roman" w:cs="Times New Roman"/>
                <w:color w:val="000000"/>
                <w:sz w:val="18"/>
                <w:szCs w:val="18"/>
                <w:lang w:eastAsia="sk-SK"/>
              </w:rPr>
              <w:t>manipulačné poplatky</w:t>
            </w:r>
          </w:p>
        </w:tc>
        <w:tc>
          <w:tcPr>
            <w:tcW w:w="1000" w:type="pct"/>
            <w:tcBorders>
              <w:left w:val="nil"/>
              <w:bottom w:val="single" w:sz="4" w:space="0" w:color="auto"/>
              <w:right w:val="nil"/>
            </w:tcBorders>
            <w:vAlign w:val="center"/>
          </w:tcPr>
          <w:p w14:paraId="6EC7BB00" w14:textId="77777777" w:rsidR="00063ECA" w:rsidRPr="00D0395E"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258</w:t>
            </w:r>
          </w:p>
        </w:tc>
        <w:tc>
          <w:tcPr>
            <w:tcW w:w="768" w:type="pct"/>
            <w:tcBorders>
              <w:left w:val="nil"/>
              <w:bottom w:val="single" w:sz="4" w:space="0" w:color="auto"/>
              <w:right w:val="nil"/>
            </w:tcBorders>
            <w:vAlign w:val="center"/>
          </w:tcPr>
          <w:p w14:paraId="7F5DE755" w14:textId="77777777" w:rsidR="00063ECA"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200</w:t>
            </w:r>
          </w:p>
        </w:tc>
        <w:tc>
          <w:tcPr>
            <w:tcW w:w="627" w:type="pct"/>
            <w:tcBorders>
              <w:left w:val="nil"/>
              <w:bottom w:val="single" w:sz="4" w:space="0" w:color="auto"/>
              <w:right w:val="nil"/>
            </w:tcBorders>
            <w:vAlign w:val="center"/>
          </w:tcPr>
          <w:p w14:paraId="50809D4A" w14:textId="77777777" w:rsidR="00063ECA"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200</w:t>
            </w:r>
          </w:p>
        </w:tc>
        <w:tc>
          <w:tcPr>
            <w:tcW w:w="681" w:type="pct"/>
            <w:tcBorders>
              <w:left w:val="nil"/>
              <w:bottom w:val="single" w:sz="4" w:space="0" w:color="auto"/>
              <w:right w:val="nil"/>
            </w:tcBorders>
            <w:vAlign w:val="center"/>
          </w:tcPr>
          <w:p w14:paraId="711F11FF" w14:textId="77777777" w:rsidR="00063ECA"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165</w:t>
            </w:r>
          </w:p>
        </w:tc>
        <w:tc>
          <w:tcPr>
            <w:tcW w:w="540" w:type="pct"/>
            <w:tcBorders>
              <w:left w:val="nil"/>
              <w:bottom w:val="single" w:sz="4" w:space="0" w:color="auto"/>
              <w:right w:val="nil"/>
            </w:tcBorders>
            <w:vAlign w:val="center"/>
          </w:tcPr>
          <w:p w14:paraId="500255FA" w14:textId="77777777" w:rsidR="00063ECA" w:rsidRDefault="00063ECA" w:rsidP="000E04C4">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-35</w:t>
            </w:r>
          </w:p>
        </w:tc>
      </w:tr>
    </w:tbl>
    <w:p w14:paraId="6AF6E5A6" w14:textId="53AC9730" w:rsidR="00063ECA" w:rsidRDefault="00746BBD" w:rsidP="002267CE">
      <w:pPr>
        <w:shd w:val="clear" w:color="auto" w:fill="FFFFFF"/>
        <w:tabs>
          <w:tab w:val="right" w:pos="9070"/>
        </w:tabs>
        <w:spacing w:line="240" w:lineRule="auto"/>
        <w:rPr>
          <w:rFonts w:eastAsia="Calibri" w:cs="Times New Roman"/>
          <w:sz w:val="18"/>
          <w:szCs w:val="18"/>
        </w:rPr>
      </w:pPr>
      <w:r>
        <w:rPr>
          <w:rFonts w:eastAsia="Calibri" w:cs="Times New Roman"/>
          <w:sz w:val="18"/>
          <w:szCs w:val="18"/>
        </w:rPr>
        <w:tab/>
      </w:r>
      <w:r w:rsidR="00063ECA" w:rsidRPr="00736668">
        <w:rPr>
          <w:rFonts w:eastAsia="Calibri" w:cs="Times New Roman"/>
          <w:sz w:val="18"/>
          <w:szCs w:val="18"/>
        </w:rPr>
        <w:t>Zdroj: MF SR</w:t>
      </w:r>
    </w:p>
    <w:p w14:paraId="6F0BA16A" w14:textId="77777777" w:rsidR="002267CE" w:rsidRDefault="002267CE" w:rsidP="002267CE">
      <w:pPr>
        <w:spacing w:line="240" w:lineRule="auto"/>
        <w:jc w:val="both"/>
        <w:rPr>
          <w:rFonts w:eastAsia="Times New Roman" w:cs="Times New Roman"/>
          <w:szCs w:val="24"/>
          <w:lang w:eastAsia="sk-SK"/>
        </w:rPr>
      </w:pPr>
    </w:p>
    <w:p w14:paraId="1CD50512" w14:textId="14B8D52B" w:rsidR="00063ECA" w:rsidRDefault="00063ECA" w:rsidP="002267CE">
      <w:pPr>
        <w:spacing w:line="240" w:lineRule="auto"/>
        <w:jc w:val="both"/>
        <w:rPr>
          <w:rFonts w:eastAsia="Times New Roman" w:cs="Times New Roman"/>
          <w:szCs w:val="24"/>
          <w:lang w:eastAsia="sk-SK"/>
        </w:rPr>
      </w:pPr>
      <w:r w:rsidRPr="00EC6C71">
        <w:rPr>
          <w:rFonts w:eastAsia="Times New Roman" w:cs="Times New Roman"/>
          <w:szCs w:val="24"/>
          <w:lang w:eastAsia="sk-SK"/>
        </w:rPr>
        <w:t>Na hotovostnom princípe došlo v roku 2025 oproti schválenému rozpočtu výdavkov spojených so správou štátneho dlhu k úspore v sume 81</w:t>
      </w:r>
      <w:r w:rsidR="002267CE">
        <w:rPr>
          <w:rFonts w:eastAsia="Times New Roman" w:cs="Times New Roman"/>
          <w:szCs w:val="24"/>
          <w:lang w:eastAsia="sk-SK"/>
        </w:rPr>
        <w:t> </w:t>
      </w:r>
      <w:r w:rsidRPr="00EC6C71">
        <w:rPr>
          <w:rFonts w:eastAsia="Times New Roman" w:cs="Times New Roman"/>
          <w:szCs w:val="24"/>
          <w:lang w:eastAsia="sk-SK"/>
        </w:rPr>
        <w:t>254</w:t>
      </w:r>
      <w:r w:rsidR="002267CE">
        <w:rPr>
          <w:rFonts w:eastAsia="Times New Roman" w:cs="Times New Roman"/>
          <w:szCs w:val="24"/>
          <w:lang w:eastAsia="sk-SK"/>
        </w:rPr>
        <w:t> </w:t>
      </w:r>
      <w:r w:rsidRPr="00EC6C71">
        <w:rPr>
          <w:rFonts w:eastAsia="Times New Roman" w:cs="Times New Roman"/>
          <w:szCs w:val="24"/>
          <w:lang w:eastAsia="sk-SK"/>
        </w:rPr>
        <w:t>tis.</w:t>
      </w:r>
      <w:r w:rsidR="002267CE">
        <w:rPr>
          <w:rFonts w:eastAsia="Times New Roman" w:cs="Times New Roman"/>
          <w:szCs w:val="24"/>
          <w:lang w:eastAsia="sk-SK"/>
        </w:rPr>
        <w:t> </w:t>
      </w:r>
      <w:r w:rsidRPr="00EC6C71">
        <w:rPr>
          <w:rFonts w:eastAsia="Times New Roman" w:cs="Times New Roman"/>
          <w:szCs w:val="24"/>
          <w:lang w:eastAsia="sk-SK"/>
        </w:rPr>
        <w:t>eur</w:t>
      </w:r>
      <w:r>
        <w:rPr>
          <w:rFonts w:eastAsia="Times New Roman" w:cs="Times New Roman"/>
          <w:szCs w:val="24"/>
          <w:lang w:eastAsia="sk-SK"/>
        </w:rPr>
        <w:t>, vrátane úspory na manipulačných poplatkoch 35</w:t>
      </w:r>
      <w:r w:rsidR="002267CE">
        <w:rPr>
          <w:rFonts w:eastAsia="Times New Roman" w:cs="Times New Roman"/>
          <w:szCs w:val="24"/>
          <w:lang w:eastAsia="sk-SK"/>
        </w:rPr>
        <w:t> </w:t>
      </w:r>
      <w:r>
        <w:rPr>
          <w:rFonts w:eastAsia="Times New Roman" w:cs="Times New Roman"/>
          <w:szCs w:val="24"/>
          <w:lang w:eastAsia="sk-SK"/>
        </w:rPr>
        <w:t>tis.</w:t>
      </w:r>
      <w:r w:rsidR="002267CE">
        <w:rPr>
          <w:rFonts w:eastAsia="Times New Roman" w:cs="Times New Roman"/>
          <w:szCs w:val="24"/>
          <w:lang w:eastAsia="sk-SK"/>
        </w:rPr>
        <w:t> </w:t>
      </w:r>
      <w:r>
        <w:rPr>
          <w:rFonts w:eastAsia="Times New Roman" w:cs="Times New Roman"/>
          <w:szCs w:val="24"/>
          <w:lang w:eastAsia="sk-SK"/>
        </w:rPr>
        <w:t>eur.</w:t>
      </w:r>
      <w:r w:rsidRPr="00EC6C71">
        <w:rPr>
          <w:rFonts w:eastAsia="Times New Roman" w:cs="Times New Roman"/>
          <w:szCs w:val="24"/>
          <w:lang w:eastAsia="sk-SK"/>
        </w:rPr>
        <w:t xml:space="preserve"> Na menšie hotovostné saldo v roku 2025 vplýval pokles trhových úrokových sadzieb, čo viedlo k inkasovaniu vyšších prémií pri predaji dlhopisov s</w:t>
      </w:r>
      <w:r w:rsidR="002267CE">
        <w:rPr>
          <w:rFonts w:eastAsia="Times New Roman" w:cs="Times New Roman"/>
          <w:szCs w:val="24"/>
          <w:lang w:eastAsia="sk-SK"/>
        </w:rPr>
        <w:t> </w:t>
      </w:r>
      <w:r w:rsidRPr="00EC6C71">
        <w:rPr>
          <w:rFonts w:eastAsia="Times New Roman" w:cs="Times New Roman"/>
          <w:szCs w:val="24"/>
          <w:lang w:eastAsia="sk-SK"/>
        </w:rPr>
        <w:t>kupónmi nad</w:t>
      </w:r>
      <w:r w:rsidR="002267CE">
        <w:rPr>
          <w:rFonts w:eastAsia="Times New Roman" w:cs="Times New Roman"/>
          <w:szCs w:val="24"/>
          <w:lang w:eastAsia="sk-SK"/>
        </w:rPr>
        <w:t> </w:t>
      </w:r>
      <w:r w:rsidRPr="00EC6C71">
        <w:rPr>
          <w:rFonts w:eastAsia="Times New Roman" w:cs="Times New Roman"/>
          <w:szCs w:val="24"/>
          <w:lang w:eastAsia="sk-SK"/>
        </w:rPr>
        <w:t>úrovňou aktuálnych trhových výnosov a nižším nákladom vyplývajúcim z</w:t>
      </w:r>
      <w:r w:rsidR="002267CE">
        <w:rPr>
          <w:rFonts w:eastAsia="Times New Roman" w:cs="Times New Roman"/>
          <w:szCs w:val="24"/>
          <w:lang w:eastAsia="sk-SK"/>
        </w:rPr>
        <w:t> </w:t>
      </w:r>
      <w:r w:rsidRPr="00EC6C71">
        <w:rPr>
          <w:rFonts w:eastAsia="Times New Roman" w:cs="Times New Roman"/>
          <w:szCs w:val="24"/>
          <w:lang w:eastAsia="sk-SK"/>
        </w:rPr>
        <w:t>refinančného systému štátnej pokladnice, ktorý bol čiastočne kompenzovaný nižšími príjmami z ukladanej hotovostnej rezervy. V roku 2025 ECB pokračovala v uvoľňovaní menovej politiky, keďže inflácia sa stabilizovala na úrovni okolo 2 %.</w:t>
      </w:r>
    </w:p>
    <w:p w14:paraId="78A0A029" w14:textId="77777777" w:rsidR="00497379" w:rsidRDefault="00497379" w:rsidP="002267CE">
      <w:pPr>
        <w:spacing w:line="240" w:lineRule="auto"/>
        <w:jc w:val="both"/>
        <w:rPr>
          <w:rFonts w:eastAsia="Times New Roman" w:cs="Times New Roman"/>
          <w:szCs w:val="24"/>
          <w:lang w:eastAsia="sk-SK"/>
        </w:rPr>
      </w:pPr>
    </w:p>
    <w:p w14:paraId="30A35FED" w14:textId="436E46D8" w:rsidR="00063ECA" w:rsidRDefault="00063ECA" w:rsidP="002267CE">
      <w:pPr>
        <w:spacing w:line="240" w:lineRule="auto"/>
        <w:jc w:val="both"/>
        <w:rPr>
          <w:rFonts w:eastAsia="Times New Roman" w:cs="Times New Roman"/>
          <w:szCs w:val="24"/>
          <w:lang w:eastAsia="sk-SK"/>
        </w:rPr>
      </w:pPr>
      <w:r w:rsidRPr="00EC6C71">
        <w:rPr>
          <w:rFonts w:eastAsia="Times New Roman" w:cs="Times New Roman"/>
          <w:szCs w:val="24"/>
          <w:lang w:eastAsia="sk-SK"/>
        </w:rPr>
        <w:t>V prvej polovici roka postupne znižovala úrokové sadzby s cieľom podporiť ekonomickú aktivitu. Základná úroková sadzba ECB poklesla od konca roku 2024 z 3 % p. a. na</w:t>
      </w:r>
      <w:r w:rsidR="002267CE">
        <w:rPr>
          <w:rFonts w:eastAsia="Times New Roman" w:cs="Times New Roman"/>
          <w:szCs w:val="24"/>
          <w:lang w:eastAsia="sk-SK"/>
        </w:rPr>
        <w:t> </w:t>
      </w:r>
      <w:r w:rsidRPr="00EC6C71">
        <w:rPr>
          <w:rFonts w:eastAsia="Times New Roman" w:cs="Times New Roman"/>
          <w:szCs w:val="24"/>
          <w:lang w:eastAsia="sk-SK"/>
        </w:rPr>
        <w:t>úroveň 2 % p. a. v júni 2025, kde zostala až do konca roka. Tento trend čiastočne ovplyvnil aj emisné náklady novoemitovaných slovenských štátnych dlhopisov v roku 2025. ECB, prostredníctvom NBS, v roku 2025 nenakupovala slovenské štátne dlhopisy na sekundárnom trhu. Vďaka optimálnemu budovaniu a riadeniu rizikových ukazovateľov a priemernej splatnosti dlhového portfólia v minulosti sa vyššie výnosy novoemitovaných dlhopisov premietajú do</w:t>
      </w:r>
      <w:r w:rsidR="002267CE">
        <w:rPr>
          <w:rFonts w:eastAsia="Times New Roman" w:cs="Times New Roman"/>
          <w:szCs w:val="24"/>
          <w:lang w:eastAsia="sk-SK"/>
        </w:rPr>
        <w:t> </w:t>
      </w:r>
      <w:r w:rsidRPr="00EC6C71">
        <w:rPr>
          <w:rFonts w:eastAsia="Times New Roman" w:cs="Times New Roman"/>
          <w:szCs w:val="24"/>
          <w:lang w:eastAsia="sk-SK"/>
        </w:rPr>
        <w:t>celkového portfólia dlhu len v obmedzenej miere. Priemerná vážená úroková sadzba celkových záväzkov štátu vzrástla z úrovne 2,05 %  p. a. na konci roka 2024 na úroveň 2,18 % p. a. na</w:t>
      </w:r>
      <w:r w:rsidR="002267CE">
        <w:rPr>
          <w:rFonts w:eastAsia="Times New Roman" w:cs="Times New Roman"/>
          <w:szCs w:val="24"/>
          <w:lang w:eastAsia="sk-SK"/>
        </w:rPr>
        <w:t> </w:t>
      </w:r>
      <w:r w:rsidRPr="00EC6C71">
        <w:rPr>
          <w:rFonts w:eastAsia="Times New Roman" w:cs="Times New Roman"/>
          <w:szCs w:val="24"/>
          <w:lang w:eastAsia="sk-SK"/>
        </w:rPr>
        <w:t>konci roka 2025. Na správu štátneho dlhu pozitívne vplýval aj systém štátnej pokladnice, ktorý zabezpečil stabilné a lacné zdroje financovania slúžiace hlavne ako hotovostná rezerva v</w:t>
      </w:r>
      <w:r w:rsidR="002267CE">
        <w:rPr>
          <w:rFonts w:eastAsia="Times New Roman" w:cs="Times New Roman"/>
          <w:szCs w:val="24"/>
          <w:lang w:eastAsia="sk-SK"/>
        </w:rPr>
        <w:t> </w:t>
      </w:r>
      <w:r w:rsidRPr="00EC6C71">
        <w:rPr>
          <w:rFonts w:eastAsia="Times New Roman" w:cs="Times New Roman"/>
          <w:szCs w:val="24"/>
          <w:lang w:eastAsia="sk-SK"/>
        </w:rPr>
        <w:t>období zvýšenej volatility na finančných trhoch.</w:t>
      </w:r>
    </w:p>
    <w:p w14:paraId="404BF245" w14:textId="77777777" w:rsidR="002267CE" w:rsidRDefault="002267CE" w:rsidP="002267CE">
      <w:pPr>
        <w:spacing w:line="240" w:lineRule="auto"/>
        <w:jc w:val="both"/>
        <w:rPr>
          <w:lang w:eastAsia="sk-SK"/>
        </w:rPr>
      </w:pPr>
    </w:p>
    <w:p w14:paraId="59651344" w14:textId="1077E70A" w:rsidR="00A7279C" w:rsidRPr="00796A6C" w:rsidRDefault="00A7279C" w:rsidP="00532D85">
      <w:pPr>
        <w:pStyle w:val="Popis"/>
        <w:jc w:val="both"/>
        <w:rPr>
          <w:i/>
          <w:lang w:eastAsia="sk-SK"/>
        </w:rPr>
      </w:pPr>
      <w:bookmarkStart w:id="127" w:name="_Toc196313659"/>
      <w:bookmarkStart w:id="128" w:name="_Toc227670169"/>
      <w:bookmarkEnd w:id="124"/>
      <w:r w:rsidRPr="00796A6C">
        <w:rPr>
          <w:lang w:eastAsia="sk-SK"/>
        </w:rPr>
        <w:t xml:space="preserve">Tabuľka </w:t>
      </w:r>
      <w:r w:rsidRPr="00796A6C">
        <w:rPr>
          <w:i/>
          <w:lang w:eastAsia="sk-SK"/>
        </w:rPr>
        <w:fldChar w:fldCharType="begin"/>
      </w:r>
      <w:r w:rsidRPr="00796A6C">
        <w:rPr>
          <w:lang w:eastAsia="sk-SK"/>
        </w:rPr>
        <w:instrText xml:space="preserve"> SEQ Tabuľka \* ARABIC </w:instrText>
      </w:r>
      <w:r w:rsidRPr="00796A6C">
        <w:rPr>
          <w:i/>
          <w:lang w:eastAsia="sk-SK"/>
        </w:rPr>
        <w:fldChar w:fldCharType="separate"/>
      </w:r>
      <w:r w:rsidR="00396BE8">
        <w:rPr>
          <w:noProof/>
          <w:lang w:eastAsia="sk-SK"/>
        </w:rPr>
        <w:t>33</w:t>
      </w:r>
      <w:r w:rsidRPr="00796A6C">
        <w:rPr>
          <w:i/>
          <w:lang w:eastAsia="sk-SK"/>
        </w:rPr>
        <w:fldChar w:fldCharType="end"/>
      </w:r>
      <w:r w:rsidRPr="00796A6C">
        <w:rPr>
          <w:lang w:eastAsia="sk-SK"/>
        </w:rPr>
        <w:t xml:space="preserve"> - Prehľad príjmov a výdavkov na saldo účte Štátneho dlhu</w:t>
      </w:r>
      <w:bookmarkEnd w:id="127"/>
      <w:bookmarkEnd w:id="128"/>
    </w:p>
    <w:tbl>
      <w:tblPr>
        <w:tblW w:w="5000" w:type="pct"/>
        <w:tblCellMar>
          <w:left w:w="70" w:type="dxa"/>
          <w:right w:w="70" w:type="dxa"/>
        </w:tblCellMar>
        <w:tblLook w:val="04A0" w:firstRow="1" w:lastRow="0" w:firstColumn="1" w:lastColumn="0" w:noHBand="0" w:noVBand="1"/>
      </w:tblPr>
      <w:tblGrid>
        <w:gridCol w:w="5344"/>
        <w:gridCol w:w="1290"/>
        <w:gridCol w:w="1199"/>
        <w:gridCol w:w="1237"/>
      </w:tblGrid>
      <w:tr w:rsidR="00DF4C30" w:rsidRPr="00D0395E" w14:paraId="40B4B86B" w14:textId="77777777" w:rsidTr="00AF4F6D">
        <w:trPr>
          <w:trHeight w:val="372"/>
          <w:tblHeader/>
        </w:trPr>
        <w:tc>
          <w:tcPr>
            <w:tcW w:w="2946" w:type="pct"/>
            <w:tcBorders>
              <w:top w:val="single" w:sz="4" w:space="0" w:color="auto"/>
              <w:left w:val="nil"/>
              <w:bottom w:val="single" w:sz="4" w:space="0" w:color="auto"/>
              <w:right w:val="nil"/>
            </w:tcBorders>
            <w:noWrap/>
            <w:vAlign w:val="center"/>
            <w:hideMark/>
          </w:tcPr>
          <w:p w14:paraId="32749C51" w14:textId="77777777" w:rsidR="00DF4C30" w:rsidRPr="00D0395E" w:rsidRDefault="00DF4C30" w:rsidP="00AF4F6D">
            <w:pPr>
              <w:spacing w:line="240" w:lineRule="auto"/>
              <w:rPr>
                <w:rFonts w:eastAsia="Times New Roman" w:cs="Times New Roman"/>
                <w:b/>
                <w:bCs/>
                <w:sz w:val="18"/>
                <w:szCs w:val="18"/>
                <w:lang w:eastAsia="sk-SK"/>
              </w:rPr>
            </w:pPr>
            <w:r w:rsidRPr="00D0395E">
              <w:rPr>
                <w:rFonts w:eastAsia="Times New Roman" w:cs="Times New Roman"/>
                <w:b/>
                <w:bCs/>
                <w:sz w:val="18"/>
                <w:szCs w:val="18"/>
                <w:lang w:eastAsia="sk-SK"/>
              </w:rPr>
              <w:t>v tis. eur</w:t>
            </w:r>
          </w:p>
        </w:tc>
        <w:tc>
          <w:tcPr>
            <w:tcW w:w="711" w:type="pct"/>
            <w:tcBorders>
              <w:top w:val="single" w:sz="4" w:space="0" w:color="auto"/>
              <w:left w:val="nil"/>
              <w:bottom w:val="single" w:sz="4" w:space="0" w:color="auto"/>
              <w:right w:val="nil"/>
            </w:tcBorders>
            <w:noWrap/>
            <w:vAlign w:val="center"/>
            <w:hideMark/>
          </w:tcPr>
          <w:p w14:paraId="3E9D8B25" w14:textId="77777777" w:rsidR="00DF4C30" w:rsidRPr="00D0395E" w:rsidRDefault="00DF4C30" w:rsidP="00AF4F6D">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661" w:type="pct"/>
            <w:tcBorders>
              <w:top w:val="single" w:sz="4" w:space="0" w:color="auto"/>
              <w:left w:val="nil"/>
              <w:bottom w:val="single" w:sz="4" w:space="0" w:color="auto"/>
              <w:right w:val="nil"/>
            </w:tcBorders>
            <w:noWrap/>
            <w:vAlign w:val="center"/>
            <w:hideMark/>
          </w:tcPr>
          <w:p w14:paraId="3CEFDB5D" w14:textId="77777777" w:rsidR="00DF4C30" w:rsidRPr="00D0395E" w:rsidRDefault="00DF4C30" w:rsidP="00AF4F6D">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682" w:type="pct"/>
            <w:tcBorders>
              <w:top w:val="single" w:sz="4" w:space="0" w:color="auto"/>
              <w:left w:val="nil"/>
              <w:bottom w:val="single" w:sz="4" w:space="0" w:color="auto"/>
              <w:right w:val="nil"/>
            </w:tcBorders>
            <w:noWrap/>
            <w:vAlign w:val="center"/>
            <w:hideMark/>
          </w:tcPr>
          <w:p w14:paraId="58BF5F37" w14:textId="77777777" w:rsidR="00DF4C30" w:rsidRPr="00D0395E" w:rsidRDefault="00DF4C30" w:rsidP="00AF4F6D">
            <w:pPr>
              <w:spacing w:line="240" w:lineRule="auto"/>
              <w:jc w:val="center"/>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r>
      <w:tr w:rsidR="00DF4C30" w:rsidRPr="00D0395E" w14:paraId="28C6BD77" w14:textId="77777777" w:rsidTr="00AF4F6D">
        <w:trPr>
          <w:trHeight w:val="263"/>
        </w:trPr>
        <w:tc>
          <w:tcPr>
            <w:tcW w:w="2946" w:type="pct"/>
            <w:tcBorders>
              <w:top w:val="nil"/>
              <w:left w:val="nil"/>
              <w:bottom w:val="nil"/>
              <w:right w:val="nil"/>
            </w:tcBorders>
            <w:noWrap/>
            <w:vAlign w:val="center"/>
            <w:hideMark/>
          </w:tcPr>
          <w:p w14:paraId="7013A8E0" w14:textId="68B19C01" w:rsidR="00DF4C30" w:rsidRPr="00D0395E" w:rsidRDefault="00DF4C30" w:rsidP="00AF4F6D">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Príjmy</w:t>
            </w:r>
            <w:r w:rsidR="005F15A4">
              <w:rPr>
                <w:rFonts w:eastAsia="Times New Roman" w:cs="Times New Roman"/>
                <w:b/>
                <w:bCs/>
                <w:color w:val="000000"/>
                <w:sz w:val="18"/>
                <w:szCs w:val="18"/>
                <w:lang w:eastAsia="sk-SK"/>
              </w:rPr>
              <w:t xml:space="preserve"> spolu</w:t>
            </w:r>
          </w:p>
        </w:tc>
        <w:tc>
          <w:tcPr>
            <w:tcW w:w="711" w:type="pct"/>
            <w:tcBorders>
              <w:top w:val="nil"/>
              <w:left w:val="nil"/>
              <w:bottom w:val="nil"/>
              <w:right w:val="nil"/>
            </w:tcBorders>
            <w:vAlign w:val="center"/>
          </w:tcPr>
          <w:p w14:paraId="3D428892" w14:textId="77777777" w:rsidR="00DF4C30" w:rsidRPr="00D0395E" w:rsidRDefault="00DF4C30" w:rsidP="00AF4F6D">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1 423 431</w:t>
            </w:r>
          </w:p>
        </w:tc>
        <w:tc>
          <w:tcPr>
            <w:tcW w:w="661" w:type="pct"/>
            <w:tcBorders>
              <w:top w:val="nil"/>
              <w:left w:val="nil"/>
              <w:bottom w:val="nil"/>
              <w:right w:val="nil"/>
            </w:tcBorders>
            <w:vAlign w:val="center"/>
          </w:tcPr>
          <w:p w14:paraId="3C7E11CC" w14:textId="77777777" w:rsidR="00DF4C30" w:rsidRPr="00D0395E" w:rsidRDefault="00DF4C30" w:rsidP="00AF4F6D">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1 709 144</w:t>
            </w:r>
          </w:p>
        </w:tc>
        <w:tc>
          <w:tcPr>
            <w:tcW w:w="682" w:type="pct"/>
            <w:tcBorders>
              <w:top w:val="nil"/>
              <w:left w:val="nil"/>
              <w:bottom w:val="nil"/>
              <w:right w:val="nil"/>
            </w:tcBorders>
            <w:vAlign w:val="center"/>
          </w:tcPr>
          <w:p w14:paraId="4B7D80E5" w14:textId="62402B42" w:rsidR="00DF4C30" w:rsidRPr="00D0395E" w:rsidRDefault="004C3C04" w:rsidP="00AF4F6D">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2 018 773</w:t>
            </w:r>
          </w:p>
        </w:tc>
      </w:tr>
      <w:tr w:rsidR="00DF4C30" w:rsidRPr="00D0395E" w14:paraId="4ADCE049" w14:textId="77777777" w:rsidTr="00AF4F6D">
        <w:trPr>
          <w:trHeight w:val="263"/>
        </w:trPr>
        <w:tc>
          <w:tcPr>
            <w:tcW w:w="2946" w:type="pct"/>
            <w:tcBorders>
              <w:top w:val="nil"/>
              <w:left w:val="nil"/>
              <w:bottom w:val="nil"/>
              <w:right w:val="nil"/>
            </w:tcBorders>
            <w:noWrap/>
            <w:vAlign w:val="center"/>
          </w:tcPr>
          <w:p w14:paraId="6B5F43C3" w14:textId="77777777" w:rsidR="00DF4C30" w:rsidRPr="00D0395E" w:rsidRDefault="00DF4C30" w:rsidP="00AF4F6D">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v tom</w:t>
            </w:r>
          </w:p>
        </w:tc>
        <w:tc>
          <w:tcPr>
            <w:tcW w:w="711" w:type="pct"/>
            <w:tcBorders>
              <w:top w:val="nil"/>
              <w:left w:val="nil"/>
              <w:bottom w:val="nil"/>
              <w:right w:val="nil"/>
            </w:tcBorders>
            <w:vAlign w:val="center"/>
          </w:tcPr>
          <w:p w14:paraId="40B77F42" w14:textId="77777777" w:rsidR="00DF4C30" w:rsidRPr="00D0395E" w:rsidRDefault="00DF4C30" w:rsidP="00AF4F6D">
            <w:pPr>
              <w:spacing w:line="240" w:lineRule="auto"/>
              <w:jc w:val="right"/>
              <w:rPr>
                <w:rFonts w:eastAsia="Times New Roman" w:cs="Times New Roman"/>
                <w:color w:val="000000"/>
                <w:sz w:val="18"/>
                <w:szCs w:val="18"/>
                <w:lang w:eastAsia="sk-SK"/>
              </w:rPr>
            </w:pPr>
          </w:p>
        </w:tc>
        <w:tc>
          <w:tcPr>
            <w:tcW w:w="661" w:type="pct"/>
            <w:tcBorders>
              <w:top w:val="nil"/>
              <w:left w:val="nil"/>
              <w:bottom w:val="nil"/>
              <w:right w:val="nil"/>
            </w:tcBorders>
            <w:vAlign w:val="center"/>
          </w:tcPr>
          <w:p w14:paraId="5A99E4B6" w14:textId="77777777" w:rsidR="00DF4C30" w:rsidRPr="00D0395E" w:rsidRDefault="00DF4C30" w:rsidP="00AF4F6D">
            <w:pPr>
              <w:spacing w:line="240" w:lineRule="auto"/>
              <w:jc w:val="right"/>
              <w:rPr>
                <w:rFonts w:eastAsia="Times New Roman" w:cs="Times New Roman"/>
                <w:color w:val="000000"/>
                <w:sz w:val="18"/>
                <w:szCs w:val="18"/>
                <w:lang w:eastAsia="sk-SK"/>
              </w:rPr>
            </w:pPr>
          </w:p>
        </w:tc>
        <w:tc>
          <w:tcPr>
            <w:tcW w:w="682" w:type="pct"/>
            <w:tcBorders>
              <w:top w:val="nil"/>
              <w:left w:val="nil"/>
              <w:bottom w:val="nil"/>
              <w:right w:val="nil"/>
            </w:tcBorders>
            <w:vAlign w:val="center"/>
          </w:tcPr>
          <w:p w14:paraId="5CE7FCDF" w14:textId="77777777" w:rsidR="00DF4C30" w:rsidRPr="00D0395E" w:rsidRDefault="00DF4C30" w:rsidP="00AF4F6D">
            <w:pPr>
              <w:spacing w:line="240" w:lineRule="auto"/>
              <w:jc w:val="right"/>
              <w:rPr>
                <w:rFonts w:eastAsia="Times New Roman" w:cs="Times New Roman"/>
                <w:color w:val="000000"/>
                <w:sz w:val="18"/>
                <w:szCs w:val="18"/>
                <w:lang w:eastAsia="sk-SK"/>
              </w:rPr>
            </w:pPr>
          </w:p>
        </w:tc>
      </w:tr>
      <w:tr w:rsidR="00DF4C30" w:rsidRPr="00D0395E" w14:paraId="65A4FD4B" w14:textId="77777777" w:rsidTr="00AF4F6D">
        <w:trPr>
          <w:trHeight w:val="263"/>
        </w:trPr>
        <w:tc>
          <w:tcPr>
            <w:tcW w:w="2946" w:type="pct"/>
            <w:tcBorders>
              <w:top w:val="nil"/>
              <w:left w:val="nil"/>
              <w:bottom w:val="nil"/>
              <w:right w:val="nil"/>
            </w:tcBorders>
            <w:noWrap/>
            <w:vAlign w:val="center"/>
          </w:tcPr>
          <w:p w14:paraId="1695323B" w14:textId="77777777" w:rsidR="00DF4C30" w:rsidRPr="00D0395E" w:rsidRDefault="00DF4C30" w:rsidP="00AF4F6D">
            <w:pPr>
              <w:spacing w:line="240" w:lineRule="auto"/>
              <w:ind w:firstLine="215"/>
              <w:rPr>
                <w:rFonts w:eastAsia="Times New Roman" w:cs="Times New Roman"/>
                <w:color w:val="000000"/>
                <w:sz w:val="18"/>
                <w:szCs w:val="18"/>
                <w:lang w:eastAsia="sk-SK"/>
              </w:rPr>
            </w:pPr>
            <w:r w:rsidRPr="00D0395E">
              <w:rPr>
                <w:rFonts w:eastAsia="Times New Roman" w:cs="Times New Roman"/>
                <w:color w:val="000000"/>
                <w:sz w:val="18"/>
                <w:szCs w:val="18"/>
                <w:lang w:eastAsia="sk-SK"/>
              </w:rPr>
              <w:t>príjmy z úrokov, AÚV, prémií ŠD</w:t>
            </w:r>
          </w:p>
        </w:tc>
        <w:tc>
          <w:tcPr>
            <w:tcW w:w="711" w:type="pct"/>
            <w:tcBorders>
              <w:top w:val="nil"/>
              <w:left w:val="nil"/>
              <w:bottom w:val="nil"/>
              <w:right w:val="nil"/>
            </w:tcBorders>
            <w:vAlign w:val="center"/>
          </w:tcPr>
          <w:p w14:paraId="74B4AF83" w14:textId="77777777" w:rsidR="00DF4C30" w:rsidRPr="00D0395E" w:rsidRDefault="00DF4C30" w:rsidP="00AF4F6D">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350 500</w:t>
            </w:r>
          </w:p>
        </w:tc>
        <w:tc>
          <w:tcPr>
            <w:tcW w:w="661" w:type="pct"/>
            <w:tcBorders>
              <w:top w:val="nil"/>
              <w:left w:val="nil"/>
              <w:bottom w:val="nil"/>
              <w:right w:val="nil"/>
            </w:tcBorders>
            <w:vAlign w:val="center"/>
          </w:tcPr>
          <w:p w14:paraId="52BE29A1" w14:textId="77777777" w:rsidR="00DF4C30" w:rsidRPr="00D0395E" w:rsidRDefault="00DF4C30" w:rsidP="00AF4F6D">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520 118</w:t>
            </w:r>
          </w:p>
        </w:tc>
        <w:tc>
          <w:tcPr>
            <w:tcW w:w="682" w:type="pct"/>
            <w:tcBorders>
              <w:top w:val="nil"/>
              <w:left w:val="nil"/>
              <w:bottom w:val="nil"/>
              <w:right w:val="nil"/>
            </w:tcBorders>
            <w:vAlign w:val="center"/>
          </w:tcPr>
          <w:p w14:paraId="644FD4D6" w14:textId="43B45147" w:rsidR="00DF4C30" w:rsidRPr="00D0395E" w:rsidRDefault="004C3C04" w:rsidP="00AF4F6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453 949</w:t>
            </w:r>
          </w:p>
        </w:tc>
      </w:tr>
      <w:tr w:rsidR="00DF4C30" w:rsidRPr="00D0395E" w14:paraId="045F01FB" w14:textId="77777777" w:rsidTr="00AF4F6D">
        <w:trPr>
          <w:trHeight w:val="263"/>
        </w:trPr>
        <w:tc>
          <w:tcPr>
            <w:tcW w:w="2946" w:type="pct"/>
            <w:tcBorders>
              <w:top w:val="nil"/>
              <w:left w:val="nil"/>
              <w:bottom w:val="nil"/>
              <w:right w:val="nil"/>
            </w:tcBorders>
            <w:noWrap/>
            <w:vAlign w:val="center"/>
          </w:tcPr>
          <w:p w14:paraId="05960123" w14:textId="77777777" w:rsidR="00DF4C30" w:rsidRPr="00D0395E" w:rsidRDefault="00DF4C30" w:rsidP="00AF4F6D">
            <w:pPr>
              <w:spacing w:line="240" w:lineRule="auto"/>
              <w:ind w:firstLine="215"/>
              <w:rPr>
                <w:rFonts w:eastAsia="Times New Roman" w:cs="Times New Roman"/>
                <w:color w:val="000000"/>
                <w:sz w:val="18"/>
                <w:szCs w:val="18"/>
                <w:lang w:eastAsia="sk-SK"/>
              </w:rPr>
            </w:pPr>
            <w:r w:rsidRPr="00D0395E">
              <w:rPr>
                <w:rFonts w:eastAsia="Times New Roman" w:cs="Times New Roman"/>
                <w:color w:val="000000"/>
                <w:sz w:val="18"/>
                <w:szCs w:val="18"/>
                <w:lang w:eastAsia="sk-SK"/>
              </w:rPr>
              <w:t>transfer zo štátneho rozpočtu</w:t>
            </w:r>
          </w:p>
        </w:tc>
        <w:tc>
          <w:tcPr>
            <w:tcW w:w="711" w:type="pct"/>
            <w:tcBorders>
              <w:top w:val="nil"/>
              <w:left w:val="nil"/>
              <w:bottom w:val="nil"/>
              <w:right w:val="nil"/>
            </w:tcBorders>
            <w:vAlign w:val="center"/>
          </w:tcPr>
          <w:p w14:paraId="66B65BDA" w14:textId="77777777" w:rsidR="00DF4C30" w:rsidRPr="00D0395E" w:rsidRDefault="00DF4C30" w:rsidP="00AF4F6D">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1 072 931</w:t>
            </w:r>
          </w:p>
        </w:tc>
        <w:tc>
          <w:tcPr>
            <w:tcW w:w="661" w:type="pct"/>
            <w:tcBorders>
              <w:top w:val="nil"/>
              <w:left w:val="nil"/>
              <w:bottom w:val="nil"/>
              <w:right w:val="nil"/>
            </w:tcBorders>
            <w:vAlign w:val="center"/>
          </w:tcPr>
          <w:p w14:paraId="7CEEA69D" w14:textId="77777777" w:rsidR="00DF4C30" w:rsidRPr="00D0395E" w:rsidRDefault="00DF4C30" w:rsidP="00AF4F6D">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1 189 026</w:t>
            </w:r>
          </w:p>
        </w:tc>
        <w:tc>
          <w:tcPr>
            <w:tcW w:w="682" w:type="pct"/>
            <w:tcBorders>
              <w:top w:val="nil"/>
              <w:left w:val="nil"/>
              <w:bottom w:val="nil"/>
              <w:right w:val="nil"/>
            </w:tcBorders>
            <w:vAlign w:val="center"/>
          </w:tcPr>
          <w:p w14:paraId="6A7ACEDE" w14:textId="3AFDD58C" w:rsidR="00DF4C30" w:rsidRPr="00D0395E" w:rsidRDefault="004C3C04" w:rsidP="00AF4F6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1 564 824</w:t>
            </w:r>
          </w:p>
        </w:tc>
      </w:tr>
      <w:tr w:rsidR="00DF4C30" w:rsidRPr="00D0395E" w14:paraId="76AD23E2" w14:textId="77777777" w:rsidTr="00AF4F6D">
        <w:trPr>
          <w:trHeight w:val="263"/>
        </w:trPr>
        <w:tc>
          <w:tcPr>
            <w:tcW w:w="2946" w:type="pct"/>
            <w:tcBorders>
              <w:top w:val="nil"/>
              <w:left w:val="nil"/>
              <w:bottom w:val="nil"/>
              <w:right w:val="nil"/>
            </w:tcBorders>
            <w:noWrap/>
            <w:vAlign w:val="center"/>
            <w:hideMark/>
          </w:tcPr>
          <w:p w14:paraId="4BDB99CE" w14:textId="77777777" w:rsidR="00DF4C30" w:rsidRPr="00D0395E" w:rsidRDefault="00DF4C30" w:rsidP="00AF4F6D">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Výdavky spolu</w:t>
            </w:r>
          </w:p>
        </w:tc>
        <w:tc>
          <w:tcPr>
            <w:tcW w:w="711" w:type="pct"/>
            <w:tcBorders>
              <w:top w:val="nil"/>
              <w:left w:val="nil"/>
              <w:bottom w:val="nil"/>
              <w:right w:val="nil"/>
            </w:tcBorders>
            <w:vAlign w:val="center"/>
            <w:hideMark/>
          </w:tcPr>
          <w:p w14:paraId="42A84056" w14:textId="77777777" w:rsidR="00DF4C30" w:rsidRPr="00D0395E" w:rsidRDefault="00DF4C30" w:rsidP="00AF4F6D">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1 423 431</w:t>
            </w:r>
          </w:p>
        </w:tc>
        <w:tc>
          <w:tcPr>
            <w:tcW w:w="661" w:type="pct"/>
            <w:tcBorders>
              <w:top w:val="nil"/>
              <w:left w:val="nil"/>
              <w:bottom w:val="nil"/>
              <w:right w:val="nil"/>
            </w:tcBorders>
            <w:vAlign w:val="center"/>
          </w:tcPr>
          <w:p w14:paraId="4BB90E8A" w14:textId="77777777" w:rsidR="00DF4C30" w:rsidRPr="00D0395E" w:rsidRDefault="00DF4C30" w:rsidP="00AF4F6D">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1 703 465</w:t>
            </w:r>
          </w:p>
        </w:tc>
        <w:tc>
          <w:tcPr>
            <w:tcW w:w="682" w:type="pct"/>
            <w:tcBorders>
              <w:top w:val="nil"/>
              <w:left w:val="nil"/>
              <w:bottom w:val="nil"/>
              <w:right w:val="nil"/>
            </w:tcBorders>
            <w:vAlign w:val="center"/>
          </w:tcPr>
          <w:p w14:paraId="156FA22C" w14:textId="1124DD1E" w:rsidR="00DF4C30" w:rsidRPr="00D0395E" w:rsidRDefault="004C3C04" w:rsidP="00AF4F6D">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2 018 773</w:t>
            </w:r>
          </w:p>
        </w:tc>
      </w:tr>
      <w:tr w:rsidR="00DF4C30" w:rsidRPr="00D0395E" w14:paraId="508D884E" w14:textId="77777777" w:rsidTr="00AF4F6D">
        <w:trPr>
          <w:trHeight w:val="275"/>
        </w:trPr>
        <w:tc>
          <w:tcPr>
            <w:tcW w:w="2946" w:type="pct"/>
            <w:tcBorders>
              <w:top w:val="nil"/>
              <w:left w:val="nil"/>
              <w:bottom w:val="nil"/>
              <w:right w:val="nil"/>
            </w:tcBorders>
            <w:noWrap/>
            <w:vAlign w:val="center"/>
            <w:hideMark/>
          </w:tcPr>
          <w:p w14:paraId="6B469441" w14:textId="77777777" w:rsidR="00DF4C30" w:rsidRPr="00D0395E" w:rsidRDefault="00DF4C30" w:rsidP="00AF4F6D">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v tom: </w:t>
            </w:r>
          </w:p>
        </w:tc>
        <w:tc>
          <w:tcPr>
            <w:tcW w:w="711" w:type="pct"/>
            <w:tcBorders>
              <w:top w:val="nil"/>
              <w:left w:val="nil"/>
              <w:bottom w:val="nil"/>
              <w:right w:val="nil"/>
            </w:tcBorders>
            <w:noWrap/>
            <w:vAlign w:val="center"/>
            <w:hideMark/>
          </w:tcPr>
          <w:p w14:paraId="0DB264E6" w14:textId="77777777" w:rsidR="00DF4C30" w:rsidRPr="00D0395E" w:rsidRDefault="00DF4C30" w:rsidP="00AF4F6D">
            <w:pPr>
              <w:spacing w:line="240" w:lineRule="auto"/>
              <w:rPr>
                <w:rFonts w:eastAsia="Times New Roman" w:cs="Times New Roman"/>
                <w:color w:val="000000"/>
                <w:sz w:val="18"/>
                <w:szCs w:val="18"/>
                <w:lang w:eastAsia="sk-SK"/>
              </w:rPr>
            </w:pPr>
          </w:p>
        </w:tc>
        <w:tc>
          <w:tcPr>
            <w:tcW w:w="661" w:type="pct"/>
            <w:tcBorders>
              <w:top w:val="nil"/>
              <w:left w:val="nil"/>
              <w:bottom w:val="nil"/>
              <w:right w:val="nil"/>
            </w:tcBorders>
            <w:vAlign w:val="center"/>
          </w:tcPr>
          <w:p w14:paraId="0FD57298" w14:textId="77777777" w:rsidR="00DF4C30" w:rsidRPr="00D0395E" w:rsidRDefault="00DF4C30" w:rsidP="00AF4F6D">
            <w:pPr>
              <w:spacing w:line="240" w:lineRule="auto"/>
              <w:rPr>
                <w:rFonts w:eastAsia="Times New Roman" w:cs="Times New Roman"/>
                <w:sz w:val="18"/>
                <w:szCs w:val="18"/>
                <w:lang w:eastAsia="sk-SK"/>
              </w:rPr>
            </w:pPr>
          </w:p>
        </w:tc>
        <w:tc>
          <w:tcPr>
            <w:tcW w:w="682" w:type="pct"/>
            <w:tcBorders>
              <w:top w:val="nil"/>
              <w:left w:val="nil"/>
              <w:bottom w:val="nil"/>
              <w:right w:val="nil"/>
            </w:tcBorders>
            <w:vAlign w:val="center"/>
          </w:tcPr>
          <w:p w14:paraId="0A99FD0D" w14:textId="77777777" w:rsidR="00DF4C30" w:rsidRPr="00D0395E" w:rsidRDefault="00DF4C30" w:rsidP="00AF4F6D">
            <w:pPr>
              <w:spacing w:line="240" w:lineRule="auto"/>
              <w:rPr>
                <w:rFonts w:eastAsia="Times New Roman" w:cs="Times New Roman"/>
                <w:sz w:val="18"/>
                <w:szCs w:val="18"/>
                <w:lang w:eastAsia="sk-SK"/>
              </w:rPr>
            </w:pPr>
          </w:p>
        </w:tc>
      </w:tr>
      <w:tr w:rsidR="00DF4C30" w:rsidRPr="00D0395E" w14:paraId="287CEFD4" w14:textId="77777777" w:rsidTr="00AF4F6D">
        <w:trPr>
          <w:trHeight w:val="263"/>
        </w:trPr>
        <w:tc>
          <w:tcPr>
            <w:tcW w:w="2946" w:type="pct"/>
            <w:tcBorders>
              <w:top w:val="nil"/>
              <w:left w:val="nil"/>
              <w:bottom w:val="nil"/>
              <w:right w:val="nil"/>
            </w:tcBorders>
            <w:noWrap/>
            <w:vAlign w:val="center"/>
            <w:hideMark/>
          </w:tcPr>
          <w:p w14:paraId="60B2F518" w14:textId="77777777" w:rsidR="00DF4C30" w:rsidRPr="00685F68" w:rsidRDefault="00DF4C30" w:rsidP="00AF4F6D">
            <w:pPr>
              <w:spacing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úroky zo štátnych dlhopisov + obchodov + úverov</w:t>
            </w:r>
          </w:p>
        </w:tc>
        <w:tc>
          <w:tcPr>
            <w:tcW w:w="711" w:type="pct"/>
            <w:tcBorders>
              <w:top w:val="nil"/>
              <w:left w:val="nil"/>
              <w:bottom w:val="nil"/>
              <w:right w:val="nil"/>
            </w:tcBorders>
            <w:vAlign w:val="center"/>
            <w:hideMark/>
          </w:tcPr>
          <w:p w14:paraId="4C7194FA"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1 165 597</w:t>
            </w:r>
          </w:p>
        </w:tc>
        <w:tc>
          <w:tcPr>
            <w:tcW w:w="661" w:type="pct"/>
            <w:tcBorders>
              <w:top w:val="nil"/>
              <w:left w:val="nil"/>
              <w:bottom w:val="nil"/>
              <w:right w:val="nil"/>
            </w:tcBorders>
            <w:vAlign w:val="center"/>
          </w:tcPr>
          <w:p w14:paraId="3C6D0CF1"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1 382 732</w:t>
            </w:r>
          </w:p>
        </w:tc>
        <w:tc>
          <w:tcPr>
            <w:tcW w:w="682" w:type="pct"/>
            <w:tcBorders>
              <w:top w:val="nil"/>
              <w:left w:val="nil"/>
              <w:bottom w:val="nil"/>
              <w:right w:val="nil"/>
            </w:tcBorders>
            <w:vAlign w:val="center"/>
          </w:tcPr>
          <w:p w14:paraId="3E965663" w14:textId="6F2E32DB" w:rsidR="00DF4C30" w:rsidRPr="00685F68" w:rsidRDefault="004C3C04" w:rsidP="00AF4F6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1 733 525</w:t>
            </w:r>
          </w:p>
        </w:tc>
      </w:tr>
      <w:tr w:rsidR="00DF4C30" w:rsidRPr="00D0395E" w14:paraId="2A775310" w14:textId="77777777" w:rsidTr="00AF4F6D">
        <w:trPr>
          <w:trHeight w:val="263"/>
        </w:trPr>
        <w:tc>
          <w:tcPr>
            <w:tcW w:w="2946" w:type="pct"/>
            <w:tcBorders>
              <w:top w:val="nil"/>
              <w:left w:val="nil"/>
              <w:bottom w:val="nil"/>
              <w:right w:val="nil"/>
            </w:tcBorders>
            <w:noWrap/>
            <w:vAlign w:val="center"/>
            <w:hideMark/>
          </w:tcPr>
          <w:p w14:paraId="5C096604" w14:textId="77777777" w:rsidR="00DF4C30" w:rsidRPr="00685F68" w:rsidRDefault="00DF4C30" w:rsidP="00AF4F6D">
            <w:pPr>
              <w:spacing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úroky z refinančného systému - ŠP</w:t>
            </w:r>
          </w:p>
        </w:tc>
        <w:tc>
          <w:tcPr>
            <w:tcW w:w="711" w:type="pct"/>
            <w:tcBorders>
              <w:top w:val="nil"/>
              <w:left w:val="nil"/>
              <w:bottom w:val="nil"/>
              <w:right w:val="nil"/>
            </w:tcBorders>
            <w:vAlign w:val="center"/>
            <w:hideMark/>
          </w:tcPr>
          <w:p w14:paraId="6F9B84A9"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196 996</w:t>
            </w:r>
          </w:p>
        </w:tc>
        <w:tc>
          <w:tcPr>
            <w:tcW w:w="661" w:type="pct"/>
            <w:tcBorders>
              <w:top w:val="nil"/>
              <w:left w:val="nil"/>
              <w:bottom w:val="nil"/>
              <w:right w:val="nil"/>
            </w:tcBorders>
            <w:vAlign w:val="center"/>
          </w:tcPr>
          <w:p w14:paraId="3C3D4619"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291 569</w:t>
            </w:r>
          </w:p>
        </w:tc>
        <w:tc>
          <w:tcPr>
            <w:tcW w:w="682" w:type="pct"/>
            <w:tcBorders>
              <w:top w:val="nil"/>
              <w:left w:val="nil"/>
              <w:bottom w:val="nil"/>
              <w:right w:val="nil"/>
            </w:tcBorders>
            <w:vAlign w:val="center"/>
          </w:tcPr>
          <w:p w14:paraId="15B70CEB" w14:textId="11D5488C" w:rsidR="00DF4C30" w:rsidRPr="00685F68" w:rsidRDefault="004C3C04" w:rsidP="00AF4F6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200 041</w:t>
            </w:r>
          </w:p>
        </w:tc>
      </w:tr>
      <w:tr w:rsidR="00DF4C30" w:rsidRPr="00D0395E" w14:paraId="1F6A81A7" w14:textId="77777777" w:rsidTr="00AF4F6D">
        <w:trPr>
          <w:trHeight w:val="263"/>
        </w:trPr>
        <w:tc>
          <w:tcPr>
            <w:tcW w:w="2946" w:type="pct"/>
            <w:tcBorders>
              <w:top w:val="nil"/>
              <w:left w:val="nil"/>
              <w:right w:val="nil"/>
            </w:tcBorders>
            <w:noWrap/>
            <w:vAlign w:val="center"/>
            <w:hideMark/>
          </w:tcPr>
          <w:p w14:paraId="3EBA4F6D" w14:textId="77777777" w:rsidR="00DF4C30" w:rsidRPr="00685F68" w:rsidRDefault="00DF4C30" w:rsidP="00AF4F6D">
            <w:pPr>
              <w:spacing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disážio (diskont CP)</w:t>
            </w:r>
          </w:p>
        </w:tc>
        <w:tc>
          <w:tcPr>
            <w:tcW w:w="711" w:type="pct"/>
            <w:tcBorders>
              <w:top w:val="nil"/>
              <w:left w:val="nil"/>
              <w:right w:val="nil"/>
            </w:tcBorders>
            <w:vAlign w:val="center"/>
            <w:hideMark/>
          </w:tcPr>
          <w:p w14:paraId="0C85CE6F"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48 160</w:t>
            </w:r>
          </w:p>
        </w:tc>
        <w:tc>
          <w:tcPr>
            <w:tcW w:w="661" w:type="pct"/>
            <w:tcBorders>
              <w:top w:val="nil"/>
              <w:left w:val="nil"/>
              <w:right w:val="nil"/>
            </w:tcBorders>
            <w:vAlign w:val="center"/>
          </w:tcPr>
          <w:p w14:paraId="044D36E5"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15 002</w:t>
            </w:r>
          </w:p>
        </w:tc>
        <w:tc>
          <w:tcPr>
            <w:tcW w:w="682" w:type="pct"/>
            <w:tcBorders>
              <w:top w:val="nil"/>
              <w:left w:val="nil"/>
              <w:right w:val="nil"/>
            </w:tcBorders>
            <w:vAlign w:val="center"/>
          </w:tcPr>
          <w:p w14:paraId="213F9602" w14:textId="45EFD060" w:rsidR="00DF4C30" w:rsidRPr="00685F68" w:rsidRDefault="004C3C04" w:rsidP="00AF4F6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65 409</w:t>
            </w:r>
          </w:p>
        </w:tc>
      </w:tr>
      <w:tr w:rsidR="00DF4C30" w:rsidRPr="00D0395E" w14:paraId="255900D8" w14:textId="77777777" w:rsidTr="00AF4F6D">
        <w:trPr>
          <w:trHeight w:val="263"/>
        </w:trPr>
        <w:tc>
          <w:tcPr>
            <w:tcW w:w="2946" w:type="pct"/>
            <w:tcBorders>
              <w:top w:val="nil"/>
              <w:left w:val="nil"/>
              <w:bottom w:val="single" w:sz="4" w:space="0" w:color="auto"/>
              <w:right w:val="nil"/>
            </w:tcBorders>
            <w:noWrap/>
            <w:vAlign w:val="center"/>
            <w:hideMark/>
          </w:tcPr>
          <w:p w14:paraId="53FC9C9D" w14:textId="77777777" w:rsidR="00DF4C30" w:rsidRPr="00685F68" w:rsidRDefault="00DF4C30" w:rsidP="00AF4F6D">
            <w:pPr>
              <w:spacing w:line="240" w:lineRule="auto"/>
              <w:rPr>
                <w:rFonts w:eastAsia="Times New Roman" w:cs="Times New Roman"/>
                <w:color w:val="000000"/>
                <w:sz w:val="18"/>
                <w:szCs w:val="18"/>
                <w:lang w:eastAsia="sk-SK"/>
              </w:rPr>
            </w:pPr>
            <w:r w:rsidRPr="00685F68">
              <w:rPr>
                <w:rFonts w:eastAsia="Times New Roman" w:cs="Times New Roman"/>
                <w:color w:val="000000"/>
                <w:sz w:val="18"/>
                <w:szCs w:val="18"/>
                <w:lang w:eastAsia="sk-SK"/>
              </w:rPr>
              <w:t xml:space="preserve">   poplatky </w:t>
            </w:r>
          </w:p>
        </w:tc>
        <w:tc>
          <w:tcPr>
            <w:tcW w:w="711" w:type="pct"/>
            <w:tcBorders>
              <w:top w:val="nil"/>
              <w:left w:val="nil"/>
              <w:bottom w:val="single" w:sz="4" w:space="0" w:color="auto"/>
              <w:right w:val="nil"/>
            </w:tcBorders>
            <w:vAlign w:val="center"/>
            <w:hideMark/>
          </w:tcPr>
          <w:p w14:paraId="1D110EAD"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12 678</w:t>
            </w:r>
          </w:p>
        </w:tc>
        <w:tc>
          <w:tcPr>
            <w:tcW w:w="661" w:type="pct"/>
            <w:tcBorders>
              <w:top w:val="nil"/>
              <w:left w:val="nil"/>
              <w:bottom w:val="single" w:sz="4" w:space="0" w:color="auto"/>
              <w:right w:val="nil"/>
            </w:tcBorders>
            <w:vAlign w:val="center"/>
          </w:tcPr>
          <w:p w14:paraId="326CBBF2" w14:textId="77777777" w:rsidR="00DF4C30" w:rsidRPr="00685F68" w:rsidRDefault="00DF4C30" w:rsidP="00AF4F6D">
            <w:pPr>
              <w:spacing w:line="240" w:lineRule="auto"/>
              <w:jc w:val="right"/>
              <w:rPr>
                <w:rFonts w:eastAsia="Times New Roman" w:cs="Times New Roman"/>
                <w:color w:val="000000"/>
                <w:sz w:val="18"/>
                <w:szCs w:val="18"/>
                <w:lang w:eastAsia="sk-SK"/>
              </w:rPr>
            </w:pPr>
            <w:r w:rsidRPr="00685F68">
              <w:rPr>
                <w:rFonts w:eastAsia="Times New Roman" w:cs="Times New Roman"/>
                <w:color w:val="000000"/>
                <w:sz w:val="18"/>
                <w:szCs w:val="18"/>
                <w:lang w:eastAsia="sk-SK"/>
              </w:rPr>
              <w:t>14 162</w:t>
            </w:r>
          </w:p>
        </w:tc>
        <w:tc>
          <w:tcPr>
            <w:tcW w:w="682" w:type="pct"/>
            <w:tcBorders>
              <w:top w:val="nil"/>
              <w:left w:val="nil"/>
              <w:bottom w:val="single" w:sz="4" w:space="0" w:color="auto"/>
              <w:right w:val="nil"/>
            </w:tcBorders>
            <w:vAlign w:val="center"/>
          </w:tcPr>
          <w:p w14:paraId="1072F621" w14:textId="67AA6F65" w:rsidR="00DF4C30" w:rsidRPr="00685F68" w:rsidRDefault="004C3C04" w:rsidP="00AF4F6D">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19 798</w:t>
            </w:r>
          </w:p>
        </w:tc>
      </w:tr>
    </w:tbl>
    <w:p w14:paraId="2CED5B08" w14:textId="364FFB55" w:rsidR="00A7279C" w:rsidRPr="00DF4C30" w:rsidRDefault="009A6D81" w:rsidP="009A6D81">
      <w:pPr>
        <w:tabs>
          <w:tab w:val="right" w:pos="9070"/>
        </w:tabs>
        <w:spacing w:line="240" w:lineRule="auto"/>
        <w:jc w:val="both"/>
        <w:rPr>
          <w:rFonts w:eastAsia="Times New Roman" w:cs="Times New Roman"/>
          <w:szCs w:val="24"/>
          <w:lang w:eastAsia="sk-SK"/>
        </w:rPr>
      </w:pPr>
      <w:r w:rsidRPr="00DF4C30">
        <w:rPr>
          <w:rFonts w:eastAsia="Times New Roman" w:cs="Times New Roman"/>
          <w:sz w:val="18"/>
          <w:szCs w:val="18"/>
        </w:rPr>
        <w:tab/>
      </w:r>
      <w:r w:rsidR="00A7279C" w:rsidRPr="00DF4C30">
        <w:rPr>
          <w:rFonts w:eastAsia="Times New Roman" w:cs="Times New Roman"/>
          <w:sz w:val="18"/>
          <w:szCs w:val="18"/>
        </w:rPr>
        <w:t>Zdroj: MF SR</w:t>
      </w:r>
    </w:p>
    <w:p w14:paraId="356FA623" w14:textId="77777777" w:rsidR="00DF4C30" w:rsidRDefault="00DF4C30" w:rsidP="003B042A">
      <w:pPr>
        <w:spacing w:line="240" w:lineRule="auto"/>
        <w:jc w:val="both"/>
        <w:rPr>
          <w:rFonts w:eastAsia="Times New Roman" w:cs="Times New Roman"/>
          <w:szCs w:val="24"/>
          <w:lang w:eastAsia="sk-SK"/>
        </w:rPr>
      </w:pPr>
    </w:p>
    <w:p w14:paraId="2229C20F" w14:textId="7D1EDAD6" w:rsidR="003B042A" w:rsidRPr="009864C2" w:rsidRDefault="003B042A" w:rsidP="003B042A">
      <w:pPr>
        <w:spacing w:line="240" w:lineRule="auto"/>
        <w:jc w:val="both"/>
        <w:rPr>
          <w:rFonts w:eastAsia="Times New Roman" w:cs="Times New Roman"/>
          <w:szCs w:val="24"/>
          <w:lang w:eastAsia="sk-SK"/>
        </w:rPr>
      </w:pPr>
      <w:r>
        <w:rPr>
          <w:rFonts w:eastAsia="Times New Roman" w:cs="Times New Roman"/>
          <w:szCs w:val="24"/>
          <w:lang w:eastAsia="sk-SK"/>
        </w:rPr>
        <w:t>Ďalej bolo rozpočtovaných 750</w:t>
      </w:r>
      <w:r w:rsidR="002267CE">
        <w:rPr>
          <w:rFonts w:eastAsia="Times New Roman" w:cs="Times New Roman"/>
          <w:szCs w:val="24"/>
          <w:lang w:eastAsia="sk-SK"/>
        </w:rPr>
        <w:t> </w:t>
      </w:r>
      <w:r>
        <w:rPr>
          <w:rFonts w:eastAsia="Times New Roman" w:cs="Times New Roman"/>
          <w:szCs w:val="24"/>
          <w:lang w:eastAsia="sk-SK"/>
        </w:rPr>
        <w:t>000</w:t>
      </w:r>
      <w:r w:rsidR="002267CE">
        <w:rPr>
          <w:rFonts w:eastAsia="Times New Roman" w:cs="Times New Roman"/>
          <w:szCs w:val="24"/>
          <w:lang w:eastAsia="sk-SK"/>
        </w:rPr>
        <w:t> </w:t>
      </w:r>
      <w:r>
        <w:rPr>
          <w:rFonts w:eastAsia="Times New Roman" w:cs="Times New Roman"/>
          <w:szCs w:val="24"/>
          <w:lang w:eastAsia="sk-SK"/>
        </w:rPr>
        <w:t>tis.</w:t>
      </w:r>
      <w:r w:rsidR="002267CE">
        <w:rPr>
          <w:rFonts w:eastAsia="Times New Roman" w:cs="Times New Roman"/>
          <w:szCs w:val="24"/>
          <w:lang w:eastAsia="sk-SK"/>
        </w:rPr>
        <w:t> </w:t>
      </w:r>
      <w:r>
        <w:rPr>
          <w:rFonts w:eastAsia="Times New Roman" w:cs="Times New Roman"/>
          <w:szCs w:val="24"/>
          <w:lang w:eastAsia="sk-SK"/>
        </w:rPr>
        <w:t>eur ako transfer do štátnych finančných aktív s cieľom vytvorenia finančného rámca na kapitalizáciu existujúcich spoločností s majetkovou účasťou štátu. Tento transfer sa v skutočnosti nezrealizoval.</w:t>
      </w:r>
    </w:p>
    <w:p w14:paraId="320CEBCC" w14:textId="66944550" w:rsidR="005F15A4" w:rsidRPr="00B54C90" w:rsidRDefault="003B042A" w:rsidP="00B54C90">
      <w:pPr>
        <w:spacing w:after="240"/>
        <w:jc w:val="both"/>
        <w:rPr>
          <w:rFonts w:eastAsia="Calibri" w:cs="Times New Roman"/>
          <w:bCs/>
          <w:iCs/>
          <w:szCs w:val="24"/>
        </w:rPr>
      </w:pPr>
      <w:r w:rsidRPr="00B54C90">
        <w:rPr>
          <w:rFonts w:eastAsia="Calibri" w:cs="Times New Roman"/>
          <w:bCs/>
          <w:iCs/>
          <w:szCs w:val="24"/>
          <w:u w:val="single"/>
        </w:rPr>
        <w:lastRenderedPageBreak/>
        <w:t>Obciam</w:t>
      </w:r>
      <w:r>
        <w:rPr>
          <w:rFonts w:eastAsia="Calibri" w:cs="Times New Roman"/>
          <w:b/>
          <w:i/>
          <w:szCs w:val="24"/>
        </w:rPr>
        <w:t xml:space="preserve"> </w:t>
      </w:r>
      <w:r>
        <w:rPr>
          <w:rFonts w:eastAsia="Calibri" w:cs="Times New Roman"/>
          <w:bCs/>
          <w:iCs/>
          <w:szCs w:val="24"/>
        </w:rPr>
        <w:t>bolo poskytnutých v roku 2025 na bežných transferoch úhrnom o</w:t>
      </w:r>
      <w:r w:rsidR="002267CE">
        <w:rPr>
          <w:rFonts w:eastAsia="Calibri" w:cs="Times New Roman"/>
          <w:bCs/>
          <w:iCs/>
          <w:szCs w:val="24"/>
        </w:rPr>
        <w:t> </w:t>
      </w:r>
      <w:r>
        <w:rPr>
          <w:rFonts w:eastAsia="Calibri" w:cs="Times New Roman"/>
          <w:bCs/>
          <w:iCs/>
          <w:szCs w:val="24"/>
        </w:rPr>
        <w:t>311</w:t>
      </w:r>
      <w:r w:rsidR="002267CE">
        <w:rPr>
          <w:rFonts w:eastAsia="Calibri" w:cs="Times New Roman"/>
          <w:bCs/>
          <w:iCs/>
          <w:szCs w:val="24"/>
        </w:rPr>
        <w:t> </w:t>
      </w:r>
      <w:r>
        <w:rPr>
          <w:rFonts w:eastAsia="Calibri" w:cs="Times New Roman"/>
          <w:bCs/>
          <w:iCs/>
          <w:szCs w:val="24"/>
        </w:rPr>
        <w:t>600 tis. eur viac ako sa pôvodne rozpočtovalo. Prekročenie rozpočtu o</w:t>
      </w:r>
      <w:r w:rsidR="002267CE">
        <w:rPr>
          <w:rFonts w:eastAsia="Calibri" w:cs="Times New Roman"/>
          <w:bCs/>
          <w:iCs/>
          <w:szCs w:val="24"/>
        </w:rPr>
        <w:t> </w:t>
      </w:r>
      <w:r>
        <w:rPr>
          <w:rFonts w:eastAsia="Calibri" w:cs="Times New Roman"/>
          <w:bCs/>
          <w:iCs/>
          <w:szCs w:val="24"/>
        </w:rPr>
        <w:t>221</w:t>
      </w:r>
      <w:r w:rsidR="002267CE">
        <w:rPr>
          <w:rFonts w:eastAsia="Calibri" w:cs="Times New Roman"/>
          <w:bCs/>
          <w:iCs/>
          <w:szCs w:val="24"/>
        </w:rPr>
        <w:t> </w:t>
      </w:r>
      <w:r>
        <w:rPr>
          <w:rFonts w:eastAsia="Calibri" w:cs="Times New Roman"/>
          <w:bCs/>
          <w:iCs/>
          <w:szCs w:val="24"/>
        </w:rPr>
        <w:t>261 tis. eur bolo hlavne na transferoch, ktoré nesúviseli s úhradou nákladov na prenesený výkon štátnej správy</w:t>
      </w:r>
      <w:r w:rsidRPr="000C4267">
        <w:rPr>
          <w:rFonts w:eastAsia="Calibri" w:cs="Times New Roman"/>
          <w:bCs/>
          <w:iCs/>
          <w:szCs w:val="24"/>
        </w:rPr>
        <w:t>. Vyššie čerpanie EU fondov umožnilo aj vyššie bežné transfery zo zdrojov EU o</w:t>
      </w:r>
      <w:r w:rsidR="002267CE">
        <w:rPr>
          <w:rFonts w:eastAsia="Calibri" w:cs="Times New Roman"/>
          <w:bCs/>
          <w:iCs/>
          <w:szCs w:val="24"/>
        </w:rPr>
        <w:t> </w:t>
      </w:r>
      <w:r w:rsidRPr="000C4267">
        <w:rPr>
          <w:rFonts w:eastAsia="Calibri" w:cs="Times New Roman"/>
          <w:bCs/>
          <w:iCs/>
          <w:szCs w:val="24"/>
        </w:rPr>
        <w:t>114</w:t>
      </w:r>
      <w:r w:rsidR="002267CE">
        <w:rPr>
          <w:rFonts w:eastAsia="Calibri" w:cs="Times New Roman"/>
          <w:bCs/>
          <w:iCs/>
          <w:szCs w:val="24"/>
        </w:rPr>
        <w:t> </w:t>
      </w:r>
      <w:r w:rsidRPr="000C4267">
        <w:rPr>
          <w:rFonts w:eastAsia="Calibri" w:cs="Times New Roman"/>
          <w:bCs/>
          <w:iCs/>
          <w:szCs w:val="24"/>
        </w:rPr>
        <w:t>349 tis. eur. Prostriedky zo zdroja ŠR (bez spolufinancovania) boli vyššie o</w:t>
      </w:r>
      <w:r w:rsidR="002267CE">
        <w:rPr>
          <w:rFonts w:eastAsia="Calibri" w:cs="Times New Roman"/>
          <w:bCs/>
          <w:iCs/>
          <w:szCs w:val="24"/>
        </w:rPr>
        <w:t> </w:t>
      </w:r>
      <w:r w:rsidRPr="000C4267">
        <w:rPr>
          <w:rFonts w:eastAsia="Calibri" w:cs="Times New Roman"/>
          <w:bCs/>
          <w:iCs/>
          <w:szCs w:val="24"/>
        </w:rPr>
        <w:t>185</w:t>
      </w:r>
      <w:r w:rsidR="002267CE">
        <w:rPr>
          <w:rFonts w:eastAsia="Calibri" w:cs="Times New Roman"/>
          <w:bCs/>
          <w:iCs/>
          <w:szCs w:val="24"/>
        </w:rPr>
        <w:t> </w:t>
      </w:r>
      <w:r w:rsidRPr="000C4267">
        <w:rPr>
          <w:rFonts w:eastAsia="Calibri" w:cs="Times New Roman"/>
          <w:bCs/>
          <w:iCs/>
          <w:szCs w:val="24"/>
        </w:rPr>
        <w:t>761 tis. eur a to približne v rovnakej výške na úhradu nákladov na prenesený výkon štátnej správa ako aj na</w:t>
      </w:r>
      <w:r w:rsidR="002267CE">
        <w:rPr>
          <w:rFonts w:eastAsia="Calibri" w:cs="Times New Roman"/>
          <w:bCs/>
          <w:iCs/>
          <w:szCs w:val="24"/>
        </w:rPr>
        <w:t> </w:t>
      </w:r>
      <w:r w:rsidRPr="000C4267">
        <w:rPr>
          <w:rFonts w:eastAsia="Calibri" w:cs="Times New Roman"/>
          <w:bCs/>
          <w:iCs/>
          <w:szCs w:val="24"/>
        </w:rPr>
        <w:t>ostatné transfery.</w:t>
      </w:r>
      <w:r>
        <w:rPr>
          <w:rFonts w:eastAsia="Calibri" w:cs="Times New Roman"/>
          <w:bCs/>
          <w:iCs/>
          <w:szCs w:val="24"/>
        </w:rPr>
        <w:t xml:space="preserve"> Najväčšiu časť transferov poskytlo Ministerstvo školstva, výskumu, vývoja a </w:t>
      </w:r>
      <w:r w:rsidRPr="009F411C">
        <w:rPr>
          <w:rFonts w:eastAsia="Calibri" w:cs="Times New Roman"/>
          <w:bCs/>
          <w:iCs/>
          <w:szCs w:val="24"/>
        </w:rPr>
        <w:t>mládeže SR 2 331</w:t>
      </w:r>
      <w:r w:rsidR="002267CE">
        <w:rPr>
          <w:rFonts w:eastAsia="Calibri" w:cs="Times New Roman"/>
          <w:bCs/>
          <w:iCs/>
          <w:szCs w:val="24"/>
        </w:rPr>
        <w:t> </w:t>
      </w:r>
      <w:r w:rsidRPr="009F411C">
        <w:rPr>
          <w:rFonts w:eastAsia="Calibri" w:cs="Times New Roman"/>
          <w:bCs/>
          <w:iCs/>
          <w:szCs w:val="24"/>
        </w:rPr>
        <w:t>591</w:t>
      </w:r>
      <w:r w:rsidR="002267CE">
        <w:rPr>
          <w:rFonts w:eastAsia="Calibri" w:cs="Times New Roman"/>
          <w:bCs/>
          <w:iCs/>
          <w:szCs w:val="24"/>
        </w:rPr>
        <w:t> </w:t>
      </w:r>
      <w:r w:rsidRPr="009F411C">
        <w:rPr>
          <w:rFonts w:eastAsia="Calibri" w:cs="Times New Roman"/>
          <w:bCs/>
          <w:iCs/>
          <w:szCs w:val="24"/>
        </w:rPr>
        <w:t>tis.</w:t>
      </w:r>
      <w:r w:rsidR="002267CE">
        <w:rPr>
          <w:rFonts w:eastAsia="Calibri" w:cs="Times New Roman"/>
          <w:bCs/>
          <w:iCs/>
          <w:szCs w:val="24"/>
        </w:rPr>
        <w:t> </w:t>
      </w:r>
      <w:r w:rsidRPr="009F411C">
        <w:rPr>
          <w:rFonts w:eastAsia="Calibri" w:cs="Times New Roman"/>
          <w:bCs/>
          <w:iCs/>
          <w:szCs w:val="24"/>
        </w:rPr>
        <w:t>eur</w:t>
      </w:r>
      <w:r w:rsidR="005F15A4" w:rsidRPr="0092003B">
        <w:rPr>
          <w:rFonts w:eastAsia="Calibri" w:cs="Times New Roman"/>
          <w:bCs/>
          <w:iCs/>
          <w:szCs w:val="24"/>
        </w:rPr>
        <w:t>, prostredníctvom Regionálnych úradov školskej správy (RÚŠS).</w:t>
      </w:r>
      <w:r w:rsidR="005F15A4" w:rsidRPr="0092003B">
        <w:rPr>
          <w:szCs w:val="24"/>
        </w:rPr>
        <w:t xml:space="preserve"> Finančné prostriedky sa čerpali na normatívne výdavky </w:t>
      </w:r>
      <w:r w:rsidR="005F15A4" w:rsidRPr="0092003B">
        <w:rPr>
          <w:bCs/>
          <w:szCs w:val="24"/>
        </w:rPr>
        <w:t>určené na mzdy a</w:t>
      </w:r>
      <w:r w:rsidR="00B54C90">
        <w:rPr>
          <w:bCs/>
          <w:szCs w:val="24"/>
        </w:rPr>
        <w:t> </w:t>
      </w:r>
      <w:r w:rsidR="005F15A4" w:rsidRPr="0092003B">
        <w:rPr>
          <w:bCs/>
          <w:szCs w:val="24"/>
        </w:rPr>
        <w:t xml:space="preserve">prevádzku základných škôl a boli pridelené na základe rozpisu </w:t>
      </w:r>
      <w:r w:rsidR="005F15A4" w:rsidRPr="0092003B">
        <w:rPr>
          <w:rFonts w:eastAsia="Calibri" w:cs="Times New Roman"/>
          <w:bCs/>
          <w:iCs/>
          <w:szCs w:val="24"/>
        </w:rPr>
        <w:t>Ministerstva školstva, výskumu, vývoja a mládeže SR</w:t>
      </w:r>
      <w:r w:rsidR="005F15A4" w:rsidRPr="0092003B">
        <w:rPr>
          <w:bCs/>
          <w:szCs w:val="24"/>
        </w:rPr>
        <w:t xml:space="preserve"> podľa počtu žiakov </w:t>
      </w:r>
      <w:r w:rsidR="005F15A4" w:rsidRPr="0092003B">
        <w:rPr>
          <w:szCs w:val="24"/>
        </w:rPr>
        <w:t>a nenormatívne výdavky škôl a školských zariadení v</w:t>
      </w:r>
      <w:r w:rsidR="00B54C90">
        <w:rPr>
          <w:szCs w:val="24"/>
        </w:rPr>
        <w:t> </w:t>
      </w:r>
      <w:r w:rsidR="005F15A4" w:rsidRPr="0092003B">
        <w:rPr>
          <w:szCs w:val="24"/>
        </w:rPr>
        <w:t>zriaďovateľskej pôsobnosti obcí a na dofinancovanie školských úradov v zriaďovateľskej pôsobnosti obcí . Nenormatívne výdavky boli čerpané na: príspevok na súčasti výchovno-vzdelávacieho procesu, rozvojové projekty, odchodné, dopravné, vzdelávacie poukazy, sociálne znevýhodnené prostredie, havárie, mimoriadne výsledky žiakov, edukačné publikácie, škola v prírode, kurz pohybových aktivít, špecifiká a podporné opatrenia.</w:t>
      </w:r>
    </w:p>
    <w:p w14:paraId="34BEC87A" w14:textId="4A6AC8B0" w:rsidR="005F15A4" w:rsidRPr="00551BFF" w:rsidRDefault="005F15A4" w:rsidP="005F15A4">
      <w:pPr>
        <w:spacing w:line="240" w:lineRule="auto"/>
        <w:jc w:val="both"/>
        <w:rPr>
          <w:rFonts w:eastAsia="Calibri" w:cs="Times New Roman"/>
          <w:bCs/>
          <w:iCs/>
          <w:szCs w:val="24"/>
        </w:rPr>
      </w:pPr>
      <w:r>
        <w:rPr>
          <w:rFonts w:eastAsia="Calibri" w:cs="Times New Roman"/>
          <w:bCs/>
          <w:iCs/>
          <w:szCs w:val="24"/>
        </w:rPr>
        <w:t>Ministerstvo práce, sociálnych vecí a rodiny SR poskytlo 321 722 tis. eur, najmä na dotáciu na</w:t>
      </w:r>
      <w:r w:rsidR="00B54C90">
        <w:rPr>
          <w:rFonts w:eastAsia="Calibri" w:cs="Times New Roman"/>
          <w:bCs/>
          <w:iCs/>
          <w:szCs w:val="24"/>
        </w:rPr>
        <w:t> </w:t>
      </w:r>
      <w:r>
        <w:rPr>
          <w:rFonts w:eastAsia="Calibri" w:cs="Times New Roman"/>
          <w:bCs/>
          <w:iCs/>
          <w:szCs w:val="24"/>
        </w:rPr>
        <w:t>podporu výchovy k stravovacím návykom dieťaťa a na dotácie na stravu, projekty financované z Európskeho sociálneho fondu, výkon osobitného príjemcu, na financovanie zariadení sociálnych služieb, na školské potreby pre dieťa v hmotnej núdzi.</w:t>
      </w:r>
    </w:p>
    <w:p w14:paraId="161DC238" w14:textId="77777777" w:rsidR="005F15A4" w:rsidRDefault="005F15A4" w:rsidP="005F15A4">
      <w:pPr>
        <w:spacing w:line="240" w:lineRule="auto"/>
        <w:jc w:val="both"/>
        <w:rPr>
          <w:rFonts w:eastAsia="Calibri" w:cs="Times New Roman"/>
          <w:b/>
          <w:i/>
          <w:szCs w:val="24"/>
        </w:rPr>
      </w:pPr>
    </w:p>
    <w:p w14:paraId="0EB0A647" w14:textId="28175D4A" w:rsidR="005F15A4" w:rsidRDefault="005F15A4" w:rsidP="005F15A4">
      <w:pPr>
        <w:spacing w:line="240" w:lineRule="auto"/>
        <w:jc w:val="both"/>
        <w:rPr>
          <w:rFonts w:eastAsia="Calibri" w:cs="Times New Roman"/>
          <w:bCs/>
          <w:iCs/>
          <w:szCs w:val="24"/>
        </w:rPr>
      </w:pPr>
      <w:r w:rsidRPr="00767097">
        <w:rPr>
          <w:rFonts w:eastAsia="Calibri" w:cs="Times New Roman"/>
          <w:bCs/>
          <w:iCs/>
          <w:szCs w:val="24"/>
          <w:u w:val="single"/>
        </w:rPr>
        <w:t>Vyšším územným celkom</w:t>
      </w:r>
      <w:r>
        <w:rPr>
          <w:rFonts w:eastAsia="Calibri" w:cs="Times New Roman"/>
          <w:bCs/>
          <w:iCs/>
          <w:szCs w:val="24"/>
        </w:rPr>
        <w:t xml:space="preserve"> sa prostredníctvom jedenástich kapitol štátneho rozpočtu poskytlo spolu 796</w:t>
      </w:r>
      <w:r w:rsidR="00B54C90">
        <w:rPr>
          <w:rFonts w:eastAsia="Calibri" w:cs="Times New Roman"/>
          <w:bCs/>
          <w:iCs/>
          <w:szCs w:val="24"/>
        </w:rPr>
        <w:t> </w:t>
      </w:r>
      <w:r>
        <w:rPr>
          <w:rFonts w:eastAsia="Calibri" w:cs="Times New Roman"/>
          <w:bCs/>
          <w:iCs/>
          <w:szCs w:val="24"/>
        </w:rPr>
        <w:t>659</w:t>
      </w:r>
      <w:r w:rsidR="00B54C90">
        <w:rPr>
          <w:rFonts w:eastAsia="Calibri" w:cs="Times New Roman"/>
          <w:bCs/>
          <w:iCs/>
          <w:szCs w:val="24"/>
        </w:rPr>
        <w:t> </w:t>
      </w:r>
      <w:r>
        <w:rPr>
          <w:rFonts w:eastAsia="Calibri" w:cs="Times New Roman"/>
          <w:bCs/>
          <w:iCs/>
          <w:szCs w:val="24"/>
        </w:rPr>
        <w:t>tis.</w:t>
      </w:r>
      <w:r w:rsidR="00B54C90">
        <w:rPr>
          <w:rFonts w:eastAsia="Calibri" w:cs="Times New Roman"/>
          <w:bCs/>
          <w:iCs/>
          <w:szCs w:val="24"/>
        </w:rPr>
        <w:t> </w:t>
      </w:r>
      <w:r>
        <w:rPr>
          <w:rFonts w:eastAsia="Calibri" w:cs="Times New Roman"/>
          <w:bCs/>
          <w:iCs/>
          <w:szCs w:val="24"/>
        </w:rPr>
        <w:t>eur, čo je oproti rozpočtu viac o 78</w:t>
      </w:r>
      <w:r w:rsidR="00B54C90">
        <w:rPr>
          <w:rFonts w:eastAsia="Calibri" w:cs="Times New Roman"/>
          <w:bCs/>
          <w:iCs/>
          <w:szCs w:val="24"/>
        </w:rPr>
        <w:t> </w:t>
      </w:r>
      <w:r>
        <w:rPr>
          <w:rFonts w:eastAsia="Calibri" w:cs="Times New Roman"/>
          <w:bCs/>
          <w:iCs/>
          <w:szCs w:val="24"/>
        </w:rPr>
        <w:t>570</w:t>
      </w:r>
      <w:r w:rsidR="00B54C90">
        <w:rPr>
          <w:rFonts w:eastAsia="Calibri" w:cs="Times New Roman"/>
          <w:bCs/>
          <w:iCs/>
          <w:szCs w:val="24"/>
        </w:rPr>
        <w:t> </w:t>
      </w:r>
      <w:r>
        <w:rPr>
          <w:rFonts w:eastAsia="Calibri" w:cs="Times New Roman"/>
          <w:bCs/>
          <w:iCs/>
          <w:szCs w:val="24"/>
        </w:rPr>
        <w:t>tis.</w:t>
      </w:r>
      <w:r w:rsidR="00B54C90">
        <w:rPr>
          <w:rFonts w:eastAsia="Calibri" w:cs="Times New Roman"/>
          <w:bCs/>
          <w:iCs/>
          <w:szCs w:val="24"/>
        </w:rPr>
        <w:t> </w:t>
      </w:r>
      <w:r>
        <w:rPr>
          <w:rFonts w:eastAsia="Calibri" w:cs="Times New Roman"/>
          <w:bCs/>
          <w:iCs/>
          <w:szCs w:val="24"/>
        </w:rPr>
        <w:t>eur. Z celkových bežných transferov je 92</w:t>
      </w:r>
      <w:r w:rsidR="00B54C90">
        <w:rPr>
          <w:rFonts w:eastAsia="Calibri" w:cs="Times New Roman"/>
          <w:bCs/>
          <w:iCs/>
          <w:szCs w:val="24"/>
        </w:rPr>
        <w:t> </w:t>
      </w:r>
      <w:r>
        <w:rPr>
          <w:rFonts w:eastAsia="Calibri" w:cs="Times New Roman"/>
          <w:bCs/>
          <w:iCs/>
          <w:szCs w:val="24"/>
        </w:rPr>
        <w:t>% určených na úhradu nákladov preneseného výkonu štátnej správy. Najviac z týchto prostriedkov poskytla kapitola Ministerstva školstva, výskumu, vývoja a mládeže SR, 731</w:t>
      </w:r>
      <w:r w:rsidR="00B54C90">
        <w:rPr>
          <w:rFonts w:eastAsia="Calibri" w:cs="Times New Roman"/>
          <w:bCs/>
          <w:iCs/>
          <w:szCs w:val="24"/>
        </w:rPr>
        <w:t> </w:t>
      </w:r>
      <w:r>
        <w:rPr>
          <w:rFonts w:eastAsia="Calibri" w:cs="Times New Roman"/>
          <w:bCs/>
          <w:iCs/>
          <w:szCs w:val="24"/>
        </w:rPr>
        <w:t>503</w:t>
      </w:r>
      <w:r w:rsidR="00B54C90">
        <w:rPr>
          <w:rFonts w:eastAsia="Calibri" w:cs="Times New Roman"/>
          <w:bCs/>
          <w:iCs/>
          <w:szCs w:val="24"/>
        </w:rPr>
        <w:t> </w:t>
      </w:r>
      <w:r>
        <w:rPr>
          <w:rFonts w:eastAsia="Calibri" w:cs="Times New Roman"/>
          <w:bCs/>
          <w:iCs/>
          <w:szCs w:val="24"/>
        </w:rPr>
        <w:t>tis.</w:t>
      </w:r>
      <w:r w:rsidR="00B54C90">
        <w:rPr>
          <w:rFonts w:eastAsia="Calibri" w:cs="Times New Roman"/>
          <w:bCs/>
          <w:iCs/>
          <w:szCs w:val="24"/>
        </w:rPr>
        <w:t> </w:t>
      </w:r>
      <w:r>
        <w:rPr>
          <w:rFonts w:eastAsia="Calibri" w:cs="Times New Roman"/>
          <w:bCs/>
          <w:iCs/>
          <w:szCs w:val="24"/>
        </w:rPr>
        <w:t xml:space="preserve">eur, opäť prostredníctvom RÚŠS. </w:t>
      </w:r>
      <w:r w:rsidRPr="00856A1A">
        <w:rPr>
          <w:rFonts w:eastAsia="Calibri" w:cs="Times New Roman"/>
          <w:bCs/>
          <w:iCs/>
          <w:szCs w:val="24"/>
        </w:rPr>
        <w:t>Finančné prostriedky jednotlivé RÚŠS čerpali na normatívne výdavky určené na mzdy a prevádzku základných škôl a nenormatívne výdavky škôl, školských zariadení v zriaďovateľskej pôsobnosti vyšších územných celkov a</w:t>
      </w:r>
      <w:r w:rsidR="00B54C90">
        <w:rPr>
          <w:rFonts w:eastAsia="Calibri" w:cs="Times New Roman"/>
          <w:bCs/>
          <w:iCs/>
          <w:szCs w:val="24"/>
        </w:rPr>
        <w:t> </w:t>
      </w:r>
      <w:r w:rsidRPr="00856A1A">
        <w:rPr>
          <w:rFonts w:eastAsia="Calibri" w:cs="Times New Roman"/>
          <w:bCs/>
          <w:iCs/>
          <w:szCs w:val="24"/>
        </w:rPr>
        <w:t>na</w:t>
      </w:r>
      <w:r w:rsidR="00B54C90">
        <w:rPr>
          <w:rFonts w:eastAsia="Calibri" w:cs="Times New Roman"/>
          <w:bCs/>
          <w:iCs/>
          <w:szCs w:val="24"/>
        </w:rPr>
        <w:t> </w:t>
      </w:r>
      <w:r w:rsidRPr="00856A1A">
        <w:rPr>
          <w:rFonts w:eastAsia="Calibri" w:cs="Times New Roman"/>
          <w:bCs/>
          <w:iCs/>
          <w:szCs w:val="24"/>
        </w:rPr>
        <w:t>dofinancovanie školských úradov v zriaďovateľskej pôsobnosti VÚC. Nenormatívne výdavky boli čerpané na: odchodné, vzdelávacie poukazy, mimoriadne výsledky žiakov, havárie BV, edukačné publikácie, kurz pohybových aktivít, špecifiká, škola v prírode, rozvojové projekty a podporné opatrenia</w:t>
      </w:r>
      <w:r w:rsidR="00B54C90">
        <w:rPr>
          <w:rFonts w:eastAsia="Calibri" w:cs="Times New Roman"/>
          <w:bCs/>
          <w:iCs/>
          <w:szCs w:val="24"/>
        </w:rPr>
        <w:t>.</w:t>
      </w:r>
    </w:p>
    <w:p w14:paraId="29E7B3A8" w14:textId="77777777" w:rsidR="005F15A4" w:rsidRDefault="005F15A4" w:rsidP="005F15A4">
      <w:pPr>
        <w:spacing w:line="240" w:lineRule="auto"/>
        <w:jc w:val="both"/>
        <w:rPr>
          <w:rFonts w:eastAsia="Calibri" w:cs="Times New Roman"/>
          <w:bCs/>
          <w:iCs/>
          <w:szCs w:val="24"/>
        </w:rPr>
      </w:pPr>
    </w:p>
    <w:p w14:paraId="37067AA3" w14:textId="23197962" w:rsidR="003B042A" w:rsidRPr="00551BFF" w:rsidRDefault="005F15A4" w:rsidP="005F15A4">
      <w:pPr>
        <w:spacing w:line="240" w:lineRule="auto"/>
        <w:jc w:val="both"/>
        <w:rPr>
          <w:rFonts w:eastAsia="Calibri" w:cs="Times New Roman"/>
          <w:bCs/>
          <w:iCs/>
          <w:szCs w:val="24"/>
        </w:rPr>
      </w:pPr>
      <w:r>
        <w:rPr>
          <w:rFonts w:eastAsia="Calibri" w:cs="Times New Roman"/>
          <w:bCs/>
          <w:iCs/>
          <w:szCs w:val="24"/>
        </w:rPr>
        <w:t>Z transferov VÚC okrem transferu na úhradu nákladov preneseného výkonu štátnej správy poskytla najmä kapitola Ministerstvo práce, sociálnych vecí a rodiny SR, 35</w:t>
      </w:r>
      <w:r w:rsidR="00B54C90">
        <w:rPr>
          <w:rFonts w:eastAsia="Calibri" w:cs="Times New Roman"/>
          <w:bCs/>
          <w:iCs/>
          <w:szCs w:val="24"/>
        </w:rPr>
        <w:t> </w:t>
      </w:r>
      <w:r>
        <w:rPr>
          <w:rFonts w:eastAsia="Calibri" w:cs="Times New Roman"/>
          <w:bCs/>
          <w:iCs/>
          <w:szCs w:val="24"/>
        </w:rPr>
        <w:t>865</w:t>
      </w:r>
      <w:r w:rsidR="00B54C90">
        <w:rPr>
          <w:rFonts w:eastAsia="Calibri" w:cs="Times New Roman"/>
          <w:bCs/>
          <w:iCs/>
          <w:szCs w:val="24"/>
        </w:rPr>
        <w:t> </w:t>
      </w:r>
      <w:r>
        <w:rPr>
          <w:rFonts w:eastAsia="Calibri" w:cs="Times New Roman"/>
          <w:bCs/>
          <w:iCs/>
          <w:szCs w:val="24"/>
        </w:rPr>
        <w:t>tis.</w:t>
      </w:r>
      <w:r w:rsidR="00B54C90">
        <w:rPr>
          <w:rFonts w:eastAsia="Calibri" w:cs="Times New Roman"/>
          <w:bCs/>
          <w:iCs/>
          <w:szCs w:val="24"/>
        </w:rPr>
        <w:t> </w:t>
      </w:r>
      <w:r>
        <w:rPr>
          <w:rFonts w:eastAsia="Calibri" w:cs="Times New Roman"/>
          <w:bCs/>
          <w:iCs/>
          <w:szCs w:val="24"/>
        </w:rPr>
        <w:t>eur a Všeobecná pokladničná správa 12</w:t>
      </w:r>
      <w:r w:rsidR="00B54C90">
        <w:rPr>
          <w:rFonts w:eastAsia="Calibri" w:cs="Times New Roman"/>
          <w:bCs/>
          <w:iCs/>
          <w:szCs w:val="24"/>
        </w:rPr>
        <w:t> </w:t>
      </w:r>
      <w:r>
        <w:rPr>
          <w:rFonts w:eastAsia="Calibri" w:cs="Times New Roman"/>
          <w:bCs/>
          <w:iCs/>
          <w:szCs w:val="24"/>
        </w:rPr>
        <w:t>604</w:t>
      </w:r>
      <w:r w:rsidR="00B54C90">
        <w:rPr>
          <w:rFonts w:eastAsia="Calibri" w:cs="Times New Roman"/>
          <w:bCs/>
          <w:iCs/>
          <w:szCs w:val="24"/>
        </w:rPr>
        <w:t> </w:t>
      </w:r>
      <w:r>
        <w:rPr>
          <w:rFonts w:eastAsia="Calibri" w:cs="Times New Roman"/>
          <w:bCs/>
          <w:iCs/>
          <w:szCs w:val="24"/>
        </w:rPr>
        <w:t>tis.</w:t>
      </w:r>
      <w:r w:rsidR="00B54C90">
        <w:rPr>
          <w:rFonts w:eastAsia="Calibri" w:cs="Times New Roman"/>
          <w:bCs/>
          <w:iCs/>
          <w:szCs w:val="24"/>
        </w:rPr>
        <w:t> </w:t>
      </w:r>
      <w:r>
        <w:rPr>
          <w:rFonts w:eastAsia="Calibri" w:cs="Times New Roman"/>
          <w:bCs/>
          <w:iCs/>
          <w:szCs w:val="24"/>
        </w:rPr>
        <w:t>eur.</w:t>
      </w:r>
    </w:p>
    <w:p w14:paraId="30345F69" w14:textId="77777777" w:rsidR="00F81960" w:rsidRDefault="00F81960" w:rsidP="003B042A">
      <w:pPr>
        <w:spacing w:line="240" w:lineRule="auto"/>
        <w:jc w:val="both"/>
        <w:rPr>
          <w:rFonts w:eastAsia="Calibri" w:cs="Times New Roman"/>
          <w:b/>
          <w:i/>
          <w:szCs w:val="24"/>
        </w:rPr>
      </w:pPr>
    </w:p>
    <w:p w14:paraId="0E9B9A1B" w14:textId="2D483DCD" w:rsidR="003B042A" w:rsidRPr="008E112F" w:rsidRDefault="003B042A" w:rsidP="003B042A">
      <w:pPr>
        <w:spacing w:line="240" w:lineRule="auto"/>
        <w:jc w:val="both"/>
        <w:rPr>
          <w:rFonts w:eastAsia="Calibri" w:cs="Times New Roman"/>
          <w:szCs w:val="24"/>
        </w:rPr>
      </w:pPr>
      <w:r w:rsidRPr="00B54C90">
        <w:rPr>
          <w:rFonts w:eastAsia="Calibri" w:cs="Times New Roman"/>
          <w:bCs/>
          <w:iCs/>
          <w:szCs w:val="24"/>
          <w:u w:val="single"/>
        </w:rPr>
        <w:t>Verejným vysokým školám</w:t>
      </w:r>
      <w:r w:rsidRPr="008E112F">
        <w:rPr>
          <w:rFonts w:eastAsia="Calibri" w:cs="Times New Roman"/>
          <w:szCs w:val="24"/>
        </w:rPr>
        <w:t xml:space="preserve"> boli poskytnuté finančné </w:t>
      </w:r>
      <w:r w:rsidRPr="00327D28">
        <w:rPr>
          <w:rFonts w:eastAsia="Calibri" w:cs="Times New Roman"/>
          <w:szCs w:val="24"/>
        </w:rPr>
        <w:t xml:space="preserve">prostriedky v sume </w:t>
      </w:r>
      <w:r>
        <w:rPr>
          <w:rFonts w:eastAsia="Calibri" w:cs="Times New Roman"/>
          <w:szCs w:val="24"/>
        </w:rPr>
        <w:t>971</w:t>
      </w:r>
      <w:r w:rsidR="002267CE">
        <w:rPr>
          <w:rFonts w:eastAsia="Calibri" w:cs="Times New Roman"/>
          <w:szCs w:val="24"/>
        </w:rPr>
        <w:t> </w:t>
      </w:r>
      <w:r>
        <w:rPr>
          <w:rFonts w:eastAsia="Calibri" w:cs="Times New Roman"/>
          <w:szCs w:val="24"/>
        </w:rPr>
        <w:t>002 </w:t>
      </w:r>
      <w:r w:rsidRPr="00327D28">
        <w:rPr>
          <w:rFonts w:eastAsia="Calibri" w:cs="Times New Roman"/>
          <w:szCs w:val="24"/>
        </w:rPr>
        <w:t>tis.</w:t>
      </w:r>
      <w:r>
        <w:rPr>
          <w:rFonts w:eastAsia="Calibri" w:cs="Times New Roman"/>
          <w:szCs w:val="24"/>
        </w:rPr>
        <w:t> </w:t>
      </w:r>
      <w:r w:rsidRPr="00327D28">
        <w:rPr>
          <w:rFonts w:eastAsia="Calibri" w:cs="Times New Roman"/>
          <w:szCs w:val="24"/>
        </w:rPr>
        <w:t xml:space="preserve">eur, a to predovšetkým </w:t>
      </w:r>
      <w:r>
        <w:rPr>
          <w:rFonts w:eastAsia="Calibri" w:cs="Times New Roman"/>
          <w:szCs w:val="24"/>
        </w:rPr>
        <w:t>na poskytovanie vysokoškolského vzdelávania a zabezpečenie prevádzky vysokých škôl, na prevádzku a rozvoj infraštruktúry, na </w:t>
      </w:r>
      <w:r w:rsidRPr="008E112F">
        <w:rPr>
          <w:rFonts w:eastAsia="Calibri" w:cs="Times New Roman"/>
          <w:szCs w:val="24"/>
        </w:rPr>
        <w:t>výskumnú, vývojovú a</w:t>
      </w:r>
      <w:r w:rsidR="002267CE">
        <w:rPr>
          <w:rFonts w:eastAsia="Calibri" w:cs="Times New Roman"/>
          <w:szCs w:val="24"/>
        </w:rPr>
        <w:t> </w:t>
      </w:r>
      <w:r w:rsidRPr="008E112F">
        <w:rPr>
          <w:rFonts w:eastAsia="Calibri" w:cs="Times New Roman"/>
          <w:szCs w:val="24"/>
        </w:rPr>
        <w:t xml:space="preserve">umeleckú činnosť, </w:t>
      </w:r>
      <w:r>
        <w:rPr>
          <w:rFonts w:eastAsia="Calibri" w:cs="Times New Roman"/>
          <w:szCs w:val="24"/>
        </w:rPr>
        <w:t>na</w:t>
      </w:r>
      <w:r w:rsidRPr="008E112F">
        <w:rPr>
          <w:rFonts w:eastAsia="Calibri" w:cs="Times New Roman"/>
          <w:szCs w:val="24"/>
        </w:rPr>
        <w:t xml:space="preserve"> sociálnu podporu študentov, na štipendiá zahraničným študentom prijatým na štipendijné pobyty na slovenské vysoké školy, štipendiá študentom z radov Slovákov žijúcich v zahraničí poskytovaných formou vládnych štipendií, </w:t>
      </w:r>
      <w:r>
        <w:rPr>
          <w:rFonts w:eastAsia="Calibri" w:cs="Times New Roman"/>
          <w:szCs w:val="24"/>
        </w:rPr>
        <w:t>na podporu stravovania, ubytovania, športových a kultúrnych aktivít študentov. Na Slovensku bolo v roku 2025 spolu 20 verejných vysokých škôl.</w:t>
      </w:r>
    </w:p>
    <w:p w14:paraId="17013CA4" w14:textId="77777777" w:rsidR="00F81960" w:rsidRDefault="00F81960" w:rsidP="003B042A">
      <w:pPr>
        <w:spacing w:line="240" w:lineRule="auto"/>
        <w:jc w:val="both"/>
        <w:rPr>
          <w:rFonts w:eastAsia="Calibri" w:cs="Times New Roman"/>
          <w:b/>
          <w:bCs/>
          <w:szCs w:val="24"/>
        </w:rPr>
      </w:pPr>
    </w:p>
    <w:p w14:paraId="0273BDF4" w14:textId="0FB8CA4F" w:rsidR="003B042A" w:rsidRDefault="003B042A" w:rsidP="003B042A">
      <w:pPr>
        <w:spacing w:line="240" w:lineRule="auto"/>
        <w:jc w:val="both"/>
        <w:rPr>
          <w:rFonts w:eastAsia="Calibri" w:cs="Times New Roman"/>
          <w:szCs w:val="24"/>
        </w:rPr>
      </w:pPr>
      <w:r w:rsidRPr="00B54C90">
        <w:rPr>
          <w:rFonts w:eastAsia="Calibri" w:cs="Times New Roman"/>
          <w:szCs w:val="24"/>
          <w:u w:val="single"/>
        </w:rPr>
        <w:t>Príspevkovým organizáciám</w:t>
      </w:r>
      <w:r>
        <w:rPr>
          <w:rFonts w:eastAsia="Calibri" w:cs="Times New Roman"/>
          <w:szCs w:val="24"/>
        </w:rPr>
        <w:t xml:space="preserve"> štátu ako aj samosprávnym bolo poskytnutých 750</w:t>
      </w:r>
      <w:r w:rsidR="002267CE">
        <w:rPr>
          <w:rFonts w:eastAsia="Calibri" w:cs="Times New Roman"/>
          <w:szCs w:val="24"/>
        </w:rPr>
        <w:t> </w:t>
      </w:r>
      <w:r>
        <w:rPr>
          <w:rFonts w:eastAsia="Calibri" w:cs="Times New Roman"/>
          <w:szCs w:val="24"/>
        </w:rPr>
        <w:t>413</w:t>
      </w:r>
      <w:r w:rsidR="002267CE">
        <w:rPr>
          <w:rFonts w:eastAsia="Calibri" w:cs="Times New Roman"/>
          <w:szCs w:val="24"/>
        </w:rPr>
        <w:t> </w:t>
      </w:r>
      <w:r>
        <w:rPr>
          <w:rFonts w:eastAsia="Calibri" w:cs="Times New Roman"/>
          <w:szCs w:val="24"/>
        </w:rPr>
        <w:t>tis. eur a oproti rozpočtu ide o významné prekročenie pôvodne schváleného rozpočtu. Na</w:t>
      </w:r>
      <w:r w:rsidR="002267CE">
        <w:rPr>
          <w:rFonts w:eastAsia="Calibri" w:cs="Times New Roman"/>
          <w:szCs w:val="24"/>
        </w:rPr>
        <w:t> </w:t>
      </w:r>
      <w:r>
        <w:rPr>
          <w:rFonts w:eastAsia="Calibri" w:cs="Times New Roman"/>
          <w:szCs w:val="24"/>
        </w:rPr>
        <w:t xml:space="preserve">prekročení </w:t>
      </w:r>
      <w:r>
        <w:rPr>
          <w:rFonts w:eastAsia="Calibri" w:cs="Times New Roman"/>
          <w:szCs w:val="24"/>
        </w:rPr>
        <w:lastRenderedPageBreak/>
        <w:t xml:space="preserve">rozpočtu o 383 926 tis. eur sa podieľajú </w:t>
      </w:r>
      <w:r w:rsidRPr="00FA7755">
        <w:rPr>
          <w:rFonts w:eastAsia="Calibri" w:cs="Times New Roman"/>
          <w:szCs w:val="24"/>
        </w:rPr>
        <w:t>najmä zdroje EÚ, 192</w:t>
      </w:r>
      <w:r w:rsidR="002267CE">
        <w:rPr>
          <w:rFonts w:eastAsia="Calibri" w:cs="Times New Roman"/>
          <w:szCs w:val="24"/>
        </w:rPr>
        <w:t> </w:t>
      </w:r>
      <w:r w:rsidRPr="00FA7755">
        <w:rPr>
          <w:rFonts w:eastAsia="Calibri" w:cs="Times New Roman"/>
          <w:szCs w:val="24"/>
        </w:rPr>
        <w:t>155 tis. eur a zdroje štátneho rozpočtu o</w:t>
      </w:r>
      <w:r w:rsidR="002267CE">
        <w:rPr>
          <w:rFonts w:eastAsia="Calibri" w:cs="Times New Roman"/>
          <w:szCs w:val="24"/>
        </w:rPr>
        <w:t> </w:t>
      </w:r>
      <w:r>
        <w:rPr>
          <w:rFonts w:eastAsia="Calibri" w:cs="Times New Roman"/>
          <w:szCs w:val="24"/>
        </w:rPr>
        <w:t>86</w:t>
      </w:r>
      <w:r w:rsidR="002267CE">
        <w:rPr>
          <w:rFonts w:eastAsia="Calibri" w:cs="Times New Roman"/>
          <w:szCs w:val="24"/>
        </w:rPr>
        <w:t> </w:t>
      </w:r>
      <w:r>
        <w:rPr>
          <w:rFonts w:eastAsia="Calibri" w:cs="Times New Roman"/>
          <w:szCs w:val="24"/>
        </w:rPr>
        <w:t>285</w:t>
      </w:r>
      <w:r w:rsidRPr="00FA7755">
        <w:rPr>
          <w:rFonts w:eastAsia="Calibri" w:cs="Times New Roman"/>
          <w:szCs w:val="24"/>
        </w:rPr>
        <w:t> tis. eur. Najvýznamnejšie hodnoty boli poskytnuté z kapitoly Ministerstvo investícií, regionálneho rozvoja a informatizácie SR (</w:t>
      </w:r>
      <w:r>
        <w:rPr>
          <w:rFonts w:eastAsia="Calibri" w:cs="Times New Roman"/>
          <w:szCs w:val="24"/>
        </w:rPr>
        <w:t>160</w:t>
      </w:r>
      <w:r w:rsidR="002267CE">
        <w:rPr>
          <w:rFonts w:eastAsia="Calibri" w:cs="Times New Roman"/>
          <w:szCs w:val="24"/>
        </w:rPr>
        <w:t> </w:t>
      </w:r>
      <w:r>
        <w:rPr>
          <w:rFonts w:eastAsia="Calibri" w:cs="Times New Roman"/>
          <w:szCs w:val="24"/>
        </w:rPr>
        <w:t>470</w:t>
      </w:r>
      <w:r w:rsidRPr="00FA7755">
        <w:rPr>
          <w:rFonts w:eastAsia="Calibri" w:cs="Times New Roman"/>
          <w:szCs w:val="24"/>
        </w:rPr>
        <w:t> tis. eur)</w:t>
      </w:r>
      <w:r>
        <w:rPr>
          <w:rFonts w:eastAsia="Calibri" w:cs="Times New Roman"/>
          <w:szCs w:val="24"/>
        </w:rPr>
        <w:t xml:space="preserve">, </w:t>
      </w:r>
      <w:r w:rsidRPr="00FA7755">
        <w:rPr>
          <w:rFonts w:eastAsia="Calibri" w:cs="Times New Roman"/>
          <w:szCs w:val="24"/>
        </w:rPr>
        <w:t>Ministerstva školstva, vývoja, výskumu a mládeže (</w:t>
      </w:r>
      <w:r>
        <w:rPr>
          <w:rFonts w:eastAsia="Calibri" w:cs="Times New Roman"/>
          <w:szCs w:val="24"/>
        </w:rPr>
        <w:t>146</w:t>
      </w:r>
      <w:r w:rsidR="002267CE">
        <w:rPr>
          <w:rFonts w:eastAsia="Calibri" w:cs="Times New Roman"/>
          <w:szCs w:val="24"/>
        </w:rPr>
        <w:t> </w:t>
      </w:r>
      <w:r>
        <w:rPr>
          <w:rFonts w:eastAsia="Calibri" w:cs="Times New Roman"/>
          <w:szCs w:val="24"/>
        </w:rPr>
        <w:t>113</w:t>
      </w:r>
      <w:r w:rsidR="002267CE">
        <w:rPr>
          <w:rFonts w:eastAsia="Calibri" w:cs="Times New Roman"/>
          <w:szCs w:val="24"/>
        </w:rPr>
        <w:t> </w:t>
      </w:r>
      <w:r w:rsidRPr="00FA7755">
        <w:t>tis</w:t>
      </w:r>
      <w:r w:rsidRPr="00FA7755">
        <w:rPr>
          <w:rFonts w:eastAsia="Calibri" w:cs="Times New Roman"/>
          <w:szCs w:val="24"/>
        </w:rPr>
        <w:t xml:space="preserve">. eur), </w:t>
      </w:r>
      <w:r>
        <w:rPr>
          <w:rFonts w:eastAsia="Calibri" w:cs="Times New Roman"/>
          <w:szCs w:val="24"/>
        </w:rPr>
        <w:t>Ministerstvo kultúry SR</w:t>
      </w:r>
      <w:r w:rsidRPr="00FA7755">
        <w:rPr>
          <w:rFonts w:eastAsia="Calibri" w:cs="Times New Roman"/>
          <w:szCs w:val="24"/>
        </w:rPr>
        <w:t xml:space="preserve"> (</w:t>
      </w:r>
      <w:r>
        <w:rPr>
          <w:rFonts w:eastAsia="Calibri" w:cs="Times New Roman"/>
          <w:szCs w:val="24"/>
        </w:rPr>
        <w:t>118</w:t>
      </w:r>
      <w:r w:rsidR="002267CE">
        <w:rPr>
          <w:rFonts w:eastAsia="Calibri" w:cs="Times New Roman"/>
          <w:szCs w:val="24"/>
        </w:rPr>
        <w:t> </w:t>
      </w:r>
      <w:r>
        <w:rPr>
          <w:rFonts w:eastAsia="Calibri" w:cs="Times New Roman"/>
          <w:szCs w:val="24"/>
        </w:rPr>
        <w:t>049</w:t>
      </w:r>
      <w:r w:rsidRPr="00FA7755">
        <w:rPr>
          <w:rFonts w:eastAsia="Calibri" w:cs="Times New Roman"/>
          <w:szCs w:val="24"/>
        </w:rPr>
        <w:t xml:space="preserve"> tis. eur), Ministerstvo </w:t>
      </w:r>
      <w:r>
        <w:rPr>
          <w:rFonts w:eastAsia="Calibri" w:cs="Times New Roman"/>
          <w:szCs w:val="24"/>
        </w:rPr>
        <w:t>zdravotníctva</w:t>
      </w:r>
      <w:r w:rsidRPr="00FA7755">
        <w:rPr>
          <w:rFonts w:eastAsia="Calibri" w:cs="Times New Roman"/>
          <w:szCs w:val="24"/>
        </w:rPr>
        <w:t xml:space="preserve"> SR (</w:t>
      </w:r>
      <w:r>
        <w:rPr>
          <w:rFonts w:eastAsia="Calibri" w:cs="Times New Roman"/>
          <w:szCs w:val="24"/>
        </w:rPr>
        <w:t>93</w:t>
      </w:r>
      <w:r w:rsidR="002267CE">
        <w:rPr>
          <w:rFonts w:eastAsia="Calibri" w:cs="Times New Roman"/>
          <w:szCs w:val="24"/>
        </w:rPr>
        <w:t> </w:t>
      </w:r>
      <w:r>
        <w:rPr>
          <w:rFonts w:eastAsia="Calibri" w:cs="Times New Roman"/>
          <w:szCs w:val="24"/>
        </w:rPr>
        <w:t>290</w:t>
      </w:r>
      <w:r w:rsidRPr="00FA7755">
        <w:rPr>
          <w:rFonts w:eastAsia="Calibri" w:cs="Times New Roman"/>
          <w:szCs w:val="24"/>
        </w:rPr>
        <w:t> tis. eur).</w:t>
      </w:r>
    </w:p>
    <w:p w14:paraId="2D4AD956" w14:textId="7B593D11" w:rsidR="003B042A" w:rsidRDefault="003B042A" w:rsidP="003B042A">
      <w:pPr>
        <w:spacing w:line="240" w:lineRule="auto"/>
        <w:jc w:val="both"/>
        <w:rPr>
          <w:rFonts w:eastAsia="Calibri" w:cs="Times New Roman"/>
          <w:szCs w:val="24"/>
        </w:rPr>
      </w:pPr>
      <w:r>
        <w:rPr>
          <w:rFonts w:eastAsia="Calibri" w:cs="Times New Roman"/>
          <w:szCs w:val="24"/>
        </w:rPr>
        <w:t>Transfery smerovali napríklad na projekty z Programu Slovensko v gescii Slovenskej inovačnej a energetickej agentúry (91</w:t>
      </w:r>
      <w:r w:rsidR="002267CE">
        <w:rPr>
          <w:rFonts w:eastAsia="Calibri" w:cs="Times New Roman"/>
          <w:szCs w:val="24"/>
        </w:rPr>
        <w:t> </w:t>
      </w:r>
      <w:r>
        <w:rPr>
          <w:rFonts w:eastAsia="Calibri" w:cs="Times New Roman"/>
          <w:szCs w:val="24"/>
        </w:rPr>
        <w:t>431</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napr. na podporu energetickej efektívnosti a znižovania emisií skleníkových plynov, na podporu energie z obnoviteľných zdrojov, vývoj inteligentných energetických systémov, sietí a uskladnenie mimo siete TEN-E, na</w:t>
      </w:r>
      <w:r w:rsidR="002267CE">
        <w:rPr>
          <w:rFonts w:eastAsia="Calibri" w:cs="Times New Roman"/>
          <w:szCs w:val="24"/>
        </w:rPr>
        <w:t> </w:t>
      </w:r>
      <w:r>
        <w:rPr>
          <w:rFonts w:eastAsia="Calibri" w:cs="Times New Roman"/>
          <w:szCs w:val="24"/>
        </w:rPr>
        <w:t>podporu vzdelávania z Európskeho sociálneho fondu (81</w:t>
      </w:r>
      <w:r w:rsidR="002267CE">
        <w:rPr>
          <w:rFonts w:eastAsia="Calibri" w:cs="Times New Roman"/>
          <w:szCs w:val="24"/>
        </w:rPr>
        <w:t> </w:t>
      </w:r>
      <w:r>
        <w:rPr>
          <w:rFonts w:eastAsia="Calibri" w:cs="Times New Roman"/>
          <w:szCs w:val="24"/>
        </w:rPr>
        <w:t>879</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príspevkovým organizáciám rezortu kultúry na divadlá a divadelnú činnosť (48</w:t>
      </w:r>
      <w:r w:rsidR="002267CE">
        <w:rPr>
          <w:rFonts w:eastAsia="Calibri" w:cs="Times New Roman"/>
          <w:szCs w:val="24"/>
        </w:rPr>
        <w:t> </w:t>
      </w:r>
      <w:r>
        <w:rPr>
          <w:rFonts w:eastAsia="Calibri" w:cs="Times New Roman"/>
          <w:szCs w:val="24"/>
        </w:rPr>
        <w:t>948</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múzeá a galérie (24</w:t>
      </w:r>
      <w:r w:rsidR="002267CE">
        <w:rPr>
          <w:rFonts w:eastAsia="Calibri" w:cs="Times New Roman"/>
          <w:szCs w:val="24"/>
        </w:rPr>
        <w:t> </w:t>
      </w:r>
      <w:r>
        <w:rPr>
          <w:rFonts w:eastAsia="Calibri" w:cs="Times New Roman"/>
          <w:szCs w:val="24"/>
        </w:rPr>
        <w:t>342</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a ďalšie.</w:t>
      </w:r>
    </w:p>
    <w:p w14:paraId="3D70715F" w14:textId="77777777" w:rsidR="00F81960" w:rsidRDefault="00F81960" w:rsidP="003B042A">
      <w:pPr>
        <w:spacing w:line="240" w:lineRule="auto"/>
        <w:jc w:val="both"/>
        <w:rPr>
          <w:rFonts w:eastAsia="Calibri" w:cs="Times New Roman"/>
          <w:szCs w:val="24"/>
        </w:rPr>
      </w:pPr>
    </w:p>
    <w:p w14:paraId="2B808BB7" w14:textId="73FEDC5A" w:rsidR="003B042A" w:rsidRPr="00AF3CDE" w:rsidRDefault="003B042A" w:rsidP="003B042A">
      <w:pPr>
        <w:spacing w:line="240" w:lineRule="auto"/>
        <w:jc w:val="both"/>
        <w:rPr>
          <w:rFonts w:eastAsia="Calibri" w:cs="Times New Roman"/>
          <w:szCs w:val="24"/>
        </w:rPr>
      </w:pPr>
      <w:r w:rsidRPr="00DE38A6">
        <w:rPr>
          <w:rFonts w:eastAsia="Calibri" w:cs="Times New Roman"/>
          <w:szCs w:val="24"/>
        </w:rPr>
        <w:t xml:space="preserve">Transfery </w:t>
      </w:r>
      <w:r w:rsidRPr="00B54C90">
        <w:rPr>
          <w:rFonts w:eastAsia="Calibri" w:cs="Times New Roman"/>
          <w:bCs/>
          <w:iCs/>
          <w:szCs w:val="24"/>
          <w:u w:val="single"/>
        </w:rPr>
        <w:t>Železniciam SR</w:t>
      </w:r>
      <w:r w:rsidRPr="00DE38A6">
        <w:rPr>
          <w:rFonts w:eastAsia="Calibri" w:cs="Times New Roman"/>
          <w:b/>
          <w:color w:val="FF0000"/>
          <w:szCs w:val="24"/>
        </w:rPr>
        <w:t xml:space="preserve"> </w:t>
      </w:r>
      <w:r w:rsidRPr="00DE38A6">
        <w:rPr>
          <w:rFonts w:eastAsia="Calibri" w:cs="Times New Roman"/>
          <w:szCs w:val="24"/>
        </w:rPr>
        <w:t>v sume 515</w:t>
      </w:r>
      <w:r w:rsidR="002267CE" w:rsidRPr="00DE38A6">
        <w:rPr>
          <w:rFonts w:eastAsia="Calibri" w:cs="Times New Roman"/>
          <w:szCs w:val="24"/>
        </w:rPr>
        <w:t> </w:t>
      </w:r>
      <w:r w:rsidRPr="00DE38A6">
        <w:rPr>
          <w:rFonts w:eastAsia="Calibri" w:cs="Times New Roman"/>
          <w:szCs w:val="24"/>
        </w:rPr>
        <w:t xml:space="preserve">758 tis. eur, </w:t>
      </w:r>
      <w:r w:rsidRPr="00B54C90">
        <w:rPr>
          <w:rFonts w:eastAsia="Calibri" w:cs="Times New Roman"/>
          <w:bCs/>
          <w:szCs w:val="24"/>
          <w:u w:val="single"/>
        </w:rPr>
        <w:t>Železničnej spoločnosti Slovensko, a. s.</w:t>
      </w:r>
      <w:r w:rsidR="00467F0B" w:rsidRPr="00B54C90">
        <w:rPr>
          <w:rFonts w:eastAsia="Calibri" w:cs="Times New Roman"/>
          <w:bCs/>
          <w:szCs w:val="24"/>
          <w:u w:val="single"/>
        </w:rPr>
        <w:t>,</w:t>
      </w:r>
      <w:r w:rsidRPr="00DE38A6">
        <w:rPr>
          <w:rFonts w:eastAsia="Calibri" w:cs="Times New Roman"/>
          <w:b/>
          <w:i/>
          <w:iCs/>
          <w:szCs w:val="24"/>
        </w:rPr>
        <w:t xml:space="preserve"> </w:t>
      </w:r>
      <w:r w:rsidRPr="00DE38A6">
        <w:rPr>
          <w:rFonts w:eastAsia="Calibri" w:cs="Times New Roman"/>
          <w:bCs/>
          <w:szCs w:val="24"/>
        </w:rPr>
        <w:t>v sume 454</w:t>
      </w:r>
      <w:r w:rsidR="002267CE" w:rsidRPr="00DE38A6">
        <w:rPr>
          <w:rFonts w:eastAsia="Calibri" w:cs="Times New Roman"/>
          <w:bCs/>
          <w:szCs w:val="24"/>
        </w:rPr>
        <w:t> </w:t>
      </w:r>
      <w:r w:rsidRPr="00DE38A6">
        <w:rPr>
          <w:rFonts w:eastAsia="Calibri" w:cs="Times New Roman"/>
          <w:bCs/>
          <w:szCs w:val="24"/>
        </w:rPr>
        <w:t>079 tis. eur,</w:t>
      </w:r>
      <w:r w:rsidRPr="00DE38A6">
        <w:rPr>
          <w:rFonts w:eastAsia="Calibri" w:cs="Times New Roman"/>
          <w:szCs w:val="24"/>
        </w:rPr>
        <w:t xml:space="preserve"> poskytla kapitola Ministerstva dopravy SR na zabezpečenie prevádzky železničnej infraštruktúry a servisných zariadení, na zabezpečenie</w:t>
      </w:r>
      <w:r w:rsidRPr="00DE38A6">
        <w:rPr>
          <w:rFonts w:eastAsia="Calibri" w:cs="Times New Roman"/>
          <w:szCs w:val="24"/>
          <w:shd w:val="clear" w:color="auto" w:fill="FFFFFF"/>
        </w:rPr>
        <w:t xml:space="preserve"> dopravných služieb vo verejnom záujme pri prevádzkovaní osobnej vlakovej dopravy. Prekročenie rozpočtu spolu o 58</w:t>
      </w:r>
      <w:r w:rsidR="002267CE" w:rsidRPr="00DE38A6">
        <w:rPr>
          <w:rFonts w:eastAsia="Calibri" w:cs="Times New Roman"/>
          <w:szCs w:val="24"/>
          <w:shd w:val="clear" w:color="auto" w:fill="FFFFFF"/>
        </w:rPr>
        <w:t> </w:t>
      </w:r>
      <w:r w:rsidRPr="00DE38A6">
        <w:rPr>
          <w:rFonts w:eastAsia="Calibri" w:cs="Times New Roman"/>
          <w:szCs w:val="24"/>
          <w:shd w:val="clear" w:color="auto" w:fill="FFFFFF"/>
        </w:rPr>
        <w:t>348</w:t>
      </w:r>
      <w:r w:rsidR="002267CE" w:rsidRPr="00DE38A6">
        <w:rPr>
          <w:rFonts w:eastAsia="Calibri" w:cs="Times New Roman"/>
          <w:szCs w:val="24"/>
          <w:shd w:val="clear" w:color="auto" w:fill="FFFFFF"/>
        </w:rPr>
        <w:t> </w:t>
      </w:r>
      <w:r w:rsidRPr="00DE38A6">
        <w:rPr>
          <w:rFonts w:eastAsia="Calibri" w:cs="Times New Roman"/>
          <w:szCs w:val="24"/>
          <w:shd w:val="clear" w:color="auto" w:fill="FFFFFF"/>
        </w:rPr>
        <w:t>tis.</w:t>
      </w:r>
      <w:r w:rsidR="002267CE" w:rsidRPr="00DE38A6">
        <w:rPr>
          <w:rFonts w:eastAsia="Calibri" w:cs="Times New Roman"/>
          <w:szCs w:val="24"/>
          <w:shd w:val="clear" w:color="auto" w:fill="FFFFFF"/>
        </w:rPr>
        <w:t> </w:t>
      </w:r>
      <w:r w:rsidRPr="00DE38A6">
        <w:rPr>
          <w:rFonts w:eastAsia="Calibri" w:cs="Times New Roman"/>
          <w:szCs w:val="24"/>
          <w:shd w:val="clear" w:color="auto" w:fill="FFFFFF"/>
        </w:rPr>
        <w:t>eur bolo z</w:t>
      </w:r>
      <w:r w:rsidR="00DE38A6" w:rsidRPr="00DE38A6">
        <w:rPr>
          <w:rFonts w:eastAsia="Calibri" w:cs="Times New Roman"/>
          <w:szCs w:val="24"/>
          <w:shd w:val="clear" w:color="auto" w:fill="FFFFFF"/>
        </w:rPr>
        <w:t> </w:t>
      </w:r>
      <w:r w:rsidRPr="00DE38A6">
        <w:rPr>
          <w:rFonts w:eastAsia="Calibri" w:cs="Times New Roman"/>
          <w:szCs w:val="24"/>
          <w:shd w:val="clear" w:color="auto" w:fill="FFFFFF"/>
        </w:rPr>
        <w:t>dôvodu</w:t>
      </w:r>
      <w:r w:rsidR="00DE38A6" w:rsidRPr="00DE38A6">
        <w:rPr>
          <w:rFonts w:eastAsia="Calibri" w:cs="Times New Roman"/>
          <w:szCs w:val="24"/>
          <w:shd w:val="clear" w:color="auto" w:fill="FFFFFF"/>
        </w:rPr>
        <w:t xml:space="preserve"> dofinancovania výdavkov súvisiacich so mzdovou stabilizáciou zamestnancov ŽSR a dofinancovanie výkonov vo verejnom záujme pre ŽSSK</w:t>
      </w:r>
      <w:r w:rsidR="00DE38A6">
        <w:rPr>
          <w:rFonts w:eastAsia="Calibri" w:cs="Times New Roman"/>
          <w:szCs w:val="24"/>
          <w:shd w:val="clear" w:color="auto" w:fill="FFFFFF"/>
        </w:rPr>
        <w:t>.</w:t>
      </w:r>
    </w:p>
    <w:p w14:paraId="06FF7B7C" w14:textId="77777777" w:rsidR="00F81960" w:rsidRDefault="00F81960" w:rsidP="003B042A">
      <w:pPr>
        <w:spacing w:line="240" w:lineRule="auto"/>
        <w:jc w:val="both"/>
        <w:rPr>
          <w:rFonts w:eastAsia="Calibri" w:cs="Times New Roman"/>
          <w:szCs w:val="24"/>
        </w:rPr>
      </w:pPr>
    </w:p>
    <w:p w14:paraId="7D7CC34B" w14:textId="472150B5" w:rsidR="003B042A" w:rsidRDefault="003B042A" w:rsidP="003B042A">
      <w:pPr>
        <w:spacing w:line="240" w:lineRule="auto"/>
        <w:jc w:val="both"/>
        <w:rPr>
          <w:rFonts w:eastAsia="Calibri" w:cs="Times New Roman"/>
          <w:szCs w:val="24"/>
        </w:rPr>
      </w:pPr>
      <w:r w:rsidRPr="005F1C11">
        <w:rPr>
          <w:rFonts w:eastAsia="Calibri" w:cs="Times New Roman"/>
          <w:szCs w:val="24"/>
        </w:rPr>
        <w:t xml:space="preserve">Transfery </w:t>
      </w:r>
      <w:r w:rsidRPr="00B54C90">
        <w:rPr>
          <w:rFonts w:eastAsia="Calibri" w:cs="Times New Roman"/>
          <w:bCs/>
          <w:iCs/>
          <w:szCs w:val="24"/>
          <w:u w:val="single"/>
        </w:rPr>
        <w:t>štátnym účelovým fondom</w:t>
      </w:r>
      <w:r w:rsidRPr="005F1C11">
        <w:rPr>
          <w:rFonts w:eastAsia="Calibri" w:cs="Times New Roman"/>
          <w:color w:val="FF0000"/>
          <w:szCs w:val="24"/>
        </w:rPr>
        <w:t xml:space="preserve"> </w:t>
      </w:r>
      <w:r>
        <w:rPr>
          <w:rFonts w:eastAsia="Calibri" w:cs="Times New Roman"/>
          <w:szCs w:val="24"/>
        </w:rPr>
        <w:t>boli čerpané v objeme 184</w:t>
      </w:r>
      <w:r w:rsidR="002267CE">
        <w:rPr>
          <w:rFonts w:eastAsia="Calibri" w:cs="Times New Roman"/>
          <w:szCs w:val="24"/>
        </w:rPr>
        <w:t> </w:t>
      </w:r>
      <w:r>
        <w:rPr>
          <w:rFonts w:eastAsia="Calibri" w:cs="Times New Roman"/>
          <w:szCs w:val="24"/>
        </w:rPr>
        <w:t>967</w:t>
      </w:r>
      <w:r w:rsidRPr="005F1C11">
        <w:rPr>
          <w:rFonts w:eastAsia="Calibri" w:cs="Times New Roman"/>
          <w:szCs w:val="24"/>
        </w:rPr>
        <w:t xml:space="preserve"> tis. eur, </w:t>
      </w:r>
      <w:r>
        <w:rPr>
          <w:rFonts w:eastAsia="Calibri" w:cs="Times New Roman"/>
          <w:szCs w:val="24"/>
        </w:rPr>
        <w:t>poskytnuté z dvoch kapitol ŠR, a to z Ministerstva dopravy SR 127</w:t>
      </w:r>
      <w:r w:rsidR="002267CE">
        <w:rPr>
          <w:rFonts w:eastAsia="Calibri" w:cs="Times New Roman"/>
          <w:szCs w:val="24"/>
        </w:rPr>
        <w:t> </w:t>
      </w:r>
      <w:r>
        <w:rPr>
          <w:rFonts w:eastAsia="Calibri" w:cs="Times New Roman"/>
          <w:szCs w:val="24"/>
        </w:rPr>
        <w:t>758</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a z Ministerstva hospodárstva SR 57</w:t>
      </w:r>
      <w:r w:rsidR="002267CE">
        <w:rPr>
          <w:rFonts w:eastAsia="Calibri" w:cs="Times New Roman"/>
          <w:szCs w:val="24"/>
        </w:rPr>
        <w:t> </w:t>
      </w:r>
      <w:r>
        <w:rPr>
          <w:rFonts w:eastAsia="Calibri" w:cs="Times New Roman"/>
          <w:szCs w:val="24"/>
        </w:rPr>
        <w:t>209</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eur. Prekročenie rozpočtu o 127</w:t>
      </w:r>
      <w:r w:rsidR="002267CE">
        <w:rPr>
          <w:rFonts w:eastAsia="Calibri" w:cs="Times New Roman"/>
          <w:szCs w:val="24"/>
        </w:rPr>
        <w:t> </w:t>
      </w:r>
      <w:r>
        <w:rPr>
          <w:rFonts w:eastAsia="Calibri" w:cs="Times New Roman"/>
          <w:szCs w:val="24"/>
        </w:rPr>
        <w:t>758</w:t>
      </w:r>
      <w:r w:rsidR="002267CE">
        <w:rPr>
          <w:rFonts w:eastAsia="Calibri" w:cs="Times New Roman"/>
          <w:szCs w:val="24"/>
        </w:rPr>
        <w:t> </w:t>
      </w:r>
      <w:r>
        <w:rPr>
          <w:rFonts w:eastAsia="Calibri" w:cs="Times New Roman"/>
          <w:szCs w:val="24"/>
        </w:rPr>
        <w:t>tis.</w:t>
      </w:r>
      <w:r w:rsidR="002267CE">
        <w:rPr>
          <w:rFonts w:eastAsia="Calibri" w:cs="Times New Roman"/>
          <w:szCs w:val="24"/>
        </w:rPr>
        <w:t> </w:t>
      </w:r>
      <w:r>
        <w:rPr>
          <w:rFonts w:eastAsia="Calibri" w:cs="Times New Roman"/>
          <w:szCs w:val="24"/>
        </w:rPr>
        <w:t xml:space="preserve">eur bolo z dôvodu nerozpočtovania transferu </w:t>
      </w:r>
      <w:r w:rsidR="0082140E">
        <w:rPr>
          <w:rFonts w:eastAsia="Calibri" w:cs="Times New Roman"/>
          <w:szCs w:val="24"/>
        </w:rPr>
        <w:t>pre ŠFRB</w:t>
      </w:r>
      <w:r>
        <w:rPr>
          <w:rFonts w:eastAsia="Calibri" w:cs="Times New Roman"/>
          <w:i/>
          <w:iCs/>
          <w:szCs w:val="24"/>
        </w:rPr>
        <w:t xml:space="preserve"> </w:t>
      </w:r>
      <w:r>
        <w:rPr>
          <w:rFonts w:eastAsia="Calibri" w:cs="Times New Roman"/>
          <w:szCs w:val="24"/>
        </w:rPr>
        <w:t>z prostriedkov EÚ určených na</w:t>
      </w:r>
      <w:r w:rsidR="00622D2E">
        <w:rPr>
          <w:rFonts w:eastAsia="Calibri" w:cs="Times New Roman"/>
          <w:szCs w:val="24"/>
        </w:rPr>
        <w:t> </w:t>
      </w:r>
      <w:r>
        <w:rPr>
          <w:rFonts w:eastAsia="Calibri" w:cs="Times New Roman"/>
          <w:szCs w:val="24"/>
        </w:rPr>
        <w:t>znižovanie energetickej náročnosti budov. Ministerstvo hospodárstva SR poskytlo Národnému jadrovému fondu 57</w:t>
      </w:r>
      <w:r w:rsidR="00622D2E">
        <w:rPr>
          <w:rFonts w:eastAsia="Calibri" w:cs="Times New Roman"/>
          <w:szCs w:val="24"/>
        </w:rPr>
        <w:t> </w:t>
      </w:r>
      <w:r>
        <w:rPr>
          <w:rFonts w:eastAsia="Calibri" w:cs="Times New Roman"/>
          <w:szCs w:val="24"/>
        </w:rPr>
        <w:t>209</w:t>
      </w:r>
      <w:r w:rsidR="00622D2E">
        <w:rPr>
          <w:rFonts w:eastAsia="Calibri" w:cs="Times New Roman"/>
          <w:szCs w:val="24"/>
        </w:rPr>
        <w:t> </w:t>
      </w:r>
      <w:r>
        <w:rPr>
          <w:rFonts w:eastAsia="Calibri" w:cs="Times New Roman"/>
          <w:szCs w:val="24"/>
        </w:rPr>
        <w:t>tis.</w:t>
      </w:r>
      <w:r w:rsidR="00622D2E">
        <w:rPr>
          <w:rFonts w:eastAsia="Calibri" w:cs="Times New Roman"/>
          <w:szCs w:val="24"/>
        </w:rPr>
        <w:t> </w:t>
      </w:r>
      <w:r>
        <w:rPr>
          <w:rFonts w:eastAsia="Calibri" w:cs="Times New Roman"/>
          <w:szCs w:val="24"/>
        </w:rPr>
        <w:t>eur najmä z prostriedkov odvodu prevádzkovateľov prenosovej sústavy a distribučných sústav 56</w:t>
      </w:r>
      <w:r w:rsidR="00622D2E">
        <w:rPr>
          <w:rFonts w:eastAsia="Calibri" w:cs="Times New Roman"/>
          <w:szCs w:val="24"/>
        </w:rPr>
        <w:t> </w:t>
      </w:r>
      <w:r>
        <w:rPr>
          <w:rFonts w:eastAsia="Calibri" w:cs="Times New Roman"/>
          <w:szCs w:val="24"/>
        </w:rPr>
        <w:t>911</w:t>
      </w:r>
      <w:r w:rsidR="00622D2E">
        <w:rPr>
          <w:rFonts w:eastAsia="Calibri" w:cs="Times New Roman"/>
          <w:szCs w:val="24"/>
        </w:rPr>
        <w:t> </w:t>
      </w:r>
      <w:r>
        <w:rPr>
          <w:rFonts w:eastAsia="Calibri" w:cs="Times New Roman"/>
          <w:szCs w:val="24"/>
        </w:rPr>
        <w:t>tis.</w:t>
      </w:r>
      <w:r w:rsidR="00622D2E">
        <w:rPr>
          <w:rFonts w:eastAsia="Calibri" w:cs="Times New Roman"/>
          <w:szCs w:val="24"/>
        </w:rPr>
        <w:t> </w:t>
      </w:r>
      <w:r>
        <w:rPr>
          <w:rFonts w:eastAsia="Calibri" w:cs="Times New Roman"/>
          <w:szCs w:val="24"/>
        </w:rPr>
        <w:t>eur, čím bol rozpočet splnený.</w:t>
      </w:r>
    </w:p>
    <w:p w14:paraId="7DA2A9AE" w14:textId="77777777" w:rsidR="00F81960" w:rsidRDefault="00F81960" w:rsidP="003B042A">
      <w:pPr>
        <w:spacing w:line="240" w:lineRule="auto"/>
        <w:jc w:val="both"/>
        <w:rPr>
          <w:rFonts w:eastAsia="Calibri" w:cs="Times New Roman"/>
          <w:bCs/>
          <w:szCs w:val="24"/>
        </w:rPr>
      </w:pPr>
    </w:p>
    <w:p w14:paraId="365D0FF4" w14:textId="351CE309" w:rsidR="003B042A" w:rsidRDefault="003B042A" w:rsidP="003B042A">
      <w:pPr>
        <w:spacing w:line="240" w:lineRule="auto"/>
        <w:jc w:val="both"/>
        <w:rPr>
          <w:rFonts w:eastAsia="Calibri" w:cs="Times New Roman"/>
          <w:bCs/>
          <w:szCs w:val="24"/>
        </w:rPr>
      </w:pPr>
      <w:r w:rsidRPr="00B54C90">
        <w:rPr>
          <w:rFonts w:eastAsia="Calibri" w:cs="Times New Roman"/>
          <w:bCs/>
          <w:szCs w:val="24"/>
          <w:u w:val="single"/>
        </w:rPr>
        <w:t>Spomedzi transferov jednotlivcom</w:t>
      </w:r>
      <w:r w:rsidRPr="00065F93">
        <w:rPr>
          <w:rFonts w:eastAsia="Calibri" w:cs="Times New Roman"/>
          <w:bCs/>
          <w:szCs w:val="24"/>
        </w:rPr>
        <w:t xml:space="preserve"> sú </w:t>
      </w:r>
      <w:r>
        <w:rPr>
          <w:rFonts w:eastAsia="Calibri" w:cs="Times New Roman"/>
          <w:bCs/>
          <w:szCs w:val="24"/>
        </w:rPr>
        <w:t xml:space="preserve">najvýznamnejšie </w:t>
      </w:r>
      <w:r w:rsidRPr="00B54C90">
        <w:rPr>
          <w:rFonts w:eastAsia="Calibri" w:cs="Times New Roman"/>
          <w:bCs/>
          <w:szCs w:val="24"/>
          <w:u w:val="single"/>
        </w:rPr>
        <w:t>transfery vo</w:t>
      </w:r>
      <w:r w:rsidR="00622D2E" w:rsidRPr="00B54C90">
        <w:rPr>
          <w:rFonts w:eastAsia="Calibri" w:cs="Times New Roman"/>
          <w:bCs/>
          <w:szCs w:val="24"/>
          <w:u w:val="single"/>
        </w:rPr>
        <w:t> </w:t>
      </w:r>
      <w:r w:rsidRPr="00B54C90">
        <w:rPr>
          <w:rFonts w:eastAsia="Calibri" w:cs="Times New Roman"/>
          <w:bCs/>
          <w:szCs w:val="24"/>
          <w:u w:val="single"/>
        </w:rPr>
        <w:t>forme rôznych sociálnych dávok,</w:t>
      </w:r>
      <w:r>
        <w:rPr>
          <w:rFonts w:eastAsia="Calibri" w:cs="Times New Roman"/>
          <w:bCs/>
          <w:szCs w:val="24"/>
        </w:rPr>
        <w:t xml:space="preserve"> prídavkov, príspevkov a príplatkov k dávkam</w:t>
      </w:r>
      <w:r w:rsidR="005F15A4" w:rsidRPr="005F15A4">
        <w:rPr>
          <w:rFonts w:eastAsia="Calibri" w:cs="Times New Roman"/>
          <w:bCs/>
          <w:szCs w:val="24"/>
        </w:rPr>
        <w:t xml:space="preserve"> </w:t>
      </w:r>
      <w:r w:rsidR="005F15A4">
        <w:rPr>
          <w:rFonts w:eastAsia="Calibri" w:cs="Times New Roman"/>
          <w:bCs/>
          <w:szCs w:val="24"/>
        </w:rPr>
        <w:t xml:space="preserve">ako aj poistného na skupiny osôb ustanovených zákonom. </w:t>
      </w:r>
      <w:r>
        <w:rPr>
          <w:rFonts w:eastAsia="Calibri" w:cs="Times New Roman"/>
          <w:bCs/>
          <w:szCs w:val="24"/>
        </w:rPr>
        <w:t xml:space="preserve"> Najvyššiu sumu dosiahlo </w:t>
      </w:r>
      <w:r w:rsidR="005F15A4">
        <w:rPr>
          <w:rFonts w:eastAsia="Calibri" w:cs="Times New Roman"/>
          <w:bCs/>
          <w:szCs w:val="24"/>
        </w:rPr>
        <w:t xml:space="preserve">práve </w:t>
      </w:r>
      <w:r w:rsidRPr="00196FF7">
        <w:rPr>
          <w:rFonts w:eastAsia="Calibri" w:cs="Times New Roman"/>
          <w:bCs/>
          <w:szCs w:val="24"/>
          <w:u w:val="single"/>
        </w:rPr>
        <w:t xml:space="preserve">poistné </w:t>
      </w:r>
      <w:r w:rsidRPr="00985371">
        <w:rPr>
          <w:rFonts w:eastAsia="Calibri" w:cs="Times New Roman"/>
          <w:bCs/>
          <w:szCs w:val="24"/>
          <w:u w:val="single"/>
        </w:rPr>
        <w:t>na skupiny osôb ustanovených zákonom</w:t>
      </w:r>
      <w:r w:rsidRPr="00985371">
        <w:rPr>
          <w:rFonts w:eastAsia="Calibri" w:cs="Times New Roman"/>
          <w:bCs/>
          <w:szCs w:val="24"/>
        </w:rPr>
        <w:t>, ktoré vypláca najmä Ministerstvo zdravotníctva SR (2</w:t>
      </w:r>
      <w:r w:rsidR="00622D2E">
        <w:rPr>
          <w:rFonts w:eastAsia="Calibri" w:cs="Times New Roman"/>
          <w:bCs/>
          <w:szCs w:val="24"/>
        </w:rPr>
        <w:t> </w:t>
      </w:r>
      <w:r w:rsidRPr="00985371">
        <w:rPr>
          <w:rFonts w:eastAsia="Calibri" w:cs="Times New Roman"/>
          <w:bCs/>
          <w:szCs w:val="24"/>
        </w:rPr>
        <w:t>316</w:t>
      </w:r>
      <w:r w:rsidR="00622D2E">
        <w:rPr>
          <w:rFonts w:eastAsia="Calibri" w:cs="Times New Roman"/>
          <w:bCs/>
          <w:szCs w:val="24"/>
        </w:rPr>
        <w:t> </w:t>
      </w:r>
      <w:r w:rsidRPr="00985371">
        <w:rPr>
          <w:rFonts w:eastAsia="Calibri" w:cs="Times New Roman"/>
          <w:bCs/>
          <w:szCs w:val="24"/>
        </w:rPr>
        <w:t>600 tis. eur) a Ministerstvo práce, sociálnych vecí a rodiny SR 506</w:t>
      </w:r>
      <w:r w:rsidR="00622D2E">
        <w:rPr>
          <w:rFonts w:eastAsia="Calibri" w:cs="Times New Roman"/>
          <w:bCs/>
          <w:szCs w:val="24"/>
        </w:rPr>
        <w:t> </w:t>
      </w:r>
      <w:r w:rsidRPr="00985371">
        <w:rPr>
          <w:rFonts w:eastAsia="Calibri" w:cs="Times New Roman"/>
          <w:bCs/>
          <w:szCs w:val="24"/>
        </w:rPr>
        <w:t>295</w:t>
      </w:r>
      <w:r w:rsidR="00622D2E">
        <w:rPr>
          <w:rFonts w:eastAsia="Calibri" w:cs="Times New Roman"/>
          <w:bCs/>
          <w:szCs w:val="24"/>
        </w:rPr>
        <w:t> </w:t>
      </w:r>
      <w:r w:rsidRPr="00985371">
        <w:rPr>
          <w:rFonts w:eastAsia="Calibri" w:cs="Times New Roman"/>
          <w:bCs/>
          <w:szCs w:val="24"/>
        </w:rPr>
        <w:t>tis.</w:t>
      </w:r>
      <w:r w:rsidR="00622D2E">
        <w:rPr>
          <w:rFonts w:eastAsia="Calibri" w:cs="Times New Roman"/>
          <w:bCs/>
          <w:szCs w:val="24"/>
        </w:rPr>
        <w:t> </w:t>
      </w:r>
      <w:r w:rsidRPr="00985371">
        <w:rPr>
          <w:rFonts w:eastAsia="Calibri" w:cs="Times New Roman"/>
          <w:bCs/>
          <w:szCs w:val="24"/>
        </w:rPr>
        <w:t>eur.  Ide o transfery do</w:t>
      </w:r>
      <w:r w:rsidR="00B54C90">
        <w:rPr>
          <w:rFonts w:eastAsia="Calibri" w:cs="Times New Roman"/>
          <w:bCs/>
          <w:szCs w:val="24"/>
        </w:rPr>
        <w:t> </w:t>
      </w:r>
      <w:r w:rsidRPr="00985371">
        <w:rPr>
          <w:rFonts w:eastAsia="Calibri" w:cs="Times New Roman"/>
          <w:bCs/>
          <w:szCs w:val="24"/>
        </w:rPr>
        <w:t>Sociálnej poisťovne a zdravotných poisťovní napríklad za</w:t>
      </w:r>
      <w:r w:rsidR="00622D2E">
        <w:rPr>
          <w:rFonts w:eastAsia="Calibri" w:cs="Times New Roman"/>
          <w:bCs/>
          <w:szCs w:val="24"/>
        </w:rPr>
        <w:t> </w:t>
      </w:r>
      <w:r w:rsidRPr="00985371">
        <w:rPr>
          <w:rFonts w:eastAsia="Calibri" w:cs="Times New Roman"/>
          <w:bCs/>
          <w:szCs w:val="24"/>
        </w:rPr>
        <w:t xml:space="preserve">štátom platené poistné na zdravotné poistenie v </w:t>
      </w:r>
      <w:r w:rsidRPr="00985371">
        <w:rPr>
          <w:rFonts w:eastAsia="Calibri" w:cs="Times New Roman"/>
          <w:szCs w:val="24"/>
        </w:rPr>
        <w:t>súlade so zákonom č. 580/2004 Z. z. o zdravotnom poistení a o zmene a doplnení zákona č. </w:t>
      </w:r>
      <w:hyperlink r:id="rId15" w:history="1">
        <w:r w:rsidRPr="00985371">
          <w:rPr>
            <w:rFonts w:eastAsia="Calibri" w:cs="Times New Roman"/>
            <w:szCs w:val="24"/>
          </w:rPr>
          <w:t>95/2002 Z. z.</w:t>
        </w:r>
      </w:hyperlink>
      <w:r w:rsidRPr="00985371">
        <w:rPr>
          <w:rFonts w:eastAsia="Calibri" w:cs="Times New Roman"/>
          <w:szCs w:val="24"/>
        </w:rPr>
        <w:t> o poisťovníctve a o zmene a doplnení niektorých zákonov v znení zákona č. </w:t>
      </w:r>
      <w:hyperlink r:id="rId16" w:history="1">
        <w:r w:rsidRPr="00985371">
          <w:rPr>
            <w:rFonts w:eastAsia="Calibri" w:cs="Times New Roman"/>
            <w:szCs w:val="24"/>
          </w:rPr>
          <w:t>718/2004 Z. z.</w:t>
        </w:r>
      </w:hyperlink>
      <w:r w:rsidRPr="00985371">
        <w:rPr>
          <w:rFonts w:eastAsia="Calibri" w:cs="Times New Roman"/>
          <w:szCs w:val="24"/>
        </w:rPr>
        <w:t>, na úhradu zdravotnej starostlivosti za poistencov štátu, za poistencov, ktorí</w:t>
      </w:r>
      <w:r w:rsidRPr="009B204F">
        <w:rPr>
          <w:rFonts w:eastAsia="Calibri" w:cs="Times New Roman"/>
          <w:szCs w:val="24"/>
        </w:rPr>
        <w:t xml:space="preserve"> nie sú zamestnancami alebo samostatne zárobkovo činnými osobami</w:t>
      </w:r>
      <w:r>
        <w:rPr>
          <w:rFonts w:eastAsia="Calibri" w:cs="Times New Roman"/>
          <w:bCs/>
          <w:szCs w:val="24"/>
        </w:rPr>
        <w:t xml:space="preserve">, na starobné poistenie a povinné príspevky na starobné dôchodkové sporenie, poistné na invalidné poistenie a poistné do rezervného fondu solidarity za osoby podľa § 128 </w:t>
      </w:r>
      <w:r w:rsidRPr="00981765">
        <w:rPr>
          <w:rFonts w:eastAsia="Calibri" w:cs="Times New Roman"/>
          <w:bCs/>
          <w:szCs w:val="24"/>
        </w:rPr>
        <w:t>ods.</w:t>
      </w:r>
      <w:r>
        <w:rPr>
          <w:rFonts w:eastAsia="Calibri" w:cs="Times New Roman"/>
          <w:bCs/>
          <w:szCs w:val="24"/>
        </w:rPr>
        <w:t> </w:t>
      </w:r>
      <w:r w:rsidRPr="00981765">
        <w:rPr>
          <w:rFonts w:eastAsia="Calibri" w:cs="Times New Roman"/>
          <w:bCs/>
          <w:szCs w:val="24"/>
        </w:rPr>
        <w:t>2 zákona</w:t>
      </w:r>
      <w:r>
        <w:rPr>
          <w:rFonts w:eastAsia="Calibri" w:cs="Times New Roman"/>
          <w:bCs/>
          <w:szCs w:val="24"/>
        </w:rPr>
        <w:t xml:space="preserve"> </w:t>
      </w:r>
      <w:r w:rsidRPr="00981765">
        <w:rPr>
          <w:rFonts w:eastAsia="Calibri" w:cs="Times New Roman"/>
          <w:bCs/>
          <w:szCs w:val="24"/>
        </w:rPr>
        <w:t>č.</w:t>
      </w:r>
      <w:r>
        <w:rPr>
          <w:rFonts w:eastAsia="Calibri" w:cs="Times New Roman"/>
          <w:bCs/>
          <w:szCs w:val="24"/>
        </w:rPr>
        <w:t> </w:t>
      </w:r>
      <w:r w:rsidRPr="00981765">
        <w:rPr>
          <w:rFonts w:eastAsia="Calibri" w:cs="Times New Roman"/>
          <w:bCs/>
          <w:szCs w:val="24"/>
        </w:rPr>
        <w:t>461/2003</w:t>
      </w:r>
      <w:r>
        <w:rPr>
          <w:rFonts w:eastAsia="Calibri" w:cs="Times New Roman"/>
          <w:bCs/>
          <w:szCs w:val="24"/>
        </w:rPr>
        <w:t> Z. </w:t>
      </w:r>
      <w:r w:rsidRPr="00981765">
        <w:rPr>
          <w:rFonts w:eastAsia="Calibri" w:cs="Times New Roman"/>
          <w:bCs/>
          <w:szCs w:val="24"/>
        </w:rPr>
        <w:t>z. o</w:t>
      </w:r>
      <w:r w:rsidR="00B54C90">
        <w:rPr>
          <w:rFonts w:eastAsia="Calibri" w:cs="Times New Roman"/>
          <w:bCs/>
          <w:szCs w:val="24"/>
        </w:rPr>
        <w:t> </w:t>
      </w:r>
      <w:r w:rsidRPr="00981765">
        <w:rPr>
          <w:rFonts w:eastAsia="Calibri" w:cs="Times New Roman"/>
          <w:bCs/>
          <w:szCs w:val="24"/>
        </w:rPr>
        <w:t>sociálnom poistení v</w:t>
      </w:r>
      <w:r>
        <w:rPr>
          <w:rFonts w:eastAsia="Calibri" w:cs="Times New Roman"/>
          <w:bCs/>
          <w:szCs w:val="24"/>
        </w:rPr>
        <w:t> </w:t>
      </w:r>
      <w:r w:rsidRPr="00981765">
        <w:rPr>
          <w:rFonts w:eastAsia="Calibri" w:cs="Times New Roman"/>
          <w:bCs/>
          <w:szCs w:val="24"/>
        </w:rPr>
        <w:t>znení neskorších predpisov</w:t>
      </w:r>
      <w:r>
        <w:rPr>
          <w:rFonts w:eastAsia="Calibri" w:cs="Times New Roman"/>
          <w:bCs/>
          <w:szCs w:val="24"/>
        </w:rPr>
        <w:t>.</w:t>
      </w:r>
    </w:p>
    <w:p w14:paraId="19821654" w14:textId="77777777" w:rsidR="00F81960" w:rsidRDefault="00F81960" w:rsidP="003B042A">
      <w:pPr>
        <w:spacing w:line="240" w:lineRule="auto"/>
        <w:jc w:val="both"/>
        <w:rPr>
          <w:rFonts w:eastAsia="Calibri" w:cs="Times New Roman"/>
          <w:bCs/>
          <w:szCs w:val="24"/>
        </w:rPr>
      </w:pPr>
    </w:p>
    <w:p w14:paraId="628905B8" w14:textId="5701561B" w:rsidR="005F15A4" w:rsidRPr="00842190" w:rsidRDefault="005F15A4" w:rsidP="005F15A4">
      <w:pPr>
        <w:spacing w:line="240" w:lineRule="auto"/>
        <w:jc w:val="both"/>
        <w:rPr>
          <w:rFonts w:eastAsia="Calibri" w:cs="Times New Roman"/>
          <w:bCs/>
          <w:szCs w:val="24"/>
        </w:rPr>
      </w:pPr>
      <w:r w:rsidRPr="00985371">
        <w:rPr>
          <w:rFonts w:eastAsia="Calibri" w:cs="Times New Roman"/>
          <w:bCs/>
          <w:szCs w:val="24"/>
        </w:rPr>
        <w:t>Ďalej Ministerstvo práce, sociálnych vecí a rodiny SR</w:t>
      </w:r>
      <w:r>
        <w:rPr>
          <w:rFonts w:eastAsia="Calibri" w:cs="Times New Roman"/>
          <w:bCs/>
          <w:szCs w:val="24"/>
        </w:rPr>
        <w:t xml:space="preserve"> (MPSVR SR)</w:t>
      </w:r>
      <w:r w:rsidRPr="00985371">
        <w:rPr>
          <w:rFonts w:eastAsia="Calibri" w:cs="Times New Roman"/>
          <w:bCs/>
          <w:szCs w:val="24"/>
        </w:rPr>
        <w:t xml:space="preserve"> vyplatilo úhrnom 3 887</w:t>
      </w:r>
      <w:r>
        <w:rPr>
          <w:rFonts w:eastAsia="Calibri" w:cs="Times New Roman"/>
          <w:bCs/>
          <w:szCs w:val="24"/>
        </w:rPr>
        <w:t> </w:t>
      </w:r>
      <w:r w:rsidRPr="00985371">
        <w:rPr>
          <w:rFonts w:eastAsia="Calibri" w:cs="Times New Roman"/>
          <w:bCs/>
          <w:szCs w:val="24"/>
        </w:rPr>
        <w:t>468</w:t>
      </w:r>
      <w:r>
        <w:rPr>
          <w:rFonts w:eastAsia="Calibri" w:cs="Times New Roman"/>
          <w:bCs/>
          <w:szCs w:val="24"/>
        </w:rPr>
        <w:t> </w:t>
      </w:r>
      <w:r w:rsidRPr="00985371">
        <w:rPr>
          <w:rFonts w:eastAsia="Calibri" w:cs="Times New Roman"/>
          <w:bCs/>
          <w:szCs w:val="24"/>
        </w:rPr>
        <w:t>tis.</w:t>
      </w:r>
      <w:r>
        <w:rPr>
          <w:rFonts w:eastAsia="Calibri" w:cs="Times New Roman"/>
          <w:bCs/>
          <w:szCs w:val="24"/>
        </w:rPr>
        <w:t> </w:t>
      </w:r>
      <w:r w:rsidRPr="00985371">
        <w:rPr>
          <w:rFonts w:eastAsia="Calibri" w:cs="Times New Roman"/>
          <w:bCs/>
          <w:szCs w:val="24"/>
        </w:rPr>
        <w:t>eur, najmä na peňažné príspevky na kompenzáciu 887</w:t>
      </w:r>
      <w:r>
        <w:rPr>
          <w:rFonts w:eastAsia="Calibri" w:cs="Times New Roman"/>
          <w:bCs/>
          <w:szCs w:val="24"/>
        </w:rPr>
        <w:t> </w:t>
      </w:r>
      <w:r w:rsidRPr="00985371">
        <w:rPr>
          <w:rFonts w:eastAsia="Calibri" w:cs="Times New Roman"/>
          <w:bCs/>
          <w:szCs w:val="24"/>
        </w:rPr>
        <w:t>012</w:t>
      </w:r>
      <w:r>
        <w:rPr>
          <w:rFonts w:eastAsia="Calibri" w:cs="Times New Roman"/>
          <w:bCs/>
          <w:szCs w:val="24"/>
        </w:rPr>
        <w:t> </w:t>
      </w:r>
      <w:r w:rsidRPr="00985371">
        <w:rPr>
          <w:rFonts w:eastAsia="Calibri" w:cs="Times New Roman"/>
          <w:bCs/>
          <w:szCs w:val="24"/>
        </w:rPr>
        <w:t>tis.</w:t>
      </w:r>
      <w:r>
        <w:rPr>
          <w:rFonts w:eastAsia="Calibri" w:cs="Times New Roman"/>
          <w:bCs/>
          <w:szCs w:val="24"/>
        </w:rPr>
        <w:t> </w:t>
      </w:r>
      <w:r w:rsidRPr="00985371">
        <w:rPr>
          <w:rFonts w:eastAsia="Calibri" w:cs="Times New Roman"/>
          <w:bCs/>
          <w:szCs w:val="24"/>
        </w:rPr>
        <w:t xml:space="preserve">eur, </w:t>
      </w:r>
      <w:r w:rsidRPr="00842190">
        <w:rPr>
          <w:rFonts w:eastAsia="Calibri" w:cs="Times New Roman"/>
          <w:bCs/>
          <w:szCs w:val="24"/>
        </w:rPr>
        <w:t>na prídavok na dieťa 814 056 tis. eur, na rodičovský príspevok 664 500 tis. eur</w:t>
      </w:r>
      <w:r>
        <w:rPr>
          <w:rFonts w:eastAsia="Calibri" w:cs="Times New Roman"/>
          <w:bCs/>
          <w:szCs w:val="24"/>
        </w:rPr>
        <w:t>, na aktívne opatrenia trhu práce 179</w:t>
      </w:r>
      <w:r w:rsidR="00B54C90">
        <w:rPr>
          <w:rFonts w:eastAsia="Calibri" w:cs="Times New Roman"/>
          <w:bCs/>
          <w:szCs w:val="24"/>
        </w:rPr>
        <w:t> </w:t>
      </w:r>
      <w:r>
        <w:rPr>
          <w:rFonts w:eastAsia="Calibri" w:cs="Times New Roman"/>
          <w:bCs/>
          <w:szCs w:val="24"/>
        </w:rPr>
        <w:t>881</w:t>
      </w:r>
      <w:r w:rsidR="00B54C90">
        <w:rPr>
          <w:rFonts w:eastAsia="Calibri" w:cs="Times New Roman"/>
          <w:bCs/>
          <w:szCs w:val="24"/>
        </w:rPr>
        <w:t> </w:t>
      </w:r>
      <w:r>
        <w:rPr>
          <w:rFonts w:eastAsia="Calibri" w:cs="Times New Roman"/>
          <w:bCs/>
          <w:szCs w:val="24"/>
        </w:rPr>
        <w:t>tis.</w:t>
      </w:r>
      <w:r w:rsidR="00B54C90">
        <w:rPr>
          <w:rFonts w:eastAsia="Calibri" w:cs="Times New Roman"/>
          <w:bCs/>
          <w:szCs w:val="24"/>
        </w:rPr>
        <w:t> </w:t>
      </w:r>
      <w:r>
        <w:rPr>
          <w:rFonts w:eastAsia="Calibri" w:cs="Times New Roman"/>
          <w:bCs/>
          <w:szCs w:val="24"/>
        </w:rPr>
        <w:t>eur, na dávku v hmotnej núdzi a príspevky k dávke 129</w:t>
      </w:r>
      <w:r w:rsidR="00B54C90">
        <w:rPr>
          <w:rFonts w:eastAsia="Calibri" w:cs="Times New Roman"/>
          <w:bCs/>
          <w:szCs w:val="24"/>
        </w:rPr>
        <w:t> </w:t>
      </w:r>
      <w:r>
        <w:rPr>
          <w:rFonts w:eastAsia="Calibri" w:cs="Times New Roman"/>
          <w:bCs/>
          <w:szCs w:val="24"/>
        </w:rPr>
        <w:t>373</w:t>
      </w:r>
      <w:r w:rsidR="00B54C90">
        <w:rPr>
          <w:rFonts w:eastAsia="Calibri" w:cs="Times New Roman"/>
          <w:bCs/>
          <w:szCs w:val="24"/>
        </w:rPr>
        <w:t> </w:t>
      </w:r>
      <w:r>
        <w:rPr>
          <w:rFonts w:eastAsia="Calibri" w:cs="Times New Roman"/>
          <w:bCs/>
          <w:szCs w:val="24"/>
        </w:rPr>
        <w:t>tis.</w:t>
      </w:r>
      <w:r w:rsidR="00B54C90">
        <w:rPr>
          <w:rFonts w:eastAsia="Calibri" w:cs="Times New Roman"/>
          <w:bCs/>
          <w:szCs w:val="24"/>
        </w:rPr>
        <w:t> </w:t>
      </w:r>
      <w:r>
        <w:rPr>
          <w:rFonts w:eastAsia="Calibri" w:cs="Times New Roman"/>
          <w:bCs/>
          <w:szCs w:val="24"/>
        </w:rPr>
        <w:t>eur, na</w:t>
      </w:r>
      <w:r w:rsidR="00B54C90">
        <w:rPr>
          <w:rFonts w:eastAsia="Calibri" w:cs="Times New Roman"/>
          <w:bCs/>
          <w:szCs w:val="24"/>
        </w:rPr>
        <w:t> </w:t>
      </w:r>
      <w:r>
        <w:rPr>
          <w:rFonts w:eastAsia="Calibri" w:cs="Times New Roman"/>
          <w:bCs/>
          <w:szCs w:val="24"/>
        </w:rPr>
        <w:t>príspevky na podporu náhradnej starostlivosti o dieťa 33</w:t>
      </w:r>
      <w:r w:rsidR="00B54C90">
        <w:rPr>
          <w:rFonts w:eastAsia="Calibri" w:cs="Times New Roman"/>
          <w:bCs/>
          <w:szCs w:val="24"/>
        </w:rPr>
        <w:t> </w:t>
      </w:r>
      <w:r>
        <w:rPr>
          <w:rFonts w:eastAsia="Calibri" w:cs="Times New Roman"/>
          <w:bCs/>
          <w:szCs w:val="24"/>
        </w:rPr>
        <w:t>509</w:t>
      </w:r>
      <w:r w:rsidR="00B54C90">
        <w:rPr>
          <w:rFonts w:eastAsia="Calibri" w:cs="Times New Roman"/>
          <w:bCs/>
          <w:szCs w:val="24"/>
        </w:rPr>
        <w:t> </w:t>
      </w:r>
      <w:r>
        <w:rPr>
          <w:rFonts w:eastAsia="Calibri" w:cs="Times New Roman"/>
          <w:bCs/>
          <w:szCs w:val="24"/>
        </w:rPr>
        <w:t>tis.</w:t>
      </w:r>
      <w:r w:rsidR="00B54C90">
        <w:rPr>
          <w:rFonts w:eastAsia="Calibri" w:cs="Times New Roman"/>
          <w:bCs/>
          <w:szCs w:val="24"/>
        </w:rPr>
        <w:t> </w:t>
      </w:r>
      <w:r>
        <w:rPr>
          <w:rFonts w:eastAsia="Calibri" w:cs="Times New Roman"/>
          <w:bCs/>
          <w:szCs w:val="24"/>
        </w:rPr>
        <w:t>eur, na</w:t>
      </w:r>
      <w:r w:rsidR="00B54C90">
        <w:rPr>
          <w:rFonts w:eastAsia="Calibri" w:cs="Times New Roman"/>
          <w:bCs/>
          <w:szCs w:val="24"/>
        </w:rPr>
        <w:t> </w:t>
      </w:r>
      <w:r>
        <w:rPr>
          <w:rFonts w:eastAsia="Calibri" w:cs="Times New Roman"/>
          <w:bCs/>
          <w:szCs w:val="24"/>
        </w:rPr>
        <w:t>príspevok pri</w:t>
      </w:r>
      <w:r w:rsidR="00B54C90">
        <w:rPr>
          <w:rFonts w:eastAsia="Calibri" w:cs="Times New Roman"/>
          <w:bCs/>
          <w:szCs w:val="24"/>
        </w:rPr>
        <w:t> </w:t>
      </w:r>
      <w:r>
        <w:rPr>
          <w:rFonts w:eastAsia="Calibri" w:cs="Times New Roman"/>
          <w:bCs/>
          <w:szCs w:val="24"/>
        </w:rPr>
        <w:t>narodení dieťaťa 33</w:t>
      </w:r>
      <w:r w:rsidR="00B54C90">
        <w:rPr>
          <w:rFonts w:eastAsia="Calibri" w:cs="Times New Roman"/>
          <w:bCs/>
          <w:szCs w:val="24"/>
        </w:rPr>
        <w:t> </w:t>
      </w:r>
      <w:r>
        <w:rPr>
          <w:rFonts w:eastAsia="Calibri" w:cs="Times New Roman"/>
          <w:bCs/>
          <w:szCs w:val="24"/>
        </w:rPr>
        <w:t>078</w:t>
      </w:r>
      <w:r w:rsidR="00B54C90">
        <w:rPr>
          <w:rFonts w:eastAsia="Calibri" w:cs="Times New Roman"/>
          <w:bCs/>
          <w:szCs w:val="24"/>
        </w:rPr>
        <w:t> </w:t>
      </w:r>
      <w:r>
        <w:rPr>
          <w:rFonts w:eastAsia="Calibri" w:cs="Times New Roman"/>
          <w:bCs/>
          <w:szCs w:val="24"/>
        </w:rPr>
        <w:t>tis.</w:t>
      </w:r>
      <w:r w:rsidR="00B54C90">
        <w:rPr>
          <w:rFonts w:eastAsia="Calibri" w:cs="Times New Roman"/>
          <w:bCs/>
          <w:szCs w:val="24"/>
        </w:rPr>
        <w:t> </w:t>
      </w:r>
      <w:r>
        <w:rPr>
          <w:rFonts w:eastAsia="Calibri" w:cs="Times New Roman"/>
          <w:bCs/>
          <w:szCs w:val="24"/>
        </w:rPr>
        <w:t>eur. V</w:t>
      </w:r>
      <w:r w:rsidRPr="00842190">
        <w:rPr>
          <w:rFonts w:eastAsia="Calibri" w:cs="Times New Roman"/>
          <w:bCs/>
          <w:szCs w:val="24"/>
        </w:rPr>
        <w:t xml:space="preserve"> sociálnej oblasti došlo k viacerým zmenám, ktoré zvýšili rozpočtované hodnoty </w:t>
      </w:r>
      <w:r>
        <w:rPr>
          <w:rFonts w:eastAsia="Calibri" w:cs="Times New Roman"/>
          <w:bCs/>
          <w:szCs w:val="24"/>
        </w:rPr>
        <w:t>niektorých</w:t>
      </w:r>
      <w:r w:rsidRPr="00842190">
        <w:rPr>
          <w:rFonts w:eastAsia="Calibri" w:cs="Times New Roman"/>
          <w:bCs/>
          <w:szCs w:val="24"/>
        </w:rPr>
        <w:t xml:space="preserve"> dávok </w:t>
      </w:r>
      <w:r>
        <w:rPr>
          <w:rFonts w:eastAsia="Calibri" w:cs="Times New Roman"/>
          <w:bCs/>
          <w:szCs w:val="24"/>
        </w:rPr>
        <w:t>a tým aj medziročné skutočné plnenie. Niektoré zmeny v legislatíve boli prijaté počas roka 2025</w:t>
      </w:r>
      <w:r w:rsidRPr="00842190">
        <w:rPr>
          <w:rFonts w:eastAsia="Calibri" w:cs="Times New Roman"/>
          <w:bCs/>
          <w:szCs w:val="24"/>
        </w:rPr>
        <w:t xml:space="preserve"> Išlo </w:t>
      </w:r>
      <w:r>
        <w:rPr>
          <w:rFonts w:eastAsia="Calibri" w:cs="Times New Roman"/>
          <w:bCs/>
          <w:szCs w:val="24"/>
        </w:rPr>
        <w:t>napríklad</w:t>
      </w:r>
      <w:r w:rsidRPr="00842190">
        <w:rPr>
          <w:rFonts w:eastAsia="Calibri" w:cs="Times New Roman"/>
          <w:bCs/>
          <w:szCs w:val="24"/>
        </w:rPr>
        <w:t xml:space="preserve"> o tieto zmeny:</w:t>
      </w:r>
    </w:p>
    <w:p w14:paraId="3DAD580F" w14:textId="5C0B4B66" w:rsidR="005F15A4" w:rsidRPr="00E51DDD"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lastRenderedPageBreak/>
        <w:t>Opatrením MPSVR SR č.</w:t>
      </w:r>
      <w:r w:rsidR="001C0814">
        <w:rPr>
          <w:rFonts w:ascii="Times New Roman" w:hAnsi="Times New Roman"/>
          <w:bCs/>
          <w:szCs w:val="24"/>
        </w:rPr>
        <w:t> </w:t>
      </w:r>
      <w:r w:rsidRPr="00E51DDD">
        <w:rPr>
          <w:rFonts w:ascii="Times New Roman" w:hAnsi="Times New Roman"/>
          <w:bCs/>
          <w:szCs w:val="24"/>
        </w:rPr>
        <w:t>257/2024</w:t>
      </w:r>
      <w:r w:rsidR="001C0814">
        <w:rPr>
          <w:rFonts w:ascii="Times New Roman" w:hAnsi="Times New Roman"/>
          <w:bCs/>
          <w:szCs w:val="24"/>
        </w:rPr>
        <w:t> </w:t>
      </w:r>
      <w:r w:rsidRPr="00E51DDD">
        <w:rPr>
          <w:rFonts w:ascii="Times New Roman" w:hAnsi="Times New Roman"/>
          <w:bCs/>
          <w:szCs w:val="24"/>
        </w:rPr>
        <w:t>Z. z. o úprave súm pomoci v hmotnej núdzi s účinnosťou od 1.</w:t>
      </w:r>
      <w:r w:rsidR="00B54C90">
        <w:rPr>
          <w:rFonts w:ascii="Times New Roman" w:hAnsi="Times New Roman"/>
          <w:bCs/>
          <w:szCs w:val="24"/>
        </w:rPr>
        <w:t> </w:t>
      </w:r>
      <w:r w:rsidRPr="00E51DDD">
        <w:rPr>
          <w:rFonts w:ascii="Times New Roman" w:hAnsi="Times New Roman"/>
          <w:bCs/>
          <w:szCs w:val="24"/>
        </w:rPr>
        <w:t>januára 2025 došlo k zvýšeniu súm</w:t>
      </w:r>
      <w:r w:rsidRPr="00E51DDD">
        <w:rPr>
          <w:rFonts w:ascii="Times New Roman" w:hAnsi="Times New Roman"/>
          <w:b/>
          <w:szCs w:val="24"/>
        </w:rPr>
        <w:t xml:space="preserve"> dávky v hmotnej núdzi</w:t>
      </w:r>
      <w:r w:rsidRPr="00E51DDD">
        <w:rPr>
          <w:rFonts w:ascii="Times New Roman" w:hAnsi="Times New Roman"/>
          <w:bCs/>
          <w:szCs w:val="24"/>
        </w:rPr>
        <w:t>, ochranného príspevku, aktivačného príspevku, príspevku na nezaopatrené dieťa a príspevku na bývanie na základe koeficientu rastu čistých peňažných príjmov na</w:t>
      </w:r>
      <w:r w:rsidR="00B54C90">
        <w:rPr>
          <w:rFonts w:ascii="Times New Roman" w:hAnsi="Times New Roman"/>
          <w:bCs/>
          <w:szCs w:val="24"/>
        </w:rPr>
        <w:t> </w:t>
      </w:r>
      <w:r w:rsidRPr="00E51DDD">
        <w:rPr>
          <w:rFonts w:ascii="Times New Roman" w:hAnsi="Times New Roman"/>
          <w:bCs/>
          <w:szCs w:val="24"/>
        </w:rPr>
        <w:t>osobu, ktorý dosiahol hodnotu 1,019 (t. j. apríl 2024/apríl 2023).</w:t>
      </w:r>
    </w:p>
    <w:p w14:paraId="3E1806B9" w14:textId="6F728865" w:rsidR="005F15A4" w:rsidRPr="00E51DDD"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t>Opatrením MPSVR SR č.</w:t>
      </w:r>
      <w:r w:rsidR="00B54C90">
        <w:rPr>
          <w:rFonts w:ascii="Times New Roman" w:hAnsi="Times New Roman"/>
          <w:bCs/>
          <w:szCs w:val="24"/>
        </w:rPr>
        <w:t> </w:t>
      </w:r>
      <w:r w:rsidRPr="00E51DDD">
        <w:rPr>
          <w:rFonts w:ascii="Times New Roman" w:hAnsi="Times New Roman"/>
          <w:bCs/>
          <w:szCs w:val="24"/>
        </w:rPr>
        <w:t>241/2024</w:t>
      </w:r>
      <w:r w:rsidR="001C0814">
        <w:rPr>
          <w:rFonts w:ascii="Times New Roman" w:hAnsi="Times New Roman"/>
          <w:bCs/>
          <w:szCs w:val="24"/>
        </w:rPr>
        <w:t> </w:t>
      </w:r>
      <w:r w:rsidRPr="00E51DDD">
        <w:rPr>
          <w:rFonts w:ascii="Times New Roman" w:hAnsi="Times New Roman"/>
          <w:bCs/>
          <w:szCs w:val="24"/>
        </w:rPr>
        <w:t>Z. z. o úprave súm a koeficientov</w:t>
      </w:r>
      <w:r w:rsidRPr="00E51DDD">
        <w:rPr>
          <w:rFonts w:ascii="Times New Roman" w:hAnsi="Times New Roman"/>
          <w:b/>
          <w:szCs w:val="24"/>
        </w:rPr>
        <w:t xml:space="preserve"> kompenzačného príspevku baníkom</w:t>
      </w:r>
      <w:r w:rsidRPr="00E51DDD">
        <w:rPr>
          <w:rFonts w:ascii="Times New Roman" w:hAnsi="Times New Roman"/>
          <w:bCs/>
          <w:szCs w:val="24"/>
        </w:rPr>
        <w:t xml:space="preserve"> sa s účinnosťou od 1.</w:t>
      </w:r>
      <w:r w:rsidR="001C0814">
        <w:rPr>
          <w:rFonts w:ascii="Times New Roman" w:hAnsi="Times New Roman"/>
          <w:bCs/>
          <w:szCs w:val="24"/>
        </w:rPr>
        <w:t> </w:t>
      </w:r>
      <w:r w:rsidRPr="00E51DDD">
        <w:rPr>
          <w:rFonts w:ascii="Times New Roman" w:hAnsi="Times New Roman"/>
          <w:bCs/>
          <w:szCs w:val="24"/>
        </w:rPr>
        <w:t>januára 2025 zvýšili sumy kompenzačného príspevku pre zamestnancov, ktorí ukončili zamestnanie so stálym pracoviskom v podzemí z dôvodu útlmu banskej činnosti. Sumy kompenzačného príspevku, ako aj koeficientov sa upravili na základe koeficientu rastu životných nákladov nízkopríjmových domácností, ktorý dosiahol hodnotu 1,019 (t. j. apríl 2024/apríl 2023), a to nasledovne:</w:t>
      </w:r>
    </w:p>
    <w:p w14:paraId="3AC6C7CA" w14:textId="3D7BA878" w:rsidR="005F15A4" w:rsidRPr="00E51DDD"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t>Opatrením MPSVR SR č.</w:t>
      </w:r>
      <w:r w:rsidR="001C0814">
        <w:rPr>
          <w:rFonts w:ascii="Times New Roman" w:hAnsi="Times New Roman"/>
          <w:bCs/>
          <w:szCs w:val="24"/>
        </w:rPr>
        <w:t> </w:t>
      </w:r>
      <w:r w:rsidRPr="00E51DDD">
        <w:rPr>
          <w:rFonts w:ascii="Times New Roman" w:hAnsi="Times New Roman"/>
          <w:bCs/>
          <w:szCs w:val="24"/>
        </w:rPr>
        <w:t>245/2024</w:t>
      </w:r>
      <w:r w:rsidR="001C0814">
        <w:rPr>
          <w:rFonts w:ascii="Times New Roman" w:hAnsi="Times New Roman"/>
          <w:bCs/>
          <w:szCs w:val="24"/>
        </w:rPr>
        <w:t> </w:t>
      </w:r>
      <w:r w:rsidRPr="00E51DDD">
        <w:rPr>
          <w:rFonts w:ascii="Times New Roman" w:hAnsi="Times New Roman"/>
          <w:bCs/>
          <w:szCs w:val="24"/>
        </w:rPr>
        <w:t>Z.</w:t>
      </w:r>
      <w:r w:rsidR="001C0814">
        <w:rPr>
          <w:rFonts w:ascii="Times New Roman" w:hAnsi="Times New Roman"/>
          <w:bCs/>
          <w:szCs w:val="24"/>
        </w:rPr>
        <w:t> </w:t>
      </w:r>
      <w:r w:rsidRPr="00E51DDD">
        <w:rPr>
          <w:rFonts w:ascii="Times New Roman" w:hAnsi="Times New Roman"/>
          <w:bCs/>
          <w:szCs w:val="24"/>
        </w:rPr>
        <w:t xml:space="preserve">z. o ustanovení súm </w:t>
      </w:r>
      <w:r w:rsidRPr="00E51DDD">
        <w:rPr>
          <w:rFonts w:ascii="Times New Roman" w:hAnsi="Times New Roman"/>
          <w:b/>
          <w:szCs w:val="24"/>
        </w:rPr>
        <w:t>rodičovského príspevku</w:t>
      </w:r>
      <w:r w:rsidRPr="00E51DDD">
        <w:rPr>
          <w:rFonts w:ascii="Times New Roman" w:hAnsi="Times New Roman"/>
          <w:bCs/>
          <w:szCs w:val="24"/>
        </w:rPr>
        <w:t xml:space="preserve"> podľa</w:t>
      </w:r>
      <w:r w:rsidR="001C0814">
        <w:rPr>
          <w:rFonts w:ascii="Times New Roman" w:hAnsi="Times New Roman"/>
          <w:bCs/>
          <w:szCs w:val="24"/>
        </w:rPr>
        <w:t xml:space="preserve"> </w:t>
      </w:r>
      <w:hyperlink r:id="rId17" w:anchor="paragraf-4.odsek-6" w:tooltip="Odkaz na predpis alebo ustanovenie" w:history="1">
        <w:r w:rsidRPr="00E51DDD">
          <w:rPr>
            <w:rFonts w:ascii="Times New Roman" w:hAnsi="Times New Roman"/>
            <w:bCs/>
            <w:szCs w:val="24"/>
          </w:rPr>
          <w:t>§</w:t>
        </w:r>
        <w:r w:rsidR="001C0814">
          <w:rPr>
            <w:rFonts w:ascii="Times New Roman" w:hAnsi="Times New Roman"/>
            <w:bCs/>
            <w:szCs w:val="24"/>
          </w:rPr>
          <w:t> </w:t>
        </w:r>
        <w:r w:rsidRPr="00E51DDD">
          <w:rPr>
            <w:rFonts w:ascii="Times New Roman" w:hAnsi="Times New Roman"/>
            <w:bCs/>
            <w:szCs w:val="24"/>
          </w:rPr>
          <w:t>4 ods.</w:t>
        </w:r>
        <w:r w:rsidR="001C0814">
          <w:rPr>
            <w:rFonts w:ascii="Times New Roman" w:hAnsi="Times New Roman"/>
            <w:bCs/>
            <w:szCs w:val="24"/>
          </w:rPr>
          <w:t> </w:t>
        </w:r>
        <w:r w:rsidRPr="00E51DDD">
          <w:rPr>
            <w:rFonts w:ascii="Times New Roman" w:hAnsi="Times New Roman"/>
            <w:bCs/>
            <w:szCs w:val="24"/>
          </w:rPr>
          <w:t>6 zákona č.</w:t>
        </w:r>
        <w:r w:rsidR="001C0814">
          <w:rPr>
            <w:rFonts w:ascii="Times New Roman" w:hAnsi="Times New Roman"/>
            <w:bCs/>
            <w:szCs w:val="24"/>
          </w:rPr>
          <w:t> </w:t>
        </w:r>
        <w:r w:rsidRPr="00E51DDD">
          <w:rPr>
            <w:rFonts w:ascii="Times New Roman" w:hAnsi="Times New Roman"/>
            <w:bCs/>
            <w:szCs w:val="24"/>
          </w:rPr>
          <w:t>571/2009</w:t>
        </w:r>
        <w:r w:rsidR="001C0814">
          <w:rPr>
            <w:rFonts w:ascii="Times New Roman" w:hAnsi="Times New Roman"/>
            <w:bCs/>
            <w:szCs w:val="24"/>
          </w:rPr>
          <w:t> </w:t>
        </w:r>
        <w:r w:rsidRPr="00E51DDD">
          <w:rPr>
            <w:rFonts w:ascii="Times New Roman" w:hAnsi="Times New Roman"/>
            <w:bCs/>
            <w:szCs w:val="24"/>
          </w:rPr>
          <w:t>Z.</w:t>
        </w:r>
        <w:r w:rsidR="001C0814">
          <w:rPr>
            <w:rFonts w:ascii="Times New Roman" w:hAnsi="Times New Roman"/>
            <w:bCs/>
            <w:szCs w:val="24"/>
          </w:rPr>
          <w:t> </w:t>
        </w:r>
        <w:r w:rsidRPr="00E51DDD">
          <w:rPr>
            <w:rFonts w:ascii="Times New Roman" w:hAnsi="Times New Roman"/>
            <w:bCs/>
            <w:szCs w:val="24"/>
          </w:rPr>
          <w:t>z.</w:t>
        </w:r>
      </w:hyperlink>
      <w:r w:rsidRPr="00E51DDD">
        <w:rPr>
          <w:rFonts w:ascii="Times New Roman" w:hAnsi="Times New Roman"/>
          <w:bCs/>
          <w:szCs w:val="24"/>
        </w:rPr>
        <w:t> o rodičovskom príspevku a</w:t>
      </w:r>
      <w:r w:rsidR="001C0814">
        <w:rPr>
          <w:rFonts w:ascii="Times New Roman" w:hAnsi="Times New Roman"/>
          <w:bCs/>
          <w:szCs w:val="24"/>
        </w:rPr>
        <w:t> </w:t>
      </w:r>
      <w:r w:rsidRPr="00E51DDD">
        <w:rPr>
          <w:rFonts w:ascii="Times New Roman" w:hAnsi="Times New Roman"/>
          <w:bCs/>
          <w:szCs w:val="24"/>
        </w:rPr>
        <w:t>o</w:t>
      </w:r>
      <w:r w:rsidR="001C0814">
        <w:rPr>
          <w:rFonts w:ascii="Times New Roman" w:hAnsi="Times New Roman"/>
          <w:bCs/>
          <w:szCs w:val="24"/>
        </w:rPr>
        <w:t> </w:t>
      </w:r>
      <w:r w:rsidRPr="00E51DDD">
        <w:rPr>
          <w:rFonts w:ascii="Times New Roman" w:hAnsi="Times New Roman"/>
          <w:bCs/>
          <w:szCs w:val="24"/>
        </w:rPr>
        <w:t>zmene a</w:t>
      </w:r>
      <w:r w:rsidR="001C0814">
        <w:rPr>
          <w:rFonts w:ascii="Times New Roman" w:hAnsi="Times New Roman"/>
          <w:bCs/>
          <w:szCs w:val="24"/>
        </w:rPr>
        <w:t> </w:t>
      </w:r>
      <w:r w:rsidRPr="00E51DDD">
        <w:rPr>
          <w:rFonts w:ascii="Times New Roman" w:hAnsi="Times New Roman"/>
          <w:bCs/>
          <w:szCs w:val="24"/>
        </w:rPr>
        <w:t>doplnení niektorých zákonov v znení zákona č.</w:t>
      </w:r>
      <w:r w:rsidR="001C0814">
        <w:rPr>
          <w:rFonts w:ascii="Times New Roman" w:hAnsi="Times New Roman"/>
          <w:bCs/>
          <w:szCs w:val="24"/>
        </w:rPr>
        <w:t> </w:t>
      </w:r>
      <w:r w:rsidRPr="00E51DDD">
        <w:rPr>
          <w:rFonts w:ascii="Times New Roman" w:hAnsi="Times New Roman"/>
          <w:bCs/>
          <w:szCs w:val="24"/>
        </w:rPr>
        <w:t>184/2014</w:t>
      </w:r>
      <w:r w:rsidR="001C0814">
        <w:rPr>
          <w:rFonts w:ascii="Times New Roman" w:hAnsi="Times New Roman"/>
          <w:bCs/>
          <w:szCs w:val="24"/>
        </w:rPr>
        <w:t> </w:t>
      </w:r>
      <w:r w:rsidRPr="00E51DDD">
        <w:rPr>
          <w:rFonts w:ascii="Times New Roman" w:hAnsi="Times New Roman"/>
          <w:bCs/>
          <w:szCs w:val="24"/>
        </w:rPr>
        <w:t>Z.</w:t>
      </w:r>
      <w:r w:rsidR="001C0814">
        <w:rPr>
          <w:rFonts w:ascii="Times New Roman" w:hAnsi="Times New Roman"/>
          <w:bCs/>
          <w:szCs w:val="24"/>
        </w:rPr>
        <w:t> </w:t>
      </w:r>
      <w:r w:rsidRPr="00E51DDD">
        <w:rPr>
          <w:rFonts w:ascii="Times New Roman" w:hAnsi="Times New Roman"/>
          <w:bCs/>
          <w:szCs w:val="24"/>
        </w:rPr>
        <w:t>z. sa s účinnosťou od</w:t>
      </w:r>
      <w:r w:rsidR="001C0814">
        <w:rPr>
          <w:rFonts w:ascii="Times New Roman" w:hAnsi="Times New Roman"/>
          <w:bCs/>
          <w:szCs w:val="24"/>
        </w:rPr>
        <w:t> </w:t>
      </w:r>
      <w:r w:rsidRPr="00E51DDD">
        <w:rPr>
          <w:rFonts w:ascii="Times New Roman" w:hAnsi="Times New Roman"/>
          <w:bCs/>
          <w:szCs w:val="24"/>
        </w:rPr>
        <w:t>1.</w:t>
      </w:r>
      <w:r w:rsidR="001C0814">
        <w:rPr>
          <w:rFonts w:ascii="Times New Roman" w:hAnsi="Times New Roman"/>
          <w:bCs/>
          <w:szCs w:val="24"/>
        </w:rPr>
        <w:t> </w:t>
      </w:r>
      <w:r w:rsidRPr="00E51DDD">
        <w:rPr>
          <w:rFonts w:ascii="Times New Roman" w:hAnsi="Times New Roman"/>
          <w:bCs/>
          <w:szCs w:val="24"/>
        </w:rPr>
        <w:t>januára 2025 zvýšili sumy rodičovského príspevku</w:t>
      </w:r>
      <w:r w:rsidR="001C0814">
        <w:rPr>
          <w:rFonts w:ascii="Times New Roman" w:hAnsi="Times New Roman"/>
          <w:bCs/>
          <w:szCs w:val="24"/>
        </w:rPr>
        <w:t>.</w:t>
      </w:r>
    </w:p>
    <w:p w14:paraId="76EB6F64" w14:textId="23F9EDBD" w:rsidR="005F15A4" w:rsidRPr="00E51DDD"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t>Zákonom č.</w:t>
      </w:r>
      <w:r w:rsidR="00997FBB">
        <w:rPr>
          <w:rFonts w:ascii="Times New Roman" w:hAnsi="Times New Roman"/>
          <w:bCs/>
          <w:szCs w:val="24"/>
        </w:rPr>
        <w:t> </w:t>
      </w:r>
      <w:r w:rsidRPr="00E51DDD">
        <w:rPr>
          <w:rFonts w:ascii="Times New Roman" w:hAnsi="Times New Roman"/>
          <w:bCs/>
          <w:szCs w:val="24"/>
        </w:rPr>
        <w:t>255/2024</w:t>
      </w:r>
      <w:r w:rsidR="00997FBB">
        <w:rPr>
          <w:rFonts w:ascii="Times New Roman" w:hAnsi="Times New Roman"/>
          <w:bCs/>
          <w:szCs w:val="24"/>
        </w:rPr>
        <w:t> </w:t>
      </w:r>
      <w:r w:rsidRPr="00E51DDD">
        <w:rPr>
          <w:rFonts w:ascii="Times New Roman" w:hAnsi="Times New Roman"/>
          <w:bCs/>
          <w:szCs w:val="24"/>
        </w:rPr>
        <w:t>Z.</w:t>
      </w:r>
      <w:r w:rsidR="00997FBB">
        <w:rPr>
          <w:rFonts w:ascii="Times New Roman" w:hAnsi="Times New Roman"/>
          <w:bCs/>
          <w:szCs w:val="24"/>
        </w:rPr>
        <w:t> </w:t>
      </w:r>
      <w:r w:rsidRPr="00E51DDD">
        <w:rPr>
          <w:rFonts w:ascii="Times New Roman" w:hAnsi="Times New Roman"/>
          <w:bCs/>
          <w:szCs w:val="24"/>
        </w:rPr>
        <w:t>z., ktorým sa mení a dopĺňa zákon č.</w:t>
      </w:r>
      <w:r w:rsidR="00997FBB">
        <w:rPr>
          <w:rFonts w:ascii="Times New Roman" w:hAnsi="Times New Roman"/>
          <w:bCs/>
          <w:szCs w:val="24"/>
        </w:rPr>
        <w:t> </w:t>
      </w:r>
      <w:r w:rsidRPr="00E51DDD">
        <w:rPr>
          <w:rFonts w:ascii="Times New Roman" w:hAnsi="Times New Roman"/>
          <w:bCs/>
          <w:szCs w:val="24"/>
        </w:rPr>
        <w:t>238/1998</w:t>
      </w:r>
      <w:r w:rsidR="00997FBB">
        <w:rPr>
          <w:rFonts w:ascii="Times New Roman" w:hAnsi="Times New Roman"/>
          <w:bCs/>
          <w:szCs w:val="24"/>
        </w:rPr>
        <w:t> </w:t>
      </w:r>
      <w:r w:rsidRPr="00E51DDD">
        <w:rPr>
          <w:rFonts w:ascii="Times New Roman" w:hAnsi="Times New Roman"/>
          <w:bCs/>
          <w:szCs w:val="24"/>
        </w:rPr>
        <w:t>Z.</w:t>
      </w:r>
      <w:r w:rsidR="00997FBB">
        <w:rPr>
          <w:rFonts w:ascii="Times New Roman" w:hAnsi="Times New Roman"/>
          <w:bCs/>
          <w:szCs w:val="24"/>
        </w:rPr>
        <w:t> </w:t>
      </w:r>
      <w:r w:rsidRPr="00E51DDD">
        <w:rPr>
          <w:rFonts w:ascii="Times New Roman" w:hAnsi="Times New Roman"/>
          <w:bCs/>
          <w:szCs w:val="24"/>
        </w:rPr>
        <w:t>z. o</w:t>
      </w:r>
      <w:r w:rsidR="00997FBB">
        <w:rPr>
          <w:rFonts w:ascii="Times New Roman" w:hAnsi="Times New Roman"/>
          <w:bCs/>
          <w:szCs w:val="24"/>
        </w:rPr>
        <w:t> </w:t>
      </w:r>
      <w:r w:rsidRPr="00E51DDD">
        <w:rPr>
          <w:rFonts w:ascii="Times New Roman" w:hAnsi="Times New Roman"/>
          <w:b/>
          <w:szCs w:val="24"/>
        </w:rPr>
        <w:t>príspevku na pohreb</w:t>
      </w:r>
      <w:r w:rsidRPr="00E51DDD">
        <w:rPr>
          <w:rFonts w:ascii="Times New Roman" w:hAnsi="Times New Roman"/>
          <w:bCs/>
          <w:szCs w:val="24"/>
        </w:rPr>
        <w:t xml:space="preserve"> v znení neskorších predpisov sa s účinnosťou od</w:t>
      </w:r>
      <w:r w:rsidR="00997FBB">
        <w:rPr>
          <w:rFonts w:ascii="Times New Roman" w:hAnsi="Times New Roman"/>
          <w:bCs/>
          <w:szCs w:val="24"/>
        </w:rPr>
        <w:t> </w:t>
      </w:r>
      <w:r w:rsidRPr="00E51DDD">
        <w:rPr>
          <w:rFonts w:ascii="Times New Roman" w:hAnsi="Times New Roman"/>
          <w:bCs/>
          <w:szCs w:val="24"/>
        </w:rPr>
        <w:t>1.</w:t>
      </w:r>
      <w:r w:rsidR="00997FBB">
        <w:rPr>
          <w:rFonts w:ascii="Times New Roman" w:hAnsi="Times New Roman"/>
          <w:bCs/>
          <w:szCs w:val="24"/>
        </w:rPr>
        <w:t> </w:t>
      </w:r>
      <w:r w:rsidRPr="00E51DDD">
        <w:rPr>
          <w:rFonts w:ascii="Times New Roman" w:hAnsi="Times New Roman"/>
          <w:bCs/>
          <w:szCs w:val="24"/>
        </w:rPr>
        <w:t>januára 2025 zvýšila suma príspevku na pohreb zo sumy 79,67 eur na</w:t>
      </w:r>
      <w:r w:rsidR="00997FBB">
        <w:rPr>
          <w:rFonts w:ascii="Times New Roman" w:hAnsi="Times New Roman"/>
          <w:bCs/>
          <w:szCs w:val="24"/>
        </w:rPr>
        <w:t> </w:t>
      </w:r>
      <w:r w:rsidRPr="00E51DDD">
        <w:rPr>
          <w:rFonts w:ascii="Times New Roman" w:hAnsi="Times New Roman"/>
          <w:bCs/>
          <w:szCs w:val="24"/>
        </w:rPr>
        <w:t>200,00 eur.</w:t>
      </w:r>
    </w:p>
    <w:p w14:paraId="411D3575" w14:textId="3B26F210" w:rsidR="005F15A4" w:rsidRPr="00E51DDD"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t>Opatrením MPSVR SR č.</w:t>
      </w:r>
      <w:r w:rsidR="00997FBB">
        <w:rPr>
          <w:rFonts w:ascii="Times New Roman" w:hAnsi="Times New Roman"/>
          <w:bCs/>
          <w:szCs w:val="24"/>
        </w:rPr>
        <w:t> </w:t>
      </w:r>
      <w:r w:rsidRPr="00E51DDD">
        <w:rPr>
          <w:rFonts w:ascii="Times New Roman" w:hAnsi="Times New Roman"/>
          <w:bCs/>
          <w:szCs w:val="24"/>
        </w:rPr>
        <w:t>168/2025</w:t>
      </w:r>
      <w:r w:rsidR="00997FBB">
        <w:rPr>
          <w:rFonts w:ascii="Times New Roman" w:hAnsi="Times New Roman"/>
          <w:bCs/>
          <w:szCs w:val="24"/>
        </w:rPr>
        <w:t> </w:t>
      </w:r>
      <w:r w:rsidRPr="00E51DDD">
        <w:rPr>
          <w:rFonts w:ascii="Times New Roman" w:hAnsi="Times New Roman"/>
          <w:bCs/>
          <w:szCs w:val="24"/>
        </w:rPr>
        <w:t xml:space="preserve">Z. z. o úprave súm </w:t>
      </w:r>
      <w:r w:rsidRPr="00E51DDD">
        <w:rPr>
          <w:rFonts w:ascii="Times New Roman" w:hAnsi="Times New Roman"/>
          <w:b/>
          <w:szCs w:val="24"/>
        </w:rPr>
        <w:t>životného minima</w:t>
      </w:r>
      <w:r w:rsidRPr="00E51DDD">
        <w:rPr>
          <w:rFonts w:ascii="Times New Roman" w:hAnsi="Times New Roman"/>
          <w:bCs/>
          <w:szCs w:val="24"/>
        </w:rPr>
        <w:t xml:space="preserve"> s účinnosťou od 1.</w:t>
      </w:r>
      <w:r w:rsidR="00997FBB">
        <w:rPr>
          <w:rFonts w:ascii="Times New Roman" w:hAnsi="Times New Roman"/>
          <w:bCs/>
          <w:szCs w:val="24"/>
        </w:rPr>
        <w:t> </w:t>
      </w:r>
      <w:r w:rsidRPr="00E51DDD">
        <w:rPr>
          <w:rFonts w:ascii="Times New Roman" w:hAnsi="Times New Roman"/>
          <w:bCs/>
          <w:szCs w:val="24"/>
        </w:rPr>
        <w:t>júla 2025 došlo k zvýšeniu súm životného minima na</w:t>
      </w:r>
      <w:r w:rsidR="00997FBB">
        <w:rPr>
          <w:rFonts w:ascii="Times New Roman" w:hAnsi="Times New Roman"/>
          <w:bCs/>
          <w:szCs w:val="24"/>
        </w:rPr>
        <w:t> </w:t>
      </w:r>
      <w:r w:rsidRPr="00E51DDD">
        <w:rPr>
          <w:rFonts w:ascii="Times New Roman" w:hAnsi="Times New Roman"/>
          <w:bCs/>
          <w:szCs w:val="24"/>
        </w:rPr>
        <w:t>základe koeficientu rastu životných nákladov nízkopríjmových domácností, ktorý dosiahol hodnotu 1,037 (t. j. apríl 2025/apríl 2024).</w:t>
      </w:r>
    </w:p>
    <w:p w14:paraId="18989329" w14:textId="4BC13BD9" w:rsidR="005F15A4" w:rsidRPr="00E51DDD"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t>V nadväznosti na úpravu súm životného minima od 1.</w:t>
      </w:r>
      <w:r w:rsidR="00997FBB">
        <w:rPr>
          <w:rFonts w:ascii="Times New Roman" w:hAnsi="Times New Roman"/>
          <w:bCs/>
          <w:szCs w:val="24"/>
        </w:rPr>
        <w:t> </w:t>
      </w:r>
      <w:r w:rsidRPr="00E51DDD">
        <w:rPr>
          <w:rFonts w:ascii="Times New Roman" w:hAnsi="Times New Roman"/>
          <w:bCs/>
          <w:szCs w:val="24"/>
        </w:rPr>
        <w:t xml:space="preserve">júla 2025 sa zvýšili aj niektoré </w:t>
      </w:r>
      <w:r w:rsidRPr="00E51DDD">
        <w:rPr>
          <w:rFonts w:ascii="Times New Roman" w:hAnsi="Times New Roman"/>
          <w:b/>
          <w:szCs w:val="24"/>
        </w:rPr>
        <w:t>peňažné príspevky na kompenzáciu ťažkého zdravotného postihnutia</w:t>
      </w:r>
      <w:r w:rsidR="00997FBB">
        <w:rPr>
          <w:rFonts w:ascii="Times New Roman" w:hAnsi="Times New Roman"/>
          <w:b/>
          <w:szCs w:val="24"/>
        </w:rPr>
        <w:t>.</w:t>
      </w:r>
    </w:p>
    <w:p w14:paraId="30525494" w14:textId="0EA96E77" w:rsidR="005F15A4"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t>Nariadením vlády SR č.</w:t>
      </w:r>
      <w:r w:rsidR="00997FBB">
        <w:rPr>
          <w:rFonts w:ascii="Times New Roman" w:hAnsi="Times New Roman"/>
          <w:bCs/>
          <w:szCs w:val="24"/>
        </w:rPr>
        <w:t> </w:t>
      </w:r>
      <w:r w:rsidRPr="00E51DDD">
        <w:rPr>
          <w:rFonts w:ascii="Times New Roman" w:hAnsi="Times New Roman"/>
          <w:bCs/>
          <w:szCs w:val="24"/>
        </w:rPr>
        <w:t>171/2025</w:t>
      </w:r>
      <w:r w:rsidR="00997FBB">
        <w:rPr>
          <w:rFonts w:ascii="Times New Roman" w:hAnsi="Times New Roman"/>
          <w:bCs/>
          <w:szCs w:val="24"/>
        </w:rPr>
        <w:t> </w:t>
      </w:r>
      <w:r w:rsidRPr="00E51DDD">
        <w:rPr>
          <w:rFonts w:ascii="Times New Roman" w:hAnsi="Times New Roman"/>
          <w:bCs/>
          <w:szCs w:val="24"/>
        </w:rPr>
        <w:t>Z.</w:t>
      </w:r>
      <w:r w:rsidR="00997FBB">
        <w:rPr>
          <w:rFonts w:ascii="Times New Roman" w:hAnsi="Times New Roman"/>
          <w:bCs/>
          <w:szCs w:val="24"/>
        </w:rPr>
        <w:t> </w:t>
      </w:r>
      <w:r w:rsidRPr="00E51DDD">
        <w:rPr>
          <w:rFonts w:ascii="Times New Roman" w:hAnsi="Times New Roman"/>
          <w:bCs/>
          <w:szCs w:val="24"/>
        </w:rPr>
        <w:t>z., ktorým sa ustanovuje výška sadzby na</w:t>
      </w:r>
      <w:r w:rsidR="00997FBB">
        <w:rPr>
          <w:rFonts w:ascii="Times New Roman" w:hAnsi="Times New Roman"/>
          <w:bCs/>
          <w:szCs w:val="24"/>
        </w:rPr>
        <w:t> </w:t>
      </w:r>
      <w:r w:rsidRPr="00E51DDD">
        <w:rPr>
          <w:rFonts w:ascii="Times New Roman" w:hAnsi="Times New Roman"/>
          <w:bCs/>
          <w:szCs w:val="24"/>
        </w:rPr>
        <w:t xml:space="preserve">jednu hodinu </w:t>
      </w:r>
      <w:r w:rsidRPr="00E51DDD">
        <w:rPr>
          <w:rFonts w:ascii="Times New Roman" w:hAnsi="Times New Roman"/>
          <w:b/>
          <w:szCs w:val="24"/>
        </w:rPr>
        <w:t>osobnej asistencie</w:t>
      </w:r>
      <w:r w:rsidRPr="00E51DDD">
        <w:rPr>
          <w:rFonts w:ascii="Times New Roman" w:hAnsi="Times New Roman"/>
          <w:bCs/>
          <w:szCs w:val="24"/>
        </w:rPr>
        <w:t xml:space="preserve"> a výška peňažného </w:t>
      </w:r>
      <w:r w:rsidRPr="00E51DDD">
        <w:rPr>
          <w:rFonts w:ascii="Times New Roman" w:hAnsi="Times New Roman"/>
          <w:b/>
          <w:szCs w:val="24"/>
        </w:rPr>
        <w:t>príspevku na opatrovanie</w:t>
      </w:r>
      <w:r w:rsidRPr="00E51DDD">
        <w:rPr>
          <w:rFonts w:ascii="Times New Roman" w:hAnsi="Times New Roman"/>
          <w:bCs/>
          <w:szCs w:val="24"/>
        </w:rPr>
        <w:t>, bola s účinnosťou od 1. júla 2025 zvýšená sadzba na jednu hodinu osobnej asistencie a</w:t>
      </w:r>
      <w:r w:rsidR="00997FBB">
        <w:rPr>
          <w:rFonts w:ascii="Times New Roman" w:hAnsi="Times New Roman"/>
          <w:bCs/>
          <w:szCs w:val="24"/>
        </w:rPr>
        <w:t> </w:t>
      </w:r>
      <w:r w:rsidRPr="00E51DDD">
        <w:rPr>
          <w:rFonts w:ascii="Times New Roman" w:hAnsi="Times New Roman"/>
          <w:bCs/>
          <w:szCs w:val="24"/>
        </w:rPr>
        <w:t>peňažný príspevok na opatrovanie. Ide o opakované peňažné príspevky, ktoré sa vyplácajú mesačne.</w:t>
      </w:r>
    </w:p>
    <w:p w14:paraId="61836C95" w14:textId="4823282D" w:rsidR="005F15A4" w:rsidRDefault="005F15A4" w:rsidP="001C0814">
      <w:pPr>
        <w:pStyle w:val="Odsekzoznamu"/>
        <w:numPr>
          <w:ilvl w:val="0"/>
          <w:numId w:val="8"/>
        </w:numPr>
        <w:ind w:left="782" w:hanging="357"/>
        <w:jc w:val="both"/>
        <w:rPr>
          <w:rFonts w:ascii="Times New Roman" w:hAnsi="Times New Roman"/>
          <w:bCs/>
          <w:szCs w:val="24"/>
        </w:rPr>
      </w:pPr>
      <w:r w:rsidRPr="00E51DDD">
        <w:rPr>
          <w:rFonts w:ascii="Times New Roman" w:hAnsi="Times New Roman"/>
          <w:bCs/>
          <w:szCs w:val="24"/>
        </w:rPr>
        <w:t>Nariadením vlády SR č.</w:t>
      </w:r>
      <w:r w:rsidR="00997FBB">
        <w:rPr>
          <w:rFonts w:ascii="Times New Roman" w:hAnsi="Times New Roman"/>
          <w:bCs/>
          <w:szCs w:val="24"/>
        </w:rPr>
        <w:t> </w:t>
      </w:r>
      <w:r w:rsidRPr="00E51DDD">
        <w:rPr>
          <w:rFonts w:ascii="Times New Roman" w:hAnsi="Times New Roman"/>
          <w:bCs/>
          <w:szCs w:val="24"/>
        </w:rPr>
        <w:t>136/2024</w:t>
      </w:r>
      <w:r w:rsidR="00997FBB">
        <w:rPr>
          <w:rFonts w:ascii="Times New Roman" w:hAnsi="Times New Roman"/>
          <w:bCs/>
          <w:szCs w:val="24"/>
        </w:rPr>
        <w:t> </w:t>
      </w:r>
      <w:r w:rsidRPr="00E51DDD">
        <w:rPr>
          <w:rFonts w:ascii="Times New Roman" w:hAnsi="Times New Roman"/>
          <w:bCs/>
          <w:szCs w:val="24"/>
        </w:rPr>
        <w:t>Z.</w:t>
      </w:r>
      <w:r w:rsidR="00997FBB">
        <w:rPr>
          <w:rFonts w:ascii="Times New Roman" w:hAnsi="Times New Roman"/>
          <w:bCs/>
          <w:szCs w:val="24"/>
        </w:rPr>
        <w:t> </w:t>
      </w:r>
      <w:r w:rsidRPr="00E51DDD">
        <w:rPr>
          <w:rFonts w:ascii="Times New Roman" w:hAnsi="Times New Roman"/>
          <w:bCs/>
          <w:szCs w:val="24"/>
        </w:rPr>
        <w:t>z. bola s účinnosťou od 1.</w:t>
      </w:r>
      <w:r w:rsidR="00997FBB">
        <w:rPr>
          <w:rFonts w:ascii="Times New Roman" w:hAnsi="Times New Roman"/>
          <w:bCs/>
          <w:szCs w:val="24"/>
        </w:rPr>
        <w:t> </w:t>
      </w:r>
      <w:r w:rsidRPr="00E51DDD">
        <w:rPr>
          <w:rFonts w:ascii="Times New Roman" w:hAnsi="Times New Roman"/>
          <w:bCs/>
          <w:szCs w:val="24"/>
        </w:rPr>
        <w:t xml:space="preserve">januára 2025 upravená výška finančného </w:t>
      </w:r>
      <w:r w:rsidRPr="00E51DDD">
        <w:rPr>
          <w:rFonts w:ascii="Times New Roman" w:hAnsi="Times New Roman"/>
          <w:b/>
          <w:szCs w:val="24"/>
        </w:rPr>
        <w:t>príspevku na poskytovanie sociálnej služby</w:t>
      </w:r>
      <w:r w:rsidRPr="00E51DDD">
        <w:rPr>
          <w:rFonts w:ascii="Times New Roman" w:hAnsi="Times New Roman"/>
          <w:bCs/>
          <w:szCs w:val="24"/>
        </w:rPr>
        <w:t xml:space="preserve"> v niektorých druhoch zariadení sociálnych služieb na rok 2025</w:t>
      </w:r>
      <w:r>
        <w:rPr>
          <w:rFonts w:ascii="Times New Roman" w:hAnsi="Times New Roman"/>
          <w:bCs/>
          <w:szCs w:val="24"/>
        </w:rPr>
        <w:t>.</w:t>
      </w:r>
    </w:p>
    <w:p w14:paraId="6BBE3568" w14:textId="77777777" w:rsidR="0076156F" w:rsidRDefault="0076156F" w:rsidP="005F15A4">
      <w:pPr>
        <w:spacing w:line="276" w:lineRule="auto"/>
        <w:jc w:val="both"/>
        <w:rPr>
          <w:bCs/>
          <w:szCs w:val="24"/>
        </w:rPr>
      </w:pPr>
    </w:p>
    <w:p w14:paraId="09E98086" w14:textId="5A71780A" w:rsidR="005F15A4" w:rsidRDefault="005F15A4" w:rsidP="005F15A4">
      <w:pPr>
        <w:spacing w:line="276" w:lineRule="auto"/>
        <w:jc w:val="both"/>
        <w:rPr>
          <w:bCs/>
          <w:szCs w:val="24"/>
        </w:rPr>
      </w:pPr>
      <w:r>
        <w:rPr>
          <w:bCs/>
          <w:szCs w:val="24"/>
        </w:rPr>
        <w:t>Medziročne vyššie sa najviac rozpočtovali peňažné príspevky na</w:t>
      </w:r>
      <w:r w:rsidR="0076156F">
        <w:rPr>
          <w:bCs/>
          <w:szCs w:val="24"/>
        </w:rPr>
        <w:t> </w:t>
      </w:r>
      <w:r>
        <w:rPr>
          <w:bCs/>
          <w:szCs w:val="24"/>
        </w:rPr>
        <w:t>kompenzáciu o 226</w:t>
      </w:r>
      <w:r w:rsidR="0076156F">
        <w:rPr>
          <w:bCs/>
          <w:szCs w:val="24"/>
        </w:rPr>
        <w:t> </w:t>
      </w:r>
      <w:r>
        <w:rPr>
          <w:bCs/>
          <w:szCs w:val="24"/>
        </w:rPr>
        <w:t>182</w:t>
      </w:r>
      <w:r w:rsidR="0076156F">
        <w:rPr>
          <w:bCs/>
          <w:szCs w:val="24"/>
        </w:rPr>
        <w:t> </w:t>
      </w:r>
      <w:r>
        <w:rPr>
          <w:bCs/>
          <w:szCs w:val="24"/>
        </w:rPr>
        <w:t>tis.</w:t>
      </w:r>
      <w:r w:rsidR="0076156F">
        <w:rPr>
          <w:bCs/>
          <w:szCs w:val="24"/>
        </w:rPr>
        <w:t> </w:t>
      </w:r>
      <w:r>
        <w:rPr>
          <w:bCs/>
          <w:szCs w:val="24"/>
        </w:rPr>
        <w:t>eur, a v skutočnosti sa čerpali vo výške 887</w:t>
      </w:r>
      <w:r w:rsidR="0076156F">
        <w:rPr>
          <w:bCs/>
          <w:szCs w:val="24"/>
        </w:rPr>
        <w:t> </w:t>
      </w:r>
      <w:r>
        <w:rPr>
          <w:bCs/>
          <w:szCs w:val="24"/>
        </w:rPr>
        <w:t>012</w:t>
      </w:r>
      <w:r w:rsidR="0076156F">
        <w:rPr>
          <w:bCs/>
          <w:szCs w:val="24"/>
        </w:rPr>
        <w:t> </w:t>
      </w:r>
      <w:r>
        <w:rPr>
          <w:bCs/>
          <w:szCs w:val="24"/>
        </w:rPr>
        <w:t>tis.</w:t>
      </w:r>
      <w:r w:rsidR="0076156F">
        <w:rPr>
          <w:bCs/>
          <w:szCs w:val="24"/>
        </w:rPr>
        <w:t> </w:t>
      </w:r>
      <w:r>
        <w:rPr>
          <w:bCs/>
          <w:szCs w:val="24"/>
        </w:rPr>
        <w:t>eur. Rozpočtovaný nárast bol kompenzovaný poklesom predpokladaných výdavkov hlavne na transfery jednotlivcom, o 112</w:t>
      </w:r>
      <w:r w:rsidR="0076156F">
        <w:rPr>
          <w:bCs/>
          <w:szCs w:val="24"/>
        </w:rPr>
        <w:t> </w:t>
      </w:r>
      <w:r>
        <w:rPr>
          <w:bCs/>
          <w:szCs w:val="24"/>
        </w:rPr>
        <w:t>653</w:t>
      </w:r>
      <w:r w:rsidR="0076156F">
        <w:rPr>
          <w:bCs/>
          <w:szCs w:val="24"/>
        </w:rPr>
        <w:t> </w:t>
      </w:r>
      <w:r>
        <w:rPr>
          <w:bCs/>
          <w:szCs w:val="24"/>
        </w:rPr>
        <w:t>tis.</w:t>
      </w:r>
      <w:r w:rsidR="0076156F">
        <w:rPr>
          <w:bCs/>
          <w:szCs w:val="24"/>
        </w:rPr>
        <w:t> </w:t>
      </w:r>
      <w:r>
        <w:rPr>
          <w:bCs/>
          <w:szCs w:val="24"/>
        </w:rPr>
        <w:t>eur a na dávku v hmotnej núdzi a príspevky k dávke, o 121</w:t>
      </w:r>
      <w:r w:rsidR="0076156F">
        <w:rPr>
          <w:bCs/>
          <w:szCs w:val="24"/>
        </w:rPr>
        <w:t> </w:t>
      </w:r>
      <w:r>
        <w:rPr>
          <w:bCs/>
          <w:szCs w:val="24"/>
        </w:rPr>
        <w:t>288</w:t>
      </w:r>
      <w:r w:rsidR="0076156F">
        <w:rPr>
          <w:bCs/>
          <w:szCs w:val="24"/>
        </w:rPr>
        <w:t> </w:t>
      </w:r>
      <w:r>
        <w:rPr>
          <w:bCs/>
          <w:szCs w:val="24"/>
        </w:rPr>
        <w:t>tis.</w:t>
      </w:r>
      <w:r w:rsidR="0076156F">
        <w:rPr>
          <w:bCs/>
          <w:szCs w:val="24"/>
        </w:rPr>
        <w:t> </w:t>
      </w:r>
      <w:r>
        <w:rPr>
          <w:bCs/>
          <w:szCs w:val="24"/>
        </w:rPr>
        <w:t>eur. Oproti schválenému rozpočtu sa výrazne nižšie čerpal rodičovský príspevok o 85</w:t>
      </w:r>
      <w:r w:rsidR="0076156F">
        <w:rPr>
          <w:bCs/>
          <w:szCs w:val="24"/>
        </w:rPr>
        <w:t> </w:t>
      </w:r>
      <w:r>
        <w:rPr>
          <w:bCs/>
          <w:szCs w:val="24"/>
        </w:rPr>
        <w:t>102</w:t>
      </w:r>
      <w:r w:rsidR="0076156F">
        <w:rPr>
          <w:bCs/>
          <w:szCs w:val="24"/>
        </w:rPr>
        <w:t> </w:t>
      </w:r>
      <w:r>
        <w:rPr>
          <w:bCs/>
          <w:szCs w:val="24"/>
        </w:rPr>
        <w:t>tis.</w:t>
      </w:r>
      <w:r w:rsidR="0076156F">
        <w:rPr>
          <w:bCs/>
          <w:szCs w:val="24"/>
        </w:rPr>
        <w:t> </w:t>
      </w:r>
      <w:r>
        <w:rPr>
          <w:bCs/>
          <w:szCs w:val="24"/>
        </w:rPr>
        <w:t>eur z dôvodu poklesu počtu poberateľov, pričom zdroje bolo povolené presunúť na finančné zabezpečenie iných výdavkových titulov v roku 2025, bez potreby ďalšieho navyšovania rozpočtu kapitoly.</w:t>
      </w:r>
    </w:p>
    <w:p w14:paraId="531438EA" w14:textId="77777777" w:rsidR="0076156F" w:rsidRPr="00B72888" w:rsidRDefault="0076156F" w:rsidP="005F15A4">
      <w:pPr>
        <w:spacing w:line="276" w:lineRule="auto"/>
        <w:jc w:val="both"/>
        <w:rPr>
          <w:bCs/>
          <w:szCs w:val="24"/>
        </w:rPr>
      </w:pPr>
    </w:p>
    <w:p w14:paraId="040BE24F" w14:textId="3EE702D5" w:rsidR="003B042A" w:rsidRDefault="003B042A" w:rsidP="003B042A">
      <w:pPr>
        <w:spacing w:line="240" w:lineRule="auto"/>
        <w:jc w:val="both"/>
        <w:rPr>
          <w:rFonts w:eastAsia="Calibri" w:cs="Times New Roman"/>
          <w:bCs/>
          <w:szCs w:val="24"/>
        </w:rPr>
      </w:pPr>
      <w:r w:rsidRPr="0076156F">
        <w:rPr>
          <w:rFonts w:eastAsia="Calibri" w:cs="Times New Roman"/>
          <w:bCs/>
          <w:szCs w:val="24"/>
          <w:u w:val="single"/>
        </w:rPr>
        <w:t>Transfery nefinančným subjektom</w:t>
      </w:r>
      <w:r w:rsidRPr="00DA527B">
        <w:rPr>
          <w:rFonts w:eastAsia="Calibri" w:cs="Times New Roman"/>
          <w:b/>
          <w:szCs w:val="24"/>
        </w:rPr>
        <w:t xml:space="preserve"> </w:t>
      </w:r>
      <w:r w:rsidRPr="00DA527B">
        <w:rPr>
          <w:rFonts w:eastAsia="Calibri" w:cs="Times New Roman"/>
          <w:bCs/>
          <w:szCs w:val="24"/>
        </w:rPr>
        <w:t>poskytlo hlavne Ministerstvo pôdohospodárstva SR v sume 748</w:t>
      </w:r>
      <w:r w:rsidR="003A1F87">
        <w:rPr>
          <w:rFonts w:eastAsia="Calibri" w:cs="Times New Roman"/>
          <w:bCs/>
          <w:szCs w:val="24"/>
        </w:rPr>
        <w:t> </w:t>
      </w:r>
      <w:r w:rsidRPr="00DA527B">
        <w:rPr>
          <w:rFonts w:eastAsia="Calibri" w:cs="Times New Roman"/>
          <w:bCs/>
          <w:szCs w:val="24"/>
        </w:rPr>
        <w:t>999</w:t>
      </w:r>
      <w:r w:rsidR="003A1F87">
        <w:rPr>
          <w:rFonts w:eastAsia="Calibri" w:cs="Times New Roman"/>
          <w:bCs/>
          <w:szCs w:val="24"/>
        </w:rPr>
        <w:t> </w:t>
      </w:r>
      <w:r w:rsidRPr="00DA527B">
        <w:rPr>
          <w:rFonts w:eastAsia="Calibri" w:cs="Times New Roman"/>
          <w:bCs/>
          <w:szCs w:val="24"/>
        </w:rPr>
        <w:t xml:space="preserve">tis. eur a Ministerstvo </w:t>
      </w:r>
      <w:r w:rsidR="005F15A4">
        <w:rPr>
          <w:rFonts w:eastAsia="Calibri" w:cs="Times New Roman"/>
          <w:bCs/>
          <w:szCs w:val="24"/>
        </w:rPr>
        <w:t>hospodárstva</w:t>
      </w:r>
      <w:r w:rsidRPr="00DA527B">
        <w:rPr>
          <w:rFonts w:eastAsia="Calibri" w:cs="Times New Roman"/>
          <w:bCs/>
          <w:szCs w:val="24"/>
        </w:rPr>
        <w:t xml:space="preserve"> SR v sume 413</w:t>
      </w:r>
      <w:r w:rsidR="003A1F87">
        <w:rPr>
          <w:rFonts w:eastAsia="Calibri" w:cs="Times New Roman"/>
          <w:bCs/>
          <w:szCs w:val="24"/>
        </w:rPr>
        <w:t> </w:t>
      </w:r>
      <w:r w:rsidRPr="00DA527B">
        <w:rPr>
          <w:rFonts w:eastAsia="Calibri" w:cs="Times New Roman"/>
          <w:bCs/>
          <w:szCs w:val="24"/>
        </w:rPr>
        <w:t>449 tis. eur. Mi</w:t>
      </w:r>
      <w:r>
        <w:rPr>
          <w:rFonts w:eastAsia="Calibri" w:cs="Times New Roman"/>
          <w:bCs/>
          <w:szCs w:val="24"/>
        </w:rPr>
        <w:t>nisterstvo pôdohospodárstva a rozvoja vidieka SR poskytlo transfery v podobe priamych platieb farmárom (413</w:t>
      </w:r>
      <w:r w:rsidR="003A1F87">
        <w:rPr>
          <w:rFonts w:eastAsia="Calibri" w:cs="Times New Roman"/>
          <w:bCs/>
          <w:szCs w:val="24"/>
        </w:rPr>
        <w:t> </w:t>
      </w:r>
      <w:r>
        <w:rPr>
          <w:rFonts w:eastAsia="Calibri" w:cs="Times New Roman"/>
          <w:bCs/>
          <w:szCs w:val="24"/>
        </w:rPr>
        <w:t>308</w:t>
      </w:r>
      <w:r w:rsidR="003A1F87">
        <w:rPr>
          <w:rFonts w:eastAsia="Calibri" w:cs="Times New Roman"/>
          <w:bCs/>
          <w:szCs w:val="24"/>
        </w:rPr>
        <w:t> </w:t>
      </w:r>
      <w:r>
        <w:rPr>
          <w:rFonts w:eastAsia="Calibri" w:cs="Times New Roman"/>
          <w:bCs/>
          <w:szCs w:val="24"/>
        </w:rPr>
        <w:t>tis.</w:t>
      </w:r>
      <w:r w:rsidR="003A1F87">
        <w:rPr>
          <w:rFonts w:eastAsia="Calibri" w:cs="Times New Roman"/>
          <w:bCs/>
          <w:szCs w:val="24"/>
        </w:rPr>
        <w:t> </w:t>
      </w:r>
      <w:r>
        <w:rPr>
          <w:rFonts w:eastAsia="Calibri" w:cs="Times New Roman"/>
          <w:bCs/>
          <w:szCs w:val="24"/>
        </w:rPr>
        <w:t>eur), na environmentálne, klimatické a iné záväzky týkajúce sa hospodárenia poľnohospodárov 123</w:t>
      </w:r>
      <w:r w:rsidR="003A1F87">
        <w:rPr>
          <w:rFonts w:eastAsia="Calibri" w:cs="Times New Roman"/>
          <w:bCs/>
          <w:szCs w:val="24"/>
        </w:rPr>
        <w:t> </w:t>
      </w:r>
      <w:r>
        <w:rPr>
          <w:rFonts w:eastAsia="Calibri" w:cs="Times New Roman"/>
          <w:bCs/>
          <w:szCs w:val="24"/>
        </w:rPr>
        <w:t>296</w:t>
      </w:r>
      <w:r w:rsidR="003A1F87">
        <w:rPr>
          <w:rFonts w:eastAsia="Calibri" w:cs="Times New Roman"/>
          <w:bCs/>
          <w:szCs w:val="24"/>
        </w:rPr>
        <w:t> </w:t>
      </w:r>
      <w:r>
        <w:rPr>
          <w:rFonts w:eastAsia="Calibri" w:cs="Times New Roman"/>
          <w:bCs/>
          <w:szCs w:val="24"/>
        </w:rPr>
        <w:t>tis.</w:t>
      </w:r>
      <w:r w:rsidR="003A1F87">
        <w:rPr>
          <w:rFonts w:eastAsia="Calibri" w:cs="Times New Roman"/>
          <w:bCs/>
          <w:szCs w:val="24"/>
        </w:rPr>
        <w:t> </w:t>
      </w:r>
      <w:r>
        <w:rPr>
          <w:rFonts w:eastAsia="Calibri" w:cs="Times New Roman"/>
          <w:bCs/>
          <w:szCs w:val="24"/>
        </w:rPr>
        <w:t xml:space="preserve">eur a ďalšiu podporu rozvoja vidieka. V prípade Ministerstva hospodárstva SR išlo o poskytovanie dotácií na kompenzáciu zvýšených nákladov </w:t>
      </w:r>
      <w:r>
        <w:rPr>
          <w:rFonts w:eastAsia="Calibri" w:cs="Times New Roman"/>
          <w:bCs/>
          <w:szCs w:val="24"/>
        </w:rPr>
        <w:lastRenderedPageBreak/>
        <w:t>na energie (tzv. energopomoc), ktoré dosiahlo v hotovostnom vyjadrení 362</w:t>
      </w:r>
      <w:r w:rsidR="003A1F87">
        <w:rPr>
          <w:rFonts w:eastAsia="Calibri" w:cs="Times New Roman"/>
          <w:bCs/>
          <w:szCs w:val="24"/>
        </w:rPr>
        <w:t> </w:t>
      </w:r>
      <w:r>
        <w:rPr>
          <w:rFonts w:eastAsia="Calibri" w:cs="Times New Roman"/>
          <w:bCs/>
          <w:szCs w:val="24"/>
        </w:rPr>
        <w:t>000</w:t>
      </w:r>
      <w:r w:rsidR="003A1F87">
        <w:rPr>
          <w:rFonts w:eastAsia="Calibri" w:cs="Times New Roman"/>
          <w:bCs/>
          <w:szCs w:val="24"/>
        </w:rPr>
        <w:t> </w:t>
      </w:r>
      <w:r>
        <w:rPr>
          <w:rFonts w:eastAsia="Calibri" w:cs="Times New Roman"/>
          <w:bCs/>
          <w:szCs w:val="24"/>
        </w:rPr>
        <w:t>tis.</w:t>
      </w:r>
      <w:r w:rsidR="003A1F87">
        <w:rPr>
          <w:rFonts w:eastAsia="Calibri" w:cs="Times New Roman"/>
          <w:bCs/>
          <w:szCs w:val="24"/>
        </w:rPr>
        <w:t> </w:t>
      </w:r>
      <w:r>
        <w:rPr>
          <w:rFonts w:eastAsia="Calibri" w:cs="Times New Roman"/>
          <w:bCs/>
          <w:szCs w:val="24"/>
        </w:rPr>
        <w:t>eur (z</w:t>
      </w:r>
      <w:r w:rsidR="0076156F">
        <w:rPr>
          <w:rFonts w:eastAsia="Calibri" w:cs="Times New Roman"/>
          <w:bCs/>
          <w:szCs w:val="24"/>
        </w:rPr>
        <w:t> </w:t>
      </w:r>
      <w:r>
        <w:rPr>
          <w:rFonts w:eastAsia="Calibri" w:cs="Times New Roman"/>
          <w:bCs/>
          <w:szCs w:val="24"/>
        </w:rPr>
        <w:t>toho za oprávnené obdobie roku 2024 bolo 95</w:t>
      </w:r>
      <w:r w:rsidR="003A1F87">
        <w:rPr>
          <w:rFonts w:eastAsia="Calibri" w:cs="Times New Roman"/>
          <w:bCs/>
          <w:szCs w:val="24"/>
        </w:rPr>
        <w:t> </w:t>
      </w:r>
      <w:r>
        <w:rPr>
          <w:rFonts w:eastAsia="Calibri" w:cs="Times New Roman"/>
          <w:bCs/>
          <w:szCs w:val="24"/>
        </w:rPr>
        <w:t>317</w:t>
      </w:r>
      <w:r w:rsidRPr="00757561">
        <w:rPr>
          <w:rFonts w:eastAsia="Calibri" w:cs="Times New Roman"/>
          <w:bCs/>
          <w:szCs w:val="24"/>
        </w:rPr>
        <w:t> tis. eur)</w:t>
      </w:r>
      <w:r>
        <w:rPr>
          <w:rFonts w:eastAsia="Calibri" w:cs="Times New Roman"/>
          <w:bCs/>
          <w:szCs w:val="24"/>
        </w:rPr>
        <w:t>. Medziročný pokles týchto transferov či už v rozpočte na rok 2025 a potom aj v skutočnom čerpaní, bol spôsobený najmä nižšími výdavkami na energopomoc. Tie sa rozpočtovali na</w:t>
      </w:r>
      <w:r w:rsidR="00425419">
        <w:rPr>
          <w:rFonts w:eastAsia="Calibri" w:cs="Times New Roman"/>
          <w:bCs/>
          <w:szCs w:val="24"/>
        </w:rPr>
        <w:t> </w:t>
      </w:r>
      <w:r>
        <w:rPr>
          <w:rFonts w:eastAsia="Calibri" w:cs="Times New Roman"/>
          <w:bCs/>
          <w:szCs w:val="24"/>
        </w:rPr>
        <w:t>úrovni 235</w:t>
      </w:r>
      <w:r w:rsidR="003A1F87">
        <w:rPr>
          <w:rFonts w:eastAsia="Calibri" w:cs="Times New Roman"/>
          <w:bCs/>
          <w:szCs w:val="24"/>
        </w:rPr>
        <w:t> </w:t>
      </w:r>
      <w:r>
        <w:rPr>
          <w:rFonts w:eastAsia="Calibri" w:cs="Times New Roman"/>
          <w:bCs/>
          <w:szCs w:val="24"/>
        </w:rPr>
        <w:t>000</w:t>
      </w:r>
      <w:r w:rsidR="003A1F87">
        <w:rPr>
          <w:rFonts w:eastAsia="Calibri" w:cs="Times New Roman"/>
          <w:bCs/>
          <w:szCs w:val="24"/>
        </w:rPr>
        <w:t> </w:t>
      </w:r>
      <w:r>
        <w:rPr>
          <w:rFonts w:eastAsia="Calibri" w:cs="Times New Roman"/>
          <w:bCs/>
          <w:szCs w:val="24"/>
        </w:rPr>
        <w:t>tis.</w:t>
      </w:r>
      <w:r w:rsidR="003A1F87">
        <w:rPr>
          <w:rFonts w:eastAsia="Calibri" w:cs="Times New Roman"/>
          <w:bCs/>
          <w:szCs w:val="24"/>
        </w:rPr>
        <w:t> </w:t>
      </w:r>
      <w:r>
        <w:rPr>
          <w:rFonts w:eastAsia="Calibri" w:cs="Times New Roman"/>
          <w:bCs/>
          <w:szCs w:val="24"/>
        </w:rPr>
        <w:t>eur, a v roku 2024 na</w:t>
      </w:r>
      <w:r w:rsidR="0076156F">
        <w:rPr>
          <w:rFonts w:eastAsia="Calibri" w:cs="Times New Roman"/>
          <w:bCs/>
          <w:szCs w:val="24"/>
        </w:rPr>
        <w:t> </w:t>
      </w:r>
      <w:r>
        <w:rPr>
          <w:rFonts w:eastAsia="Calibri" w:cs="Times New Roman"/>
          <w:bCs/>
          <w:szCs w:val="24"/>
        </w:rPr>
        <w:t>úrovni 800</w:t>
      </w:r>
      <w:r w:rsidR="003A1F87">
        <w:rPr>
          <w:rFonts w:eastAsia="Calibri" w:cs="Times New Roman"/>
          <w:bCs/>
          <w:szCs w:val="24"/>
        </w:rPr>
        <w:t> </w:t>
      </w:r>
      <w:r>
        <w:rPr>
          <w:rFonts w:eastAsia="Calibri" w:cs="Times New Roman"/>
          <w:bCs/>
          <w:szCs w:val="24"/>
        </w:rPr>
        <w:t>000</w:t>
      </w:r>
      <w:r w:rsidR="003A1F87">
        <w:rPr>
          <w:rFonts w:eastAsia="Calibri" w:cs="Times New Roman"/>
          <w:bCs/>
          <w:szCs w:val="24"/>
        </w:rPr>
        <w:t> </w:t>
      </w:r>
      <w:r>
        <w:rPr>
          <w:rFonts w:eastAsia="Calibri" w:cs="Times New Roman"/>
          <w:bCs/>
          <w:szCs w:val="24"/>
        </w:rPr>
        <w:t>tis.</w:t>
      </w:r>
      <w:r w:rsidR="003A1F87">
        <w:rPr>
          <w:rFonts w:eastAsia="Calibri" w:cs="Times New Roman"/>
          <w:bCs/>
          <w:szCs w:val="24"/>
        </w:rPr>
        <w:t> </w:t>
      </w:r>
      <w:r>
        <w:rPr>
          <w:rFonts w:eastAsia="Calibri" w:cs="Times New Roman"/>
          <w:bCs/>
          <w:szCs w:val="24"/>
        </w:rPr>
        <w:t>eur. Skutočné hotovostné platby v roku 2024 na energopomoc dosiahli 1</w:t>
      </w:r>
      <w:r w:rsidR="003A1F87">
        <w:rPr>
          <w:rFonts w:eastAsia="Calibri" w:cs="Times New Roman"/>
          <w:bCs/>
          <w:szCs w:val="24"/>
        </w:rPr>
        <w:t> </w:t>
      </w:r>
      <w:r>
        <w:rPr>
          <w:rFonts w:eastAsia="Calibri" w:cs="Times New Roman"/>
          <w:bCs/>
          <w:szCs w:val="24"/>
        </w:rPr>
        <w:t>2010</w:t>
      </w:r>
      <w:r w:rsidR="003A1F87">
        <w:rPr>
          <w:rFonts w:eastAsia="Calibri" w:cs="Times New Roman"/>
          <w:bCs/>
          <w:szCs w:val="24"/>
        </w:rPr>
        <w:t> </w:t>
      </w:r>
      <w:r>
        <w:rPr>
          <w:rFonts w:eastAsia="Calibri" w:cs="Times New Roman"/>
          <w:bCs/>
          <w:szCs w:val="24"/>
        </w:rPr>
        <w:t>852</w:t>
      </w:r>
      <w:r w:rsidR="003A1F87">
        <w:rPr>
          <w:rFonts w:eastAsia="Calibri" w:cs="Times New Roman"/>
          <w:bCs/>
          <w:szCs w:val="24"/>
        </w:rPr>
        <w:t> </w:t>
      </w:r>
      <w:r>
        <w:rPr>
          <w:rFonts w:eastAsia="Calibri" w:cs="Times New Roman"/>
          <w:bCs/>
          <w:szCs w:val="24"/>
        </w:rPr>
        <w:t>tis.</w:t>
      </w:r>
      <w:r w:rsidR="003A1F87">
        <w:rPr>
          <w:rFonts w:eastAsia="Calibri" w:cs="Times New Roman"/>
          <w:bCs/>
          <w:szCs w:val="24"/>
        </w:rPr>
        <w:t> </w:t>
      </w:r>
      <w:r>
        <w:rPr>
          <w:rFonts w:eastAsia="Calibri" w:cs="Times New Roman"/>
          <w:bCs/>
          <w:szCs w:val="24"/>
        </w:rPr>
        <w:t>eur a v roku 2025 to bolo 362</w:t>
      </w:r>
      <w:r w:rsidR="003A1F87">
        <w:rPr>
          <w:rFonts w:eastAsia="Calibri" w:cs="Times New Roman"/>
          <w:bCs/>
          <w:szCs w:val="24"/>
        </w:rPr>
        <w:t> </w:t>
      </w:r>
      <w:r>
        <w:rPr>
          <w:rFonts w:eastAsia="Calibri" w:cs="Times New Roman"/>
          <w:bCs/>
          <w:szCs w:val="24"/>
        </w:rPr>
        <w:t>028</w:t>
      </w:r>
      <w:r w:rsidR="003A1F87">
        <w:rPr>
          <w:rFonts w:eastAsia="Calibri" w:cs="Times New Roman"/>
          <w:bCs/>
          <w:szCs w:val="24"/>
        </w:rPr>
        <w:t> </w:t>
      </w:r>
      <w:r>
        <w:rPr>
          <w:rFonts w:eastAsia="Calibri" w:cs="Times New Roman"/>
          <w:bCs/>
          <w:szCs w:val="24"/>
        </w:rPr>
        <w:t>tis.</w:t>
      </w:r>
      <w:r w:rsidR="003A1F87">
        <w:rPr>
          <w:rFonts w:eastAsia="Calibri" w:cs="Times New Roman"/>
          <w:bCs/>
          <w:szCs w:val="24"/>
        </w:rPr>
        <w:t> </w:t>
      </w:r>
      <w:r>
        <w:rPr>
          <w:rFonts w:eastAsia="Calibri" w:cs="Times New Roman"/>
          <w:bCs/>
          <w:szCs w:val="24"/>
        </w:rPr>
        <w:t>eur.</w:t>
      </w:r>
    </w:p>
    <w:p w14:paraId="2EA557F0" w14:textId="77777777" w:rsidR="00F81960" w:rsidRDefault="00F81960" w:rsidP="003B042A">
      <w:pPr>
        <w:spacing w:line="240" w:lineRule="auto"/>
        <w:jc w:val="both"/>
        <w:rPr>
          <w:rFonts w:eastAsia="Calibri" w:cs="Times New Roman"/>
          <w:b/>
          <w:szCs w:val="24"/>
        </w:rPr>
      </w:pPr>
    </w:p>
    <w:p w14:paraId="1538105D" w14:textId="70981990" w:rsidR="00412B94" w:rsidRDefault="003B042A" w:rsidP="00AF3D2E">
      <w:pPr>
        <w:spacing w:line="240" w:lineRule="auto"/>
        <w:jc w:val="both"/>
        <w:rPr>
          <w:rFonts w:eastAsia="Calibri" w:cs="Times New Roman"/>
          <w:bCs/>
          <w:szCs w:val="24"/>
        </w:rPr>
      </w:pPr>
      <w:r w:rsidRPr="0076156F">
        <w:rPr>
          <w:rFonts w:eastAsia="Calibri" w:cs="Times New Roman"/>
          <w:bCs/>
          <w:szCs w:val="24"/>
          <w:u w:val="single"/>
        </w:rPr>
        <w:t>Transfery do zahraničia</w:t>
      </w:r>
      <w:r w:rsidRPr="00526D51">
        <w:rPr>
          <w:rFonts w:eastAsia="Calibri" w:cs="Times New Roman"/>
          <w:bCs/>
          <w:szCs w:val="24"/>
        </w:rPr>
        <w:t xml:space="preserve"> sú tvorené najmä odvodom SR do</w:t>
      </w:r>
      <w:r w:rsidR="00425419">
        <w:rPr>
          <w:rFonts w:eastAsia="Calibri" w:cs="Times New Roman"/>
          <w:bCs/>
          <w:szCs w:val="24"/>
        </w:rPr>
        <w:t> </w:t>
      </w:r>
      <w:r w:rsidRPr="00526D51">
        <w:rPr>
          <w:rFonts w:eastAsia="Calibri" w:cs="Times New Roman"/>
          <w:bCs/>
          <w:szCs w:val="24"/>
        </w:rPr>
        <w:t>všeobecného rozpočtu EÚ</w:t>
      </w:r>
      <w:r w:rsidRPr="007A7529">
        <w:rPr>
          <w:rFonts w:eastAsia="Calibri" w:cs="Times New Roman"/>
          <w:bCs/>
          <w:szCs w:val="24"/>
        </w:rPr>
        <w:t xml:space="preserve"> na financovanie spoločných programov a politík EÚ. </w:t>
      </w:r>
      <w:r w:rsidRPr="0090790F">
        <w:rPr>
          <w:rFonts w:eastAsia="Calibri" w:cs="Times New Roman"/>
          <w:bCs/>
          <w:szCs w:val="24"/>
        </w:rPr>
        <w:t>Odvody SR bez</w:t>
      </w:r>
      <w:r w:rsidR="00425419">
        <w:rPr>
          <w:rFonts w:eastAsia="Calibri" w:cs="Times New Roman"/>
          <w:bCs/>
          <w:szCs w:val="24"/>
        </w:rPr>
        <w:t> </w:t>
      </w:r>
      <w:r w:rsidRPr="0090790F">
        <w:rPr>
          <w:rFonts w:eastAsia="Calibri" w:cs="Times New Roman"/>
          <w:bCs/>
          <w:szCs w:val="24"/>
        </w:rPr>
        <w:t xml:space="preserve">tradičných vlastných zdrojov </w:t>
      </w:r>
      <w:r>
        <w:rPr>
          <w:rFonts w:eastAsia="Calibri" w:cs="Times New Roman"/>
          <w:bCs/>
          <w:szCs w:val="24"/>
        </w:rPr>
        <w:t xml:space="preserve">rozpočtované v kapitole Všeobecná pokladničná správa </w:t>
      </w:r>
      <w:r w:rsidRPr="0090790F">
        <w:rPr>
          <w:rFonts w:eastAsia="Calibri" w:cs="Times New Roman"/>
          <w:bCs/>
          <w:szCs w:val="24"/>
        </w:rPr>
        <w:t xml:space="preserve">boli na rok 2025 </w:t>
      </w:r>
      <w:r>
        <w:rPr>
          <w:rFonts w:eastAsia="Calibri" w:cs="Times New Roman"/>
          <w:bCs/>
          <w:szCs w:val="24"/>
        </w:rPr>
        <w:t>vo</w:t>
      </w:r>
      <w:r w:rsidR="00425419">
        <w:rPr>
          <w:rFonts w:eastAsia="Calibri" w:cs="Times New Roman"/>
          <w:bCs/>
          <w:szCs w:val="24"/>
        </w:rPr>
        <w:t> </w:t>
      </w:r>
      <w:r>
        <w:rPr>
          <w:rFonts w:eastAsia="Calibri" w:cs="Times New Roman"/>
          <w:bCs/>
          <w:szCs w:val="24"/>
        </w:rPr>
        <w:t>výške</w:t>
      </w:r>
      <w:r w:rsidR="00425419">
        <w:rPr>
          <w:rFonts w:eastAsia="Calibri" w:cs="Times New Roman"/>
          <w:bCs/>
          <w:szCs w:val="24"/>
        </w:rPr>
        <w:t xml:space="preserve"> </w:t>
      </w:r>
      <w:r w:rsidRPr="0090790F">
        <w:rPr>
          <w:rFonts w:eastAsia="Calibri" w:cs="Times New Roman"/>
          <w:bCs/>
          <w:szCs w:val="24"/>
        </w:rPr>
        <w:t>980</w:t>
      </w:r>
      <w:r w:rsidR="00425419">
        <w:rPr>
          <w:rFonts w:eastAsia="Calibri" w:cs="Times New Roman"/>
          <w:bCs/>
          <w:szCs w:val="24"/>
        </w:rPr>
        <w:t> </w:t>
      </w:r>
      <w:r w:rsidRPr="0090790F">
        <w:rPr>
          <w:rFonts w:eastAsia="Calibri" w:cs="Times New Roman"/>
          <w:bCs/>
          <w:szCs w:val="24"/>
        </w:rPr>
        <w:t>963 tis. eur. Z toho odvody, ktoré boli rozpočtované na základe návrhu EK k rozpočtu EÚ na rok 2025 vo výške 975</w:t>
      </w:r>
      <w:r w:rsidR="00425419">
        <w:rPr>
          <w:rFonts w:eastAsia="Calibri" w:cs="Times New Roman"/>
          <w:bCs/>
          <w:szCs w:val="24"/>
        </w:rPr>
        <w:t> </w:t>
      </w:r>
      <w:r w:rsidRPr="0090790F">
        <w:rPr>
          <w:rFonts w:eastAsia="Calibri" w:cs="Times New Roman"/>
          <w:bCs/>
          <w:szCs w:val="24"/>
        </w:rPr>
        <w:t>963 tis. eur a príspevok SR na náklady súvisiace so</w:t>
      </w:r>
      <w:r w:rsidR="00425419">
        <w:rPr>
          <w:rFonts w:eastAsia="Calibri" w:cs="Times New Roman"/>
          <w:bCs/>
          <w:szCs w:val="24"/>
        </w:rPr>
        <w:t> </w:t>
      </w:r>
      <w:r w:rsidRPr="0090790F">
        <w:rPr>
          <w:rFonts w:eastAsia="Calibri" w:cs="Times New Roman"/>
          <w:bCs/>
          <w:szCs w:val="24"/>
        </w:rPr>
        <w:t>splácaním úrokov MFA+ (makrofinančná pomoc Ukrajine) vo výške 5 000 tis. eur. Skutočné čerpanie odvodov bez tradičných vlastných zdrojov bolo celkovo vo výške 993</w:t>
      </w:r>
      <w:r w:rsidR="00425419">
        <w:rPr>
          <w:rFonts w:eastAsia="Calibri" w:cs="Times New Roman"/>
          <w:bCs/>
          <w:szCs w:val="24"/>
        </w:rPr>
        <w:t> </w:t>
      </w:r>
      <w:r w:rsidRPr="0090790F">
        <w:rPr>
          <w:rFonts w:eastAsia="Calibri" w:cs="Times New Roman"/>
          <w:bCs/>
          <w:szCs w:val="24"/>
        </w:rPr>
        <w:t>118 tis. eur, z</w:t>
      </w:r>
      <w:r w:rsidR="00425419">
        <w:rPr>
          <w:rFonts w:eastAsia="Calibri" w:cs="Times New Roman"/>
          <w:bCs/>
          <w:szCs w:val="24"/>
        </w:rPr>
        <w:t> </w:t>
      </w:r>
      <w:r w:rsidRPr="0090790F">
        <w:rPr>
          <w:rFonts w:eastAsia="Calibri" w:cs="Times New Roman"/>
          <w:bCs/>
          <w:szCs w:val="24"/>
        </w:rPr>
        <w:t>toho 989</w:t>
      </w:r>
      <w:r w:rsidR="00425419">
        <w:rPr>
          <w:rFonts w:eastAsia="Calibri" w:cs="Times New Roman"/>
          <w:bCs/>
          <w:szCs w:val="24"/>
        </w:rPr>
        <w:t> </w:t>
      </w:r>
      <w:r w:rsidRPr="0090790F">
        <w:rPr>
          <w:rFonts w:eastAsia="Calibri" w:cs="Times New Roman"/>
          <w:bCs/>
          <w:szCs w:val="24"/>
        </w:rPr>
        <w:t>120 tis. eur predstavovali odvody a</w:t>
      </w:r>
      <w:r w:rsidR="00425419">
        <w:rPr>
          <w:rFonts w:eastAsia="Calibri" w:cs="Times New Roman"/>
          <w:bCs/>
          <w:szCs w:val="24"/>
        </w:rPr>
        <w:t> </w:t>
      </w:r>
      <w:r w:rsidRPr="0090790F">
        <w:rPr>
          <w:rFonts w:eastAsia="Calibri" w:cs="Times New Roman"/>
          <w:bCs/>
          <w:szCs w:val="24"/>
        </w:rPr>
        <w:t>3</w:t>
      </w:r>
      <w:r w:rsidR="00425419">
        <w:rPr>
          <w:rFonts w:eastAsia="Calibri" w:cs="Times New Roman"/>
          <w:bCs/>
          <w:szCs w:val="24"/>
        </w:rPr>
        <w:t> </w:t>
      </w:r>
      <w:r w:rsidRPr="0090790F">
        <w:rPr>
          <w:rFonts w:eastAsia="Calibri" w:cs="Times New Roman"/>
          <w:bCs/>
          <w:szCs w:val="24"/>
        </w:rPr>
        <w:t>998 tis. eur predstavoval vyššie uvedené náklady súvisiace so splácaním úrokov MFA+</w:t>
      </w:r>
      <w:r>
        <w:rPr>
          <w:rFonts w:eastAsia="Calibri" w:cs="Times New Roman"/>
          <w:bCs/>
          <w:szCs w:val="24"/>
        </w:rPr>
        <w:t xml:space="preserve"> </w:t>
      </w:r>
      <w:r w:rsidRPr="007A7529">
        <w:rPr>
          <w:rFonts w:eastAsia="Calibri" w:cs="Times New Roman"/>
          <w:bCs/>
          <w:szCs w:val="24"/>
        </w:rPr>
        <w:t xml:space="preserve">(viac v kapitole </w:t>
      </w:r>
      <w:r>
        <w:rPr>
          <w:rFonts w:eastAsia="Calibri" w:cs="Times New Roman"/>
          <w:bCs/>
          <w:szCs w:val="24"/>
        </w:rPr>
        <w:t>3.4.</w:t>
      </w:r>
      <w:r w:rsidR="00425419">
        <w:rPr>
          <w:rFonts w:eastAsia="Calibri" w:cs="Times New Roman"/>
          <w:bCs/>
          <w:szCs w:val="24"/>
        </w:rPr>
        <w:t> </w:t>
      </w:r>
      <w:r w:rsidRPr="007A7529">
        <w:rPr>
          <w:rFonts w:eastAsia="Calibri" w:cs="Times New Roman"/>
          <w:bCs/>
          <w:szCs w:val="24"/>
        </w:rPr>
        <w:t>Vzťahy štátneho rozpočtu k</w:t>
      </w:r>
      <w:r w:rsidR="00425419">
        <w:rPr>
          <w:rFonts w:eastAsia="Calibri" w:cs="Times New Roman"/>
          <w:bCs/>
          <w:szCs w:val="24"/>
        </w:rPr>
        <w:t> </w:t>
      </w:r>
      <w:r w:rsidRPr="007A7529">
        <w:rPr>
          <w:rFonts w:eastAsia="Calibri" w:cs="Times New Roman"/>
          <w:bCs/>
          <w:szCs w:val="24"/>
        </w:rPr>
        <w:t>EÚ).</w:t>
      </w:r>
    </w:p>
    <w:p w14:paraId="173EEC37" w14:textId="77777777" w:rsidR="00AF3D2E" w:rsidRDefault="00AF3D2E" w:rsidP="00AF3D2E">
      <w:pPr>
        <w:spacing w:line="240" w:lineRule="auto"/>
        <w:jc w:val="both"/>
        <w:rPr>
          <w:rFonts w:eastAsia="Calibri" w:cs="Times New Roman"/>
          <w:bCs/>
          <w:szCs w:val="24"/>
          <w:highlight w:val="yellow"/>
        </w:rPr>
      </w:pPr>
    </w:p>
    <w:p w14:paraId="00FAD9E9" w14:textId="77777777" w:rsidR="004D69BF" w:rsidRPr="00DA100D" w:rsidRDefault="004D69BF" w:rsidP="00532D85">
      <w:pPr>
        <w:pStyle w:val="Nadpis3"/>
        <w:spacing w:before="0"/>
        <w:jc w:val="both"/>
      </w:pPr>
      <w:bookmarkStart w:id="129" w:name="_Toc227758909"/>
      <w:r w:rsidRPr="00DA100D">
        <w:t>Kapitálové výdavky</w:t>
      </w:r>
      <w:bookmarkEnd w:id="129"/>
    </w:p>
    <w:p w14:paraId="3634B1C2" w14:textId="77777777" w:rsidR="00D46A5E" w:rsidRPr="0050710A" w:rsidRDefault="00D46A5E" w:rsidP="00532D85">
      <w:pPr>
        <w:spacing w:line="240" w:lineRule="auto"/>
        <w:jc w:val="both"/>
        <w:rPr>
          <w:szCs w:val="24"/>
          <w:highlight w:val="yellow"/>
        </w:rPr>
      </w:pPr>
    </w:p>
    <w:p w14:paraId="16A17B57" w14:textId="77777777" w:rsidR="00CB627C" w:rsidRDefault="00CB627C" w:rsidP="00CB627C">
      <w:pPr>
        <w:spacing w:line="240" w:lineRule="auto"/>
        <w:jc w:val="both"/>
        <w:rPr>
          <w:szCs w:val="24"/>
        </w:rPr>
      </w:pPr>
      <w:r w:rsidRPr="00663918">
        <w:rPr>
          <w:szCs w:val="24"/>
        </w:rPr>
        <w:t xml:space="preserve">Kapitálové výdavky tvoria výdavky na </w:t>
      </w:r>
      <w:r w:rsidRPr="00663918">
        <w:rPr>
          <w:szCs w:val="24"/>
          <w:u w:val="single"/>
        </w:rPr>
        <w:t>obstaranie hmotného a nehmotného majetku</w:t>
      </w:r>
      <w:r w:rsidRPr="00663918">
        <w:rPr>
          <w:szCs w:val="24"/>
        </w:rPr>
        <w:t xml:space="preserve">, vrátane výdavkov súvisiacich s obstaraním tohto majetku </w:t>
      </w:r>
      <w:r>
        <w:rPr>
          <w:szCs w:val="24"/>
        </w:rPr>
        <w:t xml:space="preserve">v zmysle zákona o dani z príjmov </w:t>
      </w:r>
      <w:r w:rsidRPr="00663918">
        <w:rPr>
          <w:szCs w:val="24"/>
        </w:rPr>
        <w:t xml:space="preserve">(napr. projektová dokumentácia, </w:t>
      </w:r>
      <w:r>
        <w:rPr>
          <w:szCs w:val="24"/>
        </w:rPr>
        <w:t>prieskumné práce, geologické práce, skúšky, ktorými zhotoviteľ preukazuje riadne vykonanie diela a podobne</w:t>
      </w:r>
      <w:r w:rsidRPr="00663918">
        <w:rPr>
          <w:szCs w:val="24"/>
        </w:rPr>
        <w:t>) a </w:t>
      </w:r>
      <w:r w:rsidRPr="00663918">
        <w:rPr>
          <w:szCs w:val="24"/>
          <w:u w:val="single"/>
        </w:rPr>
        <w:t>kapitálové transfery</w:t>
      </w:r>
      <w:r w:rsidRPr="00663918">
        <w:rPr>
          <w:szCs w:val="24"/>
        </w:rPr>
        <w:t>, teda platby vykonané s cieľom umožniť príjemcovi nadobudnúť kapitálové aktíva alebo kompenzovať ich poškodenie alebo trvalé zničenie.</w:t>
      </w:r>
    </w:p>
    <w:p w14:paraId="100ED0F8" w14:textId="77777777" w:rsidR="00CB627C" w:rsidRPr="00663918" w:rsidRDefault="00CB627C" w:rsidP="00CB627C">
      <w:pPr>
        <w:spacing w:line="240" w:lineRule="auto"/>
        <w:jc w:val="both"/>
        <w:rPr>
          <w:szCs w:val="24"/>
        </w:rPr>
      </w:pPr>
    </w:p>
    <w:p w14:paraId="4C057DD7" w14:textId="7A7B16E0" w:rsidR="00CB627C" w:rsidRDefault="00CB627C" w:rsidP="00CB627C">
      <w:pPr>
        <w:spacing w:line="240" w:lineRule="auto"/>
        <w:jc w:val="both"/>
        <w:rPr>
          <w:szCs w:val="24"/>
        </w:rPr>
      </w:pPr>
      <w:r w:rsidRPr="00663918">
        <w:rPr>
          <w:szCs w:val="24"/>
        </w:rPr>
        <w:t>Rozpočet kapitálových výdavkov na rok 202</w:t>
      </w:r>
      <w:r>
        <w:rPr>
          <w:szCs w:val="24"/>
        </w:rPr>
        <w:t>5</w:t>
      </w:r>
      <w:r w:rsidRPr="00663918">
        <w:rPr>
          <w:szCs w:val="24"/>
        </w:rPr>
        <w:t xml:space="preserve"> predstavoval sumu </w:t>
      </w:r>
      <w:r>
        <w:rPr>
          <w:szCs w:val="24"/>
        </w:rPr>
        <w:t>3 717 </w:t>
      </w:r>
      <w:r w:rsidR="00E451B6">
        <w:rPr>
          <w:szCs w:val="24"/>
        </w:rPr>
        <w:t>118 </w:t>
      </w:r>
      <w:r>
        <w:rPr>
          <w:szCs w:val="24"/>
        </w:rPr>
        <w:t>tis. eur, čo je medziročne viac o 589 885 tis. eur. Za týmto vyšším rozpočtom boli hlavne kapitálové transfery, o 615 667 tis. eur, a obstarávanie kapitálových aktív bolo plánované medziročne nižšie o 25 </w:t>
      </w:r>
      <w:r w:rsidRPr="002450D9">
        <w:t>792</w:t>
      </w:r>
      <w:r>
        <w:t> </w:t>
      </w:r>
      <w:r w:rsidRPr="002450D9">
        <w:t>tis</w:t>
      </w:r>
      <w:r>
        <w:rPr>
          <w:szCs w:val="24"/>
        </w:rPr>
        <w:t>. eur. Pri kapitálových transferoch sa uvažovalo o vyšších transferoch v rámci verejnej správy, o 415 481 tis. eur a z toho Železniciam SR o 268 063 tis. eur, Národnej diaľničnej spoločnosti, a. s.</w:t>
      </w:r>
      <w:r w:rsidR="00467F0B">
        <w:rPr>
          <w:szCs w:val="24"/>
        </w:rPr>
        <w:t>,</w:t>
      </w:r>
      <w:r>
        <w:rPr>
          <w:szCs w:val="24"/>
        </w:rPr>
        <w:t xml:space="preserve"> o 74 936 tis. eur a obciam o 49 287 tis. eur.</w:t>
      </w:r>
    </w:p>
    <w:p w14:paraId="3014DF85" w14:textId="77777777" w:rsidR="00CB627C" w:rsidRDefault="00CB627C" w:rsidP="00CB627C">
      <w:pPr>
        <w:spacing w:line="240" w:lineRule="auto"/>
        <w:jc w:val="both"/>
        <w:rPr>
          <w:szCs w:val="24"/>
        </w:rPr>
      </w:pPr>
    </w:p>
    <w:p w14:paraId="09B974A7" w14:textId="2BCFC862" w:rsidR="00CB627C" w:rsidRDefault="00CB627C" w:rsidP="00CB627C">
      <w:pPr>
        <w:spacing w:line="240" w:lineRule="auto"/>
        <w:jc w:val="both"/>
        <w:rPr>
          <w:szCs w:val="24"/>
        </w:rPr>
      </w:pPr>
      <w:r>
        <w:rPr>
          <w:szCs w:val="24"/>
        </w:rPr>
        <w:t>Transfery nefinančným subjektom boli rozpočtované vyššie o 174 471 tis. eur a v rámci nich právnickej osobe založenej štátom, obcou alebo VÚC. Ministerstvo dopravy SR medziročne rozpočtovalo vyššie transfery právnickej osobe založenej štátom o </w:t>
      </w:r>
      <w:r w:rsidRPr="001B44AF">
        <w:rPr>
          <w:szCs w:val="24"/>
        </w:rPr>
        <w:t>153</w:t>
      </w:r>
      <w:r>
        <w:rPr>
          <w:szCs w:val="24"/>
        </w:rPr>
        <w:t> </w:t>
      </w:r>
      <w:r w:rsidRPr="001B44AF">
        <w:rPr>
          <w:szCs w:val="24"/>
        </w:rPr>
        <w:t>2</w:t>
      </w:r>
      <w:r>
        <w:rPr>
          <w:szCs w:val="24"/>
        </w:rPr>
        <w:t>23 </w:t>
      </w:r>
      <w:r w:rsidRPr="001B44AF">
        <w:rPr>
          <w:szCs w:val="24"/>
        </w:rPr>
        <w:t>tis.</w:t>
      </w:r>
      <w:r>
        <w:rPr>
          <w:szCs w:val="24"/>
        </w:rPr>
        <w:t> </w:t>
      </w:r>
      <w:r w:rsidRPr="001B44AF">
        <w:rPr>
          <w:szCs w:val="24"/>
        </w:rPr>
        <w:t>eur a 63</w:t>
      </w:r>
      <w:r>
        <w:rPr>
          <w:szCs w:val="24"/>
        </w:rPr>
        <w:t> </w:t>
      </w:r>
      <w:r w:rsidRPr="001B44AF">
        <w:rPr>
          <w:szCs w:val="24"/>
        </w:rPr>
        <w:t>925</w:t>
      </w:r>
      <w:r>
        <w:rPr>
          <w:szCs w:val="24"/>
        </w:rPr>
        <w:t> </w:t>
      </w:r>
      <w:r w:rsidRPr="001B44AF">
        <w:rPr>
          <w:szCs w:val="24"/>
        </w:rPr>
        <w:t>tis.</w:t>
      </w:r>
      <w:r>
        <w:rPr>
          <w:szCs w:val="24"/>
        </w:rPr>
        <w:t> </w:t>
      </w:r>
      <w:r w:rsidRPr="001B44AF">
        <w:rPr>
          <w:szCs w:val="24"/>
        </w:rPr>
        <w:t>eur ostatnej právnickej osobe</w:t>
      </w:r>
      <w:r>
        <w:rPr>
          <w:szCs w:val="24"/>
        </w:rPr>
        <w:t>.</w:t>
      </w:r>
    </w:p>
    <w:p w14:paraId="0FA24954" w14:textId="77777777" w:rsidR="00CB627C" w:rsidRDefault="00CB627C" w:rsidP="00CB627C">
      <w:pPr>
        <w:spacing w:line="240" w:lineRule="auto"/>
        <w:jc w:val="both"/>
        <w:rPr>
          <w:szCs w:val="24"/>
        </w:rPr>
      </w:pPr>
    </w:p>
    <w:p w14:paraId="2ABCF273" w14:textId="36D60327" w:rsidR="00CB627C" w:rsidRDefault="00CB627C" w:rsidP="00CB627C">
      <w:pPr>
        <w:spacing w:line="240" w:lineRule="auto"/>
        <w:jc w:val="both"/>
        <w:rPr>
          <w:szCs w:val="24"/>
        </w:rPr>
      </w:pPr>
      <w:r>
        <w:rPr>
          <w:szCs w:val="24"/>
        </w:rPr>
        <w:t>Medziročne boli rozpočtované vyššie kapitálové výdavky zo zdrojov EŠIF o 369 552 tis. eur, zo spolufinancovania k spoločným programom EÚ o 78 682 tis. eur a z </w:t>
      </w:r>
      <w:r w:rsidR="00C4036E">
        <w:rPr>
          <w:szCs w:val="24"/>
        </w:rPr>
        <w:t>POO</w:t>
      </w:r>
      <w:r>
        <w:rPr>
          <w:szCs w:val="24"/>
        </w:rPr>
        <w:t>, o 56 545 tis. eur (bez DHP). Aj prostriedky čisto štátneho rozpočtu boli rozpočtované vyššie, a to o 92 510 tis. eur.</w:t>
      </w:r>
    </w:p>
    <w:p w14:paraId="2008B905" w14:textId="77777777" w:rsidR="00CB627C" w:rsidRDefault="00CB627C" w:rsidP="00CB627C">
      <w:pPr>
        <w:spacing w:line="240" w:lineRule="auto"/>
        <w:jc w:val="both"/>
        <w:rPr>
          <w:szCs w:val="24"/>
        </w:rPr>
      </w:pPr>
    </w:p>
    <w:p w14:paraId="2DAE0011" w14:textId="7371EDE0" w:rsidR="00CB627C" w:rsidRDefault="00CB627C" w:rsidP="00CB627C">
      <w:pPr>
        <w:spacing w:line="240" w:lineRule="auto"/>
        <w:jc w:val="both"/>
        <w:rPr>
          <w:szCs w:val="24"/>
        </w:rPr>
      </w:pPr>
      <w:r>
        <w:rPr>
          <w:szCs w:val="24"/>
        </w:rPr>
        <w:t>Celkové kapitálové výdavky k ultimu roka 2025 dosiahli 4 907 273 tis. eur, čo je oproti rozpočtu viac o 1 190 </w:t>
      </w:r>
      <w:r w:rsidR="00E451B6">
        <w:rPr>
          <w:szCs w:val="24"/>
        </w:rPr>
        <w:t>155 </w:t>
      </w:r>
      <w:r>
        <w:rPr>
          <w:szCs w:val="24"/>
        </w:rPr>
        <w:t>tis. eur. Medziročne ide o nárast až o 1 069 134 tis. eur. Z pohľadu zdrojov financovania sa kapitálové výdavky financovali najmä zo zdrojov štátneho rozpočtu 2 059 462 tis. eur (oproti rozpočtu boli vyššie o 25 563 tis. eur), zo</w:t>
      </w:r>
      <w:r w:rsidR="00E67125">
        <w:rPr>
          <w:szCs w:val="24"/>
        </w:rPr>
        <w:t> </w:t>
      </w:r>
      <w:r>
        <w:rPr>
          <w:szCs w:val="24"/>
        </w:rPr>
        <w:t xml:space="preserve">zdrojov </w:t>
      </w:r>
      <w:r w:rsidR="00C4036E">
        <w:rPr>
          <w:szCs w:val="24"/>
        </w:rPr>
        <w:t>POO</w:t>
      </w:r>
      <w:r>
        <w:rPr>
          <w:szCs w:val="24"/>
        </w:rPr>
        <w:t xml:space="preserve"> 1 543 239 tis. eur (oproti rozpočtu boli vyššie o 623 291 tis. eur) a z prostriedkov EŠIF 889 604 tis. eur (vyššie oproti rozpočtu boli o 369 552 tis. eur</w:t>
      </w:r>
      <w:r w:rsidR="00DB4798">
        <w:rPr>
          <w:szCs w:val="24"/>
        </w:rPr>
        <w:t>)</w:t>
      </w:r>
      <w:r>
        <w:rPr>
          <w:szCs w:val="24"/>
        </w:rPr>
        <w:t>. Na</w:t>
      </w:r>
      <w:r w:rsidR="00671C25">
        <w:rPr>
          <w:szCs w:val="24"/>
        </w:rPr>
        <w:t> </w:t>
      </w:r>
      <w:r>
        <w:rPr>
          <w:szCs w:val="24"/>
        </w:rPr>
        <w:t xml:space="preserve">medziročnom raste </w:t>
      </w:r>
      <w:r>
        <w:rPr>
          <w:szCs w:val="24"/>
        </w:rPr>
        <w:lastRenderedPageBreak/>
        <w:t xml:space="preserve">kapitálových výdavkov o 1 069 134 tis. eur sa podieľali najmä zdroje </w:t>
      </w:r>
      <w:r w:rsidR="00C4036E">
        <w:rPr>
          <w:szCs w:val="24"/>
        </w:rPr>
        <w:t>POO</w:t>
      </w:r>
      <w:r>
        <w:rPr>
          <w:szCs w:val="24"/>
        </w:rPr>
        <w:t>, o 816 761 tis. eur a prostriedky štátneho rozpočtu (bez spolufinancovania a DPH k POO) o 116 165 tis. eur.</w:t>
      </w:r>
    </w:p>
    <w:p w14:paraId="07CF4738" w14:textId="77777777" w:rsidR="00671C25" w:rsidRDefault="00671C25" w:rsidP="00CB627C">
      <w:pPr>
        <w:spacing w:line="240" w:lineRule="auto"/>
        <w:jc w:val="both"/>
        <w:rPr>
          <w:szCs w:val="24"/>
        </w:rPr>
      </w:pPr>
    </w:p>
    <w:p w14:paraId="0745614C" w14:textId="1B08A6BC" w:rsidR="00CB627C" w:rsidRDefault="00CB627C" w:rsidP="00CB627C">
      <w:pPr>
        <w:spacing w:line="240" w:lineRule="auto"/>
        <w:jc w:val="both"/>
        <w:rPr>
          <w:szCs w:val="24"/>
        </w:rPr>
      </w:pPr>
      <w:r w:rsidRPr="002E616F">
        <w:rPr>
          <w:szCs w:val="24"/>
        </w:rPr>
        <w:t>Obstarávanie kapitálových aktív nakoniec nenaplnilo očakávania rozpočtu, celkovo o 503</w:t>
      </w:r>
      <w:r>
        <w:rPr>
          <w:szCs w:val="24"/>
        </w:rPr>
        <w:t> </w:t>
      </w:r>
      <w:r w:rsidRPr="002E616F">
        <w:rPr>
          <w:szCs w:val="24"/>
        </w:rPr>
        <w:t>157</w:t>
      </w:r>
      <w:r>
        <w:rPr>
          <w:szCs w:val="24"/>
        </w:rPr>
        <w:t> </w:t>
      </w:r>
      <w:r w:rsidRPr="002E616F">
        <w:rPr>
          <w:szCs w:val="24"/>
        </w:rPr>
        <w:t>tis.</w:t>
      </w:r>
      <w:r>
        <w:rPr>
          <w:szCs w:val="24"/>
        </w:rPr>
        <w:t> </w:t>
      </w:r>
      <w:r w:rsidRPr="002E616F">
        <w:rPr>
          <w:szCs w:val="24"/>
        </w:rPr>
        <w:t>eur. Ministerstvo zdravotníctva SR opticky neplnilo rozpočet ostatných výdavkov o 244</w:t>
      </w:r>
      <w:r>
        <w:rPr>
          <w:szCs w:val="24"/>
        </w:rPr>
        <w:t> </w:t>
      </w:r>
      <w:r w:rsidRPr="002E616F">
        <w:rPr>
          <w:szCs w:val="24"/>
        </w:rPr>
        <w:t>908</w:t>
      </w:r>
      <w:r>
        <w:rPr>
          <w:szCs w:val="24"/>
        </w:rPr>
        <w:t> </w:t>
      </w:r>
      <w:r w:rsidRPr="002E616F">
        <w:rPr>
          <w:szCs w:val="24"/>
        </w:rPr>
        <w:t>tis.</w:t>
      </w:r>
      <w:r>
        <w:rPr>
          <w:szCs w:val="24"/>
        </w:rPr>
        <w:t> </w:t>
      </w:r>
      <w:r w:rsidRPr="002E616F">
        <w:rPr>
          <w:szCs w:val="24"/>
        </w:rPr>
        <w:t>eur z dôvodu, že reálne čerpanie sa premietalo na</w:t>
      </w:r>
      <w:r w:rsidR="00671C25">
        <w:rPr>
          <w:szCs w:val="24"/>
        </w:rPr>
        <w:t> </w:t>
      </w:r>
      <w:r w:rsidRPr="002E616F">
        <w:rPr>
          <w:szCs w:val="24"/>
        </w:rPr>
        <w:t>jednotlivých druhových výdavkoch, na ktoré boli prostriedky POO a DPH k POO počas roka uvoľňované.</w:t>
      </w:r>
    </w:p>
    <w:p w14:paraId="02BD5C5A" w14:textId="77777777" w:rsidR="00671C25" w:rsidRDefault="00671C25" w:rsidP="00CB627C">
      <w:pPr>
        <w:spacing w:line="240" w:lineRule="auto"/>
        <w:jc w:val="both"/>
        <w:rPr>
          <w:szCs w:val="24"/>
        </w:rPr>
      </w:pPr>
    </w:p>
    <w:p w14:paraId="0BB26147" w14:textId="3A5E43B0" w:rsidR="00CB627C" w:rsidRDefault="00CB627C" w:rsidP="00CB627C">
      <w:pPr>
        <w:spacing w:line="240" w:lineRule="auto"/>
        <w:jc w:val="both"/>
        <w:rPr>
          <w:szCs w:val="24"/>
        </w:rPr>
      </w:pPr>
      <w:r>
        <w:rPr>
          <w:szCs w:val="24"/>
        </w:rPr>
        <w:t>V rámci realizácie stavieb je významné prekročenie voči rozpočtu u kapitoly Ministerstva obrany SR, o 93 512 tis. eur. Naopak, kapitola Ministerstva dopravy SR nenaplnila výdavky o 231 637 tis. eur a kapitola Ministerstva zdravotníctva SR o 326 217 tis. eur. Objem výdavkov na nákup dopravných prostriedkov bol realizovaný takmer celý na</w:t>
      </w:r>
      <w:r w:rsidR="00671C25">
        <w:rPr>
          <w:szCs w:val="24"/>
        </w:rPr>
        <w:t> </w:t>
      </w:r>
      <w:r>
        <w:rPr>
          <w:szCs w:val="24"/>
        </w:rPr>
        <w:t>Ministerstve obrany SR 462 758 tis. eur, aj keď oproti rozpočtu je suma nižšia o 114 840 tis. eur. Ministerstvo vnútra SR vynaložilo 14 444 tis. eur a rozpočet prekročilo o 13 923 tis. eur.</w:t>
      </w:r>
    </w:p>
    <w:p w14:paraId="3511C02E" w14:textId="77777777" w:rsidR="00671C25" w:rsidRDefault="00671C25" w:rsidP="00CB627C">
      <w:pPr>
        <w:spacing w:line="240" w:lineRule="auto"/>
        <w:jc w:val="both"/>
        <w:rPr>
          <w:szCs w:val="24"/>
        </w:rPr>
      </w:pPr>
    </w:p>
    <w:p w14:paraId="554A8AE7" w14:textId="40AEDD75" w:rsidR="00CB627C" w:rsidRDefault="00CB627C" w:rsidP="00CB627C">
      <w:pPr>
        <w:spacing w:line="240" w:lineRule="auto"/>
        <w:jc w:val="both"/>
        <w:rPr>
          <w:szCs w:val="24"/>
        </w:rPr>
      </w:pPr>
      <w:r>
        <w:rPr>
          <w:szCs w:val="24"/>
        </w:rPr>
        <w:t>Kapitálové transfery sa realizujú prostredníctvom viacerých kapitol ŠR, dominantne však cez</w:t>
      </w:r>
      <w:r w:rsidR="007354C1">
        <w:rPr>
          <w:szCs w:val="24"/>
        </w:rPr>
        <w:t> </w:t>
      </w:r>
      <w:r>
        <w:rPr>
          <w:szCs w:val="24"/>
        </w:rPr>
        <w:t>Ministerstvo dopravy SR 1 068 473 tis. eur, Ministerstvo pôdohospodárstva a rozvoja vidieka SR 572 588 tis. eur, Ministerstvo zdravotníctva SR 382 334 tis. eur, Ministerstvo životného prostredia SR 336 076 tis. eur, Ministerstvo školstva, výskumu, vývoja a mládeže SR 316 733 tis. eur, Ministerstvo investícií, regionálneho rozvoja a</w:t>
      </w:r>
      <w:r w:rsidR="00671C25">
        <w:rPr>
          <w:szCs w:val="24"/>
        </w:rPr>
        <w:t> </w:t>
      </w:r>
      <w:r>
        <w:rPr>
          <w:szCs w:val="24"/>
        </w:rPr>
        <w:t>informatizácie SR 176 750 tis. eur, Ministerstvo hospodárstva SR 133 761 tis. eur. Celkové kapitálové transfery boli prekročené oproti rozpočtu o 1 693 312 tis. eur, z toho najviac transfery štátnym príspevkovým organizáciám 602 551 tis. eur, obciam 556 737 tis. eur, Národnej diaľničnej spoločnosti, a. s.</w:t>
      </w:r>
      <w:r w:rsidR="00467F0B">
        <w:rPr>
          <w:szCs w:val="24"/>
        </w:rPr>
        <w:t>,</w:t>
      </w:r>
      <w:r>
        <w:rPr>
          <w:szCs w:val="24"/>
        </w:rPr>
        <w:t xml:space="preserve"> 193 022 tis. eur, Železniciam SR 131 802 tis. eur, verejným vysokým školám 113 491 tis. eur. V prípade transferov príspevkovým organizáciám, obciam a vysokým školám boli použité hlavne prostriedky </w:t>
      </w:r>
      <w:r w:rsidR="00C4036E">
        <w:rPr>
          <w:szCs w:val="24"/>
        </w:rPr>
        <w:t>POO</w:t>
      </w:r>
      <w:r>
        <w:rPr>
          <w:szCs w:val="24"/>
        </w:rPr>
        <w:t>, 796 552 tis. eur a tvorili väčšinu objemu prekročeného rozpočtu.</w:t>
      </w:r>
    </w:p>
    <w:p w14:paraId="742498E4" w14:textId="77777777" w:rsidR="00CB627C" w:rsidRDefault="00CB627C" w:rsidP="00CB627C">
      <w:pPr>
        <w:spacing w:line="240" w:lineRule="auto"/>
        <w:jc w:val="both"/>
        <w:rPr>
          <w:szCs w:val="24"/>
        </w:rPr>
      </w:pPr>
    </w:p>
    <w:p w14:paraId="42C2AF4B" w14:textId="7657A285" w:rsidR="00702372" w:rsidRPr="00F0154E" w:rsidRDefault="00702372" w:rsidP="00532D85">
      <w:pPr>
        <w:pStyle w:val="Popis"/>
        <w:jc w:val="both"/>
        <w:rPr>
          <w:lang w:eastAsia="sk-SK"/>
        </w:rPr>
      </w:pPr>
      <w:bookmarkStart w:id="130" w:name="_Toc196313660"/>
      <w:bookmarkStart w:id="131" w:name="_Toc227670170"/>
      <w:r w:rsidRPr="00F0154E">
        <w:rPr>
          <w:lang w:eastAsia="sk-SK"/>
        </w:rPr>
        <w:t xml:space="preserve">Tabuľka </w:t>
      </w:r>
      <w:r w:rsidRPr="00F0154E">
        <w:rPr>
          <w:i/>
          <w:lang w:eastAsia="sk-SK"/>
        </w:rPr>
        <w:fldChar w:fldCharType="begin"/>
      </w:r>
      <w:r w:rsidRPr="00F0154E">
        <w:rPr>
          <w:lang w:eastAsia="sk-SK"/>
        </w:rPr>
        <w:instrText xml:space="preserve"> SEQ Tabuľka \* ARABIC </w:instrText>
      </w:r>
      <w:r w:rsidRPr="00F0154E">
        <w:rPr>
          <w:i/>
          <w:lang w:eastAsia="sk-SK"/>
        </w:rPr>
        <w:fldChar w:fldCharType="separate"/>
      </w:r>
      <w:r w:rsidR="00396BE8">
        <w:rPr>
          <w:noProof/>
          <w:lang w:eastAsia="sk-SK"/>
        </w:rPr>
        <w:t>34</w:t>
      </w:r>
      <w:r w:rsidRPr="00F0154E">
        <w:rPr>
          <w:i/>
          <w:lang w:eastAsia="sk-SK"/>
        </w:rPr>
        <w:fldChar w:fldCharType="end"/>
      </w:r>
      <w:r w:rsidRPr="00F0154E">
        <w:rPr>
          <w:lang w:eastAsia="sk-SK"/>
        </w:rPr>
        <w:t xml:space="preserve"> - Kapitálové výdavky štátneho rozpočtu</w:t>
      </w:r>
      <w:bookmarkEnd w:id="130"/>
      <w:bookmarkEnd w:id="131"/>
    </w:p>
    <w:tbl>
      <w:tblPr>
        <w:tblW w:w="5000" w:type="pct"/>
        <w:tblCellMar>
          <w:left w:w="70" w:type="dxa"/>
          <w:right w:w="70" w:type="dxa"/>
        </w:tblCellMar>
        <w:tblLook w:val="04A0" w:firstRow="1" w:lastRow="0" w:firstColumn="1" w:lastColumn="0" w:noHBand="0" w:noVBand="1"/>
      </w:tblPr>
      <w:tblGrid>
        <w:gridCol w:w="3926"/>
        <w:gridCol w:w="932"/>
        <w:gridCol w:w="1088"/>
        <w:gridCol w:w="1029"/>
        <w:gridCol w:w="1048"/>
        <w:gridCol w:w="1047"/>
      </w:tblGrid>
      <w:tr w:rsidR="00F0154E" w:rsidRPr="00D73F08" w14:paraId="6399FF35" w14:textId="77777777" w:rsidTr="00F0154E">
        <w:trPr>
          <w:trHeight w:val="330"/>
          <w:tblHeader/>
        </w:trPr>
        <w:tc>
          <w:tcPr>
            <w:tcW w:w="2164" w:type="pct"/>
            <w:vMerge w:val="restart"/>
            <w:tcBorders>
              <w:top w:val="single" w:sz="4" w:space="0" w:color="auto"/>
              <w:left w:val="nil"/>
              <w:bottom w:val="single" w:sz="8" w:space="0" w:color="000000"/>
              <w:right w:val="nil"/>
            </w:tcBorders>
            <w:vAlign w:val="center"/>
            <w:hideMark/>
          </w:tcPr>
          <w:p w14:paraId="06E94EA2" w14:textId="77777777" w:rsidR="00F0154E" w:rsidRPr="00D73F08" w:rsidRDefault="00F0154E" w:rsidP="00433832">
            <w:pPr>
              <w:spacing w:line="240" w:lineRule="auto"/>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v tis. eur</w:t>
            </w:r>
            <w:r w:rsidRPr="00D73F08">
              <w:rPr>
                <w:rFonts w:ascii="Arial Narrow" w:eastAsia="Times New Roman" w:hAnsi="Arial Narrow" w:cs="Times New Roman"/>
                <w:b/>
                <w:bCs/>
                <w:color w:val="000000"/>
                <w:sz w:val="18"/>
                <w:szCs w:val="18"/>
                <w:lang w:eastAsia="sk-SK"/>
              </w:rPr>
              <w:t> </w:t>
            </w:r>
          </w:p>
        </w:tc>
        <w:tc>
          <w:tcPr>
            <w:tcW w:w="514" w:type="pct"/>
            <w:tcBorders>
              <w:top w:val="single" w:sz="4" w:space="0" w:color="auto"/>
              <w:left w:val="nil"/>
              <w:bottom w:val="nil"/>
              <w:right w:val="nil"/>
            </w:tcBorders>
            <w:vAlign w:val="center"/>
            <w:hideMark/>
          </w:tcPr>
          <w:p w14:paraId="3F7A5B31"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73F08">
              <w:rPr>
                <w:rFonts w:eastAsia="Times New Roman" w:cs="Times New Roman"/>
                <w:b/>
                <w:bCs/>
                <w:color w:val="000000"/>
                <w:sz w:val="18"/>
                <w:szCs w:val="18"/>
                <w:lang w:eastAsia="sk-SK"/>
              </w:rPr>
              <w:t xml:space="preserve"> S</w:t>
            </w:r>
          </w:p>
        </w:tc>
        <w:tc>
          <w:tcPr>
            <w:tcW w:w="600" w:type="pct"/>
            <w:tcBorders>
              <w:top w:val="single" w:sz="4" w:space="0" w:color="auto"/>
              <w:left w:val="nil"/>
              <w:bottom w:val="nil"/>
              <w:right w:val="nil"/>
            </w:tcBorders>
            <w:vAlign w:val="center"/>
            <w:hideMark/>
          </w:tcPr>
          <w:p w14:paraId="5409456F"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73F08">
              <w:rPr>
                <w:rFonts w:eastAsia="Times New Roman" w:cs="Times New Roman"/>
                <w:b/>
                <w:bCs/>
                <w:color w:val="000000"/>
                <w:sz w:val="18"/>
                <w:szCs w:val="18"/>
                <w:lang w:eastAsia="sk-SK"/>
              </w:rPr>
              <w:t xml:space="preserve"> S</w:t>
            </w:r>
          </w:p>
        </w:tc>
        <w:tc>
          <w:tcPr>
            <w:tcW w:w="567" w:type="pct"/>
            <w:tcBorders>
              <w:top w:val="single" w:sz="4" w:space="0" w:color="auto"/>
              <w:left w:val="nil"/>
              <w:bottom w:val="nil"/>
              <w:right w:val="nil"/>
            </w:tcBorders>
            <w:vAlign w:val="center"/>
            <w:hideMark/>
          </w:tcPr>
          <w:p w14:paraId="02B99CFA"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73F08">
              <w:rPr>
                <w:rFonts w:eastAsia="Times New Roman" w:cs="Times New Roman"/>
                <w:b/>
                <w:bCs/>
                <w:color w:val="000000"/>
                <w:sz w:val="18"/>
                <w:szCs w:val="18"/>
                <w:lang w:eastAsia="sk-SK"/>
              </w:rPr>
              <w:t xml:space="preserve"> R</w:t>
            </w:r>
          </w:p>
        </w:tc>
        <w:tc>
          <w:tcPr>
            <w:tcW w:w="578" w:type="pct"/>
            <w:tcBorders>
              <w:top w:val="single" w:sz="4" w:space="0" w:color="auto"/>
              <w:left w:val="nil"/>
              <w:bottom w:val="nil"/>
              <w:right w:val="nil"/>
            </w:tcBorders>
            <w:vAlign w:val="center"/>
            <w:hideMark/>
          </w:tcPr>
          <w:p w14:paraId="25C7DAA5"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73F08">
              <w:rPr>
                <w:rFonts w:eastAsia="Times New Roman" w:cs="Times New Roman"/>
                <w:b/>
                <w:bCs/>
                <w:color w:val="000000"/>
                <w:sz w:val="18"/>
                <w:szCs w:val="18"/>
                <w:lang w:eastAsia="sk-SK"/>
              </w:rPr>
              <w:t xml:space="preserve"> S</w:t>
            </w:r>
          </w:p>
        </w:tc>
        <w:tc>
          <w:tcPr>
            <w:tcW w:w="578" w:type="pct"/>
            <w:tcBorders>
              <w:top w:val="single" w:sz="4" w:space="0" w:color="auto"/>
              <w:left w:val="nil"/>
              <w:bottom w:val="nil"/>
              <w:right w:val="nil"/>
            </w:tcBorders>
            <w:vAlign w:val="center"/>
            <w:hideMark/>
          </w:tcPr>
          <w:p w14:paraId="7F1BABC7"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Rozdiel</w:t>
            </w:r>
          </w:p>
        </w:tc>
      </w:tr>
      <w:tr w:rsidR="00F0154E" w:rsidRPr="00D73F08" w14:paraId="3BF82AEF" w14:textId="77777777" w:rsidTr="00F0154E">
        <w:trPr>
          <w:trHeight w:val="345"/>
          <w:tblHeader/>
        </w:trPr>
        <w:tc>
          <w:tcPr>
            <w:tcW w:w="2164" w:type="pct"/>
            <w:vMerge/>
            <w:tcBorders>
              <w:top w:val="nil"/>
              <w:left w:val="nil"/>
              <w:bottom w:val="single" w:sz="4" w:space="0" w:color="auto"/>
              <w:right w:val="nil"/>
            </w:tcBorders>
            <w:vAlign w:val="center"/>
            <w:hideMark/>
          </w:tcPr>
          <w:p w14:paraId="25E06F4B" w14:textId="77777777" w:rsidR="00F0154E" w:rsidRPr="00D73F08" w:rsidRDefault="00F0154E" w:rsidP="00433832">
            <w:pPr>
              <w:spacing w:line="240" w:lineRule="auto"/>
              <w:rPr>
                <w:rFonts w:eastAsia="Times New Roman" w:cs="Times New Roman"/>
                <w:b/>
                <w:bCs/>
                <w:color w:val="000000"/>
                <w:sz w:val="18"/>
                <w:szCs w:val="18"/>
                <w:lang w:eastAsia="sk-SK"/>
              </w:rPr>
            </w:pPr>
          </w:p>
        </w:tc>
        <w:tc>
          <w:tcPr>
            <w:tcW w:w="514" w:type="pct"/>
            <w:tcBorders>
              <w:top w:val="nil"/>
              <w:left w:val="nil"/>
              <w:bottom w:val="single" w:sz="4" w:space="0" w:color="auto"/>
              <w:right w:val="nil"/>
            </w:tcBorders>
            <w:vAlign w:val="center"/>
            <w:hideMark/>
          </w:tcPr>
          <w:p w14:paraId="2E1A5E53"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1</w:t>
            </w:r>
          </w:p>
        </w:tc>
        <w:tc>
          <w:tcPr>
            <w:tcW w:w="600" w:type="pct"/>
            <w:tcBorders>
              <w:top w:val="nil"/>
              <w:left w:val="nil"/>
              <w:bottom w:val="single" w:sz="4" w:space="0" w:color="auto"/>
              <w:right w:val="nil"/>
            </w:tcBorders>
            <w:vAlign w:val="center"/>
            <w:hideMark/>
          </w:tcPr>
          <w:p w14:paraId="44A153F8"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2</w:t>
            </w:r>
          </w:p>
        </w:tc>
        <w:tc>
          <w:tcPr>
            <w:tcW w:w="567" w:type="pct"/>
            <w:tcBorders>
              <w:top w:val="nil"/>
              <w:left w:val="nil"/>
              <w:bottom w:val="single" w:sz="4" w:space="0" w:color="auto"/>
              <w:right w:val="nil"/>
            </w:tcBorders>
            <w:vAlign w:val="center"/>
            <w:hideMark/>
          </w:tcPr>
          <w:p w14:paraId="7C1F254F"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3</w:t>
            </w:r>
          </w:p>
        </w:tc>
        <w:tc>
          <w:tcPr>
            <w:tcW w:w="578" w:type="pct"/>
            <w:tcBorders>
              <w:top w:val="nil"/>
              <w:left w:val="nil"/>
              <w:bottom w:val="single" w:sz="4" w:space="0" w:color="auto"/>
              <w:right w:val="nil"/>
            </w:tcBorders>
            <w:vAlign w:val="center"/>
            <w:hideMark/>
          </w:tcPr>
          <w:p w14:paraId="51E74E32"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4</w:t>
            </w:r>
          </w:p>
        </w:tc>
        <w:tc>
          <w:tcPr>
            <w:tcW w:w="578" w:type="pct"/>
            <w:tcBorders>
              <w:top w:val="nil"/>
              <w:left w:val="nil"/>
              <w:bottom w:val="single" w:sz="4" w:space="0" w:color="auto"/>
              <w:right w:val="nil"/>
            </w:tcBorders>
            <w:vAlign w:val="center"/>
            <w:hideMark/>
          </w:tcPr>
          <w:p w14:paraId="31AFAFCD" w14:textId="77777777" w:rsidR="00F0154E" w:rsidRPr="00D73F08" w:rsidRDefault="00F0154E" w:rsidP="00433832">
            <w:pPr>
              <w:spacing w:line="240" w:lineRule="auto"/>
              <w:jc w:val="center"/>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5=4-3</w:t>
            </w:r>
          </w:p>
        </w:tc>
      </w:tr>
      <w:tr w:rsidR="00F0154E" w:rsidRPr="00D73F08" w14:paraId="4E669633" w14:textId="77777777" w:rsidTr="00F0154E">
        <w:trPr>
          <w:trHeight w:hRule="exact" w:val="289"/>
        </w:trPr>
        <w:tc>
          <w:tcPr>
            <w:tcW w:w="2164" w:type="pct"/>
            <w:tcBorders>
              <w:top w:val="single" w:sz="4" w:space="0" w:color="auto"/>
              <w:left w:val="nil"/>
              <w:bottom w:val="nil"/>
              <w:right w:val="nil"/>
            </w:tcBorders>
            <w:vAlign w:val="center"/>
            <w:hideMark/>
          </w:tcPr>
          <w:p w14:paraId="3A93D609" w14:textId="77777777" w:rsidR="00F0154E" w:rsidRPr="00D73F08" w:rsidRDefault="00F0154E" w:rsidP="00433832">
            <w:pPr>
              <w:spacing w:line="240" w:lineRule="auto"/>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Obstarávanie kapitálových aktív</w:t>
            </w:r>
          </w:p>
        </w:tc>
        <w:tc>
          <w:tcPr>
            <w:tcW w:w="514" w:type="pct"/>
            <w:tcBorders>
              <w:top w:val="single" w:sz="4" w:space="0" w:color="auto"/>
              <w:left w:val="nil"/>
              <w:bottom w:val="nil"/>
              <w:right w:val="nil"/>
            </w:tcBorders>
            <w:noWrap/>
            <w:vAlign w:val="center"/>
            <w:hideMark/>
          </w:tcPr>
          <w:p w14:paraId="5486EE7C" w14:textId="77777777" w:rsidR="00F0154E" w:rsidRPr="00D73F08" w:rsidRDefault="00F0154E" w:rsidP="00433832">
            <w:pPr>
              <w:spacing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1 433 149</w:t>
            </w:r>
          </w:p>
        </w:tc>
        <w:tc>
          <w:tcPr>
            <w:tcW w:w="600" w:type="pct"/>
            <w:tcBorders>
              <w:top w:val="single" w:sz="4" w:space="0" w:color="auto"/>
              <w:left w:val="nil"/>
              <w:bottom w:val="nil"/>
              <w:right w:val="nil"/>
            </w:tcBorders>
            <w:noWrap/>
            <w:vAlign w:val="center"/>
          </w:tcPr>
          <w:p w14:paraId="5777F55E" w14:textId="77777777" w:rsidR="00F0154E" w:rsidRPr="00D73F08" w:rsidRDefault="00F0154E" w:rsidP="00433832">
            <w:pPr>
              <w:spacing w:line="240" w:lineRule="auto"/>
              <w:jc w:val="right"/>
              <w:rPr>
                <w:rFonts w:eastAsia="Times New Roman" w:cs="Times New Roman"/>
                <w:b/>
                <w:bCs/>
                <w:color w:val="000000"/>
                <w:sz w:val="18"/>
                <w:szCs w:val="18"/>
                <w:lang w:eastAsia="sk-SK"/>
              </w:rPr>
            </w:pPr>
            <w:r w:rsidRPr="00B138D3">
              <w:rPr>
                <w:rFonts w:eastAsia="Times New Roman" w:cs="Times New Roman"/>
                <w:b/>
                <w:bCs/>
                <w:sz w:val="18"/>
                <w:szCs w:val="18"/>
                <w:lang w:eastAsia="sk-SK"/>
              </w:rPr>
              <w:t>1 435 55</w:t>
            </w:r>
            <w:r>
              <w:rPr>
                <w:rFonts w:eastAsia="Times New Roman" w:cs="Times New Roman"/>
                <w:b/>
                <w:bCs/>
                <w:sz w:val="18"/>
                <w:szCs w:val="18"/>
                <w:lang w:eastAsia="sk-SK"/>
              </w:rPr>
              <w:t>8</w:t>
            </w:r>
          </w:p>
        </w:tc>
        <w:tc>
          <w:tcPr>
            <w:tcW w:w="567" w:type="pct"/>
            <w:tcBorders>
              <w:top w:val="single" w:sz="4" w:space="0" w:color="auto"/>
              <w:left w:val="nil"/>
              <w:bottom w:val="nil"/>
              <w:right w:val="nil"/>
            </w:tcBorders>
            <w:noWrap/>
            <w:vAlign w:val="center"/>
          </w:tcPr>
          <w:p w14:paraId="300D0DB0" w14:textId="77777777" w:rsidR="00F0154E" w:rsidRPr="00B138D3" w:rsidRDefault="00F0154E" w:rsidP="00433832">
            <w:pPr>
              <w:spacing w:line="240" w:lineRule="auto"/>
              <w:jc w:val="right"/>
              <w:rPr>
                <w:rFonts w:eastAsia="Times New Roman" w:cs="Times New Roman"/>
                <w:b/>
                <w:bCs/>
                <w:sz w:val="18"/>
                <w:szCs w:val="18"/>
                <w:lang w:eastAsia="sk-SK"/>
              </w:rPr>
            </w:pPr>
            <w:r>
              <w:rPr>
                <w:rFonts w:eastAsia="Times New Roman" w:cs="Times New Roman"/>
                <w:b/>
                <w:bCs/>
                <w:sz w:val="18"/>
                <w:szCs w:val="18"/>
                <w:lang w:eastAsia="sk-SK"/>
              </w:rPr>
              <w:t>2 060 410</w:t>
            </w:r>
          </w:p>
        </w:tc>
        <w:tc>
          <w:tcPr>
            <w:tcW w:w="578" w:type="pct"/>
            <w:tcBorders>
              <w:top w:val="single" w:sz="4" w:space="0" w:color="auto"/>
              <w:left w:val="nil"/>
              <w:bottom w:val="nil"/>
              <w:right w:val="nil"/>
            </w:tcBorders>
            <w:noWrap/>
            <w:vAlign w:val="center"/>
          </w:tcPr>
          <w:p w14:paraId="7FD2DA0C" w14:textId="77777777" w:rsidR="00F0154E" w:rsidRPr="00B138D3" w:rsidRDefault="00F0154E" w:rsidP="00433832">
            <w:pPr>
              <w:spacing w:line="240" w:lineRule="auto"/>
              <w:jc w:val="right"/>
              <w:rPr>
                <w:rFonts w:eastAsia="Times New Roman" w:cs="Times New Roman"/>
                <w:b/>
                <w:bCs/>
                <w:sz w:val="18"/>
                <w:szCs w:val="18"/>
                <w:lang w:eastAsia="sk-SK"/>
              </w:rPr>
            </w:pPr>
            <w:r>
              <w:rPr>
                <w:rFonts w:eastAsia="Times New Roman" w:cs="Times New Roman"/>
                <w:b/>
                <w:bCs/>
                <w:sz w:val="18"/>
                <w:szCs w:val="18"/>
                <w:lang w:eastAsia="sk-SK"/>
              </w:rPr>
              <w:t>1 557 253</w:t>
            </w:r>
          </w:p>
        </w:tc>
        <w:tc>
          <w:tcPr>
            <w:tcW w:w="578" w:type="pct"/>
            <w:tcBorders>
              <w:top w:val="single" w:sz="4" w:space="0" w:color="auto"/>
              <w:left w:val="nil"/>
              <w:bottom w:val="nil"/>
              <w:right w:val="nil"/>
            </w:tcBorders>
            <w:noWrap/>
            <w:vAlign w:val="center"/>
          </w:tcPr>
          <w:p w14:paraId="5703F8A4" w14:textId="77777777" w:rsidR="00F0154E" w:rsidRPr="00B138D3" w:rsidRDefault="00F0154E" w:rsidP="00433832">
            <w:pPr>
              <w:spacing w:line="240" w:lineRule="auto"/>
              <w:jc w:val="right"/>
              <w:rPr>
                <w:rFonts w:eastAsia="Times New Roman" w:cs="Times New Roman"/>
                <w:b/>
                <w:bCs/>
                <w:sz w:val="18"/>
                <w:szCs w:val="18"/>
                <w:lang w:eastAsia="sk-SK"/>
              </w:rPr>
            </w:pPr>
            <w:r>
              <w:rPr>
                <w:rFonts w:eastAsia="Times New Roman" w:cs="Times New Roman"/>
                <w:b/>
                <w:bCs/>
                <w:sz w:val="18"/>
                <w:szCs w:val="18"/>
                <w:lang w:eastAsia="sk-SK"/>
              </w:rPr>
              <w:t>-503 157</w:t>
            </w:r>
          </w:p>
        </w:tc>
      </w:tr>
      <w:tr w:rsidR="00F0154E" w:rsidRPr="00D73F08" w14:paraId="71BC7308" w14:textId="77777777" w:rsidTr="00F0154E">
        <w:trPr>
          <w:trHeight w:hRule="exact" w:val="289"/>
        </w:trPr>
        <w:tc>
          <w:tcPr>
            <w:tcW w:w="2164" w:type="pct"/>
            <w:tcBorders>
              <w:top w:val="nil"/>
              <w:left w:val="nil"/>
              <w:bottom w:val="nil"/>
              <w:right w:val="nil"/>
            </w:tcBorders>
            <w:vAlign w:val="center"/>
            <w:hideMark/>
          </w:tcPr>
          <w:p w14:paraId="509D0E93"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strojov, prístrojov, zariadení, techniky</w:t>
            </w:r>
          </w:p>
        </w:tc>
        <w:tc>
          <w:tcPr>
            <w:tcW w:w="514" w:type="pct"/>
            <w:tcBorders>
              <w:top w:val="nil"/>
              <w:left w:val="nil"/>
              <w:bottom w:val="nil"/>
              <w:right w:val="nil"/>
            </w:tcBorders>
            <w:noWrap/>
            <w:vAlign w:val="center"/>
            <w:hideMark/>
          </w:tcPr>
          <w:p w14:paraId="3444F465"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500 408</w:t>
            </w:r>
          </w:p>
        </w:tc>
        <w:tc>
          <w:tcPr>
            <w:tcW w:w="600" w:type="pct"/>
            <w:tcBorders>
              <w:top w:val="nil"/>
              <w:left w:val="nil"/>
              <w:bottom w:val="nil"/>
              <w:right w:val="nil"/>
            </w:tcBorders>
            <w:noWrap/>
            <w:vAlign w:val="center"/>
          </w:tcPr>
          <w:p w14:paraId="54609C1C"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530 983</w:t>
            </w:r>
          </w:p>
        </w:tc>
        <w:tc>
          <w:tcPr>
            <w:tcW w:w="567" w:type="pct"/>
            <w:tcBorders>
              <w:top w:val="nil"/>
              <w:left w:val="nil"/>
              <w:bottom w:val="nil"/>
              <w:right w:val="nil"/>
            </w:tcBorders>
            <w:noWrap/>
            <w:vAlign w:val="center"/>
          </w:tcPr>
          <w:p w14:paraId="1951BAB6"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538 468</w:t>
            </w:r>
          </w:p>
        </w:tc>
        <w:tc>
          <w:tcPr>
            <w:tcW w:w="578" w:type="pct"/>
            <w:tcBorders>
              <w:top w:val="nil"/>
              <w:left w:val="nil"/>
              <w:bottom w:val="nil"/>
              <w:right w:val="nil"/>
            </w:tcBorders>
            <w:noWrap/>
            <w:vAlign w:val="center"/>
          </w:tcPr>
          <w:p w14:paraId="6F74981A"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514 481</w:t>
            </w:r>
          </w:p>
        </w:tc>
        <w:tc>
          <w:tcPr>
            <w:tcW w:w="578" w:type="pct"/>
            <w:tcBorders>
              <w:top w:val="nil"/>
              <w:left w:val="nil"/>
              <w:bottom w:val="nil"/>
              <w:right w:val="nil"/>
            </w:tcBorders>
            <w:noWrap/>
            <w:vAlign w:val="center"/>
          </w:tcPr>
          <w:p w14:paraId="66FC224B"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-23 987</w:t>
            </w:r>
          </w:p>
        </w:tc>
      </w:tr>
      <w:tr w:rsidR="00F0154E" w:rsidRPr="00D73F08" w14:paraId="05E2CE37" w14:textId="77777777" w:rsidTr="00F0154E">
        <w:trPr>
          <w:trHeight w:hRule="exact" w:val="289"/>
        </w:trPr>
        <w:tc>
          <w:tcPr>
            <w:tcW w:w="2164" w:type="pct"/>
            <w:tcBorders>
              <w:top w:val="nil"/>
              <w:left w:val="nil"/>
              <w:bottom w:val="nil"/>
              <w:right w:val="nil"/>
            </w:tcBorders>
            <w:vAlign w:val="center"/>
            <w:hideMark/>
          </w:tcPr>
          <w:p w14:paraId="6595E74D"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realizácia stavieb a ich technického zhodnotenia</w:t>
            </w:r>
          </w:p>
        </w:tc>
        <w:tc>
          <w:tcPr>
            <w:tcW w:w="514" w:type="pct"/>
            <w:tcBorders>
              <w:top w:val="nil"/>
              <w:left w:val="nil"/>
              <w:bottom w:val="nil"/>
              <w:right w:val="nil"/>
            </w:tcBorders>
            <w:noWrap/>
            <w:vAlign w:val="center"/>
            <w:hideMark/>
          </w:tcPr>
          <w:p w14:paraId="42D7564E"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314 795</w:t>
            </w:r>
          </w:p>
        </w:tc>
        <w:tc>
          <w:tcPr>
            <w:tcW w:w="600" w:type="pct"/>
            <w:tcBorders>
              <w:top w:val="nil"/>
              <w:left w:val="nil"/>
              <w:bottom w:val="nil"/>
              <w:right w:val="nil"/>
            </w:tcBorders>
            <w:noWrap/>
            <w:vAlign w:val="center"/>
          </w:tcPr>
          <w:p w14:paraId="5A16C64D"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241 607</w:t>
            </w:r>
          </w:p>
        </w:tc>
        <w:tc>
          <w:tcPr>
            <w:tcW w:w="567" w:type="pct"/>
            <w:tcBorders>
              <w:top w:val="nil"/>
              <w:left w:val="nil"/>
              <w:bottom w:val="nil"/>
              <w:right w:val="nil"/>
            </w:tcBorders>
            <w:noWrap/>
            <w:vAlign w:val="center"/>
          </w:tcPr>
          <w:p w14:paraId="36C25B41"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591 532</w:t>
            </w:r>
          </w:p>
        </w:tc>
        <w:tc>
          <w:tcPr>
            <w:tcW w:w="578" w:type="pct"/>
            <w:tcBorders>
              <w:top w:val="nil"/>
              <w:left w:val="nil"/>
              <w:bottom w:val="nil"/>
              <w:right w:val="nil"/>
            </w:tcBorders>
            <w:noWrap/>
            <w:vAlign w:val="center"/>
          </w:tcPr>
          <w:p w14:paraId="593399F0"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433 655</w:t>
            </w:r>
          </w:p>
        </w:tc>
        <w:tc>
          <w:tcPr>
            <w:tcW w:w="578" w:type="pct"/>
            <w:tcBorders>
              <w:top w:val="nil"/>
              <w:left w:val="nil"/>
              <w:bottom w:val="nil"/>
              <w:right w:val="nil"/>
            </w:tcBorders>
            <w:noWrap/>
            <w:vAlign w:val="center"/>
          </w:tcPr>
          <w:p w14:paraId="2BA57769" w14:textId="7B2F9B78"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-157 </w:t>
            </w:r>
            <w:r w:rsidR="00E451B6">
              <w:rPr>
                <w:rFonts w:eastAsia="Times New Roman" w:cs="Times New Roman"/>
                <w:color w:val="000000"/>
                <w:sz w:val="18"/>
                <w:szCs w:val="18"/>
                <w:lang w:eastAsia="sk-SK"/>
              </w:rPr>
              <w:t>877</w:t>
            </w:r>
          </w:p>
        </w:tc>
      </w:tr>
      <w:tr w:rsidR="00F0154E" w:rsidRPr="00D73F08" w14:paraId="54C7F7DE" w14:textId="77777777" w:rsidTr="00F0154E">
        <w:trPr>
          <w:trHeight w:hRule="exact" w:val="289"/>
        </w:trPr>
        <w:tc>
          <w:tcPr>
            <w:tcW w:w="2164" w:type="pct"/>
            <w:tcBorders>
              <w:top w:val="nil"/>
              <w:left w:val="nil"/>
              <w:bottom w:val="nil"/>
              <w:right w:val="nil"/>
            </w:tcBorders>
            <w:vAlign w:val="center"/>
            <w:hideMark/>
          </w:tcPr>
          <w:p w14:paraId="690DCA00"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dopravných prostriedkov</w:t>
            </w:r>
          </w:p>
        </w:tc>
        <w:tc>
          <w:tcPr>
            <w:tcW w:w="514" w:type="pct"/>
            <w:tcBorders>
              <w:top w:val="nil"/>
              <w:left w:val="nil"/>
              <w:bottom w:val="nil"/>
              <w:right w:val="nil"/>
            </w:tcBorders>
            <w:noWrap/>
            <w:vAlign w:val="center"/>
            <w:hideMark/>
          </w:tcPr>
          <w:p w14:paraId="510B60C7"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310 454</w:t>
            </w:r>
          </w:p>
        </w:tc>
        <w:tc>
          <w:tcPr>
            <w:tcW w:w="600" w:type="pct"/>
            <w:tcBorders>
              <w:top w:val="nil"/>
              <w:left w:val="nil"/>
              <w:bottom w:val="nil"/>
              <w:right w:val="nil"/>
            </w:tcBorders>
            <w:noWrap/>
            <w:vAlign w:val="center"/>
          </w:tcPr>
          <w:p w14:paraId="3C8C9905"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357 558</w:t>
            </w:r>
          </w:p>
        </w:tc>
        <w:tc>
          <w:tcPr>
            <w:tcW w:w="567" w:type="pct"/>
            <w:tcBorders>
              <w:top w:val="nil"/>
              <w:left w:val="nil"/>
              <w:bottom w:val="nil"/>
              <w:right w:val="nil"/>
            </w:tcBorders>
            <w:noWrap/>
            <w:vAlign w:val="center"/>
          </w:tcPr>
          <w:p w14:paraId="78D72FC7"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488 812</w:t>
            </w:r>
          </w:p>
        </w:tc>
        <w:tc>
          <w:tcPr>
            <w:tcW w:w="578" w:type="pct"/>
            <w:tcBorders>
              <w:top w:val="nil"/>
              <w:left w:val="nil"/>
              <w:bottom w:val="nil"/>
              <w:right w:val="nil"/>
            </w:tcBorders>
            <w:noWrap/>
            <w:vAlign w:val="center"/>
          </w:tcPr>
          <w:p w14:paraId="7250D2C3"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388 374</w:t>
            </w:r>
          </w:p>
        </w:tc>
        <w:tc>
          <w:tcPr>
            <w:tcW w:w="578" w:type="pct"/>
            <w:tcBorders>
              <w:top w:val="nil"/>
              <w:left w:val="nil"/>
              <w:bottom w:val="nil"/>
              <w:right w:val="nil"/>
            </w:tcBorders>
            <w:noWrap/>
            <w:vAlign w:val="center"/>
          </w:tcPr>
          <w:p w14:paraId="21B26B38"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-100 438</w:t>
            </w:r>
          </w:p>
        </w:tc>
      </w:tr>
      <w:tr w:rsidR="00F0154E" w:rsidRPr="00D73F08" w14:paraId="295DAF8F" w14:textId="77777777" w:rsidTr="00F0154E">
        <w:trPr>
          <w:trHeight w:hRule="exact" w:val="289"/>
        </w:trPr>
        <w:tc>
          <w:tcPr>
            <w:tcW w:w="2164" w:type="pct"/>
            <w:tcBorders>
              <w:top w:val="nil"/>
              <w:left w:val="nil"/>
              <w:bottom w:val="nil"/>
              <w:right w:val="nil"/>
            </w:tcBorders>
            <w:vAlign w:val="center"/>
            <w:hideMark/>
          </w:tcPr>
          <w:p w14:paraId="167CE627"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pozemkov a nehmotných aktív</w:t>
            </w:r>
          </w:p>
        </w:tc>
        <w:tc>
          <w:tcPr>
            <w:tcW w:w="514" w:type="pct"/>
            <w:tcBorders>
              <w:top w:val="nil"/>
              <w:left w:val="nil"/>
              <w:bottom w:val="nil"/>
              <w:right w:val="nil"/>
            </w:tcBorders>
            <w:noWrap/>
            <w:vAlign w:val="center"/>
            <w:hideMark/>
          </w:tcPr>
          <w:p w14:paraId="50962C3A"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148 002</w:t>
            </w:r>
          </w:p>
        </w:tc>
        <w:tc>
          <w:tcPr>
            <w:tcW w:w="600" w:type="pct"/>
            <w:tcBorders>
              <w:top w:val="nil"/>
              <w:left w:val="nil"/>
              <w:bottom w:val="nil"/>
              <w:right w:val="nil"/>
            </w:tcBorders>
            <w:noWrap/>
            <w:vAlign w:val="center"/>
          </w:tcPr>
          <w:p w14:paraId="2C2B808B"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52 242</w:t>
            </w:r>
          </w:p>
        </w:tc>
        <w:tc>
          <w:tcPr>
            <w:tcW w:w="567" w:type="pct"/>
            <w:tcBorders>
              <w:top w:val="nil"/>
              <w:left w:val="nil"/>
              <w:bottom w:val="nil"/>
              <w:right w:val="nil"/>
            </w:tcBorders>
            <w:noWrap/>
            <w:vAlign w:val="center"/>
          </w:tcPr>
          <w:p w14:paraId="1BEF1550"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32 879</w:t>
            </w:r>
          </w:p>
        </w:tc>
        <w:tc>
          <w:tcPr>
            <w:tcW w:w="578" w:type="pct"/>
            <w:tcBorders>
              <w:top w:val="nil"/>
              <w:left w:val="nil"/>
              <w:bottom w:val="nil"/>
              <w:right w:val="nil"/>
            </w:tcBorders>
            <w:noWrap/>
            <w:vAlign w:val="center"/>
          </w:tcPr>
          <w:p w14:paraId="3E11561C"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97 590</w:t>
            </w:r>
          </w:p>
        </w:tc>
        <w:tc>
          <w:tcPr>
            <w:tcW w:w="578" w:type="pct"/>
            <w:tcBorders>
              <w:top w:val="nil"/>
              <w:left w:val="nil"/>
              <w:bottom w:val="nil"/>
              <w:right w:val="nil"/>
            </w:tcBorders>
            <w:noWrap/>
            <w:vAlign w:val="center"/>
          </w:tcPr>
          <w:p w14:paraId="3A2144EB"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64 711</w:t>
            </w:r>
          </w:p>
        </w:tc>
      </w:tr>
      <w:tr w:rsidR="00F0154E" w:rsidRPr="00D73F08" w14:paraId="32CDADEE" w14:textId="77777777" w:rsidTr="00F0154E">
        <w:trPr>
          <w:trHeight w:hRule="exact" w:val="289"/>
        </w:trPr>
        <w:tc>
          <w:tcPr>
            <w:tcW w:w="2164" w:type="pct"/>
            <w:tcBorders>
              <w:top w:val="nil"/>
              <w:left w:val="nil"/>
              <w:bottom w:val="nil"/>
              <w:right w:val="nil"/>
            </w:tcBorders>
            <w:vAlign w:val="center"/>
            <w:hideMark/>
          </w:tcPr>
          <w:p w14:paraId="0A24BFAB"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rekonštrukcia a modernizácia strojov a zariadení</w:t>
            </w:r>
          </w:p>
        </w:tc>
        <w:tc>
          <w:tcPr>
            <w:tcW w:w="514" w:type="pct"/>
            <w:tcBorders>
              <w:top w:val="nil"/>
              <w:left w:val="nil"/>
              <w:bottom w:val="nil"/>
              <w:right w:val="nil"/>
            </w:tcBorders>
            <w:noWrap/>
            <w:vAlign w:val="center"/>
            <w:hideMark/>
          </w:tcPr>
          <w:p w14:paraId="3ED9B7DF"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105 715</w:t>
            </w:r>
          </w:p>
        </w:tc>
        <w:tc>
          <w:tcPr>
            <w:tcW w:w="600" w:type="pct"/>
            <w:tcBorders>
              <w:top w:val="nil"/>
              <w:left w:val="nil"/>
              <w:bottom w:val="nil"/>
              <w:right w:val="nil"/>
            </w:tcBorders>
            <w:noWrap/>
            <w:vAlign w:val="center"/>
          </w:tcPr>
          <w:p w14:paraId="416FBB0E"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90 697</w:t>
            </w:r>
          </w:p>
        </w:tc>
        <w:tc>
          <w:tcPr>
            <w:tcW w:w="567" w:type="pct"/>
            <w:tcBorders>
              <w:top w:val="nil"/>
              <w:left w:val="nil"/>
              <w:bottom w:val="nil"/>
              <w:right w:val="nil"/>
            </w:tcBorders>
            <w:noWrap/>
            <w:vAlign w:val="center"/>
          </w:tcPr>
          <w:p w14:paraId="7667E824"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61 260</w:t>
            </w:r>
          </w:p>
        </w:tc>
        <w:tc>
          <w:tcPr>
            <w:tcW w:w="578" w:type="pct"/>
            <w:tcBorders>
              <w:top w:val="nil"/>
              <w:left w:val="nil"/>
              <w:bottom w:val="nil"/>
              <w:right w:val="nil"/>
            </w:tcBorders>
            <w:noWrap/>
            <w:vAlign w:val="center"/>
          </w:tcPr>
          <w:p w14:paraId="0B41A80A"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83 004</w:t>
            </w:r>
          </w:p>
        </w:tc>
        <w:tc>
          <w:tcPr>
            <w:tcW w:w="578" w:type="pct"/>
            <w:tcBorders>
              <w:top w:val="nil"/>
              <w:left w:val="nil"/>
              <w:bottom w:val="nil"/>
              <w:right w:val="nil"/>
            </w:tcBorders>
            <w:noWrap/>
            <w:vAlign w:val="center"/>
          </w:tcPr>
          <w:p w14:paraId="70D83DF4"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21 744</w:t>
            </w:r>
          </w:p>
        </w:tc>
      </w:tr>
      <w:tr w:rsidR="00F0154E" w:rsidRPr="00D73F08" w14:paraId="69B9FD8D" w14:textId="77777777" w:rsidTr="00F0154E">
        <w:trPr>
          <w:trHeight w:hRule="exact" w:val="289"/>
        </w:trPr>
        <w:tc>
          <w:tcPr>
            <w:tcW w:w="2164" w:type="pct"/>
            <w:tcBorders>
              <w:top w:val="nil"/>
              <w:left w:val="nil"/>
              <w:bottom w:val="nil"/>
              <w:right w:val="nil"/>
            </w:tcBorders>
            <w:vAlign w:val="center"/>
            <w:hideMark/>
          </w:tcPr>
          <w:p w14:paraId="179659B5"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nákup budov, objektov a ich častí</w:t>
            </w:r>
          </w:p>
        </w:tc>
        <w:tc>
          <w:tcPr>
            <w:tcW w:w="514" w:type="pct"/>
            <w:tcBorders>
              <w:top w:val="nil"/>
              <w:left w:val="nil"/>
              <w:bottom w:val="nil"/>
              <w:right w:val="nil"/>
            </w:tcBorders>
            <w:noWrap/>
            <w:vAlign w:val="center"/>
            <w:hideMark/>
          </w:tcPr>
          <w:p w14:paraId="7DFC2AD9"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21 671</w:t>
            </w:r>
          </w:p>
        </w:tc>
        <w:tc>
          <w:tcPr>
            <w:tcW w:w="600" w:type="pct"/>
            <w:tcBorders>
              <w:top w:val="nil"/>
              <w:left w:val="nil"/>
              <w:bottom w:val="nil"/>
              <w:right w:val="nil"/>
            </w:tcBorders>
            <w:noWrap/>
            <w:vAlign w:val="center"/>
          </w:tcPr>
          <w:p w14:paraId="4E04CC94"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127 595</w:t>
            </w:r>
          </w:p>
        </w:tc>
        <w:tc>
          <w:tcPr>
            <w:tcW w:w="567" w:type="pct"/>
            <w:tcBorders>
              <w:top w:val="nil"/>
              <w:left w:val="nil"/>
              <w:bottom w:val="nil"/>
              <w:right w:val="nil"/>
            </w:tcBorders>
            <w:noWrap/>
            <w:vAlign w:val="center"/>
          </w:tcPr>
          <w:p w14:paraId="29292C73"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580</w:t>
            </w:r>
          </w:p>
        </w:tc>
        <w:tc>
          <w:tcPr>
            <w:tcW w:w="578" w:type="pct"/>
            <w:tcBorders>
              <w:top w:val="nil"/>
              <w:left w:val="nil"/>
              <w:bottom w:val="nil"/>
              <w:right w:val="nil"/>
            </w:tcBorders>
            <w:noWrap/>
            <w:vAlign w:val="center"/>
          </w:tcPr>
          <w:p w14:paraId="2B9AF3B9"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17 972</w:t>
            </w:r>
          </w:p>
        </w:tc>
        <w:tc>
          <w:tcPr>
            <w:tcW w:w="578" w:type="pct"/>
            <w:tcBorders>
              <w:top w:val="nil"/>
              <w:left w:val="nil"/>
              <w:bottom w:val="nil"/>
              <w:right w:val="nil"/>
            </w:tcBorders>
            <w:noWrap/>
            <w:vAlign w:val="center"/>
          </w:tcPr>
          <w:p w14:paraId="7284BFAB" w14:textId="6E9701AA"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17 </w:t>
            </w:r>
            <w:r w:rsidR="00E451B6">
              <w:rPr>
                <w:rFonts w:eastAsia="Times New Roman" w:cs="Times New Roman"/>
                <w:color w:val="000000"/>
                <w:sz w:val="18"/>
                <w:szCs w:val="18"/>
                <w:lang w:eastAsia="sk-SK"/>
              </w:rPr>
              <w:t>392</w:t>
            </w:r>
          </w:p>
        </w:tc>
      </w:tr>
      <w:tr w:rsidR="00F0154E" w:rsidRPr="00D73F08" w14:paraId="442B8D98" w14:textId="77777777" w:rsidTr="00F0154E">
        <w:trPr>
          <w:trHeight w:hRule="exact" w:val="289"/>
        </w:trPr>
        <w:tc>
          <w:tcPr>
            <w:tcW w:w="2164" w:type="pct"/>
            <w:tcBorders>
              <w:top w:val="nil"/>
              <w:left w:val="nil"/>
              <w:bottom w:val="nil"/>
              <w:right w:val="nil"/>
            </w:tcBorders>
            <w:vAlign w:val="center"/>
            <w:hideMark/>
          </w:tcPr>
          <w:p w14:paraId="1F4102EF"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ost</w:t>
            </w:r>
            <w:r>
              <w:rPr>
                <w:rFonts w:eastAsia="Times New Roman" w:cs="Times New Roman"/>
                <w:color w:val="000000"/>
                <w:sz w:val="18"/>
                <w:szCs w:val="18"/>
                <w:lang w:eastAsia="sk-SK"/>
              </w:rPr>
              <w:t>atné</w:t>
            </w:r>
            <w:r w:rsidRPr="00D73F08">
              <w:rPr>
                <w:rFonts w:eastAsia="Times New Roman" w:cs="Times New Roman"/>
                <w:color w:val="000000"/>
                <w:sz w:val="18"/>
                <w:szCs w:val="18"/>
                <w:lang w:eastAsia="sk-SK"/>
              </w:rPr>
              <w:t xml:space="preserve"> kapitálové výdavky </w:t>
            </w:r>
          </w:p>
        </w:tc>
        <w:tc>
          <w:tcPr>
            <w:tcW w:w="514" w:type="pct"/>
            <w:tcBorders>
              <w:top w:val="nil"/>
              <w:left w:val="nil"/>
              <w:bottom w:val="nil"/>
              <w:right w:val="nil"/>
            </w:tcBorders>
            <w:noWrap/>
            <w:vAlign w:val="center"/>
            <w:hideMark/>
          </w:tcPr>
          <w:p w14:paraId="1C1A5634"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32 104</w:t>
            </w:r>
          </w:p>
        </w:tc>
        <w:tc>
          <w:tcPr>
            <w:tcW w:w="600" w:type="pct"/>
            <w:tcBorders>
              <w:top w:val="nil"/>
              <w:left w:val="nil"/>
              <w:bottom w:val="nil"/>
              <w:right w:val="nil"/>
            </w:tcBorders>
            <w:noWrap/>
            <w:vAlign w:val="center"/>
          </w:tcPr>
          <w:p w14:paraId="3969D864"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34 876</w:t>
            </w:r>
          </w:p>
        </w:tc>
        <w:tc>
          <w:tcPr>
            <w:tcW w:w="567" w:type="pct"/>
            <w:tcBorders>
              <w:top w:val="nil"/>
              <w:left w:val="nil"/>
              <w:bottom w:val="nil"/>
              <w:right w:val="nil"/>
            </w:tcBorders>
            <w:noWrap/>
            <w:vAlign w:val="center"/>
          </w:tcPr>
          <w:p w14:paraId="2C9F4374" w14:textId="7CD6868A"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346 </w:t>
            </w:r>
            <w:r w:rsidR="00E451B6">
              <w:rPr>
                <w:rFonts w:eastAsia="Times New Roman" w:cs="Times New Roman"/>
                <w:color w:val="000000"/>
                <w:sz w:val="18"/>
                <w:szCs w:val="18"/>
                <w:lang w:eastAsia="sk-SK"/>
              </w:rPr>
              <w:t>879</w:t>
            </w:r>
          </w:p>
        </w:tc>
        <w:tc>
          <w:tcPr>
            <w:tcW w:w="578" w:type="pct"/>
            <w:tcBorders>
              <w:top w:val="nil"/>
              <w:left w:val="nil"/>
              <w:bottom w:val="nil"/>
              <w:right w:val="nil"/>
            </w:tcBorders>
            <w:noWrap/>
            <w:vAlign w:val="center"/>
          </w:tcPr>
          <w:p w14:paraId="74EB8BC9"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22 177</w:t>
            </w:r>
          </w:p>
        </w:tc>
        <w:tc>
          <w:tcPr>
            <w:tcW w:w="578" w:type="pct"/>
            <w:tcBorders>
              <w:top w:val="nil"/>
              <w:left w:val="nil"/>
              <w:bottom w:val="nil"/>
              <w:right w:val="nil"/>
            </w:tcBorders>
            <w:noWrap/>
            <w:vAlign w:val="center"/>
          </w:tcPr>
          <w:p w14:paraId="0B5E8546" w14:textId="619924AB"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-324 </w:t>
            </w:r>
            <w:r w:rsidR="00E451B6">
              <w:rPr>
                <w:rFonts w:eastAsia="Times New Roman" w:cs="Times New Roman"/>
                <w:color w:val="000000"/>
                <w:sz w:val="18"/>
                <w:szCs w:val="18"/>
                <w:lang w:eastAsia="sk-SK"/>
              </w:rPr>
              <w:t>702</w:t>
            </w:r>
          </w:p>
        </w:tc>
      </w:tr>
      <w:tr w:rsidR="00F0154E" w:rsidRPr="00D73F08" w14:paraId="3825CD71" w14:textId="77777777" w:rsidTr="00F0154E">
        <w:trPr>
          <w:trHeight w:hRule="exact" w:val="289"/>
        </w:trPr>
        <w:tc>
          <w:tcPr>
            <w:tcW w:w="2164" w:type="pct"/>
            <w:tcBorders>
              <w:top w:val="nil"/>
              <w:left w:val="nil"/>
              <w:bottom w:val="nil"/>
              <w:right w:val="nil"/>
            </w:tcBorders>
            <w:vAlign w:val="center"/>
            <w:hideMark/>
          </w:tcPr>
          <w:p w14:paraId="55E3DEC7" w14:textId="77777777" w:rsidR="00F0154E" w:rsidRPr="00D73F08" w:rsidRDefault="00F0154E" w:rsidP="00433832">
            <w:pPr>
              <w:spacing w:line="240" w:lineRule="auto"/>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Kapitálové transfery</w:t>
            </w:r>
          </w:p>
        </w:tc>
        <w:tc>
          <w:tcPr>
            <w:tcW w:w="514" w:type="pct"/>
            <w:tcBorders>
              <w:top w:val="nil"/>
              <w:left w:val="nil"/>
              <w:bottom w:val="nil"/>
              <w:right w:val="nil"/>
            </w:tcBorders>
            <w:noWrap/>
            <w:vAlign w:val="center"/>
            <w:hideMark/>
          </w:tcPr>
          <w:p w14:paraId="21E65AFA" w14:textId="77777777" w:rsidR="00F0154E" w:rsidRPr="00D73F08" w:rsidRDefault="00F0154E" w:rsidP="00433832">
            <w:pPr>
              <w:spacing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3 281 006</w:t>
            </w:r>
          </w:p>
        </w:tc>
        <w:tc>
          <w:tcPr>
            <w:tcW w:w="600" w:type="pct"/>
            <w:tcBorders>
              <w:top w:val="nil"/>
              <w:left w:val="nil"/>
              <w:bottom w:val="nil"/>
              <w:right w:val="nil"/>
            </w:tcBorders>
            <w:noWrap/>
            <w:vAlign w:val="center"/>
          </w:tcPr>
          <w:p w14:paraId="1D3CE4C4" w14:textId="77777777" w:rsidR="00F0154E" w:rsidRPr="00D73F08" w:rsidRDefault="00F0154E" w:rsidP="00433832">
            <w:pPr>
              <w:spacing w:line="240" w:lineRule="auto"/>
              <w:jc w:val="right"/>
              <w:rPr>
                <w:rFonts w:eastAsia="Times New Roman" w:cs="Times New Roman"/>
                <w:b/>
                <w:bCs/>
                <w:color w:val="000000"/>
                <w:sz w:val="18"/>
                <w:szCs w:val="18"/>
                <w:lang w:eastAsia="sk-SK"/>
              </w:rPr>
            </w:pPr>
            <w:r w:rsidRPr="00D73F08">
              <w:rPr>
                <w:rFonts w:eastAsia="Times New Roman" w:cs="Times New Roman"/>
                <w:b/>
                <w:bCs/>
                <w:color w:val="000000"/>
                <w:sz w:val="18"/>
                <w:szCs w:val="18"/>
                <w:lang w:eastAsia="sk-SK"/>
              </w:rPr>
              <w:t>2 402 580</w:t>
            </w:r>
          </w:p>
        </w:tc>
        <w:tc>
          <w:tcPr>
            <w:tcW w:w="567" w:type="pct"/>
            <w:tcBorders>
              <w:top w:val="nil"/>
              <w:left w:val="nil"/>
              <w:bottom w:val="nil"/>
              <w:right w:val="nil"/>
            </w:tcBorders>
            <w:noWrap/>
            <w:vAlign w:val="center"/>
          </w:tcPr>
          <w:p w14:paraId="4420F2AB" w14:textId="77777777" w:rsidR="00F0154E" w:rsidRPr="00D73F08" w:rsidRDefault="00F0154E"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1 656 708</w:t>
            </w:r>
          </w:p>
        </w:tc>
        <w:tc>
          <w:tcPr>
            <w:tcW w:w="578" w:type="pct"/>
            <w:tcBorders>
              <w:top w:val="nil"/>
              <w:left w:val="nil"/>
              <w:bottom w:val="nil"/>
              <w:right w:val="nil"/>
            </w:tcBorders>
            <w:noWrap/>
            <w:vAlign w:val="center"/>
          </w:tcPr>
          <w:p w14:paraId="3F0A5E31" w14:textId="77777777" w:rsidR="00F0154E" w:rsidRPr="00D73F08" w:rsidRDefault="00F0154E"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3 350 020</w:t>
            </w:r>
          </w:p>
        </w:tc>
        <w:tc>
          <w:tcPr>
            <w:tcW w:w="578" w:type="pct"/>
            <w:tcBorders>
              <w:top w:val="nil"/>
              <w:left w:val="nil"/>
              <w:bottom w:val="nil"/>
              <w:right w:val="nil"/>
            </w:tcBorders>
            <w:noWrap/>
            <w:vAlign w:val="center"/>
          </w:tcPr>
          <w:p w14:paraId="0BCC5000" w14:textId="77777777" w:rsidR="00F0154E" w:rsidRPr="00D73F08" w:rsidRDefault="00F0154E"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1 693 312</w:t>
            </w:r>
          </w:p>
        </w:tc>
      </w:tr>
      <w:tr w:rsidR="00F0154E" w:rsidRPr="00D73F08" w14:paraId="6280B32F" w14:textId="77777777" w:rsidTr="00F0154E">
        <w:trPr>
          <w:trHeight w:hRule="exact" w:val="289"/>
        </w:trPr>
        <w:tc>
          <w:tcPr>
            <w:tcW w:w="2164" w:type="pct"/>
            <w:tcBorders>
              <w:top w:val="nil"/>
              <w:left w:val="nil"/>
              <w:bottom w:val="nil"/>
              <w:right w:val="nil"/>
            </w:tcBorders>
            <w:vAlign w:val="center"/>
            <w:hideMark/>
          </w:tcPr>
          <w:p w14:paraId="1D473FCB"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v rámci verejnej správy</w:t>
            </w:r>
          </w:p>
        </w:tc>
        <w:tc>
          <w:tcPr>
            <w:tcW w:w="514" w:type="pct"/>
            <w:tcBorders>
              <w:top w:val="nil"/>
              <w:left w:val="nil"/>
              <w:bottom w:val="nil"/>
              <w:right w:val="nil"/>
            </w:tcBorders>
            <w:noWrap/>
            <w:vAlign w:val="center"/>
            <w:hideMark/>
          </w:tcPr>
          <w:p w14:paraId="51671D1F"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2 769 589</w:t>
            </w:r>
          </w:p>
        </w:tc>
        <w:tc>
          <w:tcPr>
            <w:tcW w:w="600" w:type="pct"/>
            <w:tcBorders>
              <w:top w:val="nil"/>
              <w:left w:val="nil"/>
              <w:bottom w:val="nil"/>
              <w:right w:val="nil"/>
            </w:tcBorders>
            <w:noWrap/>
            <w:vAlign w:val="center"/>
          </w:tcPr>
          <w:p w14:paraId="7BD507F3"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1 800 489</w:t>
            </w:r>
          </w:p>
        </w:tc>
        <w:tc>
          <w:tcPr>
            <w:tcW w:w="567" w:type="pct"/>
            <w:tcBorders>
              <w:top w:val="nil"/>
              <w:left w:val="nil"/>
              <w:bottom w:val="nil"/>
              <w:right w:val="nil"/>
            </w:tcBorders>
            <w:noWrap/>
            <w:vAlign w:val="center"/>
          </w:tcPr>
          <w:p w14:paraId="369EDF60" w14:textId="6EEE6C58"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624 </w:t>
            </w:r>
            <w:r w:rsidR="00E451B6">
              <w:rPr>
                <w:rFonts w:eastAsia="Times New Roman" w:cs="Times New Roman"/>
                <w:color w:val="000000"/>
                <w:sz w:val="18"/>
                <w:szCs w:val="18"/>
                <w:lang w:eastAsia="sk-SK"/>
              </w:rPr>
              <w:t>002</w:t>
            </w:r>
          </w:p>
        </w:tc>
        <w:tc>
          <w:tcPr>
            <w:tcW w:w="578" w:type="pct"/>
            <w:tcBorders>
              <w:top w:val="nil"/>
              <w:left w:val="nil"/>
              <w:bottom w:val="nil"/>
              <w:right w:val="nil"/>
            </w:tcBorders>
            <w:noWrap/>
            <w:vAlign w:val="center"/>
          </w:tcPr>
          <w:p w14:paraId="07EC4783"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2 478 676</w:t>
            </w:r>
          </w:p>
        </w:tc>
        <w:tc>
          <w:tcPr>
            <w:tcW w:w="578" w:type="pct"/>
            <w:tcBorders>
              <w:top w:val="nil"/>
              <w:left w:val="nil"/>
              <w:bottom w:val="nil"/>
              <w:right w:val="nil"/>
            </w:tcBorders>
            <w:noWrap/>
            <w:vAlign w:val="center"/>
          </w:tcPr>
          <w:p w14:paraId="0E8013B5" w14:textId="68510266"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1 854 </w:t>
            </w:r>
            <w:r w:rsidR="00E451B6">
              <w:rPr>
                <w:rFonts w:eastAsia="Times New Roman" w:cs="Times New Roman"/>
                <w:color w:val="000000"/>
                <w:sz w:val="18"/>
                <w:szCs w:val="18"/>
                <w:lang w:eastAsia="sk-SK"/>
              </w:rPr>
              <w:t>674</w:t>
            </w:r>
          </w:p>
        </w:tc>
      </w:tr>
      <w:tr w:rsidR="00F0154E" w:rsidRPr="00D73F08" w14:paraId="2F5701D8" w14:textId="77777777" w:rsidTr="00F0154E">
        <w:trPr>
          <w:trHeight w:hRule="exact" w:val="289"/>
        </w:trPr>
        <w:tc>
          <w:tcPr>
            <w:tcW w:w="2164" w:type="pct"/>
            <w:tcBorders>
              <w:top w:val="nil"/>
              <w:left w:val="nil"/>
              <w:bottom w:val="nil"/>
              <w:right w:val="nil"/>
            </w:tcBorders>
            <w:vAlign w:val="center"/>
            <w:hideMark/>
          </w:tcPr>
          <w:p w14:paraId="7E670742"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nefinančným subjektom </w:t>
            </w:r>
          </w:p>
        </w:tc>
        <w:tc>
          <w:tcPr>
            <w:tcW w:w="514" w:type="pct"/>
            <w:tcBorders>
              <w:top w:val="nil"/>
              <w:left w:val="nil"/>
              <w:bottom w:val="nil"/>
              <w:right w:val="nil"/>
            </w:tcBorders>
            <w:noWrap/>
            <w:vAlign w:val="center"/>
            <w:hideMark/>
          </w:tcPr>
          <w:p w14:paraId="518E727A"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414 476</w:t>
            </w:r>
          </w:p>
        </w:tc>
        <w:tc>
          <w:tcPr>
            <w:tcW w:w="600" w:type="pct"/>
            <w:tcBorders>
              <w:top w:val="nil"/>
              <w:left w:val="nil"/>
              <w:bottom w:val="nil"/>
              <w:right w:val="nil"/>
            </w:tcBorders>
            <w:noWrap/>
            <w:vAlign w:val="center"/>
          </w:tcPr>
          <w:p w14:paraId="60CA83C4"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460 855</w:t>
            </w:r>
          </w:p>
        </w:tc>
        <w:tc>
          <w:tcPr>
            <w:tcW w:w="567" w:type="pct"/>
            <w:tcBorders>
              <w:top w:val="nil"/>
              <w:left w:val="nil"/>
              <w:bottom w:val="nil"/>
              <w:right w:val="nil"/>
            </w:tcBorders>
            <w:noWrap/>
            <w:vAlign w:val="center"/>
          </w:tcPr>
          <w:p w14:paraId="542DE10D" w14:textId="4FA9185A"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919 </w:t>
            </w:r>
            <w:r w:rsidR="00E451B6">
              <w:rPr>
                <w:rFonts w:eastAsia="Times New Roman" w:cs="Times New Roman"/>
                <w:color w:val="000000"/>
                <w:sz w:val="18"/>
                <w:szCs w:val="18"/>
                <w:lang w:eastAsia="sk-SK"/>
              </w:rPr>
              <w:t>233</w:t>
            </w:r>
          </w:p>
        </w:tc>
        <w:tc>
          <w:tcPr>
            <w:tcW w:w="578" w:type="pct"/>
            <w:tcBorders>
              <w:top w:val="nil"/>
              <w:left w:val="nil"/>
              <w:bottom w:val="nil"/>
              <w:right w:val="nil"/>
            </w:tcBorders>
            <w:noWrap/>
            <w:vAlign w:val="center"/>
          </w:tcPr>
          <w:p w14:paraId="7F1F8A4F"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665 552</w:t>
            </w:r>
          </w:p>
        </w:tc>
        <w:tc>
          <w:tcPr>
            <w:tcW w:w="578" w:type="pct"/>
            <w:tcBorders>
              <w:top w:val="nil"/>
              <w:left w:val="nil"/>
              <w:bottom w:val="nil"/>
              <w:right w:val="nil"/>
            </w:tcBorders>
            <w:noWrap/>
            <w:vAlign w:val="center"/>
          </w:tcPr>
          <w:p w14:paraId="7809E9B0" w14:textId="3340143A"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-253 </w:t>
            </w:r>
            <w:r w:rsidR="00E451B6">
              <w:rPr>
                <w:rFonts w:eastAsia="Times New Roman" w:cs="Times New Roman"/>
                <w:color w:val="000000"/>
                <w:sz w:val="18"/>
                <w:szCs w:val="18"/>
                <w:lang w:eastAsia="sk-SK"/>
              </w:rPr>
              <w:t>681</w:t>
            </w:r>
          </w:p>
        </w:tc>
      </w:tr>
      <w:tr w:rsidR="00F0154E" w:rsidRPr="00D73F08" w14:paraId="010CBCE7" w14:textId="77777777" w:rsidTr="00F0154E">
        <w:trPr>
          <w:trHeight w:hRule="exact" w:val="289"/>
        </w:trPr>
        <w:tc>
          <w:tcPr>
            <w:tcW w:w="2164" w:type="pct"/>
            <w:tcBorders>
              <w:top w:val="nil"/>
              <w:left w:val="nil"/>
              <w:bottom w:val="nil"/>
              <w:right w:val="nil"/>
            </w:tcBorders>
            <w:vAlign w:val="center"/>
            <w:hideMark/>
          </w:tcPr>
          <w:p w14:paraId="37EE8D84"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jednotlivcom a neziskovým právnickým osobám</w:t>
            </w:r>
          </w:p>
        </w:tc>
        <w:tc>
          <w:tcPr>
            <w:tcW w:w="514" w:type="pct"/>
            <w:tcBorders>
              <w:top w:val="nil"/>
              <w:left w:val="nil"/>
              <w:bottom w:val="nil"/>
              <w:right w:val="nil"/>
            </w:tcBorders>
            <w:noWrap/>
            <w:vAlign w:val="center"/>
            <w:hideMark/>
          </w:tcPr>
          <w:p w14:paraId="55B7D6D2"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55 358</w:t>
            </w:r>
          </w:p>
        </w:tc>
        <w:tc>
          <w:tcPr>
            <w:tcW w:w="600" w:type="pct"/>
            <w:tcBorders>
              <w:top w:val="nil"/>
              <w:left w:val="nil"/>
              <w:bottom w:val="nil"/>
              <w:right w:val="nil"/>
            </w:tcBorders>
            <w:noWrap/>
            <w:vAlign w:val="center"/>
          </w:tcPr>
          <w:p w14:paraId="08B91647"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133 636</w:t>
            </w:r>
          </w:p>
        </w:tc>
        <w:tc>
          <w:tcPr>
            <w:tcW w:w="567" w:type="pct"/>
            <w:tcBorders>
              <w:top w:val="nil"/>
              <w:left w:val="nil"/>
              <w:bottom w:val="nil"/>
              <w:right w:val="nil"/>
            </w:tcBorders>
            <w:noWrap/>
            <w:vAlign w:val="center"/>
          </w:tcPr>
          <w:p w14:paraId="3F98490E"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113 473</w:t>
            </w:r>
          </w:p>
        </w:tc>
        <w:tc>
          <w:tcPr>
            <w:tcW w:w="578" w:type="pct"/>
            <w:tcBorders>
              <w:top w:val="nil"/>
              <w:left w:val="nil"/>
              <w:bottom w:val="nil"/>
              <w:right w:val="nil"/>
            </w:tcBorders>
            <w:noWrap/>
            <w:vAlign w:val="center"/>
          </w:tcPr>
          <w:p w14:paraId="50377ED1"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202 590</w:t>
            </w:r>
          </w:p>
        </w:tc>
        <w:tc>
          <w:tcPr>
            <w:tcW w:w="578" w:type="pct"/>
            <w:tcBorders>
              <w:top w:val="nil"/>
              <w:left w:val="nil"/>
              <w:bottom w:val="nil"/>
              <w:right w:val="nil"/>
            </w:tcBorders>
            <w:noWrap/>
            <w:vAlign w:val="center"/>
          </w:tcPr>
          <w:p w14:paraId="7C0904DE" w14:textId="32AD6AD9" w:rsidR="00F0154E" w:rsidRPr="00D73F08" w:rsidRDefault="00E451B6"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89 </w:t>
            </w:r>
            <w:r w:rsidR="00F0154E">
              <w:rPr>
                <w:rFonts w:eastAsia="Times New Roman" w:cs="Times New Roman"/>
                <w:color w:val="000000"/>
                <w:sz w:val="18"/>
                <w:szCs w:val="18"/>
                <w:lang w:eastAsia="sk-SK"/>
              </w:rPr>
              <w:t>117</w:t>
            </w:r>
          </w:p>
        </w:tc>
      </w:tr>
      <w:tr w:rsidR="00F0154E" w:rsidRPr="00D73F08" w14:paraId="68D3D882" w14:textId="77777777" w:rsidTr="00F0154E">
        <w:trPr>
          <w:trHeight w:hRule="exact" w:val="289"/>
        </w:trPr>
        <w:tc>
          <w:tcPr>
            <w:tcW w:w="2164" w:type="pct"/>
            <w:tcBorders>
              <w:top w:val="nil"/>
              <w:left w:val="nil"/>
              <w:bottom w:val="nil"/>
              <w:right w:val="nil"/>
            </w:tcBorders>
            <w:vAlign w:val="center"/>
            <w:hideMark/>
          </w:tcPr>
          <w:p w14:paraId="60B78DF5"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transfery finančným inštitúciám</w:t>
            </w:r>
          </w:p>
        </w:tc>
        <w:tc>
          <w:tcPr>
            <w:tcW w:w="514" w:type="pct"/>
            <w:tcBorders>
              <w:top w:val="nil"/>
              <w:left w:val="nil"/>
              <w:bottom w:val="nil"/>
              <w:right w:val="nil"/>
            </w:tcBorders>
            <w:noWrap/>
            <w:vAlign w:val="center"/>
            <w:hideMark/>
          </w:tcPr>
          <w:p w14:paraId="7CCDD801"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35 334</w:t>
            </w:r>
          </w:p>
        </w:tc>
        <w:tc>
          <w:tcPr>
            <w:tcW w:w="600" w:type="pct"/>
            <w:tcBorders>
              <w:top w:val="nil"/>
              <w:left w:val="nil"/>
              <w:bottom w:val="nil"/>
              <w:right w:val="nil"/>
            </w:tcBorders>
            <w:noWrap/>
            <w:vAlign w:val="center"/>
          </w:tcPr>
          <w:p w14:paraId="7FE48829"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0</w:t>
            </w:r>
          </w:p>
        </w:tc>
        <w:tc>
          <w:tcPr>
            <w:tcW w:w="567" w:type="pct"/>
            <w:tcBorders>
              <w:top w:val="nil"/>
              <w:left w:val="nil"/>
              <w:bottom w:val="nil"/>
              <w:right w:val="nil"/>
            </w:tcBorders>
            <w:noWrap/>
            <w:vAlign w:val="center"/>
          </w:tcPr>
          <w:p w14:paraId="7D487903"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578" w:type="pct"/>
            <w:tcBorders>
              <w:top w:val="nil"/>
              <w:left w:val="nil"/>
              <w:bottom w:val="nil"/>
              <w:right w:val="nil"/>
            </w:tcBorders>
            <w:noWrap/>
            <w:vAlign w:val="center"/>
          </w:tcPr>
          <w:p w14:paraId="60576C7D"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578" w:type="pct"/>
            <w:tcBorders>
              <w:top w:val="nil"/>
              <w:left w:val="nil"/>
              <w:bottom w:val="nil"/>
              <w:right w:val="nil"/>
            </w:tcBorders>
            <w:noWrap/>
            <w:vAlign w:val="center"/>
          </w:tcPr>
          <w:p w14:paraId="14E9CFC1"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F0154E" w:rsidRPr="00D73F08" w14:paraId="75A369B7" w14:textId="77777777" w:rsidTr="00F0154E">
        <w:trPr>
          <w:trHeight w:hRule="exact" w:val="289"/>
        </w:trPr>
        <w:tc>
          <w:tcPr>
            <w:tcW w:w="2164" w:type="pct"/>
            <w:tcBorders>
              <w:top w:val="nil"/>
              <w:left w:val="nil"/>
              <w:bottom w:val="single" w:sz="4" w:space="0" w:color="auto"/>
              <w:right w:val="nil"/>
            </w:tcBorders>
            <w:vAlign w:val="center"/>
            <w:hideMark/>
          </w:tcPr>
          <w:p w14:paraId="2225D250" w14:textId="77777777" w:rsidR="00F0154E" w:rsidRPr="00D73F08" w:rsidRDefault="00F0154E" w:rsidP="00433832">
            <w:pPr>
              <w:spacing w:line="240" w:lineRule="auto"/>
              <w:rPr>
                <w:rFonts w:eastAsia="Times New Roman" w:cs="Times New Roman"/>
                <w:color w:val="000000"/>
                <w:sz w:val="18"/>
                <w:szCs w:val="18"/>
                <w:lang w:eastAsia="sk-SK"/>
              </w:rPr>
            </w:pPr>
            <w:r w:rsidRPr="00D73F08">
              <w:rPr>
                <w:rFonts w:eastAsia="Times New Roman" w:cs="Times New Roman"/>
                <w:color w:val="000000"/>
                <w:sz w:val="18"/>
                <w:szCs w:val="18"/>
                <w:lang w:eastAsia="sk-SK"/>
              </w:rPr>
              <w:t xml:space="preserve">  do zahraničia</w:t>
            </w:r>
          </w:p>
        </w:tc>
        <w:tc>
          <w:tcPr>
            <w:tcW w:w="514" w:type="pct"/>
            <w:tcBorders>
              <w:top w:val="nil"/>
              <w:left w:val="nil"/>
              <w:bottom w:val="single" w:sz="4" w:space="0" w:color="auto"/>
              <w:right w:val="nil"/>
            </w:tcBorders>
            <w:noWrap/>
            <w:vAlign w:val="center"/>
            <w:hideMark/>
          </w:tcPr>
          <w:p w14:paraId="20020DCC"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6 249</w:t>
            </w:r>
          </w:p>
        </w:tc>
        <w:tc>
          <w:tcPr>
            <w:tcW w:w="600" w:type="pct"/>
            <w:tcBorders>
              <w:top w:val="nil"/>
              <w:left w:val="nil"/>
              <w:bottom w:val="single" w:sz="4" w:space="0" w:color="auto"/>
              <w:right w:val="nil"/>
            </w:tcBorders>
            <w:noWrap/>
            <w:vAlign w:val="center"/>
          </w:tcPr>
          <w:p w14:paraId="09D81092" w14:textId="77777777" w:rsidR="00F0154E" w:rsidRPr="00D73F08" w:rsidRDefault="00F0154E" w:rsidP="00433832">
            <w:pPr>
              <w:spacing w:line="240" w:lineRule="auto"/>
              <w:jc w:val="right"/>
              <w:rPr>
                <w:rFonts w:eastAsia="Times New Roman" w:cs="Times New Roman"/>
                <w:color w:val="000000"/>
                <w:sz w:val="18"/>
                <w:szCs w:val="18"/>
                <w:lang w:eastAsia="sk-SK"/>
              </w:rPr>
            </w:pPr>
            <w:r w:rsidRPr="00D73F08">
              <w:rPr>
                <w:rFonts w:eastAsia="Times New Roman" w:cs="Times New Roman"/>
                <w:color w:val="000000"/>
                <w:sz w:val="18"/>
                <w:szCs w:val="18"/>
                <w:lang w:eastAsia="sk-SK"/>
              </w:rPr>
              <w:t>7 600</w:t>
            </w:r>
          </w:p>
        </w:tc>
        <w:tc>
          <w:tcPr>
            <w:tcW w:w="567" w:type="pct"/>
            <w:tcBorders>
              <w:top w:val="nil"/>
              <w:left w:val="nil"/>
              <w:bottom w:val="single" w:sz="4" w:space="0" w:color="auto"/>
              <w:right w:val="nil"/>
            </w:tcBorders>
            <w:noWrap/>
            <w:vAlign w:val="center"/>
          </w:tcPr>
          <w:p w14:paraId="41007320"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578" w:type="pct"/>
            <w:tcBorders>
              <w:top w:val="nil"/>
              <w:left w:val="nil"/>
              <w:bottom w:val="single" w:sz="4" w:space="0" w:color="auto"/>
              <w:right w:val="nil"/>
            </w:tcBorders>
            <w:noWrap/>
            <w:vAlign w:val="center"/>
          </w:tcPr>
          <w:p w14:paraId="494D7468"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3 202</w:t>
            </w:r>
          </w:p>
        </w:tc>
        <w:tc>
          <w:tcPr>
            <w:tcW w:w="578" w:type="pct"/>
            <w:tcBorders>
              <w:top w:val="nil"/>
              <w:left w:val="nil"/>
              <w:bottom w:val="single" w:sz="4" w:space="0" w:color="auto"/>
              <w:right w:val="nil"/>
            </w:tcBorders>
            <w:noWrap/>
            <w:vAlign w:val="center"/>
          </w:tcPr>
          <w:p w14:paraId="3B779532" w14:textId="77777777" w:rsidR="00F0154E" w:rsidRPr="00D73F08" w:rsidRDefault="00F0154E"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3 202</w:t>
            </w:r>
          </w:p>
        </w:tc>
      </w:tr>
      <w:tr w:rsidR="00F0154E" w:rsidRPr="00F0154E" w14:paraId="4AC58CE1" w14:textId="77777777" w:rsidTr="00F0154E">
        <w:trPr>
          <w:trHeight w:val="345"/>
        </w:trPr>
        <w:tc>
          <w:tcPr>
            <w:tcW w:w="2164" w:type="pct"/>
            <w:tcBorders>
              <w:top w:val="single" w:sz="4" w:space="0" w:color="auto"/>
              <w:left w:val="nil"/>
              <w:bottom w:val="single" w:sz="4" w:space="0" w:color="auto"/>
              <w:right w:val="nil"/>
            </w:tcBorders>
            <w:vAlign w:val="center"/>
            <w:hideMark/>
          </w:tcPr>
          <w:p w14:paraId="191B876C" w14:textId="77777777" w:rsidR="00F0154E" w:rsidRPr="00F0154E" w:rsidRDefault="00F0154E" w:rsidP="00433832">
            <w:pPr>
              <w:spacing w:line="240" w:lineRule="auto"/>
              <w:rPr>
                <w:rFonts w:eastAsia="Times New Roman" w:cs="Times New Roman"/>
                <w:b/>
                <w:bCs/>
                <w:color w:val="000000"/>
                <w:sz w:val="18"/>
                <w:szCs w:val="18"/>
                <w:lang w:eastAsia="sk-SK"/>
              </w:rPr>
            </w:pPr>
            <w:r w:rsidRPr="00F0154E">
              <w:rPr>
                <w:rFonts w:eastAsia="Times New Roman" w:cs="Times New Roman"/>
                <w:b/>
                <w:bCs/>
                <w:color w:val="000000"/>
                <w:sz w:val="18"/>
                <w:szCs w:val="18"/>
                <w:lang w:eastAsia="sk-SK"/>
              </w:rPr>
              <w:t>Spolu</w:t>
            </w:r>
          </w:p>
        </w:tc>
        <w:tc>
          <w:tcPr>
            <w:tcW w:w="514" w:type="pct"/>
            <w:tcBorders>
              <w:top w:val="single" w:sz="4" w:space="0" w:color="auto"/>
              <w:left w:val="nil"/>
              <w:bottom w:val="single" w:sz="4" w:space="0" w:color="auto"/>
              <w:right w:val="nil"/>
            </w:tcBorders>
            <w:noWrap/>
            <w:vAlign w:val="center"/>
            <w:hideMark/>
          </w:tcPr>
          <w:p w14:paraId="5026EA1D" w14:textId="77777777" w:rsidR="00F0154E" w:rsidRPr="00F0154E" w:rsidRDefault="00F0154E" w:rsidP="00433832">
            <w:pPr>
              <w:spacing w:line="240" w:lineRule="auto"/>
              <w:jc w:val="right"/>
              <w:rPr>
                <w:rFonts w:eastAsia="Times New Roman" w:cs="Times New Roman"/>
                <w:b/>
                <w:bCs/>
                <w:color w:val="000000"/>
                <w:sz w:val="18"/>
                <w:szCs w:val="18"/>
                <w:lang w:eastAsia="sk-SK"/>
              </w:rPr>
            </w:pPr>
            <w:r w:rsidRPr="00F0154E">
              <w:rPr>
                <w:rFonts w:eastAsia="Times New Roman" w:cs="Times New Roman"/>
                <w:b/>
                <w:bCs/>
                <w:color w:val="000000"/>
                <w:sz w:val="18"/>
                <w:szCs w:val="18"/>
                <w:lang w:eastAsia="sk-SK"/>
              </w:rPr>
              <w:t>4 714 155</w:t>
            </w:r>
          </w:p>
        </w:tc>
        <w:tc>
          <w:tcPr>
            <w:tcW w:w="600" w:type="pct"/>
            <w:tcBorders>
              <w:top w:val="single" w:sz="4" w:space="0" w:color="auto"/>
              <w:left w:val="nil"/>
              <w:bottom w:val="single" w:sz="4" w:space="0" w:color="auto"/>
              <w:right w:val="nil"/>
            </w:tcBorders>
            <w:noWrap/>
            <w:vAlign w:val="center"/>
          </w:tcPr>
          <w:p w14:paraId="7FF036FE" w14:textId="77777777" w:rsidR="00F0154E" w:rsidRPr="00F0154E" w:rsidRDefault="00F0154E" w:rsidP="00433832">
            <w:pPr>
              <w:spacing w:line="240" w:lineRule="auto"/>
              <w:jc w:val="right"/>
              <w:rPr>
                <w:rFonts w:eastAsia="Times New Roman" w:cs="Times New Roman"/>
                <w:b/>
                <w:bCs/>
                <w:color w:val="000000"/>
                <w:sz w:val="18"/>
                <w:szCs w:val="18"/>
                <w:lang w:eastAsia="sk-SK"/>
              </w:rPr>
            </w:pPr>
            <w:r w:rsidRPr="00F0154E">
              <w:rPr>
                <w:rFonts w:eastAsia="Times New Roman" w:cs="Times New Roman"/>
                <w:b/>
                <w:bCs/>
                <w:color w:val="000000"/>
                <w:sz w:val="18"/>
                <w:szCs w:val="18"/>
                <w:lang w:eastAsia="sk-SK"/>
              </w:rPr>
              <w:t>3 838 138</w:t>
            </w:r>
          </w:p>
        </w:tc>
        <w:tc>
          <w:tcPr>
            <w:tcW w:w="567" w:type="pct"/>
            <w:tcBorders>
              <w:top w:val="single" w:sz="4" w:space="0" w:color="auto"/>
              <w:left w:val="nil"/>
              <w:bottom w:val="single" w:sz="4" w:space="0" w:color="auto"/>
              <w:right w:val="nil"/>
            </w:tcBorders>
            <w:noWrap/>
            <w:vAlign w:val="center"/>
          </w:tcPr>
          <w:p w14:paraId="3D7AB405" w14:textId="7D385916" w:rsidR="00F0154E" w:rsidRPr="00F0154E" w:rsidRDefault="00F0154E" w:rsidP="00433832">
            <w:pPr>
              <w:spacing w:line="240" w:lineRule="auto"/>
              <w:jc w:val="right"/>
              <w:rPr>
                <w:rFonts w:eastAsia="Times New Roman" w:cs="Times New Roman"/>
                <w:b/>
                <w:bCs/>
                <w:color w:val="000000"/>
                <w:sz w:val="18"/>
                <w:szCs w:val="18"/>
                <w:lang w:eastAsia="sk-SK"/>
              </w:rPr>
            </w:pPr>
            <w:r w:rsidRPr="00F0154E">
              <w:rPr>
                <w:rFonts w:eastAsia="Times New Roman" w:cs="Times New Roman"/>
                <w:b/>
                <w:bCs/>
                <w:color w:val="000000"/>
                <w:sz w:val="18"/>
                <w:szCs w:val="18"/>
                <w:lang w:eastAsia="sk-SK"/>
              </w:rPr>
              <w:t xml:space="preserve">3 717 </w:t>
            </w:r>
            <w:r w:rsidR="00E451B6" w:rsidRPr="00F0154E">
              <w:rPr>
                <w:rFonts w:eastAsia="Times New Roman" w:cs="Times New Roman"/>
                <w:b/>
                <w:bCs/>
                <w:color w:val="000000"/>
                <w:sz w:val="18"/>
                <w:szCs w:val="18"/>
                <w:lang w:eastAsia="sk-SK"/>
              </w:rPr>
              <w:t>11</w:t>
            </w:r>
            <w:r w:rsidR="00E451B6">
              <w:rPr>
                <w:rFonts w:eastAsia="Times New Roman" w:cs="Times New Roman"/>
                <w:b/>
                <w:bCs/>
                <w:color w:val="000000"/>
                <w:sz w:val="18"/>
                <w:szCs w:val="18"/>
                <w:lang w:eastAsia="sk-SK"/>
              </w:rPr>
              <w:t>8</w:t>
            </w:r>
          </w:p>
        </w:tc>
        <w:tc>
          <w:tcPr>
            <w:tcW w:w="578" w:type="pct"/>
            <w:tcBorders>
              <w:top w:val="single" w:sz="4" w:space="0" w:color="auto"/>
              <w:left w:val="nil"/>
              <w:bottom w:val="single" w:sz="4" w:space="0" w:color="auto"/>
              <w:right w:val="nil"/>
            </w:tcBorders>
            <w:noWrap/>
            <w:vAlign w:val="center"/>
          </w:tcPr>
          <w:p w14:paraId="27590680" w14:textId="77777777" w:rsidR="00F0154E" w:rsidRPr="00F0154E" w:rsidRDefault="00F0154E" w:rsidP="00433832">
            <w:pPr>
              <w:spacing w:line="240" w:lineRule="auto"/>
              <w:jc w:val="right"/>
              <w:rPr>
                <w:rFonts w:eastAsia="Times New Roman" w:cs="Times New Roman"/>
                <w:b/>
                <w:bCs/>
                <w:color w:val="000000"/>
                <w:sz w:val="18"/>
                <w:szCs w:val="18"/>
                <w:lang w:eastAsia="sk-SK"/>
              </w:rPr>
            </w:pPr>
            <w:r w:rsidRPr="00F0154E">
              <w:rPr>
                <w:rFonts w:eastAsia="Times New Roman" w:cs="Times New Roman"/>
                <w:b/>
                <w:bCs/>
                <w:color w:val="000000"/>
                <w:sz w:val="18"/>
                <w:szCs w:val="18"/>
                <w:lang w:eastAsia="sk-SK"/>
              </w:rPr>
              <w:t>4 907 273</w:t>
            </w:r>
          </w:p>
        </w:tc>
        <w:tc>
          <w:tcPr>
            <w:tcW w:w="578" w:type="pct"/>
            <w:tcBorders>
              <w:top w:val="single" w:sz="4" w:space="0" w:color="auto"/>
              <w:left w:val="nil"/>
              <w:bottom w:val="single" w:sz="4" w:space="0" w:color="auto"/>
              <w:right w:val="nil"/>
            </w:tcBorders>
            <w:noWrap/>
            <w:vAlign w:val="center"/>
          </w:tcPr>
          <w:p w14:paraId="1D5B1872" w14:textId="6F610C9B" w:rsidR="00F0154E" w:rsidRPr="00F0154E" w:rsidRDefault="00F0154E" w:rsidP="00433832">
            <w:pPr>
              <w:spacing w:line="240" w:lineRule="auto"/>
              <w:jc w:val="right"/>
              <w:rPr>
                <w:rFonts w:eastAsia="Times New Roman" w:cs="Times New Roman"/>
                <w:b/>
                <w:bCs/>
                <w:color w:val="000000"/>
                <w:sz w:val="18"/>
                <w:szCs w:val="18"/>
                <w:lang w:eastAsia="sk-SK"/>
              </w:rPr>
            </w:pPr>
            <w:r w:rsidRPr="00F0154E">
              <w:rPr>
                <w:rFonts w:eastAsia="Times New Roman" w:cs="Times New Roman"/>
                <w:b/>
                <w:bCs/>
                <w:color w:val="000000"/>
                <w:sz w:val="18"/>
                <w:szCs w:val="18"/>
                <w:lang w:eastAsia="sk-SK"/>
              </w:rPr>
              <w:t xml:space="preserve">1 190 </w:t>
            </w:r>
            <w:r w:rsidR="00E451B6" w:rsidRPr="00F0154E">
              <w:rPr>
                <w:rFonts w:eastAsia="Times New Roman" w:cs="Times New Roman"/>
                <w:b/>
                <w:bCs/>
                <w:color w:val="000000"/>
                <w:sz w:val="18"/>
                <w:szCs w:val="18"/>
                <w:lang w:eastAsia="sk-SK"/>
              </w:rPr>
              <w:t>15</w:t>
            </w:r>
            <w:r w:rsidR="00E451B6">
              <w:rPr>
                <w:rFonts w:eastAsia="Times New Roman" w:cs="Times New Roman"/>
                <w:b/>
                <w:bCs/>
                <w:color w:val="000000"/>
                <w:sz w:val="18"/>
                <w:szCs w:val="18"/>
                <w:lang w:eastAsia="sk-SK"/>
              </w:rPr>
              <w:t>5</w:t>
            </w:r>
          </w:p>
        </w:tc>
      </w:tr>
    </w:tbl>
    <w:p w14:paraId="7E51C2AE" w14:textId="5678C632" w:rsidR="004D69BF" w:rsidRPr="00F0154E" w:rsidRDefault="009A6D81" w:rsidP="009A6D81">
      <w:pPr>
        <w:tabs>
          <w:tab w:val="right" w:pos="9070"/>
        </w:tabs>
        <w:spacing w:line="240" w:lineRule="auto"/>
        <w:jc w:val="both"/>
        <w:rPr>
          <w:sz w:val="18"/>
          <w:szCs w:val="18"/>
        </w:rPr>
      </w:pPr>
      <w:r w:rsidRPr="00F0154E">
        <w:rPr>
          <w:sz w:val="18"/>
          <w:szCs w:val="18"/>
        </w:rPr>
        <w:tab/>
      </w:r>
      <w:r w:rsidR="004D69BF" w:rsidRPr="00F0154E">
        <w:rPr>
          <w:sz w:val="18"/>
          <w:szCs w:val="18"/>
        </w:rPr>
        <w:t>Zdroj: MF SR</w:t>
      </w:r>
    </w:p>
    <w:p w14:paraId="3B576278" w14:textId="16884E86" w:rsidR="00865B7D" w:rsidRDefault="00865B7D">
      <w:pPr>
        <w:rPr>
          <w:b/>
          <w:color w:val="5B9BD5" w:themeColor="accent1"/>
          <w:szCs w:val="24"/>
          <w:highlight w:val="yellow"/>
        </w:rPr>
      </w:pPr>
      <w:r>
        <w:rPr>
          <w:b/>
          <w:color w:val="5B9BD5" w:themeColor="accent1"/>
          <w:szCs w:val="24"/>
          <w:highlight w:val="yellow"/>
        </w:rPr>
        <w:br w:type="page"/>
      </w:r>
    </w:p>
    <w:p w14:paraId="21A6859F" w14:textId="79243949" w:rsidR="004D69BF" w:rsidRPr="00F97A45" w:rsidRDefault="004D69BF" w:rsidP="00532D85">
      <w:pPr>
        <w:spacing w:line="240" w:lineRule="auto"/>
        <w:jc w:val="both"/>
        <w:rPr>
          <w:b/>
          <w:color w:val="5B9BD5" w:themeColor="accent1"/>
          <w:szCs w:val="24"/>
        </w:rPr>
      </w:pPr>
      <w:r w:rsidRPr="00F97A45">
        <w:rPr>
          <w:b/>
          <w:color w:val="5B9BD5" w:themeColor="accent1"/>
          <w:szCs w:val="24"/>
        </w:rPr>
        <w:lastRenderedPageBreak/>
        <w:t>Obstarávanie kapitálových aktív</w:t>
      </w:r>
    </w:p>
    <w:p w14:paraId="27A31FA0" w14:textId="21807B14" w:rsidR="00F97A45" w:rsidRDefault="00F97A45" w:rsidP="00F97A45">
      <w:pPr>
        <w:spacing w:line="240" w:lineRule="auto"/>
        <w:jc w:val="both"/>
        <w:rPr>
          <w:szCs w:val="24"/>
        </w:rPr>
      </w:pPr>
      <w:r w:rsidRPr="00EB5F1E">
        <w:rPr>
          <w:b/>
          <w:szCs w:val="24"/>
        </w:rPr>
        <w:t xml:space="preserve">Obstarávanie kapitálových aktív </w:t>
      </w:r>
      <w:r w:rsidRPr="00EB5F1E">
        <w:rPr>
          <w:szCs w:val="24"/>
        </w:rPr>
        <w:t>predstavuje obstaranie majetku dlhodobej povahy do</w:t>
      </w:r>
      <w:r>
        <w:rPr>
          <w:szCs w:val="24"/>
        </w:rPr>
        <w:t> </w:t>
      </w:r>
      <w:r w:rsidRPr="00EB5F1E">
        <w:rPr>
          <w:szCs w:val="24"/>
        </w:rPr>
        <w:t xml:space="preserve">vlastníctva štátu dodávateľským spôsobom </w:t>
      </w:r>
      <w:r w:rsidRPr="00B138D3">
        <w:rPr>
          <w:szCs w:val="24"/>
        </w:rPr>
        <w:t>alebo v rámci vlastných výkonov štátu. Rozpočet na obstarávanie kapitálových aktív bol stanovený sumou 2</w:t>
      </w:r>
      <w:r>
        <w:rPr>
          <w:szCs w:val="24"/>
        </w:rPr>
        <w:t> </w:t>
      </w:r>
      <w:r w:rsidRPr="00B138D3">
        <w:rPr>
          <w:szCs w:val="24"/>
        </w:rPr>
        <w:t>0</w:t>
      </w:r>
      <w:r>
        <w:rPr>
          <w:szCs w:val="24"/>
        </w:rPr>
        <w:t>60 410 tis. eur, takmer na rovnakej úrovni ako v roku 2024.</w:t>
      </w:r>
      <w:r w:rsidRPr="00B138D3">
        <w:rPr>
          <w:szCs w:val="24"/>
        </w:rPr>
        <w:t xml:space="preserve"> Skutočné čerpanie predstavovalo sumu</w:t>
      </w:r>
      <w:r>
        <w:rPr>
          <w:szCs w:val="24"/>
        </w:rPr>
        <w:t xml:space="preserve"> 1 557 253 tis. eur,</w:t>
      </w:r>
      <w:r w:rsidRPr="00B138D3">
        <w:rPr>
          <w:szCs w:val="24"/>
        </w:rPr>
        <w:t xml:space="preserve"> čo je </w:t>
      </w:r>
      <w:r>
        <w:rPr>
          <w:szCs w:val="24"/>
        </w:rPr>
        <w:t>75,5 %</w:t>
      </w:r>
      <w:r w:rsidRPr="00B138D3">
        <w:rPr>
          <w:szCs w:val="24"/>
        </w:rPr>
        <w:t xml:space="preserve"> pôvodne rozpočtovanej hodnoty.</w:t>
      </w:r>
      <w:r>
        <w:rPr>
          <w:szCs w:val="24"/>
        </w:rPr>
        <w:t xml:space="preserve"> V roku 2024 dosiahlo plnenie rozpočtu </w:t>
      </w:r>
      <w:r w:rsidRPr="00B138D3">
        <w:rPr>
          <w:szCs w:val="24"/>
        </w:rPr>
        <w:t>68,8</w:t>
      </w:r>
      <w:r>
        <w:rPr>
          <w:szCs w:val="24"/>
        </w:rPr>
        <w:t> </w:t>
      </w:r>
      <w:r w:rsidRPr="00B138D3">
        <w:rPr>
          <w:szCs w:val="24"/>
        </w:rPr>
        <w:t>%</w:t>
      </w:r>
      <w:r>
        <w:rPr>
          <w:szCs w:val="24"/>
        </w:rPr>
        <w:t>.</w:t>
      </w:r>
      <w:r w:rsidRPr="00B138D3">
        <w:rPr>
          <w:szCs w:val="24"/>
        </w:rPr>
        <w:t xml:space="preserve"> Z celkovej sumy výdavkov na obstaranie kapitálových aktív bolo zo</w:t>
      </w:r>
      <w:r>
        <w:rPr>
          <w:szCs w:val="24"/>
        </w:rPr>
        <w:t> </w:t>
      </w:r>
      <w:r w:rsidRPr="00B138D3">
        <w:rPr>
          <w:szCs w:val="24"/>
        </w:rPr>
        <w:t>zdrojov ŠR 1</w:t>
      </w:r>
      <w:r>
        <w:rPr>
          <w:szCs w:val="24"/>
        </w:rPr>
        <w:t> 337 398 tis. eur</w:t>
      </w:r>
      <w:r w:rsidRPr="00B138D3">
        <w:rPr>
          <w:szCs w:val="24"/>
        </w:rPr>
        <w:t xml:space="preserve">, zdrojov </w:t>
      </w:r>
      <w:r>
        <w:rPr>
          <w:szCs w:val="24"/>
        </w:rPr>
        <w:t>EŠIF</w:t>
      </w:r>
      <w:r w:rsidRPr="00060EF5">
        <w:rPr>
          <w:szCs w:val="24"/>
        </w:rPr>
        <w:t xml:space="preserve"> </w:t>
      </w:r>
      <w:r>
        <w:rPr>
          <w:szCs w:val="24"/>
        </w:rPr>
        <w:t>45 534 </w:t>
      </w:r>
      <w:r w:rsidRPr="00060EF5">
        <w:rPr>
          <w:szCs w:val="24"/>
        </w:rPr>
        <w:t>tis. eur,</w:t>
      </w:r>
      <w:r>
        <w:rPr>
          <w:szCs w:val="24"/>
        </w:rPr>
        <w:t xml:space="preserve"> zdrojov na povinné spolufinancovanie k fondom ŠIF 8 866 tis. eur</w:t>
      </w:r>
      <w:r w:rsidRPr="00060EF5">
        <w:rPr>
          <w:szCs w:val="24"/>
        </w:rPr>
        <w:t xml:space="preserve"> a z </w:t>
      </w:r>
      <w:r w:rsidR="00C4036E">
        <w:rPr>
          <w:szCs w:val="24"/>
        </w:rPr>
        <w:t>POO</w:t>
      </w:r>
      <w:r w:rsidRPr="00060EF5">
        <w:rPr>
          <w:szCs w:val="24"/>
        </w:rPr>
        <w:t xml:space="preserve"> </w:t>
      </w:r>
      <w:r>
        <w:rPr>
          <w:szCs w:val="24"/>
        </w:rPr>
        <w:t>131 933 tis. eur (bez zdroja na</w:t>
      </w:r>
      <w:r w:rsidR="007354C1">
        <w:rPr>
          <w:szCs w:val="24"/>
        </w:rPr>
        <w:t> </w:t>
      </w:r>
      <w:r>
        <w:rPr>
          <w:szCs w:val="24"/>
        </w:rPr>
        <w:t>DPH)</w:t>
      </w:r>
      <w:r w:rsidRPr="00060EF5">
        <w:rPr>
          <w:szCs w:val="24"/>
        </w:rPr>
        <w:t>.</w:t>
      </w:r>
    </w:p>
    <w:p w14:paraId="1AE3B54F" w14:textId="77777777" w:rsidR="00F97A45" w:rsidRPr="00EB5F1E" w:rsidRDefault="00F97A45" w:rsidP="00F97A45">
      <w:pPr>
        <w:spacing w:line="240" w:lineRule="auto"/>
        <w:jc w:val="both"/>
        <w:rPr>
          <w:szCs w:val="24"/>
        </w:rPr>
      </w:pPr>
    </w:p>
    <w:p w14:paraId="380102CF" w14:textId="77777777" w:rsidR="00F97A45" w:rsidRDefault="00F97A45" w:rsidP="00F97A45">
      <w:pPr>
        <w:spacing w:line="240" w:lineRule="auto"/>
        <w:jc w:val="both"/>
        <w:rPr>
          <w:szCs w:val="24"/>
        </w:rPr>
      </w:pPr>
      <w:bookmarkStart w:id="132" w:name="_Hlk195615327"/>
      <w:r w:rsidRPr="002E2D04">
        <w:rPr>
          <w:b/>
          <w:szCs w:val="24"/>
        </w:rPr>
        <w:t>Nákup strojov, prístrojov, zariadení a techniky</w:t>
      </w:r>
      <w:r>
        <w:rPr>
          <w:szCs w:val="24"/>
        </w:rPr>
        <w:t xml:space="preserve"> dosiahol v skutočnosti 514 481</w:t>
      </w:r>
      <w:r w:rsidRPr="002E2D04">
        <w:rPr>
          <w:szCs w:val="24"/>
        </w:rPr>
        <w:t xml:space="preserve"> tis. eur. V rozhodujúcej miere sa na týchto výdavkoch podieľajú tri kapitoly a to </w:t>
      </w:r>
      <w:r>
        <w:rPr>
          <w:szCs w:val="24"/>
        </w:rPr>
        <w:t>Ministerstvo obrany SR (381 494 </w:t>
      </w:r>
      <w:r w:rsidRPr="002E2D04">
        <w:rPr>
          <w:szCs w:val="24"/>
        </w:rPr>
        <w:t>tis.</w:t>
      </w:r>
      <w:r>
        <w:rPr>
          <w:szCs w:val="24"/>
        </w:rPr>
        <w:t> </w:t>
      </w:r>
      <w:r w:rsidRPr="002E2D04">
        <w:rPr>
          <w:szCs w:val="24"/>
        </w:rPr>
        <w:t xml:space="preserve">eur), Ministerstvo vnútra SR </w:t>
      </w:r>
      <w:r>
        <w:rPr>
          <w:szCs w:val="24"/>
        </w:rPr>
        <w:t>(50 769 </w:t>
      </w:r>
      <w:r w:rsidRPr="002E2D04">
        <w:rPr>
          <w:szCs w:val="24"/>
        </w:rPr>
        <w:t>tis.</w:t>
      </w:r>
      <w:r>
        <w:rPr>
          <w:szCs w:val="24"/>
        </w:rPr>
        <w:t> </w:t>
      </w:r>
      <w:r w:rsidRPr="002E2D04">
        <w:rPr>
          <w:szCs w:val="24"/>
        </w:rPr>
        <w:t>eur) a Ministerstvo financií SR (</w:t>
      </w:r>
      <w:r>
        <w:rPr>
          <w:szCs w:val="24"/>
        </w:rPr>
        <w:t>24 479 tis. </w:t>
      </w:r>
      <w:r w:rsidRPr="002E2D04">
        <w:rPr>
          <w:szCs w:val="24"/>
        </w:rPr>
        <w:t>eur). Najvýraznejšie nenaplnenie plánovaného rozpočtu výdavkov bolo u Minister</w:t>
      </w:r>
      <w:r>
        <w:rPr>
          <w:szCs w:val="24"/>
        </w:rPr>
        <w:t>stva obrany SR, o 44 850 </w:t>
      </w:r>
      <w:r w:rsidRPr="002E2D04">
        <w:rPr>
          <w:szCs w:val="24"/>
        </w:rPr>
        <w:t>tis.</w:t>
      </w:r>
      <w:r>
        <w:rPr>
          <w:szCs w:val="24"/>
        </w:rPr>
        <w:t> </w:t>
      </w:r>
      <w:r w:rsidRPr="002E2D04">
        <w:rPr>
          <w:szCs w:val="24"/>
        </w:rPr>
        <w:t>eur</w:t>
      </w:r>
      <w:r>
        <w:rPr>
          <w:szCs w:val="24"/>
        </w:rPr>
        <w:t xml:space="preserve"> a Ministerstva zdravotníctva SR o 42 580 tis. eur</w:t>
      </w:r>
      <w:r w:rsidRPr="002E2D04">
        <w:rPr>
          <w:szCs w:val="24"/>
        </w:rPr>
        <w:t>.</w:t>
      </w:r>
    </w:p>
    <w:p w14:paraId="5F87251E" w14:textId="77777777" w:rsidR="00F97A45" w:rsidRPr="002E2D04" w:rsidRDefault="00F97A45" w:rsidP="00F97A45">
      <w:pPr>
        <w:spacing w:line="240" w:lineRule="auto"/>
        <w:jc w:val="both"/>
        <w:rPr>
          <w:szCs w:val="24"/>
        </w:rPr>
      </w:pPr>
    </w:p>
    <w:p w14:paraId="19D59632" w14:textId="67DB162E" w:rsidR="00F97A45" w:rsidRDefault="00F97A45" w:rsidP="00F97A45">
      <w:pPr>
        <w:spacing w:line="240" w:lineRule="auto"/>
        <w:jc w:val="both"/>
        <w:rPr>
          <w:szCs w:val="24"/>
        </w:rPr>
      </w:pPr>
      <w:r w:rsidRPr="00A81119">
        <w:rPr>
          <w:szCs w:val="24"/>
        </w:rPr>
        <w:t>Kapitola Ministerstva obrany SR použila 375</w:t>
      </w:r>
      <w:r>
        <w:rPr>
          <w:szCs w:val="24"/>
        </w:rPr>
        <w:t> </w:t>
      </w:r>
      <w:r w:rsidRPr="00A81119">
        <w:rPr>
          <w:szCs w:val="24"/>
        </w:rPr>
        <w:t>057 tis. eur na špeciálne stroje, prístroje a zariadenia. Konkrétne išlo najmä o poskytnutie ďalších preddavkových platieb na obstaranie vojenskej techniky napr. viacúčelové taktické lietadlá, radarový materiál, delostrelecké palebné systémy, ručné zbrane.</w:t>
      </w:r>
    </w:p>
    <w:p w14:paraId="18368BAF" w14:textId="77777777" w:rsidR="00F97A45" w:rsidRPr="00A81119" w:rsidRDefault="00F97A45" w:rsidP="00F97A45">
      <w:pPr>
        <w:spacing w:line="240" w:lineRule="auto"/>
        <w:jc w:val="both"/>
        <w:rPr>
          <w:szCs w:val="24"/>
        </w:rPr>
      </w:pPr>
    </w:p>
    <w:bookmarkEnd w:id="132"/>
    <w:p w14:paraId="31EFAB38" w14:textId="5CFEC90A" w:rsidR="00F97A45" w:rsidRDefault="00F97A45" w:rsidP="00F97A45">
      <w:pPr>
        <w:spacing w:line="240" w:lineRule="auto"/>
        <w:jc w:val="both"/>
        <w:rPr>
          <w:szCs w:val="24"/>
        </w:rPr>
      </w:pPr>
      <w:r w:rsidRPr="00CA4382">
        <w:rPr>
          <w:szCs w:val="24"/>
        </w:rPr>
        <w:t>Ministerstvo vnútra SR vynaložilo 30 308 tis. eur na špeciálne stroje a zariadenia pre príslušníkov policajného zboru, hasičského a záchranného zboru, rôzneho charakteru. Išlo napr. o digitálnu transformáciu úsekov verejnej správy ministerstva (15</w:t>
      </w:r>
      <w:r>
        <w:rPr>
          <w:szCs w:val="24"/>
        </w:rPr>
        <w:t> </w:t>
      </w:r>
      <w:r w:rsidRPr="00CA4382">
        <w:rPr>
          <w:szCs w:val="24"/>
        </w:rPr>
        <w:t>270</w:t>
      </w:r>
      <w:r>
        <w:rPr>
          <w:szCs w:val="24"/>
        </w:rPr>
        <w:t> </w:t>
      </w:r>
      <w:r w:rsidRPr="00CA4382">
        <w:rPr>
          <w:szCs w:val="24"/>
        </w:rPr>
        <w:t>tis.</w:t>
      </w:r>
      <w:r>
        <w:rPr>
          <w:szCs w:val="24"/>
        </w:rPr>
        <w:t> </w:t>
      </w:r>
      <w:r w:rsidRPr="00CA4382">
        <w:rPr>
          <w:szCs w:val="24"/>
        </w:rPr>
        <w:t>eur), spravodajskú techniku (5</w:t>
      </w:r>
      <w:r>
        <w:rPr>
          <w:szCs w:val="24"/>
        </w:rPr>
        <w:t> </w:t>
      </w:r>
      <w:r w:rsidRPr="00CA4382">
        <w:rPr>
          <w:szCs w:val="24"/>
        </w:rPr>
        <w:t>715</w:t>
      </w:r>
      <w:r>
        <w:rPr>
          <w:szCs w:val="24"/>
        </w:rPr>
        <w:t> </w:t>
      </w:r>
      <w:r w:rsidRPr="00CA4382">
        <w:rPr>
          <w:szCs w:val="24"/>
        </w:rPr>
        <w:t>tis.</w:t>
      </w:r>
      <w:r>
        <w:rPr>
          <w:szCs w:val="24"/>
        </w:rPr>
        <w:t> </w:t>
      </w:r>
      <w:r w:rsidRPr="00CA4382">
        <w:rPr>
          <w:szCs w:val="24"/>
        </w:rPr>
        <w:t>eur), budovanie systému včasného varovania v košickom a prešovskom kraji (4</w:t>
      </w:r>
      <w:r>
        <w:rPr>
          <w:szCs w:val="24"/>
        </w:rPr>
        <w:t> </w:t>
      </w:r>
      <w:r w:rsidRPr="00CA4382">
        <w:rPr>
          <w:szCs w:val="24"/>
        </w:rPr>
        <w:t>210</w:t>
      </w:r>
      <w:r>
        <w:rPr>
          <w:szCs w:val="24"/>
        </w:rPr>
        <w:t> </w:t>
      </w:r>
      <w:r w:rsidRPr="00CA4382">
        <w:rPr>
          <w:szCs w:val="24"/>
        </w:rPr>
        <w:t>tis.</w:t>
      </w:r>
      <w:r>
        <w:rPr>
          <w:szCs w:val="24"/>
        </w:rPr>
        <w:t> </w:t>
      </w:r>
      <w:r w:rsidRPr="00CA4382">
        <w:rPr>
          <w:szCs w:val="24"/>
        </w:rPr>
        <w:t>eur), nákup techniky pre forenznú entomológiu a forenzné skúmanie.</w:t>
      </w:r>
    </w:p>
    <w:p w14:paraId="27B105F9" w14:textId="77777777" w:rsidR="00F97A45" w:rsidRPr="00CA4382" w:rsidRDefault="00F97A45" w:rsidP="00F97A45">
      <w:pPr>
        <w:spacing w:line="240" w:lineRule="auto"/>
        <w:jc w:val="both"/>
        <w:rPr>
          <w:szCs w:val="24"/>
        </w:rPr>
      </w:pPr>
    </w:p>
    <w:p w14:paraId="52885FE1" w14:textId="77777777" w:rsidR="00F97A45" w:rsidRDefault="00F97A45" w:rsidP="00F97A45">
      <w:pPr>
        <w:spacing w:line="240" w:lineRule="auto"/>
        <w:jc w:val="both"/>
        <w:rPr>
          <w:szCs w:val="24"/>
        </w:rPr>
      </w:pPr>
      <w:r w:rsidRPr="007F48AB">
        <w:rPr>
          <w:szCs w:val="24"/>
        </w:rPr>
        <w:t>V rámci kapitoly Ministerstva financií SR použilo Finančné riaditeľstvo SR a DataCentrum 15</w:t>
      </w:r>
      <w:r>
        <w:rPr>
          <w:szCs w:val="24"/>
        </w:rPr>
        <w:t> </w:t>
      </w:r>
      <w:r w:rsidRPr="007F48AB">
        <w:rPr>
          <w:szCs w:val="24"/>
        </w:rPr>
        <w:t>359 tis. eur na výpočtovú techniku a 4</w:t>
      </w:r>
      <w:r>
        <w:rPr>
          <w:szCs w:val="24"/>
        </w:rPr>
        <w:t> </w:t>
      </w:r>
      <w:r w:rsidRPr="007F48AB">
        <w:rPr>
          <w:szCs w:val="24"/>
        </w:rPr>
        <w:t>351</w:t>
      </w:r>
      <w:r>
        <w:rPr>
          <w:szCs w:val="24"/>
        </w:rPr>
        <w:t> </w:t>
      </w:r>
      <w:r w:rsidRPr="007F48AB">
        <w:rPr>
          <w:szCs w:val="24"/>
        </w:rPr>
        <w:t>tis.</w:t>
      </w:r>
      <w:r>
        <w:rPr>
          <w:szCs w:val="24"/>
        </w:rPr>
        <w:t> </w:t>
      </w:r>
      <w:r w:rsidRPr="007F48AB">
        <w:rPr>
          <w:szCs w:val="24"/>
        </w:rPr>
        <w:t>eur na komunikačnú infraštruktúru.</w:t>
      </w:r>
    </w:p>
    <w:p w14:paraId="02473ACA" w14:textId="77777777" w:rsidR="00F97A45" w:rsidRPr="007F48AB" w:rsidRDefault="00F97A45" w:rsidP="00F97A45">
      <w:pPr>
        <w:spacing w:line="240" w:lineRule="auto"/>
        <w:jc w:val="both"/>
        <w:rPr>
          <w:szCs w:val="24"/>
        </w:rPr>
      </w:pPr>
    </w:p>
    <w:p w14:paraId="54D32117" w14:textId="7E8100CD" w:rsidR="00F97A45" w:rsidRDefault="00F97A45" w:rsidP="00F97A45">
      <w:pPr>
        <w:spacing w:line="240" w:lineRule="auto"/>
        <w:jc w:val="both"/>
        <w:rPr>
          <w:szCs w:val="24"/>
        </w:rPr>
      </w:pPr>
      <w:bookmarkStart w:id="133" w:name="_Hlk195621127"/>
      <w:r w:rsidRPr="00487F66">
        <w:rPr>
          <w:b/>
          <w:bCs/>
          <w:szCs w:val="24"/>
        </w:rPr>
        <w:t>Realizácia stavieb a ich technického zhodnotenia</w:t>
      </w:r>
      <w:r>
        <w:rPr>
          <w:szCs w:val="24"/>
        </w:rPr>
        <w:t xml:space="preserve"> dosiahla 433 655 tis. eur, z toho realizácia nových stavieb 70 465 tis. eur a rekonštrukcia a </w:t>
      </w:r>
      <w:r w:rsidRPr="00F42B01">
        <w:rPr>
          <w:szCs w:val="24"/>
        </w:rPr>
        <w:t xml:space="preserve">modernizácia existujúcich stavieb </w:t>
      </w:r>
      <w:r>
        <w:rPr>
          <w:szCs w:val="24"/>
        </w:rPr>
        <w:t>358 877 </w:t>
      </w:r>
      <w:r w:rsidRPr="00F42B01">
        <w:rPr>
          <w:szCs w:val="24"/>
        </w:rPr>
        <w:t>tis.</w:t>
      </w:r>
      <w:r>
        <w:rPr>
          <w:szCs w:val="24"/>
        </w:rPr>
        <w:t> </w:t>
      </w:r>
      <w:r w:rsidRPr="00F42B01">
        <w:rPr>
          <w:szCs w:val="24"/>
        </w:rPr>
        <w:t xml:space="preserve">eur. Najvýznamnejšie výdavky čerpala kapitola </w:t>
      </w:r>
      <w:r>
        <w:rPr>
          <w:szCs w:val="24"/>
        </w:rPr>
        <w:t>Ministerstva obrany SR, 203 687 tis. eur,</w:t>
      </w:r>
      <w:r w:rsidRPr="00FA4016">
        <w:rPr>
          <w:szCs w:val="24"/>
        </w:rPr>
        <w:t xml:space="preserve"> </w:t>
      </w:r>
      <w:r w:rsidRPr="00F42B01">
        <w:rPr>
          <w:szCs w:val="24"/>
        </w:rPr>
        <w:t xml:space="preserve">Ministerstva dopravy SR, </w:t>
      </w:r>
      <w:r>
        <w:rPr>
          <w:szCs w:val="24"/>
        </w:rPr>
        <w:t xml:space="preserve">114 960 tis. eur a Ministerstva vnútra SR, 30 671 tis. eur. Z pohľadu zdrojov boli tieto výdavky financované najmä zo štátneho rozpočtu, a to na úrovni </w:t>
      </w:r>
      <w:r w:rsidRPr="00E27ADF">
        <w:rPr>
          <w:szCs w:val="24"/>
        </w:rPr>
        <w:t>84</w:t>
      </w:r>
      <w:r>
        <w:rPr>
          <w:szCs w:val="24"/>
        </w:rPr>
        <w:t> </w:t>
      </w:r>
      <w:r w:rsidRPr="00E27ADF">
        <w:rPr>
          <w:szCs w:val="24"/>
        </w:rPr>
        <w:t>%, aj keď oproti rozpočtu boli tieto zdroje nižšie o 175</w:t>
      </w:r>
      <w:r>
        <w:rPr>
          <w:szCs w:val="24"/>
        </w:rPr>
        <w:t> </w:t>
      </w:r>
      <w:r w:rsidRPr="00E27ADF">
        <w:rPr>
          <w:szCs w:val="24"/>
        </w:rPr>
        <w:t>504</w:t>
      </w:r>
      <w:r>
        <w:rPr>
          <w:szCs w:val="24"/>
        </w:rPr>
        <w:t> </w:t>
      </w:r>
      <w:r w:rsidRPr="00E27ADF">
        <w:rPr>
          <w:szCs w:val="24"/>
        </w:rPr>
        <w:t>tis.</w:t>
      </w:r>
      <w:r>
        <w:rPr>
          <w:szCs w:val="24"/>
        </w:rPr>
        <w:t> </w:t>
      </w:r>
      <w:r w:rsidRPr="00E27ADF">
        <w:rPr>
          <w:szCs w:val="24"/>
        </w:rPr>
        <w:t>eur.</w:t>
      </w:r>
    </w:p>
    <w:p w14:paraId="08CF2F8D" w14:textId="77777777" w:rsidR="00F97A45" w:rsidRPr="00E27ADF" w:rsidRDefault="00F97A45" w:rsidP="00F97A45">
      <w:pPr>
        <w:spacing w:line="240" w:lineRule="auto"/>
        <w:jc w:val="both"/>
        <w:rPr>
          <w:szCs w:val="24"/>
        </w:rPr>
      </w:pPr>
    </w:p>
    <w:bookmarkEnd w:id="133"/>
    <w:p w14:paraId="42A94DD7" w14:textId="77777777" w:rsidR="00F97A45" w:rsidRDefault="00F97A45" w:rsidP="00F97A45">
      <w:pPr>
        <w:spacing w:line="240" w:lineRule="auto"/>
        <w:jc w:val="both"/>
        <w:rPr>
          <w:szCs w:val="24"/>
        </w:rPr>
      </w:pPr>
      <w:r w:rsidRPr="00E27ADF">
        <w:rPr>
          <w:szCs w:val="24"/>
        </w:rPr>
        <w:t>Ministerstvo obrany medziročne zvýšilo výdavky na rekonštrukciu a modernizáciu stavieb o 146</w:t>
      </w:r>
      <w:r>
        <w:rPr>
          <w:szCs w:val="24"/>
        </w:rPr>
        <w:t> </w:t>
      </w:r>
      <w:r w:rsidRPr="00E27ADF">
        <w:rPr>
          <w:szCs w:val="24"/>
        </w:rPr>
        <w:t>568</w:t>
      </w:r>
      <w:r>
        <w:rPr>
          <w:szCs w:val="24"/>
        </w:rPr>
        <w:t> </w:t>
      </w:r>
      <w:r w:rsidRPr="00E27ADF">
        <w:rPr>
          <w:szCs w:val="24"/>
        </w:rPr>
        <w:t>tis.</w:t>
      </w:r>
      <w:r>
        <w:rPr>
          <w:szCs w:val="24"/>
        </w:rPr>
        <w:t> </w:t>
      </w:r>
      <w:r w:rsidRPr="00E27ADF">
        <w:rPr>
          <w:szCs w:val="24"/>
        </w:rPr>
        <w:t>eur, a išlo najmä o výdavky na obranu a bezpečnosť štátu a ďalšie projekty, napr. Sliač, rekonštrukcia rolovacích dráh a vybudovanie novej rolovacej dráhy, metrologické zabezpečenie pre lietadlá F-16, infraštruktúru pre protivzdušnú obranu, výstavbu montovaných hál a skladov. Celkovo do modernizácie stavieb Ministerstvo obrany investovalo 187</w:t>
      </w:r>
      <w:r>
        <w:rPr>
          <w:szCs w:val="24"/>
        </w:rPr>
        <w:t> </w:t>
      </w:r>
      <w:r w:rsidRPr="00E27ADF">
        <w:rPr>
          <w:szCs w:val="24"/>
        </w:rPr>
        <w:t>537</w:t>
      </w:r>
      <w:r>
        <w:rPr>
          <w:szCs w:val="24"/>
        </w:rPr>
        <w:t> </w:t>
      </w:r>
      <w:r w:rsidRPr="00E27ADF">
        <w:rPr>
          <w:szCs w:val="24"/>
        </w:rPr>
        <w:t>tis.</w:t>
      </w:r>
      <w:r>
        <w:rPr>
          <w:szCs w:val="24"/>
        </w:rPr>
        <w:t> </w:t>
      </w:r>
      <w:r w:rsidRPr="00E27ADF">
        <w:rPr>
          <w:szCs w:val="24"/>
        </w:rPr>
        <w:t>eur.</w:t>
      </w:r>
    </w:p>
    <w:p w14:paraId="5849574E" w14:textId="77777777" w:rsidR="00F97A45" w:rsidRDefault="00F97A45" w:rsidP="00F97A45">
      <w:pPr>
        <w:spacing w:line="240" w:lineRule="auto"/>
        <w:jc w:val="both"/>
        <w:rPr>
          <w:szCs w:val="24"/>
        </w:rPr>
      </w:pPr>
    </w:p>
    <w:p w14:paraId="741C0CD1" w14:textId="762DD435" w:rsidR="00F97A45" w:rsidRDefault="00F97A45" w:rsidP="00F97A45">
      <w:pPr>
        <w:spacing w:line="240" w:lineRule="auto"/>
        <w:jc w:val="both"/>
        <w:rPr>
          <w:szCs w:val="24"/>
        </w:rPr>
      </w:pPr>
      <w:r>
        <w:rPr>
          <w:szCs w:val="24"/>
        </w:rPr>
        <w:t>V rámci rezortu dopravy čerpala takmer celý objem výdavkov Slovenská správa ciest, na </w:t>
      </w:r>
      <w:r w:rsidRPr="00755C5B">
        <w:rPr>
          <w:szCs w:val="24"/>
        </w:rPr>
        <w:t>realizáciu nových stavieb 29</w:t>
      </w:r>
      <w:r>
        <w:rPr>
          <w:szCs w:val="24"/>
        </w:rPr>
        <w:t> </w:t>
      </w:r>
      <w:r w:rsidRPr="00755C5B">
        <w:rPr>
          <w:szCs w:val="24"/>
        </w:rPr>
        <w:t>870 tis. eur a na rekonštrukciu a modernizáciu stavieb</w:t>
      </w:r>
      <w:r>
        <w:rPr>
          <w:szCs w:val="24"/>
        </w:rPr>
        <w:t xml:space="preserve"> </w:t>
      </w:r>
      <w:r w:rsidRPr="00755C5B">
        <w:rPr>
          <w:szCs w:val="24"/>
        </w:rPr>
        <w:t>82</w:t>
      </w:r>
      <w:r>
        <w:rPr>
          <w:szCs w:val="24"/>
        </w:rPr>
        <w:t> </w:t>
      </w:r>
      <w:r w:rsidRPr="00755C5B">
        <w:rPr>
          <w:szCs w:val="24"/>
        </w:rPr>
        <w:t xml:space="preserve">569 tis. eur. Išlo najmä o projekty výstavby cestnej siete, napr. I/68Sabinov preložka cesty(obchvat), I/75 Šaľa obchvat, Cesta I/9 v úseku Chocholná - Mníchova Lehota, Zosuvy </w:t>
      </w:r>
      <w:r w:rsidRPr="00755C5B">
        <w:rPr>
          <w:szCs w:val="24"/>
        </w:rPr>
        <w:lastRenderedPageBreak/>
        <w:t>na</w:t>
      </w:r>
      <w:r>
        <w:rPr>
          <w:szCs w:val="24"/>
        </w:rPr>
        <w:t> </w:t>
      </w:r>
      <w:r w:rsidRPr="00755C5B">
        <w:rPr>
          <w:szCs w:val="24"/>
        </w:rPr>
        <w:t>cestách I.</w:t>
      </w:r>
      <w:r>
        <w:rPr>
          <w:szCs w:val="24"/>
        </w:rPr>
        <w:t> </w:t>
      </w:r>
      <w:r w:rsidRPr="00755C5B">
        <w:rPr>
          <w:szCs w:val="24"/>
        </w:rPr>
        <w:t>tried</w:t>
      </w:r>
      <w:r>
        <w:rPr>
          <w:szCs w:val="24"/>
        </w:rPr>
        <w:t>y</w:t>
      </w:r>
      <w:r w:rsidRPr="00755C5B">
        <w:rPr>
          <w:szCs w:val="24"/>
        </w:rPr>
        <w:t>, I/51 Biela Hora resp.</w:t>
      </w:r>
      <w:r>
        <w:rPr>
          <w:szCs w:val="24"/>
        </w:rPr>
        <w:t xml:space="preserve"> </w:t>
      </w:r>
      <w:r w:rsidRPr="00755C5B">
        <w:rPr>
          <w:szCs w:val="24"/>
        </w:rPr>
        <w:t>o  projekty rekonštrukcie a</w:t>
      </w:r>
      <w:r>
        <w:rPr>
          <w:szCs w:val="24"/>
        </w:rPr>
        <w:t> </w:t>
      </w:r>
      <w:r w:rsidRPr="00755C5B">
        <w:rPr>
          <w:szCs w:val="24"/>
        </w:rPr>
        <w:t>modernizácie mostných objektov na cestách I.</w:t>
      </w:r>
      <w:r>
        <w:rPr>
          <w:szCs w:val="24"/>
        </w:rPr>
        <w:t> </w:t>
      </w:r>
      <w:r w:rsidRPr="00755C5B">
        <w:rPr>
          <w:szCs w:val="24"/>
        </w:rPr>
        <w:t>triedy.</w:t>
      </w:r>
    </w:p>
    <w:p w14:paraId="58A91F21" w14:textId="77777777" w:rsidR="00F97A45" w:rsidRPr="00755C5B" w:rsidRDefault="00F97A45" w:rsidP="00F97A45">
      <w:pPr>
        <w:spacing w:line="240" w:lineRule="auto"/>
        <w:jc w:val="both"/>
        <w:rPr>
          <w:szCs w:val="24"/>
          <w:highlight w:val="yellow"/>
        </w:rPr>
      </w:pPr>
    </w:p>
    <w:p w14:paraId="7324945A" w14:textId="30B372B2" w:rsidR="00F97A45" w:rsidRDefault="00F97A45" w:rsidP="00F97A45">
      <w:pPr>
        <w:spacing w:line="240" w:lineRule="auto"/>
        <w:jc w:val="both"/>
        <w:rPr>
          <w:szCs w:val="24"/>
        </w:rPr>
      </w:pPr>
      <w:bookmarkStart w:id="134" w:name="_Hlk195617499"/>
      <w:r w:rsidRPr="00F315EA">
        <w:rPr>
          <w:b/>
          <w:bCs/>
          <w:szCs w:val="24"/>
        </w:rPr>
        <w:t>Nákup dopravných prostriedkov</w:t>
      </w:r>
      <w:r w:rsidRPr="00F315EA">
        <w:rPr>
          <w:szCs w:val="24"/>
        </w:rPr>
        <w:t xml:space="preserve"> sa z pohľadu objemu výdavkov realizoval takmer výlučne v dvoch rezortoch, v rezorte </w:t>
      </w:r>
      <w:r w:rsidRPr="00480BA4">
        <w:rPr>
          <w:szCs w:val="24"/>
        </w:rPr>
        <w:t>obrany a vnútra. Ministerstvo obrany SR vynaložilo celkovo 347</w:t>
      </w:r>
      <w:r>
        <w:rPr>
          <w:szCs w:val="24"/>
        </w:rPr>
        <w:t> </w:t>
      </w:r>
      <w:r w:rsidRPr="00480BA4">
        <w:rPr>
          <w:szCs w:val="24"/>
        </w:rPr>
        <w:t>918</w:t>
      </w:r>
      <w:r>
        <w:rPr>
          <w:szCs w:val="24"/>
        </w:rPr>
        <w:t> </w:t>
      </w:r>
      <w:r w:rsidRPr="00480BA4">
        <w:rPr>
          <w:szCs w:val="24"/>
        </w:rPr>
        <w:t>tis.</w:t>
      </w:r>
      <w:r>
        <w:rPr>
          <w:szCs w:val="24"/>
        </w:rPr>
        <w:t> </w:t>
      </w:r>
      <w:r w:rsidRPr="00480BA4">
        <w:rPr>
          <w:szCs w:val="24"/>
        </w:rPr>
        <w:t>eur (2024: 309 876 tis. eur) najmä na projekty obstarania ANTT-N3G a jeho modifikácie, viacúčelové vrtuľníky UH-60L Blackhawk, bojové obrnené vozidlá 8x8, malé vojenské lietadlo  </w:t>
      </w:r>
      <w:r w:rsidRPr="002A1170">
        <w:rPr>
          <w:szCs w:val="24"/>
        </w:rPr>
        <w:t xml:space="preserve">podobe. </w:t>
      </w:r>
      <w:bookmarkEnd w:id="134"/>
      <w:r w:rsidRPr="002A1170">
        <w:rPr>
          <w:szCs w:val="24"/>
        </w:rPr>
        <w:t>Ministerstvo vnútra vynaložilo 30</w:t>
      </w:r>
      <w:r>
        <w:rPr>
          <w:szCs w:val="24"/>
        </w:rPr>
        <w:t> </w:t>
      </w:r>
      <w:r w:rsidRPr="002A1170">
        <w:rPr>
          <w:szCs w:val="24"/>
        </w:rPr>
        <w:t>367</w:t>
      </w:r>
      <w:r>
        <w:rPr>
          <w:szCs w:val="24"/>
        </w:rPr>
        <w:t> </w:t>
      </w:r>
      <w:r w:rsidRPr="002A1170">
        <w:rPr>
          <w:szCs w:val="24"/>
        </w:rPr>
        <w:t>tis.</w:t>
      </w:r>
      <w:r>
        <w:rPr>
          <w:szCs w:val="24"/>
        </w:rPr>
        <w:t> </w:t>
      </w:r>
      <w:r w:rsidRPr="002A1170">
        <w:rPr>
          <w:szCs w:val="24"/>
        </w:rPr>
        <w:t>eur (2024: 22 704 tis. eur) najmä na nákup rôznych dopravných prostriedkov pre policajné služby 17</w:t>
      </w:r>
      <w:r>
        <w:rPr>
          <w:szCs w:val="24"/>
        </w:rPr>
        <w:t> </w:t>
      </w:r>
      <w:r w:rsidRPr="002A1170">
        <w:rPr>
          <w:szCs w:val="24"/>
        </w:rPr>
        <w:t>246</w:t>
      </w:r>
      <w:r>
        <w:rPr>
          <w:szCs w:val="24"/>
        </w:rPr>
        <w:t> </w:t>
      </w:r>
      <w:r w:rsidRPr="002A1170">
        <w:rPr>
          <w:szCs w:val="24"/>
        </w:rPr>
        <w:t>tis.</w:t>
      </w:r>
      <w:r>
        <w:rPr>
          <w:szCs w:val="24"/>
        </w:rPr>
        <w:t> </w:t>
      </w:r>
      <w:r w:rsidRPr="002A1170">
        <w:rPr>
          <w:szCs w:val="24"/>
        </w:rPr>
        <w:t>eur, na</w:t>
      </w:r>
      <w:r>
        <w:rPr>
          <w:szCs w:val="24"/>
        </w:rPr>
        <w:t> </w:t>
      </w:r>
      <w:r w:rsidRPr="002A1170">
        <w:rPr>
          <w:szCs w:val="24"/>
        </w:rPr>
        <w:t>ochranu pred požiarmi</w:t>
      </w:r>
      <w:r>
        <w:rPr>
          <w:szCs w:val="24"/>
        </w:rPr>
        <w:t xml:space="preserve"> 12 357 tis. eur a pre účely zabezpečenie verejného poriadku a bezpečnosti 711 tis. eur. Reálne išlo o nákup napr. osobných automobilov (14 025 tis. eur), nákup špeciálnych automobilov pre HAZZ (12 357 tis. eur), policajných vrtuľníkov (2 790 tis. eur) a ostatnej techniky.</w:t>
      </w:r>
    </w:p>
    <w:p w14:paraId="18F8FE5F" w14:textId="77777777" w:rsidR="00F97A45" w:rsidRDefault="00F97A45" w:rsidP="00F97A45">
      <w:pPr>
        <w:spacing w:line="240" w:lineRule="auto"/>
        <w:jc w:val="both"/>
        <w:rPr>
          <w:szCs w:val="24"/>
        </w:rPr>
      </w:pPr>
    </w:p>
    <w:p w14:paraId="5D5C2639" w14:textId="234338FD" w:rsidR="00F97A45" w:rsidRDefault="00F97A45" w:rsidP="00F97A45">
      <w:pPr>
        <w:spacing w:line="240" w:lineRule="auto"/>
        <w:jc w:val="both"/>
        <w:rPr>
          <w:szCs w:val="24"/>
        </w:rPr>
      </w:pPr>
      <w:r>
        <w:rPr>
          <w:b/>
          <w:bCs/>
          <w:szCs w:val="24"/>
        </w:rPr>
        <w:t xml:space="preserve">Nákup pozemkov a nehmotných aktív </w:t>
      </w:r>
      <w:r>
        <w:rPr>
          <w:szCs w:val="24"/>
        </w:rPr>
        <w:t>dosiahol objem výdavkov 97 590 tis. eur, z toho najviac nákup softvérových licencií 48 932 tis. eur a nákup softvéru 34 599 tis. eur. Nákup samotných pozemkov tvoril 113 977 tis. eur. 47 % výdavkov realizovalo Ministerstvo vnútra SR, a to najmä na uvedené softvérové licencie a samotný softvér.</w:t>
      </w:r>
    </w:p>
    <w:p w14:paraId="18394526" w14:textId="77777777" w:rsidR="00F97A45" w:rsidRDefault="00F97A45" w:rsidP="00F97A45">
      <w:pPr>
        <w:spacing w:line="240" w:lineRule="auto"/>
        <w:jc w:val="both"/>
        <w:rPr>
          <w:szCs w:val="24"/>
        </w:rPr>
      </w:pPr>
    </w:p>
    <w:p w14:paraId="33333758" w14:textId="742DD401" w:rsidR="00F97A45" w:rsidRDefault="00F97A45" w:rsidP="00F97A45">
      <w:pPr>
        <w:spacing w:line="240" w:lineRule="auto"/>
        <w:jc w:val="both"/>
        <w:rPr>
          <w:szCs w:val="24"/>
        </w:rPr>
      </w:pPr>
      <w:r>
        <w:rPr>
          <w:szCs w:val="24"/>
        </w:rPr>
        <w:t xml:space="preserve">V rámci výdavkov na </w:t>
      </w:r>
      <w:r w:rsidRPr="00585D94">
        <w:rPr>
          <w:b/>
          <w:bCs/>
          <w:szCs w:val="24"/>
        </w:rPr>
        <w:t>rekonštrukciu a modernizáciu strojov a</w:t>
      </w:r>
      <w:r>
        <w:rPr>
          <w:b/>
          <w:bCs/>
          <w:szCs w:val="24"/>
        </w:rPr>
        <w:t> </w:t>
      </w:r>
      <w:r w:rsidRPr="00585D94">
        <w:rPr>
          <w:b/>
          <w:bCs/>
          <w:szCs w:val="24"/>
        </w:rPr>
        <w:t>zariadení</w:t>
      </w:r>
      <w:r>
        <w:rPr>
          <w:szCs w:val="24"/>
        </w:rPr>
        <w:t xml:space="preserve"> sa použilo 67 288 tis. eur na rekonštrukciu softvéru a 10 079 tis. eur na rekonštrukciu komunikačnej infraštruktúry. V rozhodujúcej miere výdavky čerpali Ministerstvo financií SR 28 307 tis. eur (napr. modernizácia IS pre Ardal), Ministerstvo vnútra SR 20 385 tis. eur (modernizácia systémov obrany štátu) a Ministerstvo spravodlivosti SR 15 885 tis. eur (modernizácia IT vybavenia).</w:t>
      </w:r>
    </w:p>
    <w:p w14:paraId="1CEFE448" w14:textId="77777777" w:rsidR="00F97A45" w:rsidRPr="00585D94" w:rsidRDefault="00F97A45" w:rsidP="00F97A45">
      <w:pPr>
        <w:spacing w:line="240" w:lineRule="auto"/>
        <w:jc w:val="both"/>
        <w:rPr>
          <w:szCs w:val="24"/>
        </w:rPr>
      </w:pPr>
    </w:p>
    <w:p w14:paraId="4EDEEE41" w14:textId="77777777" w:rsidR="00F97A45" w:rsidRDefault="00F97A45" w:rsidP="00F97A45">
      <w:pPr>
        <w:spacing w:line="240" w:lineRule="auto"/>
        <w:jc w:val="both"/>
        <w:rPr>
          <w:szCs w:val="24"/>
        </w:rPr>
      </w:pPr>
      <w:r w:rsidRPr="00487F66">
        <w:rPr>
          <w:b/>
          <w:bCs/>
          <w:szCs w:val="24"/>
        </w:rPr>
        <w:t>Obstaranie budov, objektov a </w:t>
      </w:r>
      <w:r w:rsidRPr="00F42B01">
        <w:rPr>
          <w:b/>
          <w:bCs/>
          <w:szCs w:val="24"/>
        </w:rPr>
        <w:t xml:space="preserve">ich častí </w:t>
      </w:r>
      <w:r w:rsidRPr="00F42B01">
        <w:rPr>
          <w:szCs w:val="24"/>
        </w:rPr>
        <w:t xml:space="preserve">dosiahlo </w:t>
      </w:r>
      <w:r>
        <w:rPr>
          <w:szCs w:val="24"/>
        </w:rPr>
        <w:t xml:space="preserve">17 972 tis. eur, z pohľadu medziročného </w:t>
      </w:r>
      <w:r w:rsidRPr="00C63699">
        <w:rPr>
          <w:szCs w:val="24"/>
        </w:rPr>
        <w:t>porovnania neboli v roku 2025 zrealizované tak významné nákupy, ako v roku 2024</w:t>
      </w:r>
      <w:r w:rsidRPr="00C63699">
        <w:rPr>
          <w:rStyle w:val="Odkaznapoznmkupodiarou"/>
          <w:szCs w:val="24"/>
        </w:rPr>
        <w:footnoteReference w:id="25"/>
      </w:r>
      <w:r w:rsidRPr="00C63699">
        <w:rPr>
          <w:szCs w:val="24"/>
        </w:rPr>
        <w:t xml:space="preserve"> Takmer celú hodnotu použilo Ministerstvo vnútra SR 15</w:t>
      </w:r>
      <w:r>
        <w:rPr>
          <w:szCs w:val="24"/>
        </w:rPr>
        <w:t> </w:t>
      </w:r>
      <w:r w:rsidRPr="00C63699">
        <w:rPr>
          <w:szCs w:val="24"/>
        </w:rPr>
        <w:t>223</w:t>
      </w:r>
      <w:r>
        <w:rPr>
          <w:szCs w:val="24"/>
        </w:rPr>
        <w:t> </w:t>
      </w:r>
      <w:r w:rsidRPr="00C63699">
        <w:rPr>
          <w:szCs w:val="24"/>
        </w:rPr>
        <w:t>tis.</w:t>
      </w:r>
      <w:r>
        <w:rPr>
          <w:szCs w:val="24"/>
        </w:rPr>
        <w:t> </w:t>
      </w:r>
      <w:r w:rsidRPr="00C63699">
        <w:rPr>
          <w:szCs w:val="24"/>
        </w:rPr>
        <w:t>eur na nákup objektov slúžiacich rezortu.</w:t>
      </w:r>
    </w:p>
    <w:p w14:paraId="6A3EB86A" w14:textId="77777777" w:rsidR="00EC7BE3" w:rsidRPr="00F42B01" w:rsidRDefault="00EC7BE3" w:rsidP="00F97A45">
      <w:pPr>
        <w:spacing w:line="240" w:lineRule="auto"/>
        <w:jc w:val="both"/>
        <w:rPr>
          <w:szCs w:val="24"/>
        </w:rPr>
      </w:pPr>
    </w:p>
    <w:p w14:paraId="50E4BF84" w14:textId="596711CC" w:rsidR="00D46A5E" w:rsidRDefault="00F97A45" w:rsidP="00F97A45">
      <w:pPr>
        <w:spacing w:line="240" w:lineRule="auto"/>
        <w:jc w:val="both"/>
        <w:rPr>
          <w:szCs w:val="24"/>
        </w:rPr>
      </w:pPr>
      <w:r w:rsidRPr="00F42B01">
        <w:rPr>
          <w:b/>
          <w:bCs/>
          <w:szCs w:val="24"/>
        </w:rPr>
        <w:t>Z ostatných výdavkov</w:t>
      </w:r>
      <w:r w:rsidRPr="00F42B01">
        <w:rPr>
          <w:szCs w:val="24"/>
        </w:rPr>
        <w:t xml:space="preserve"> boli hradené najmä prípravná a projektová dokumentácia</w:t>
      </w:r>
      <w:r>
        <w:rPr>
          <w:szCs w:val="24"/>
        </w:rPr>
        <w:t xml:space="preserve"> </w:t>
      </w:r>
      <w:r w:rsidRPr="00F42B01">
        <w:rPr>
          <w:szCs w:val="24"/>
        </w:rPr>
        <w:t>1</w:t>
      </w:r>
      <w:r>
        <w:rPr>
          <w:szCs w:val="24"/>
        </w:rPr>
        <w:t>3 </w:t>
      </w:r>
      <w:r w:rsidRPr="002F63F6">
        <w:rPr>
          <w:szCs w:val="24"/>
        </w:rPr>
        <w:t>654 tis. eur a ostatné kapitálové výdavky. Nižšie čerpanie oproti schválenému rozpočtu o</w:t>
      </w:r>
      <w:r>
        <w:rPr>
          <w:szCs w:val="24"/>
        </w:rPr>
        <w:t> </w:t>
      </w:r>
      <w:r w:rsidRPr="002F63F6">
        <w:rPr>
          <w:szCs w:val="24"/>
        </w:rPr>
        <w:t>324</w:t>
      </w:r>
      <w:r>
        <w:rPr>
          <w:szCs w:val="24"/>
        </w:rPr>
        <w:t> </w:t>
      </w:r>
      <w:r w:rsidRPr="002F63F6">
        <w:rPr>
          <w:szCs w:val="24"/>
        </w:rPr>
        <w:t>703 tis. eur je spôsobené najmä presunom prostriedkov na zdroji POO v kapitole Ministerstva zdravotníctva SR (244</w:t>
      </w:r>
      <w:r>
        <w:rPr>
          <w:szCs w:val="24"/>
        </w:rPr>
        <w:t> </w:t>
      </w:r>
      <w:r w:rsidRPr="002F63F6">
        <w:rPr>
          <w:szCs w:val="24"/>
        </w:rPr>
        <w:t>908 tis. eur), ktoré sú realizované na úrovni prijímateľov týchto prostriedkov a klasifikované v jednotlivých druhových výdavkov.</w:t>
      </w:r>
    </w:p>
    <w:p w14:paraId="551D6F8A" w14:textId="77777777" w:rsidR="00F97A45" w:rsidRPr="0050710A" w:rsidRDefault="00F97A45" w:rsidP="00F97A45">
      <w:pPr>
        <w:spacing w:line="240" w:lineRule="auto"/>
        <w:jc w:val="both"/>
        <w:rPr>
          <w:szCs w:val="24"/>
          <w:highlight w:val="yellow"/>
        </w:rPr>
      </w:pPr>
    </w:p>
    <w:p w14:paraId="1ED1F5D4" w14:textId="77777777" w:rsidR="004D69BF" w:rsidRPr="004C1709" w:rsidRDefault="004D69BF" w:rsidP="00532D85">
      <w:pPr>
        <w:spacing w:line="240" w:lineRule="auto"/>
        <w:jc w:val="both"/>
        <w:rPr>
          <w:b/>
          <w:color w:val="5B9BD5" w:themeColor="accent1"/>
          <w:szCs w:val="24"/>
        </w:rPr>
      </w:pPr>
      <w:r w:rsidRPr="004C1709">
        <w:rPr>
          <w:b/>
          <w:color w:val="5B9BD5" w:themeColor="accent1"/>
          <w:szCs w:val="24"/>
        </w:rPr>
        <w:t>Kapitálové transfery</w:t>
      </w:r>
    </w:p>
    <w:p w14:paraId="64D211CE" w14:textId="729BDEDA" w:rsidR="004C1709" w:rsidRDefault="004C1709" w:rsidP="004C1709">
      <w:pPr>
        <w:spacing w:line="240" w:lineRule="auto"/>
        <w:jc w:val="both"/>
        <w:rPr>
          <w:szCs w:val="24"/>
        </w:rPr>
      </w:pPr>
      <w:r>
        <w:rPr>
          <w:szCs w:val="24"/>
        </w:rPr>
        <w:t>Na kapitálové transfery z</w:t>
      </w:r>
      <w:r w:rsidRPr="00D60E74">
        <w:rPr>
          <w:szCs w:val="24"/>
        </w:rPr>
        <w:t xml:space="preserve"> celkovej sumy </w:t>
      </w:r>
      <w:r>
        <w:rPr>
          <w:szCs w:val="24"/>
        </w:rPr>
        <w:t>3 350 020 tis. eur</w:t>
      </w:r>
      <w:r w:rsidRPr="00D60E74">
        <w:rPr>
          <w:szCs w:val="24"/>
        </w:rPr>
        <w:t xml:space="preserve"> bolo použitých</w:t>
      </w:r>
      <w:r>
        <w:rPr>
          <w:szCs w:val="24"/>
        </w:rPr>
        <w:t xml:space="preserve"> </w:t>
      </w:r>
      <w:r w:rsidRPr="00D60E74">
        <w:rPr>
          <w:szCs w:val="24"/>
        </w:rPr>
        <w:t xml:space="preserve">zo zdrojov </w:t>
      </w:r>
      <w:r>
        <w:rPr>
          <w:szCs w:val="24"/>
        </w:rPr>
        <w:t xml:space="preserve">štátneho rozpočtu 722 063 tis. eur (2024: 727 836 tis. eur), zdroje EŠIF </w:t>
      </w:r>
      <w:r w:rsidRPr="0048739F">
        <w:rPr>
          <w:szCs w:val="24"/>
        </w:rPr>
        <w:t xml:space="preserve">dosiahli </w:t>
      </w:r>
      <w:r w:rsidRPr="0012632A">
        <w:rPr>
          <w:szCs w:val="24"/>
        </w:rPr>
        <w:t>844 </w:t>
      </w:r>
      <w:r w:rsidR="0048739F" w:rsidRPr="0012632A">
        <w:rPr>
          <w:szCs w:val="24"/>
        </w:rPr>
        <w:t>0</w:t>
      </w:r>
      <w:r w:rsidRPr="0012632A">
        <w:rPr>
          <w:szCs w:val="24"/>
        </w:rPr>
        <w:t>70 tis. eur</w:t>
      </w:r>
      <w:r w:rsidRPr="0048739F">
        <w:rPr>
          <w:szCs w:val="24"/>
        </w:rPr>
        <w:t xml:space="preserve"> (2024</w:t>
      </w:r>
      <w:r>
        <w:rPr>
          <w:szCs w:val="24"/>
        </w:rPr>
        <w:t>: 718 388 tis.</w:t>
      </w:r>
      <w:r>
        <w:t> </w:t>
      </w:r>
      <w:r>
        <w:rPr>
          <w:szCs w:val="24"/>
        </w:rPr>
        <w:t>eur),</w:t>
      </w:r>
      <w:r w:rsidRPr="00F67B6E">
        <w:rPr>
          <w:szCs w:val="24"/>
        </w:rPr>
        <w:t xml:space="preserve"> </w:t>
      </w:r>
      <w:r>
        <w:rPr>
          <w:szCs w:val="24"/>
        </w:rPr>
        <w:t xml:space="preserve">na spolufinancovanie spoločných programov SR a EÚ bolo vynaložených 204 998 tis. eur (2024: 203 308 tis. eur) a zdroje </w:t>
      </w:r>
      <w:r w:rsidR="00C4036E">
        <w:rPr>
          <w:szCs w:val="24"/>
        </w:rPr>
        <w:t>POO</w:t>
      </w:r>
      <w:r>
        <w:rPr>
          <w:szCs w:val="24"/>
        </w:rPr>
        <w:t xml:space="preserve"> dosiahli až 1 411 305 tis. eur (2024: 641 395 tis. eur) a DPH k nim vo výške 146 988 tis. eur (2024: 107 280 tis. eur).</w:t>
      </w:r>
    </w:p>
    <w:p w14:paraId="1356060F" w14:textId="77777777" w:rsidR="004C1709" w:rsidRDefault="004C1709" w:rsidP="004C1709">
      <w:pPr>
        <w:spacing w:line="240" w:lineRule="auto"/>
        <w:jc w:val="both"/>
        <w:rPr>
          <w:szCs w:val="24"/>
        </w:rPr>
      </w:pPr>
    </w:p>
    <w:p w14:paraId="6A01F58F" w14:textId="7E541192" w:rsidR="004C1709" w:rsidRDefault="004C1709" w:rsidP="004C1709">
      <w:pPr>
        <w:spacing w:line="240" w:lineRule="auto"/>
        <w:jc w:val="both"/>
        <w:rPr>
          <w:szCs w:val="24"/>
        </w:rPr>
      </w:pPr>
      <w:r>
        <w:rPr>
          <w:szCs w:val="24"/>
        </w:rPr>
        <w:t xml:space="preserve">Oproti schválenému rozpočtu je skutočné čerpanie vyššie o 1 639 312 tis. eur (2024 bol nárast oproti rozpočtu o 1 361 549 tis. eur) a medziročne boli kapitálové transfery vyššie </w:t>
      </w:r>
      <w:r>
        <w:rPr>
          <w:szCs w:val="24"/>
        </w:rPr>
        <w:lastRenderedPageBreak/>
        <w:t xml:space="preserve">o 947 440 tis. eur, teda naopak ako medzi rokmi 2024 a 2023. Nárast výdavkov zabezpečil jednoznačne </w:t>
      </w:r>
      <w:r w:rsidR="00C4036E">
        <w:rPr>
          <w:szCs w:val="24"/>
        </w:rPr>
        <w:t>POO</w:t>
      </w:r>
      <w:r>
        <w:rPr>
          <w:szCs w:val="24"/>
        </w:rPr>
        <w:t>, medziročne viac o 769 910 tis. eur a zdroje z EŠIF 125 681 tis. eur.</w:t>
      </w:r>
    </w:p>
    <w:p w14:paraId="3AC07D0F" w14:textId="77777777" w:rsidR="004C1709" w:rsidRDefault="004C1709" w:rsidP="004C1709">
      <w:pPr>
        <w:spacing w:line="240" w:lineRule="auto"/>
        <w:jc w:val="both"/>
        <w:rPr>
          <w:szCs w:val="24"/>
        </w:rPr>
      </w:pPr>
    </w:p>
    <w:p w14:paraId="6836541A" w14:textId="12C6CC4D" w:rsidR="004C1709" w:rsidRDefault="004C1709" w:rsidP="004C1709">
      <w:pPr>
        <w:spacing w:line="240" w:lineRule="auto"/>
        <w:jc w:val="both"/>
        <w:rPr>
          <w:szCs w:val="24"/>
        </w:rPr>
      </w:pPr>
      <w:r>
        <w:rPr>
          <w:szCs w:val="24"/>
        </w:rPr>
        <w:t>Medziročný nárast výdavkov zo zdroja POO sa prejavil najmä v kapitole Ministerstva zdravotníctva SR o 320 093 tis. eur, Ministerstve životného prostredia SR o 197 116 tis. eur a Ministerstve školstva, výskumu, vývoja a mládeže SR o 188 756 tis. eur.</w:t>
      </w:r>
    </w:p>
    <w:p w14:paraId="45BD1F25" w14:textId="77777777" w:rsidR="004C1709" w:rsidRDefault="004C1709" w:rsidP="004C1709">
      <w:pPr>
        <w:spacing w:line="240" w:lineRule="auto"/>
        <w:jc w:val="both"/>
        <w:rPr>
          <w:szCs w:val="24"/>
        </w:rPr>
      </w:pPr>
    </w:p>
    <w:p w14:paraId="07454B88" w14:textId="7AFB6C63" w:rsidR="004C1709" w:rsidRDefault="004C1709" w:rsidP="004C1709">
      <w:pPr>
        <w:spacing w:line="240" w:lineRule="auto"/>
        <w:jc w:val="both"/>
        <w:rPr>
          <w:szCs w:val="24"/>
        </w:rPr>
      </w:pPr>
      <w:r>
        <w:rPr>
          <w:szCs w:val="24"/>
        </w:rPr>
        <w:t>V rozpočte ako aj za skutočnosť v kapitálových transferoch dominuje kapitola Ministerstva dopravy SR. Plánované výdavky tejto kapitoly boli na úrovni 946 298 tis. eur, medziročne vyššie o 579 877 tis. eur. Skutočné plnenie kapitálových transferov kapitoly dopravy dosiahlo 1 068 473 tis. eur. Ďalšou významnou kapitolou je Ministerstvo životného prostredia SR, s rozpočtom na úrovni 257 340 tis. eur a skutočnosťou vo výške 336 076 tis. eur. Ďalšie dve významné kapitoly, Ministerstvo pôdohospodárstva a rozvoja vidieka SR (572 588 tis. eur) a Ministerstvo zdravotníctva SR (382 334 tis. eur) pôvodne nerozpočtovali kapitálové transfery a na realizáciu počas roka boli použité hlavne nevyčerpané prostriedky z minulých rokov.</w:t>
      </w:r>
    </w:p>
    <w:p w14:paraId="5CD9F0C0" w14:textId="77777777" w:rsidR="00D46A5E" w:rsidRDefault="00D46A5E" w:rsidP="004C1709">
      <w:pPr>
        <w:spacing w:line="240" w:lineRule="auto"/>
        <w:jc w:val="both"/>
        <w:rPr>
          <w:szCs w:val="24"/>
          <w:highlight w:val="yellow"/>
        </w:rPr>
      </w:pPr>
    </w:p>
    <w:p w14:paraId="35809B56" w14:textId="201D8568" w:rsidR="006875C3" w:rsidRPr="004C1709" w:rsidRDefault="006875C3" w:rsidP="00532D85">
      <w:pPr>
        <w:pStyle w:val="Popis"/>
        <w:jc w:val="both"/>
        <w:rPr>
          <w:lang w:eastAsia="sk-SK"/>
        </w:rPr>
      </w:pPr>
      <w:bookmarkStart w:id="135" w:name="_Toc196313661"/>
      <w:bookmarkStart w:id="136" w:name="_Toc227670171"/>
      <w:r w:rsidRPr="004C1709">
        <w:rPr>
          <w:lang w:eastAsia="sk-SK"/>
        </w:rPr>
        <w:t xml:space="preserve">Tabuľka </w:t>
      </w:r>
      <w:r w:rsidRPr="004C1709">
        <w:rPr>
          <w:i/>
          <w:lang w:eastAsia="sk-SK"/>
        </w:rPr>
        <w:fldChar w:fldCharType="begin"/>
      </w:r>
      <w:r w:rsidRPr="004C1709">
        <w:rPr>
          <w:lang w:eastAsia="sk-SK"/>
        </w:rPr>
        <w:instrText xml:space="preserve"> SEQ Tabuľka \* ARABIC </w:instrText>
      </w:r>
      <w:r w:rsidRPr="004C1709">
        <w:rPr>
          <w:i/>
          <w:lang w:eastAsia="sk-SK"/>
        </w:rPr>
        <w:fldChar w:fldCharType="separate"/>
      </w:r>
      <w:r w:rsidR="00396BE8">
        <w:rPr>
          <w:noProof/>
          <w:lang w:eastAsia="sk-SK"/>
        </w:rPr>
        <w:t>35</w:t>
      </w:r>
      <w:r w:rsidRPr="004C1709">
        <w:rPr>
          <w:i/>
          <w:lang w:eastAsia="sk-SK"/>
        </w:rPr>
        <w:fldChar w:fldCharType="end"/>
      </w:r>
      <w:r w:rsidRPr="004C1709">
        <w:rPr>
          <w:lang w:eastAsia="sk-SK"/>
        </w:rPr>
        <w:t xml:space="preserve"> - Kapitálové transfery štátneho rozpočtu</w:t>
      </w:r>
      <w:bookmarkEnd w:id="135"/>
      <w:bookmarkEnd w:id="136"/>
    </w:p>
    <w:tbl>
      <w:tblPr>
        <w:tblW w:w="5000" w:type="pct"/>
        <w:tblCellMar>
          <w:left w:w="70" w:type="dxa"/>
          <w:right w:w="70" w:type="dxa"/>
        </w:tblCellMar>
        <w:tblLook w:val="04A0" w:firstRow="1" w:lastRow="0" w:firstColumn="1" w:lastColumn="0" w:noHBand="0" w:noVBand="1"/>
      </w:tblPr>
      <w:tblGrid>
        <w:gridCol w:w="4338"/>
        <w:gridCol w:w="924"/>
        <w:gridCol w:w="924"/>
        <w:gridCol w:w="923"/>
        <w:gridCol w:w="923"/>
        <w:gridCol w:w="1038"/>
      </w:tblGrid>
      <w:tr w:rsidR="004C1709" w:rsidRPr="009D29EA" w14:paraId="6C654EE2" w14:textId="77777777" w:rsidTr="004C1709">
        <w:trPr>
          <w:trHeight w:val="330"/>
          <w:tblHeader/>
        </w:trPr>
        <w:tc>
          <w:tcPr>
            <w:tcW w:w="2391" w:type="pct"/>
            <w:vMerge w:val="restart"/>
            <w:tcBorders>
              <w:top w:val="single" w:sz="4" w:space="0" w:color="auto"/>
              <w:left w:val="nil"/>
              <w:bottom w:val="single" w:sz="8" w:space="0" w:color="000000"/>
              <w:right w:val="nil"/>
            </w:tcBorders>
            <w:vAlign w:val="center"/>
            <w:hideMark/>
          </w:tcPr>
          <w:p w14:paraId="6021CC0A" w14:textId="77777777" w:rsidR="004C1709" w:rsidRPr="009D29EA" w:rsidRDefault="004C1709" w:rsidP="00433832">
            <w:pPr>
              <w:spacing w:line="240" w:lineRule="auto"/>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v tis. eur</w:t>
            </w:r>
          </w:p>
        </w:tc>
        <w:tc>
          <w:tcPr>
            <w:tcW w:w="509" w:type="pct"/>
            <w:tcBorders>
              <w:top w:val="single" w:sz="4" w:space="0" w:color="auto"/>
              <w:left w:val="nil"/>
              <w:bottom w:val="nil"/>
              <w:right w:val="nil"/>
            </w:tcBorders>
            <w:vAlign w:val="center"/>
            <w:hideMark/>
          </w:tcPr>
          <w:p w14:paraId="0B9D7BFE"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9D29EA">
              <w:rPr>
                <w:rFonts w:eastAsia="Times New Roman" w:cs="Times New Roman"/>
                <w:b/>
                <w:bCs/>
                <w:color w:val="000000"/>
                <w:sz w:val="18"/>
                <w:szCs w:val="18"/>
                <w:lang w:eastAsia="sk-SK"/>
              </w:rPr>
              <w:t xml:space="preserve"> S</w:t>
            </w:r>
          </w:p>
        </w:tc>
        <w:tc>
          <w:tcPr>
            <w:tcW w:w="509" w:type="pct"/>
            <w:tcBorders>
              <w:top w:val="single" w:sz="4" w:space="0" w:color="auto"/>
              <w:left w:val="nil"/>
              <w:bottom w:val="nil"/>
              <w:right w:val="nil"/>
            </w:tcBorders>
            <w:vAlign w:val="center"/>
            <w:hideMark/>
          </w:tcPr>
          <w:p w14:paraId="33AA8961"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9D29EA">
              <w:rPr>
                <w:rFonts w:eastAsia="Times New Roman" w:cs="Times New Roman"/>
                <w:b/>
                <w:bCs/>
                <w:color w:val="000000"/>
                <w:sz w:val="18"/>
                <w:szCs w:val="18"/>
                <w:lang w:eastAsia="sk-SK"/>
              </w:rPr>
              <w:t xml:space="preserve"> S</w:t>
            </w:r>
          </w:p>
        </w:tc>
        <w:tc>
          <w:tcPr>
            <w:tcW w:w="509" w:type="pct"/>
            <w:tcBorders>
              <w:top w:val="single" w:sz="4" w:space="0" w:color="auto"/>
              <w:left w:val="nil"/>
              <w:bottom w:val="nil"/>
              <w:right w:val="nil"/>
            </w:tcBorders>
            <w:vAlign w:val="center"/>
            <w:hideMark/>
          </w:tcPr>
          <w:p w14:paraId="30651A5E"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9D29EA">
              <w:rPr>
                <w:rFonts w:eastAsia="Times New Roman" w:cs="Times New Roman"/>
                <w:b/>
                <w:bCs/>
                <w:color w:val="000000"/>
                <w:sz w:val="18"/>
                <w:szCs w:val="18"/>
                <w:lang w:eastAsia="sk-SK"/>
              </w:rPr>
              <w:t xml:space="preserve"> R</w:t>
            </w:r>
          </w:p>
        </w:tc>
        <w:tc>
          <w:tcPr>
            <w:tcW w:w="509" w:type="pct"/>
            <w:tcBorders>
              <w:top w:val="single" w:sz="4" w:space="0" w:color="auto"/>
              <w:left w:val="nil"/>
              <w:bottom w:val="nil"/>
              <w:right w:val="nil"/>
            </w:tcBorders>
            <w:vAlign w:val="center"/>
            <w:hideMark/>
          </w:tcPr>
          <w:p w14:paraId="31B1509B"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9D29EA">
              <w:rPr>
                <w:rFonts w:eastAsia="Times New Roman" w:cs="Times New Roman"/>
                <w:b/>
                <w:bCs/>
                <w:color w:val="000000"/>
                <w:sz w:val="18"/>
                <w:szCs w:val="18"/>
                <w:lang w:eastAsia="sk-SK"/>
              </w:rPr>
              <w:t xml:space="preserve"> S</w:t>
            </w:r>
          </w:p>
        </w:tc>
        <w:tc>
          <w:tcPr>
            <w:tcW w:w="572" w:type="pct"/>
            <w:tcBorders>
              <w:top w:val="single" w:sz="4" w:space="0" w:color="auto"/>
              <w:left w:val="nil"/>
              <w:bottom w:val="nil"/>
              <w:right w:val="nil"/>
            </w:tcBorders>
            <w:vAlign w:val="center"/>
            <w:hideMark/>
          </w:tcPr>
          <w:p w14:paraId="7A6E1695"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Rozdiel</w:t>
            </w:r>
          </w:p>
        </w:tc>
      </w:tr>
      <w:tr w:rsidR="004C1709" w:rsidRPr="009D29EA" w14:paraId="10D219FB" w14:textId="77777777" w:rsidTr="004C1709">
        <w:trPr>
          <w:trHeight w:val="125"/>
          <w:tblHeader/>
        </w:trPr>
        <w:tc>
          <w:tcPr>
            <w:tcW w:w="2391" w:type="pct"/>
            <w:vMerge/>
            <w:tcBorders>
              <w:top w:val="nil"/>
              <w:left w:val="nil"/>
              <w:bottom w:val="single" w:sz="4" w:space="0" w:color="auto"/>
              <w:right w:val="nil"/>
            </w:tcBorders>
            <w:vAlign w:val="center"/>
            <w:hideMark/>
          </w:tcPr>
          <w:p w14:paraId="05901E94" w14:textId="77777777" w:rsidR="004C1709" w:rsidRPr="009D29EA" w:rsidRDefault="004C1709" w:rsidP="00433832">
            <w:pPr>
              <w:spacing w:line="240" w:lineRule="auto"/>
              <w:rPr>
                <w:rFonts w:eastAsia="Times New Roman" w:cs="Times New Roman"/>
                <w:b/>
                <w:bCs/>
                <w:color w:val="000000"/>
                <w:sz w:val="18"/>
                <w:szCs w:val="18"/>
                <w:lang w:eastAsia="sk-SK"/>
              </w:rPr>
            </w:pPr>
          </w:p>
        </w:tc>
        <w:tc>
          <w:tcPr>
            <w:tcW w:w="509" w:type="pct"/>
            <w:tcBorders>
              <w:top w:val="nil"/>
              <w:left w:val="nil"/>
              <w:bottom w:val="single" w:sz="4" w:space="0" w:color="auto"/>
              <w:right w:val="nil"/>
            </w:tcBorders>
            <w:vAlign w:val="center"/>
            <w:hideMark/>
          </w:tcPr>
          <w:p w14:paraId="04F1CB97"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1</w:t>
            </w:r>
          </w:p>
        </w:tc>
        <w:tc>
          <w:tcPr>
            <w:tcW w:w="509" w:type="pct"/>
            <w:tcBorders>
              <w:top w:val="nil"/>
              <w:left w:val="nil"/>
              <w:bottom w:val="single" w:sz="4" w:space="0" w:color="auto"/>
              <w:right w:val="nil"/>
            </w:tcBorders>
            <w:vAlign w:val="center"/>
            <w:hideMark/>
          </w:tcPr>
          <w:p w14:paraId="4B1C1FB2"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2</w:t>
            </w:r>
          </w:p>
        </w:tc>
        <w:tc>
          <w:tcPr>
            <w:tcW w:w="509" w:type="pct"/>
            <w:tcBorders>
              <w:top w:val="nil"/>
              <w:left w:val="nil"/>
              <w:bottom w:val="single" w:sz="4" w:space="0" w:color="auto"/>
              <w:right w:val="nil"/>
            </w:tcBorders>
            <w:vAlign w:val="center"/>
            <w:hideMark/>
          </w:tcPr>
          <w:p w14:paraId="10F8C037"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3</w:t>
            </w:r>
          </w:p>
        </w:tc>
        <w:tc>
          <w:tcPr>
            <w:tcW w:w="509" w:type="pct"/>
            <w:tcBorders>
              <w:top w:val="nil"/>
              <w:left w:val="nil"/>
              <w:bottom w:val="single" w:sz="4" w:space="0" w:color="auto"/>
              <w:right w:val="nil"/>
            </w:tcBorders>
            <w:vAlign w:val="center"/>
            <w:hideMark/>
          </w:tcPr>
          <w:p w14:paraId="31F2BB93"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4</w:t>
            </w:r>
          </w:p>
        </w:tc>
        <w:tc>
          <w:tcPr>
            <w:tcW w:w="572" w:type="pct"/>
            <w:tcBorders>
              <w:top w:val="nil"/>
              <w:left w:val="nil"/>
              <w:bottom w:val="single" w:sz="4" w:space="0" w:color="auto"/>
              <w:right w:val="nil"/>
            </w:tcBorders>
            <w:vAlign w:val="center"/>
            <w:hideMark/>
          </w:tcPr>
          <w:p w14:paraId="4812B5B7" w14:textId="77777777" w:rsidR="004C1709" w:rsidRPr="009D29EA" w:rsidRDefault="004C1709" w:rsidP="00433832">
            <w:pPr>
              <w:spacing w:line="240" w:lineRule="auto"/>
              <w:jc w:val="center"/>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5=4-3</w:t>
            </w:r>
          </w:p>
        </w:tc>
      </w:tr>
      <w:tr w:rsidR="004C1709" w:rsidRPr="009D29EA" w14:paraId="5BF89730" w14:textId="77777777" w:rsidTr="004C1709">
        <w:trPr>
          <w:trHeight w:val="289"/>
        </w:trPr>
        <w:tc>
          <w:tcPr>
            <w:tcW w:w="2391" w:type="pct"/>
            <w:tcBorders>
              <w:top w:val="single" w:sz="4" w:space="0" w:color="auto"/>
              <w:left w:val="nil"/>
              <w:bottom w:val="nil"/>
              <w:right w:val="nil"/>
            </w:tcBorders>
            <w:vAlign w:val="center"/>
            <w:hideMark/>
          </w:tcPr>
          <w:p w14:paraId="673B6642"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v rámci verejnej správy</w:t>
            </w:r>
          </w:p>
        </w:tc>
        <w:tc>
          <w:tcPr>
            <w:tcW w:w="509" w:type="pct"/>
            <w:tcBorders>
              <w:top w:val="single" w:sz="4" w:space="0" w:color="auto"/>
              <w:left w:val="nil"/>
              <w:bottom w:val="nil"/>
              <w:right w:val="nil"/>
            </w:tcBorders>
            <w:noWrap/>
            <w:vAlign w:val="center"/>
            <w:hideMark/>
          </w:tcPr>
          <w:p w14:paraId="6CCED508"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2 769 589</w:t>
            </w:r>
          </w:p>
        </w:tc>
        <w:tc>
          <w:tcPr>
            <w:tcW w:w="509" w:type="pct"/>
            <w:tcBorders>
              <w:top w:val="single" w:sz="4" w:space="0" w:color="auto"/>
              <w:left w:val="nil"/>
              <w:bottom w:val="nil"/>
              <w:right w:val="nil"/>
            </w:tcBorders>
            <w:noWrap/>
            <w:vAlign w:val="center"/>
          </w:tcPr>
          <w:p w14:paraId="55CF72B1"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1 800 489</w:t>
            </w:r>
          </w:p>
        </w:tc>
        <w:tc>
          <w:tcPr>
            <w:tcW w:w="509" w:type="pct"/>
            <w:tcBorders>
              <w:top w:val="single" w:sz="4" w:space="0" w:color="auto"/>
              <w:left w:val="nil"/>
              <w:bottom w:val="nil"/>
              <w:right w:val="nil"/>
            </w:tcBorders>
            <w:noWrap/>
            <w:vAlign w:val="center"/>
          </w:tcPr>
          <w:p w14:paraId="126FC19A"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624 003</w:t>
            </w:r>
          </w:p>
        </w:tc>
        <w:tc>
          <w:tcPr>
            <w:tcW w:w="509" w:type="pct"/>
            <w:tcBorders>
              <w:top w:val="single" w:sz="4" w:space="0" w:color="auto"/>
              <w:left w:val="nil"/>
              <w:bottom w:val="nil"/>
              <w:right w:val="nil"/>
            </w:tcBorders>
            <w:noWrap/>
            <w:vAlign w:val="center"/>
          </w:tcPr>
          <w:p w14:paraId="6462E77E"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2 478 676</w:t>
            </w:r>
          </w:p>
        </w:tc>
        <w:tc>
          <w:tcPr>
            <w:tcW w:w="572" w:type="pct"/>
            <w:tcBorders>
              <w:top w:val="single" w:sz="4" w:space="0" w:color="auto"/>
              <w:left w:val="nil"/>
              <w:bottom w:val="nil"/>
              <w:right w:val="nil"/>
            </w:tcBorders>
            <w:noWrap/>
            <w:vAlign w:val="center"/>
          </w:tcPr>
          <w:p w14:paraId="4157AF9B" w14:textId="46CE2371"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1 854 </w:t>
            </w:r>
            <w:r w:rsidR="002C6038">
              <w:rPr>
                <w:rFonts w:eastAsia="Times New Roman" w:cs="Times New Roman"/>
                <w:color w:val="000000"/>
                <w:sz w:val="18"/>
                <w:szCs w:val="18"/>
                <w:lang w:eastAsia="sk-SK"/>
              </w:rPr>
              <w:t>674</w:t>
            </w:r>
          </w:p>
        </w:tc>
      </w:tr>
      <w:tr w:rsidR="004C1709" w:rsidRPr="009D29EA" w14:paraId="55DFBCE7" w14:textId="77777777" w:rsidTr="004C1709">
        <w:trPr>
          <w:trHeight w:val="289"/>
        </w:trPr>
        <w:tc>
          <w:tcPr>
            <w:tcW w:w="2391" w:type="pct"/>
            <w:tcBorders>
              <w:top w:val="nil"/>
              <w:left w:val="nil"/>
              <w:bottom w:val="nil"/>
              <w:right w:val="nil"/>
            </w:tcBorders>
            <w:vAlign w:val="center"/>
            <w:hideMark/>
          </w:tcPr>
          <w:p w14:paraId="6ACCEA05"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 xml:space="preserve">   </w:t>
            </w:r>
            <w:r w:rsidRPr="009D29EA">
              <w:rPr>
                <w:rFonts w:eastAsia="Times New Roman" w:cs="Times New Roman"/>
                <w:color w:val="000000"/>
                <w:sz w:val="18"/>
                <w:szCs w:val="18"/>
                <w:lang w:eastAsia="sk-SK"/>
              </w:rPr>
              <w:t>z toho</w:t>
            </w:r>
          </w:p>
        </w:tc>
        <w:tc>
          <w:tcPr>
            <w:tcW w:w="509" w:type="pct"/>
            <w:tcBorders>
              <w:top w:val="nil"/>
              <w:left w:val="nil"/>
              <w:bottom w:val="nil"/>
              <w:right w:val="nil"/>
            </w:tcBorders>
            <w:noWrap/>
            <w:vAlign w:val="center"/>
            <w:hideMark/>
          </w:tcPr>
          <w:p w14:paraId="523ABCFF" w14:textId="77777777" w:rsidR="004C1709" w:rsidRPr="009D29EA" w:rsidRDefault="004C1709" w:rsidP="00433832">
            <w:pPr>
              <w:spacing w:line="240" w:lineRule="auto"/>
              <w:rPr>
                <w:rFonts w:eastAsia="Times New Roman" w:cs="Times New Roman"/>
                <w:color w:val="000000"/>
                <w:sz w:val="18"/>
                <w:szCs w:val="18"/>
                <w:lang w:eastAsia="sk-SK"/>
              </w:rPr>
            </w:pPr>
          </w:p>
        </w:tc>
        <w:tc>
          <w:tcPr>
            <w:tcW w:w="509" w:type="pct"/>
            <w:tcBorders>
              <w:top w:val="nil"/>
              <w:left w:val="nil"/>
              <w:bottom w:val="nil"/>
              <w:right w:val="nil"/>
            </w:tcBorders>
            <w:noWrap/>
            <w:vAlign w:val="center"/>
          </w:tcPr>
          <w:p w14:paraId="32717427" w14:textId="77777777" w:rsidR="004C1709" w:rsidRPr="009D29EA" w:rsidRDefault="004C1709" w:rsidP="00433832">
            <w:pPr>
              <w:spacing w:line="240" w:lineRule="auto"/>
              <w:jc w:val="right"/>
              <w:rPr>
                <w:rFonts w:eastAsia="Times New Roman" w:cs="Times New Roman"/>
                <w:sz w:val="20"/>
                <w:szCs w:val="20"/>
                <w:lang w:eastAsia="sk-SK"/>
              </w:rPr>
            </w:pPr>
          </w:p>
        </w:tc>
        <w:tc>
          <w:tcPr>
            <w:tcW w:w="509" w:type="pct"/>
            <w:tcBorders>
              <w:top w:val="nil"/>
              <w:left w:val="nil"/>
              <w:bottom w:val="nil"/>
              <w:right w:val="nil"/>
            </w:tcBorders>
            <w:noWrap/>
            <w:vAlign w:val="center"/>
          </w:tcPr>
          <w:p w14:paraId="4581DD20" w14:textId="77777777" w:rsidR="004C1709" w:rsidRPr="009D29EA" w:rsidRDefault="004C1709" w:rsidP="00433832">
            <w:pPr>
              <w:spacing w:line="240" w:lineRule="auto"/>
              <w:jc w:val="right"/>
              <w:rPr>
                <w:rFonts w:eastAsia="Times New Roman" w:cs="Times New Roman"/>
                <w:sz w:val="20"/>
                <w:szCs w:val="20"/>
                <w:lang w:eastAsia="sk-SK"/>
              </w:rPr>
            </w:pPr>
          </w:p>
        </w:tc>
        <w:tc>
          <w:tcPr>
            <w:tcW w:w="509" w:type="pct"/>
            <w:tcBorders>
              <w:top w:val="nil"/>
              <w:left w:val="nil"/>
              <w:bottom w:val="nil"/>
              <w:right w:val="nil"/>
            </w:tcBorders>
            <w:noWrap/>
            <w:vAlign w:val="center"/>
          </w:tcPr>
          <w:p w14:paraId="220CF01D" w14:textId="77777777" w:rsidR="004C1709" w:rsidRPr="009D29EA" w:rsidRDefault="004C1709" w:rsidP="00433832">
            <w:pPr>
              <w:spacing w:line="240" w:lineRule="auto"/>
              <w:jc w:val="right"/>
              <w:rPr>
                <w:rFonts w:eastAsia="Times New Roman" w:cs="Times New Roman"/>
                <w:sz w:val="20"/>
                <w:szCs w:val="20"/>
                <w:lang w:eastAsia="sk-SK"/>
              </w:rPr>
            </w:pPr>
          </w:p>
        </w:tc>
        <w:tc>
          <w:tcPr>
            <w:tcW w:w="572" w:type="pct"/>
            <w:tcBorders>
              <w:top w:val="nil"/>
              <w:left w:val="nil"/>
              <w:bottom w:val="nil"/>
              <w:right w:val="nil"/>
            </w:tcBorders>
            <w:noWrap/>
            <w:vAlign w:val="center"/>
          </w:tcPr>
          <w:p w14:paraId="65645A0E" w14:textId="77777777" w:rsidR="004C1709" w:rsidRPr="009D29EA" w:rsidRDefault="004C1709" w:rsidP="00433832">
            <w:pPr>
              <w:spacing w:line="240" w:lineRule="auto"/>
              <w:jc w:val="right"/>
              <w:rPr>
                <w:rFonts w:eastAsia="Times New Roman" w:cs="Times New Roman"/>
                <w:sz w:val="20"/>
                <w:szCs w:val="20"/>
                <w:lang w:eastAsia="sk-SK"/>
              </w:rPr>
            </w:pPr>
          </w:p>
        </w:tc>
      </w:tr>
      <w:tr w:rsidR="004C1709" w:rsidRPr="009D29EA" w14:paraId="2845FF3E" w14:textId="77777777" w:rsidTr="004C1709">
        <w:trPr>
          <w:trHeight w:val="289"/>
        </w:trPr>
        <w:tc>
          <w:tcPr>
            <w:tcW w:w="2391" w:type="pct"/>
            <w:tcBorders>
              <w:top w:val="nil"/>
              <w:left w:val="nil"/>
              <w:bottom w:val="nil"/>
              <w:right w:val="nil"/>
            </w:tcBorders>
            <w:vAlign w:val="center"/>
            <w:hideMark/>
          </w:tcPr>
          <w:p w14:paraId="035EC064"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Štátnym p</w:t>
            </w:r>
            <w:r w:rsidRPr="009D29EA">
              <w:rPr>
                <w:rFonts w:eastAsia="Times New Roman" w:cs="Times New Roman"/>
                <w:color w:val="000000"/>
                <w:sz w:val="18"/>
                <w:szCs w:val="18"/>
                <w:lang w:eastAsia="sk-SK"/>
              </w:rPr>
              <w:t>ríspevkovým organizáciám</w:t>
            </w:r>
          </w:p>
        </w:tc>
        <w:tc>
          <w:tcPr>
            <w:tcW w:w="509" w:type="pct"/>
            <w:tcBorders>
              <w:top w:val="nil"/>
              <w:left w:val="nil"/>
              <w:bottom w:val="nil"/>
              <w:right w:val="nil"/>
            </w:tcBorders>
            <w:noWrap/>
            <w:vAlign w:val="center"/>
            <w:hideMark/>
          </w:tcPr>
          <w:p w14:paraId="650760F7"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443 076</w:t>
            </w:r>
          </w:p>
        </w:tc>
        <w:tc>
          <w:tcPr>
            <w:tcW w:w="509" w:type="pct"/>
            <w:tcBorders>
              <w:top w:val="nil"/>
              <w:left w:val="nil"/>
              <w:bottom w:val="nil"/>
              <w:right w:val="nil"/>
            </w:tcBorders>
            <w:noWrap/>
            <w:vAlign w:val="center"/>
          </w:tcPr>
          <w:p w14:paraId="671FDD1D"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353 383</w:t>
            </w:r>
          </w:p>
        </w:tc>
        <w:tc>
          <w:tcPr>
            <w:tcW w:w="509" w:type="pct"/>
            <w:tcBorders>
              <w:top w:val="nil"/>
              <w:left w:val="nil"/>
              <w:bottom w:val="nil"/>
              <w:right w:val="nil"/>
            </w:tcBorders>
            <w:noWrap/>
            <w:vAlign w:val="center"/>
          </w:tcPr>
          <w:p w14:paraId="4C728544"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18 766</w:t>
            </w:r>
          </w:p>
        </w:tc>
        <w:tc>
          <w:tcPr>
            <w:tcW w:w="509" w:type="pct"/>
            <w:tcBorders>
              <w:top w:val="nil"/>
              <w:left w:val="nil"/>
              <w:bottom w:val="nil"/>
              <w:right w:val="nil"/>
            </w:tcBorders>
            <w:noWrap/>
            <w:vAlign w:val="center"/>
          </w:tcPr>
          <w:p w14:paraId="606F5279" w14:textId="06463095"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621 </w:t>
            </w:r>
            <w:r w:rsidR="002C6038">
              <w:rPr>
                <w:rFonts w:eastAsia="Times New Roman" w:cs="Times New Roman"/>
                <w:color w:val="000000"/>
                <w:sz w:val="18"/>
                <w:szCs w:val="18"/>
                <w:lang w:eastAsia="sk-SK"/>
              </w:rPr>
              <w:t>316</w:t>
            </w:r>
          </w:p>
        </w:tc>
        <w:tc>
          <w:tcPr>
            <w:tcW w:w="572" w:type="pct"/>
            <w:tcBorders>
              <w:top w:val="nil"/>
              <w:left w:val="nil"/>
              <w:bottom w:val="nil"/>
              <w:right w:val="nil"/>
            </w:tcBorders>
            <w:noWrap/>
            <w:vAlign w:val="center"/>
          </w:tcPr>
          <w:p w14:paraId="29BBE4D1" w14:textId="789E83CA"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602 </w:t>
            </w:r>
            <w:r w:rsidR="002C6038">
              <w:rPr>
                <w:rFonts w:eastAsia="Times New Roman" w:cs="Times New Roman"/>
                <w:color w:val="000000"/>
                <w:sz w:val="18"/>
                <w:szCs w:val="18"/>
                <w:lang w:eastAsia="sk-SK"/>
              </w:rPr>
              <w:t>550</w:t>
            </w:r>
          </w:p>
        </w:tc>
      </w:tr>
      <w:tr w:rsidR="004C1709" w:rsidRPr="009D29EA" w14:paraId="7A2DEA05" w14:textId="77777777" w:rsidTr="004C1709">
        <w:trPr>
          <w:trHeight w:val="289"/>
        </w:trPr>
        <w:tc>
          <w:tcPr>
            <w:tcW w:w="2391" w:type="pct"/>
            <w:tcBorders>
              <w:top w:val="nil"/>
              <w:left w:val="nil"/>
              <w:bottom w:val="nil"/>
              <w:right w:val="nil"/>
            </w:tcBorders>
            <w:vAlign w:val="center"/>
            <w:hideMark/>
          </w:tcPr>
          <w:p w14:paraId="205DB4C8"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Obci</w:t>
            </w:r>
          </w:p>
        </w:tc>
        <w:tc>
          <w:tcPr>
            <w:tcW w:w="509" w:type="pct"/>
            <w:tcBorders>
              <w:top w:val="nil"/>
              <w:left w:val="nil"/>
              <w:bottom w:val="nil"/>
              <w:right w:val="nil"/>
            </w:tcBorders>
            <w:noWrap/>
            <w:vAlign w:val="center"/>
            <w:hideMark/>
          </w:tcPr>
          <w:p w14:paraId="45ED2C88"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577 263</w:t>
            </w:r>
          </w:p>
        </w:tc>
        <w:tc>
          <w:tcPr>
            <w:tcW w:w="509" w:type="pct"/>
            <w:tcBorders>
              <w:top w:val="nil"/>
              <w:left w:val="nil"/>
              <w:bottom w:val="nil"/>
              <w:right w:val="nil"/>
            </w:tcBorders>
            <w:noWrap/>
            <w:vAlign w:val="center"/>
          </w:tcPr>
          <w:p w14:paraId="36D22903"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391 727</w:t>
            </w:r>
          </w:p>
        </w:tc>
        <w:tc>
          <w:tcPr>
            <w:tcW w:w="509" w:type="pct"/>
            <w:tcBorders>
              <w:top w:val="nil"/>
              <w:left w:val="nil"/>
              <w:bottom w:val="nil"/>
              <w:right w:val="nil"/>
            </w:tcBorders>
            <w:noWrap/>
            <w:vAlign w:val="center"/>
          </w:tcPr>
          <w:p w14:paraId="377C1622"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52 248</w:t>
            </w:r>
          </w:p>
        </w:tc>
        <w:tc>
          <w:tcPr>
            <w:tcW w:w="509" w:type="pct"/>
            <w:tcBorders>
              <w:top w:val="nil"/>
              <w:left w:val="nil"/>
              <w:bottom w:val="nil"/>
              <w:right w:val="nil"/>
            </w:tcBorders>
            <w:noWrap/>
            <w:vAlign w:val="center"/>
          </w:tcPr>
          <w:p w14:paraId="2E69D91D" w14:textId="3EDF050A"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608 </w:t>
            </w:r>
            <w:r w:rsidR="002C6038">
              <w:rPr>
                <w:rFonts w:eastAsia="Times New Roman" w:cs="Times New Roman"/>
                <w:color w:val="000000"/>
                <w:sz w:val="18"/>
                <w:szCs w:val="18"/>
                <w:lang w:eastAsia="sk-SK"/>
              </w:rPr>
              <w:t>987</w:t>
            </w:r>
          </w:p>
        </w:tc>
        <w:tc>
          <w:tcPr>
            <w:tcW w:w="572" w:type="pct"/>
            <w:tcBorders>
              <w:top w:val="nil"/>
              <w:left w:val="nil"/>
              <w:bottom w:val="nil"/>
              <w:right w:val="nil"/>
            </w:tcBorders>
            <w:noWrap/>
            <w:vAlign w:val="center"/>
          </w:tcPr>
          <w:p w14:paraId="2DBB014E" w14:textId="1CF601E4"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556 </w:t>
            </w:r>
            <w:r w:rsidR="002C6038">
              <w:rPr>
                <w:rFonts w:eastAsia="Times New Roman" w:cs="Times New Roman"/>
                <w:color w:val="000000"/>
                <w:sz w:val="18"/>
                <w:szCs w:val="18"/>
                <w:lang w:eastAsia="sk-SK"/>
              </w:rPr>
              <w:t>739</w:t>
            </w:r>
          </w:p>
        </w:tc>
      </w:tr>
      <w:tr w:rsidR="004C1709" w:rsidRPr="009D29EA" w14:paraId="79DEB23F" w14:textId="77777777" w:rsidTr="004C1709">
        <w:trPr>
          <w:trHeight w:val="289"/>
        </w:trPr>
        <w:tc>
          <w:tcPr>
            <w:tcW w:w="2391" w:type="pct"/>
            <w:tcBorders>
              <w:top w:val="nil"/>
              <w:left w:val="nil"/>
              <w:bottom w:val="nil"/>
              <w:right w:val="nil"/>
            </w:tcBorders>
            <w:vAlign w:val="center"/>
            <w:hideMark/>
          </w:tcPr>
          <w:p w14:paraId="4E77B61B"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Železniciam SR</w:t>
            </w:r>
          </w:p>
        </w:tc>
        <w:tc>
          <w:tcPr>
            <w:tcW w:w="509" w:type="pct"/>
            <w:tcBorders>
              <w:top w:val="nil"/>
              <w:left w:val="nil"/>
              <w:bottom w:val="nil"/>
              <w:right w:val="nil"/>
            </w:tcBorders>
            <w:noWrap/>
            <w:vAlign w:val="center"/>
            <w:hideMark/>
          </w:tcPr>
          <w:p w14:paraId="6192000D"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263 153</w:t>
            </w:r>
          </w:p>
        </w:tc>
        <w:tc>
          <w:tcPr>
            <w:tcW w:w="509" w:type="pct"/>
            <w:tcBorders>
              <w:top w:val="nil"/>
              <w:left w:val="nil"/>
              <w:bottom w:val="nil"/>
              <w:right w:val="nil"/>
            </w:tcBorders>
            <w:noWrap/>
            <w:vAlign w:val="center"/>
          </w:tcPr>
          <w:p w14:paraId="3918CF2F"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267 350</w:t>
            </w:r>
          </w:p>
        </w:tc>
        <w:tc>
          <w:tcPr>
            <w:tcW w:w="509" w:type="pct"/>
            <w:tcBorders>
              <w:top w:val="nil"/>
              <w:left w:val="nil"/>
              <w:bottom w:val="nil"/>
              <w:right w:val="nil"/>
            </w:tcBorders>
            <w:noWrap/>
            <w:vAlign w:val="center"/>
          </w:tcPr>
          <w:p w14:paraId="07D11D76"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348 969</w:t>
            </w:r>
          </w:p>
        </w:tc>
        <w:tc>
          <w:tcPr>
            <w:tcW w:w="509" w:type="pct"/>
            <w:tcBorders>
              <w:top w:val="nil"/>
              <w:left w:val="nil"/>
              <w:bottom w:val="nil"/>
              <w:right w:val="nil"/>
            </w:tcBorders>
            <w:noWrap/>
            <w:vAlign w:val="center"/>
          </w:tcPr>
          <w:p w14:paraId="7C63F41B"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480 772</w:t>
            </w:r>
          </w:p>
        </w:tc>
        <w:tc>
          <w:tcPr>
            <w:tcW w:w="572" w:type="pct"/>
            <w:tcBorders>
              <w:top w:val="nil"/>
              <w:left w:val="nil"/>
              <w:bottom w:val="nil"/>
              <w:right w:val="nil"/>
            </w:tcBorders>
            <w:noWrap/>
            <w:vAlign w:val="center"/>
          </w:tcPr>
          <w:p w14:paraId="2198B183"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131 803</w:t>
            </w:r>
          </w:p>
        </w:tc>
      </w:tr>
      <w:tr w:rsidR="004C1709" w:rsidRPr="009D29EA" w14:paraId="3B5DFC60" w14:textId="77777777" w:rsidTr="004C1709">
        <w:trPr>
          <w:trHeight w:val="289"/>
        </w:trPr>
        <w:tc>
          <w:tcPr>
            <w:tcW w:w="2391" w:type="pct"/>
            <w:tcBorders>
              <w:top w:val="nil"/>
              <w:left w:val="nil"/>
              <w:bottom w:val="nil"/>
              <w:right w:val="nil"/>
            </w:tcBorders>
            <w:vAlign w:val="center"/>
            <w:hideMark/>
          </w:tcPr>
          <w:p w14:paraId="6F691BE9"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Národnej diaľničnej spoločnosti, a.</w:t>
            </w:r>
            <w:r>
              <w:rPr>
                <w:rFonts w:eastAsia="Times New Roman" w:cs="Times New Roman"/>
                <w:color w:val="000000"/>
                <w:sz w:val="18"/>
                <w:szCs w:val="18"/>
                <w:lang w:eastAsia="sk-SK"/>
              </w:rPr>
              <w:t> </w:t>
            </w:r>
            <w:r w:rsidRPr="009D29EA">
              <w:rPr>
                <w:rFonts w:eastAsia="Times New Roman" w:cs="Times New Roman"/>
                <w:color w:val="000000"/>
                <w:sz w:val="18"/>
                <w:szCs w:val="18"/>
                <w:lang w:eastAsia="sk-SK"/>
              </w:rPr>
              <w:t>s.</w:t>
            </w:r>
          </w:p>
        </w:tc>
        <w:tc>
          <w:tcPr>
            <w:tcW w:w="509" w:type="pct"/>
            <w:tcBorders>
              <w:top w:val="nil"/>
              <w:left w:val="nil"/>
              <w:bottom w:val="nil"/>
              <w:right w:val="nil"/>
            </w:tcBorders>
            <w:noWrap/>
            <w:vAlign w:val="center"/>
            <w:hideMark/>
          </w:tcPr>
          <w:p w14:paraId="2E60B1C2"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482 116</w:t>
            </w:r>
          </w:p>
        </w:tc>
        <w:tc>
          <w:tcPr>
            <w:tcW w:w="509" w:type="pct"/>
            <w:tcBorders>
              <w:top w:val="nil"/>
              <w:left w:val="nil"/>
              <w:bottom w:val="nil"/>
              <w:right w:val="nil"/>
            </w:tcBorders>
            <w:noWrap/>
            <w:vAlign w:val="center"/>
          </w:tcPr>
          <w:p w14:paraId="4E90198C"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462 600</w:t>
            </w:r>
          </w:p>
        </w:tc>
        <w:tc>
          <w:tcPr>
            <w:tcW w:w="509" w:type="pct"/>
            <w:tcBorders>
              <w:top w:val="nil"/>
              <w:left w:val="nil"/>
              <w:bottom w:val="nil"/>
              <w:right w:val="nil"/>
            </w:tcBorders>
            <w:noWrap/>
            <w:vAlign w:val="center"/>
          </w:tcPr>
          <w:p w14:paraId="0930E0EF"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84 875</w:t>
            </w:r>
          </w:p>
        </w:tc>
        <w:tc>
          <w:tcPr>
            <w:tcW w:w="509" w:type="pct"/>
            <w:tcBorders>
              <w:top w:val="nil"/>
              <w:left w:val="nil"/>
              <w:bottom w:val="nil"/>
              <w:right w:val="nil"/>
            </w:tcBorders>
            <w:noWrap/>
            <w:vAlign w:val="center"/>
          </w:tcPr>
          <w:p w14:paraId="3331F8D5"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277 897</w:t>
            </w:r>
          </w:p>
        </w:tc>
        <w:tc>
          <w:tcPr>
            <w:tcW w:w="572" w:type="pct"/>
            <w:tcBorders>
              <w:top w:val="nil"/>
              <w:left w:val="nil"/>
              <w:bottom w:val="nil"/>
              <w:right w:val="nil"/>
            </w:tcBorders>
            <w:noWrap/>
            <w:vAlign w:val="center"/>
          </w:tcPr>
          <w:p w14:paraId="1F23CC36"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193 022</w:t>
            </w:r>
          </w:p>
        </w:tc>
      </w:tr>
      <w:tr w:rsidR="004C1709" w:rsidRPr="009D29EA" w14:paraId="5C586089" w14:textId="77777777" w:rsidTr="004C1709">
        <w:trPr>
          <w:trHeight w:val="289"/>
        </w:trPr>
        <w:tc>
          <w:tcPr>
            <w:tcW w:w="2391" w:type="pct"/>
            <w:tcBorders>
              <w:top w:val="nil"/>
              <w:left w:val="nil"/>
              <w:bottom w:val="nil"/>
              <w:right w:val="nil"/>
            </w:tcBorders>
            <w:vAlign w:val="center"/>
            <w:hideMark/>
          </w:tcPr>
          <w:p w14:paraId="1FA7B0AA"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Verejným vysokým školám</w:t>
            </w:r>
          </w:p>
        </w:tc>
        <w:tc>
          <w:tcPr>
            <w:tcW w:w="509" w:type="pct"/>
            <w:tcBorders>
              <w:top w:val="nil"/>
              <w:left w:val="nil"/>
              <w:bottom w:val="nil"/>
              <w:right w:val="nil"/>
            </w:tcBorders>
            <w:noWrap/>
            <w:vAlign w:val="center"/>
            <w:hideMark/>
          </w:tcPr>
          <w:p w14:paraId="7F312FAA"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131 859</w:t>
            </w:r>
          </w:p>
        </w:tc>
        <w:tc>
          <w:tcPr>
            <w:tcW w:w="509" w:type="pct"/>
            <w:tcBorders>
              <w:top w:val="nil"/>
              <w:left w:val="nil"/>
              <w:bottom w:val="nil"/>
              <w:right w:val="nil"/>
            </w:tcBorders>
            <w:noWrap/>
            <w:vAlign w:val="center"/>
          </w:tcPr>
          <w:p w14:paraId="1CFE78A8"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45 812</w:t>
            </w:r>
          </w:p>
        </w:tc>
        <w:tc>
          <w:tcPr>
            <w:tcW w:w="509" w:type="pct"/>
            <w:tcBorders>
              <w:top w:val="nil"/>
              <w:left w:val="nil"/>
              <w:bottom w:val="nil"/>
              <w:right w:val="nil"/>
            </w:tcBorders>
            <w:noWrap/>
            <w:vAlign w:val="center"/>
          </w:tcPr>
          <w:p w14:paraId="69678E16"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67 436</w:t>
            </w:r>
          </w:p>
        </w:tc>
        <w:tc>
          <w:tcPr>
            <w:tcW w:w="509" w:type="pct"/>
            <w:tcBorders>
              <w:top w:val="nil"/>
              <w:left w:val="nil"/>
              <w:bottom w:val="nil"/>
              <w:right w:val="nil"/>
            </w:tcBorders>
            <w:noWrap/>
            <w:vAlign w:val="center"/>
          </w:tcPr>
          <w:p w14:paraId="44C2BFA7"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180 928</w:t>
            </w:r>
          </w:p>
        </w:tc>
        <w:tc>
          <w:tcPr>
            <w:tcW w:w="572" w:type="pct"/>
            <w:tcBorders>
              <w:top w:val="nil"/>
              <w:left w:val="nil"/>
              <w:bottom w:val="nil"/>
              <w:right w:val="nil"/>
            </w:tcBorders>
            <w:noWrap/>
            <w:vAlign w:val="center"/>
          </w:tcPr>
          <w:p w14:paraId="7E3F4574"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113 492</w:t>
            </w:r>
          </w:p>
        </w:tc>
      </w:tr>
      <w:tr w:rsidR="004C1709" w:rsidRPr="009D29EA" w14:paraId="646E1FCB" w14:textId="77777777" w:rsidTr="004C1709">
        <w:trPr>
          <w:trHeight w:val="289"/>
        </w:trPr>
        <w:tc>
          <w:tcPr>
            <w:tcW w:w="2391" w:type="pct"/>
            <w:tcBorders>
              <w:top w:val="nil"/>
              <w:left w:val="nil"/>
              <w:bottom w:val="nil"/>
              <w:right w:val="nil"/>
            </w:tcBorders>
            <w:vAlign w:val="center"/>
            <w:hideMark/>
          </w:tcPr>
          <w:p w14:paraId="457C491A"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Vyššiemu územnému celku</w:t>
            </w:r>
          </w:p>
        </w:tc>
        <w:tc>
          <w:tcPr>
            <w:tcW w:w="509" w:type="pct"/>
            <w:tcBorders>
              <w:top w:val="nil"/>
              <w:left w:val="nil"/>
              <w:bottom w:val="nil"/>
              <w:right w:val="nil"/>
            </w:tcBorders>
            <w:noWrap/>
            <w:vAlign w:val="center"/>
            <w:hideMark/>
          </w:tcPr>
          <w:p w14:paraId="4C0D4269"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308 456</w:t>
            </w:r>
          </w:p>
        </w:tc>
        <w:tc>
          <w:tcPr>
            <w:tcW w:w="509" w:type="pct"/>
            <w:tcBorders>
              <w:top w:val="nil"/>
              <w:left w:val="nil"/>
              <w:bottom w:val="nil"/>
              <w:right w:val="nil"/>
            </w:tcBorders>
            <w:noWrap/>
            <w:vAlign w:val="center"/>
          </w:tcPr>
          <w:p w14:paraId="33B9996D"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73 572</w:t>
            </w:r>
          </w:p>
        </w:tc>
        <w:tc>
          <w:tcPr>
            <w:tcW w:w="509" w:type="pct"/>
            <w:tcBorders>
              <w:top w:val="nil"/>
              <w:left w:val="nil"/>
              <w:bottom w:val="nil"/>
              <w:right w:val="nil"/>
            </w:tcBorders>
            <w:noWrap/>
            <w:vAlign w:val="center"/>
          </w:tcPr>
          <w:p w14:paraId="723FB7EC"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500</w:t>
            </w:r>
          </w:p>
        </w:tc>
        <w:tc>
          <w:tcPr>
            <w:tcW w:w="509" w:type="pct"/>
            <w:tcBorders>
              <w:top w:val="nil"/>
              <w:left w:val="nil"/>
              <w:bottom w:val="nil"/>
              <w:right w:val="nil"/>
            </w:tcBorders>
            <w:noWrap/>
            <w:vAlign w:val="center"/>
          </w:tcPr>
          <w:p w14:paraId="117FC3F6" w14:textId="78B6EB82"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66 </w:t>
            </w:r>
            <w:r w:rsidR="002C6038">
              <w:rPr>
                <w:rFonts w:eastAsia="Times New Roman" w:cs="Times New Roman"/>
                <w:color w:val="000000"/>
                <w:sz w:val="18"/>
                <w:szCs w:val="18"/>
                <w:lang w:eastAsia="sk-SK"/>
              </w:rPr>
              <w:t>389</w:t>
            </w:r>
          </w:p>
        </w:tc>
        <w:tc>
          <w:tcPr>
            <w:tcW w:w="572" w:type="pct"/>
            <w:tcBorders>
              <w:top w:val="nil"/>
              <w:left w:val="nil"/>
              <w:bottom w:val="nil"/>
              <w:right w:val="nil"/>
            </w:tcBorders>
            <w:noWrap/>
            <w:vAlign w:val="center"/>
          </w:tcPr>
          <w:p w14:paraId="6D8D6525" w14:textId="09D7ABB8"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65 </w:t>
            </w:r>
            <w:r w:rsidR="002C6038">
              <w:rPr>
                <w:rFonts w:eastAsia="Times New Roman" w:cs="Times New Roman"/>
                <w:color w:val="000000"/>
                <w:sz w:val="18"/>
                <w:szCs w:val="18"/>
                <w:lang w:eastAsia="sk-SK"/>
              </w:rPr>
              <w:t>889</w:t>
            </w:r>
          </w:p>
        </w:tc>
      </w:tr>
      <w:tr w:rsidR="004C1709" w:rsidRPr="009D29EA" w14:paraId="7C0A3197" w14:textId="77777777" w:rsidTr="004C1709">
        <w:trPr>
          <w:trHeight w:val="289"/>
        </w:trPr>
        <w:tc>
          <w:tcPr>
            <w:tcW w:w="2391" w:type="pct"/>
            <w:tcBorders>
              <w:top w:val="nil"/>
              <w:left w:val="nil"/>
              <w:bottom w:val="nil"/>
              <w:right w:val="nil"/>
            </w:tcBorders>
            <w:vAlign w:val="center"/>
            <w:hideMark/>
          </w:tcPr>
          <w:p w14:paraId="6FC6A98D"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Železničnej spoločnosti Slovensko</w:t>
            </w:r>
          </w:p>
        </w:tc>
        <w:tc>
          <w:tcPr>
            <w:tcW w:w="509" w:type="pct"/>
            <w:tcBorders>
              <w:top w:val="nil"/>
              <w:left w:val="nil"/>
              <w:bottom w:val="nil"/>
              <w:right w:val="nil"/>
            </w:tcBorders>
            <w:noWrap/>
            <w:vAlign w:val="center"/>
            <w:hideMark/>
          </w:tcPr>
          <w:p w14:paraId="33637B43"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255 420</w:t>
            </w:r>
          </w:p>
        </w:tc>
        <w:tc>
          <w:tcPr>
            <w:tcW w:w="509" w:type="pct"/>
            <w:tcBorders>
              <w:top w:val="nil"/>
              <w:left w:val="nil"/>
              <w:bottom w:val="nil"/>
              <w:right w:val="nil"/>
            </w:tcBorders>
            <w:noWrap/>
            <w:vAlign w:val="center"/>
          </w:tcPr>
          <w:p w14:paraId="0A7C88B1"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24 678</w:t>
            </w:r>
          </w:p>
        </w:tc>
        <w:tc>
          <w:tcPr>
            <w:tcW w:w="509" w:type="pct"/>
            <w:tcBorders>
              <w:top w:val="nil"/>
              <w:left w:val="nil"/>
              <w:bottom w:val="nil"/>
              <w:right w:val="nil"/>
            </w:tcBorders>
            <w:noWrap/>
            <w:vAlign w:val="center"/>
          </w:tcPr>
          <w:p w14:paraId="6694AF7D"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19 728</w:t>
            </w:r>
          </w:p>
        </w:tc>
        <w:tc>
          <w:tcPr>
            <w:tcW w:w="509" w:type="pct"/>
            <w:tcBorders>
              <w:top w:val="nil"/>
              <w:left w:val="nil"/>
              <w:bottom w:val="nil"/>
              <w:right w:val="nil"/>
            </w:tcBorders>
            <w:noWrap/>
            <w:vAlign w:val="center"/>
          </w:tcPr>
          <w:p w14:paraId="711D294C"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53 623</w:t>
            </w:r>
          </w:p>
        </w:tc>
        <w:tc>
          <w:tcPr>
            <w:tcW w:w="572" w:type="pct"/>
            <w:tcBorders>
              <w:top w:val="nil"/>
              <w:left w:val="nil"/>
              <w:bottom w:val="nil"/>
              <w:right w:val="nil"/>
            </w:tcBorders>
            <w:noWrap/>
            <w:vAlign w:val="center"/>
          </w:tcPr>
          <w:p w14:paraId="06C62F1D"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33 895</w:t>
            </w:r>
          </w:p>
        </w:tc>
      </w:tr>
      <w:tr w:rsidR="004C1709" w:rsidRPr="009D29EA" w14:paraId="6AD2B064" w14:textId="77777777" w:rsidTr="004C1709">
        <w:trPr>
          <w:trHeight w:val="289"/>
        </w:trPr>
        <w:tc>
          <w:tcPr>
            <w:tcW w:w="2391" w:type="pct"/>
            <w:tcBorders>
              <w:top w:val="nil"/>
              <w:left w:val="nil"/>
              <w:bottom w:val="nil"/>
              <w:right w:val="nil"/>
            </w:tcBorders>
            <w:vAlign w:val="center"/>
            <w:hideMark/>
          </w:tcPr>
          <w:p w14:paraId="2E1D67B1"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Dopravným podnikom vo verejnej správe</w:t>
            </w:r>
          </w:p>
        </w:tc>
        <w:tc>
          <w:tcPr>
            <w:tcW w:w="509" w:type="pct"/>
            <w:tcBorders>
              <w:top w:val="nil"/>
              <w:left w:val="nil"/>
              <w:bottom w:val="nil"/>
              <w:right w:val="nil"/>
            </w:tcBorders>
            <w:noWrap/>
            <w:vAlign w:val="center"/>
            <w:hideMark/>
          </w:tcPr>
          <w:p w14:paraId="391FB244"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185 878</w:t>
            </w:r>
          </w:p>
        </w:tc>
        <w:tc>
          <w:tcPr>
            <w:tcW w:w="509" w:type="pct"/>
            <w:tcBorders>
              <w:top w:val="nil"/>
              <w:left w:val="nil"/>
              <w:bottom w:val="nil"/>
              <w:right w:val="nil"/>
            </w:tcBorders>
            <w:noWrap/>
            <w:vAlign w:val="center"/>
          </w:tcPr>
          <w:p w14:paraId="1006A0B0"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53 725</w:t>
            </w:r>
          </w:p>
        </w:tc>
        <w:tc>
          <w:tcPr>
            <w:tcW w:w="509" w:type="pct"/>
            <w:tcBorders>
              <w:top w:val="nil"/>
              <w:left w:val="nil"/>
              <w:bottom w:val="nil"/>
              <w:right w:val="nil"/>
            </w:tcBorders>
            <w:noWrap/>
            <w:vAlign w:val="center"/>
          </w:tcPr>
          <w:p w14:paraId="694F4C70"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509" w:type="pct"/>
            <w:tcBorders>
              <w:top w:val="nil"/>
              <w:left w:val="nil"/>
              <w:bottom w:val="nil"/>
              <w:right w:val="nil"/>
            </w:tcBorders>
            <w:noWrap/>
            <w:vAlign w:val="center"/>
          </w:tcPr>
          <w:p w14:paraId="22344FFD"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48 211</w:t>
            </w:r>
          </w:p>
        </w:tc>
        <w:tc>
          <w:tcPr>
            <w:tcW w:w="572" w:type="pct"/>
            <w:tcBorders>
              <w:top w:val="nil"/>
              <w:left w:val="nil"/>
              <w:bottom w:val="nil"/>
              <w:right w:val="nil"/>
            </w:tcBorders>
            <w:noWrap/>
            <w:vAlign w:val="center"/>
          </w:tcPr>
          <w:p w14:paraId="4BED5495"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48 211</w:t>
            </w:r>
          </w:p>
        </w:tc>
      </w:tr>
      <w:tr w:rsidR="004C1709" w:rsidRPr="009D29EA" w14:paraId="76472216" w14:textId="77777777" w:rsidTr="004C1709">
        <w:trPr>
          <w:trHeight w:val="289"/>
        </w:trPr>
        <w:tc>
          <w:tcPr>
            <w:tcW w:w="2391" w:type="pct"/>
            <w:tcBorders>
              <w:top w:val="nil"/>
              <w:left w:val="nil"/>
              <w:bottom w:val="nil"/>
              <w:right w:val="nil"/>
            </w:tcBorders>
            <w:vAlign w:val="center"/>
            <w:hideMark/>
          </w:tcPr>
          <w:p w14:paraId="2FC5EB7C"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Štátnym fondom</w:t>
            </w:r>
          </w:p>
        </w:tc>
        <w:tc>
          <w:tcPr>
            <w:tcW w:w="509" w:type="pct"/>
            <w:tcBorders>
              <w:top w:val="nil"/>
              <w:left w:val="nil"/>
              <w:bottom w:val="nil"/>
              <w:right w:val="nil"/>
            </w:tcBorders>
            <w:noWrap/>
            <w:vAlign w:val="center"/>
            <w:hideMark/>
          </w:tcPr>
          <w:p w14:paraId="56E7B0F6"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20 291</w:t>
            </w:r>
          </w:p>
        </w:tc>
        <w:tc>
          <w:tcPr>
            <w:tcW w:w="509" w:type="pct"/>
            <w:tcBorders>
              <w:top w:val="nil"/>
              <w:left w:val="nil"/>
              <w:bottom w:val="nil"/>
              <w:right w:val="nil"/>
            </w:tcBorders>
            <w:noWrap/>
            <w:vAlign w:val="center"/>
          </w:tcPr>
          <w:p w14:paraId="117CC10F"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14 411</w:t>
            </w:r>
          </w:p>
        </w:tc>
        <w:tc>
          <w:tcPr>
            <w:tcW w:w="509" w:type="pct"/>
            <w:tcBorders>
              <w:top w:val="nil"/>
              <w:left w:val="nil"/>
              <w:bottom w:val="nil"/>
              <w:right w:val="nil"/>
            </w:tcBorders>
            <w:noWrap/>
            <w:vAlign w:val="center"/>
          </w:tcPr>
          <w:p w14:paraId="7A07214E"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19 000</w:t>
            </w:r>
          </w:p>
        </w:tc>
        <w:tc>
          <w:tcPr>
            <w:tcW w:w="509" w:type="pct"/>
            <w:tcBorders>
              <w:top w:val="nil"/>
              <w:left w:val="nil"/>
              <w:bottom w:val="nil"/>
              <w:right w:val="nil"/>
            </w:tcBorders>
            <w:noWrap/>
            <w:vAlign w:val="center"/>
          </w:tcPr>
          <w:p w14:paraId="7E95AAC3"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12 397</w:t>
            </w:r>
          </w:p>
        </w:tc>
        <w:tc>
          <w:tcPr>
            <w:tcW w:w="572" w:type="pct"/>
            <w:tcBorders>
              <w:top w:val="nil"/>
              <w:left w:val="nil"/>
              <w:bottom w:val="nil"/>
              <w:right w:val="nil"/>
            </w:tcBorders>
            <w:noWrap/>
            <w:vAlign w:val="center"/>
          </w:tcPr>
          <w:p w14:paraId="4EC4FDBD"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-6 603</w:t>
            </w:r>
          </w:p>
        </w:tc>
      </w:tr>
      <w:tr w:rsidR="004C1709" w:rsidRPr="009D29EA" w14:paraId="107D71CE" w14:textId="77777777" w:rsidTr="004C1709">
        <w:trPr>
          <w:trHeight w:val="289"/>
        </w:trPr>
        <w:tc>
          <w:tcPr>
            <w:tcW w:w="2391" w:type="pct"/>
            <w:tcBorders>
              <w:top w:val="nil"/>
              <w:left w:val="nil"/>
              <w:bottom w:val="nil"/>
              <w:right w:val="nil"/>
            </w:tcBorders>
            <w:vAlign w:val="center"/>
            <w:hideMark/>
          </w:tcPr>
          <w:p w14:paraId="21F38B73" w14:textId="77777777" w:rsidR="004C1709" w:rsidRPr="009D29EA" w:rsidRDefault="004C1709" w:rsidP="00433832">
            <w:pPr>
              <w:spacing w:line="240" w:lineRule="auto"/>
              <w:rPr>
                <w:rFonts w:eastAsia="Times New Roman" w:cs="Times New Roman"/>
                <w:color w:val="000000"/>
                <w:sz w:val="18"/>
                <w:szCs w:val="18"/>
                <w:lang w:eastAsia="sk-SK"/>
              </w:rPr>
            </w:pPr>
            <w:r>
              <w:br w:type="page"/>
            </w:r>
            <w:r w:rsidRPr="009D29EA">
              <w:rPr>
                <w:rFonts w:eastAsia="Times New Roman" w:cs="Times New Roman"/>
                <w:color w:val="000000"/>
                <w:sz w:val="18"/>
                <w:szCs w:val="18"/>
                <w:lang w:eastAsia="sk-SK"/>
              </w:rPr>
              <w:t xml:space="preserve">nefinančným subjektom </w:t>
            </w:r>
          </w:p>
        </w:tc>
        <w:tc>
          <w:tcPr>
            <w:tcW w:w="509" w:type="pct"/>
            <w:tcBorders>
              <w:top w:val="nil"/>
              <w:left w:val="nil"/>
              <w:bottom w:val="nil"/>
              <w:right w:val="nil"/>
            </w:tcBorders>
            <w:noWrap/>
            <w:vAlign w:val="center"/>
            <w:hideMark/>
          </w:tcPr>
          <w:p w14:paraId="17396C28"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414 476</w:t>
            </w:r>
          </w:p>
        </w:tc>
        <w:tc>
          <w:tcPr>
            <w:tcW w:w="509" w:type="pct"/>
            <w:tcBorders>
              <w:top w:val="nil"/>
              <w:left w:val="nil"/>
              <w:bottom w:val="nil"/>
              <w:right w:val="nil"/>
            </w:tcBorders>
            <w:noWrap/>
            <w:vAlign w:val="center"/>
          </w:tcPr>
          <w:p w14:paraId="10F708E9"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460 855</w:t>
            </w:r>
          </w:p>
        </w:tc>
        <w:tc>
          <w:tcPr>
            <w:tcW w:w="509" w:type="pct"/>
            <w:tcBorders>
              <w:top w:val="nil"/>
              <w:left w:val="nil"/>
              <w:bottom w:val="nil"/>
              <w:right w:val="nil"/>
            </w:tcBorders>
            <w:noWrap/>
            <w:vAlign w:val="center"/>
          </w:tcPr>
          <w:p w14:paraId="701D85F8" w14:textId="35C8394F"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919 </w:t>
            </w:r>
            <w:r w:rsidR="002C6038">
              <w:rPr>
                <w:rFonts w:eastAsia="Times New Roman" w:cs="Times New Roman"/>
                <w:color w:val="000000"/>
                <w:sz w:val="18"/>
                <w:szCs w:val="18"/>
                <w:lang w:eastAsia="sk-SK"/>
              </w:rPr>
              <w:t>233</w:t>
            </w:r>
          </w:p>
        </w:tc>
        <w:tc>
          <w:tcPr>
            <w:tcW w:w="509" w:type="pct"/>
            <w:tcBorders>
              <w:top w:val="nil"/>
              <w:left w:val="nil"/>
              <w:bottom w:val="nil"/>
              <w:right w:val="nil"/>
            </w:tcBorders>
            <w:noWrap/>
            <w:vAlign w:val="center"/>
          </w:tcPr>
          <w:p w14:paraId="37A96531"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665 552</w:t>
            </w:r>
          </w:p>
        </w:tc>
        <w:tc>
          <w:tcPr>
            <w:tcW w:w="572" w:type="pct"/>
            <w:tcBorders>
              <w:top w:val="nil"/>
              <w:left w:val="nil"/>
              <w:bottom w:val="nil"/>
              <w:right w:val="nil"/>
            </w:tcBorders>
            <w:noWrap/>
            <w:vAlign w:val="center"/>
          </w:tcPr>
          <w:p w14:paraId="789BEA6E" w14:textId="3C27DBEF"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 xml:space="preserve">-253 </w:t>
            </w:r>
            <w:r w:rsidR="002C6038">
              <w:rPr>
                <w:rFonts w:eastAsia="Times New Roman" w:cs="Times New Roman"/>
                <w:color w:val="000000"/>
                <w:sz w:val="18"/>
                <w:szCs w:val="18"/>
                <w:lang w:eastAsia="sk-SK"/>
              </w:rPr>
              <w:t>681</w:t>
            </w:r>
          </w:p>
        </w:tc>
      </w:tr>
      <w:tr w:rsidR="004C1709" w:rsidRPr="009D29EA" w14:paraId="523988D9" w14:textId="77777777" w:rsidTr="004C1709">
        <w:trPr>
          <w:trHeight w:val="289"/>
        </w:trPr>
        <w:tc>
          <w:tcPr>
            <w:tcW w:w="2391" w:type="pct"/>
            <w:tcBorders>
              <w:top w:val="nil"/>
              <w:left w:val="nil"/>
              <w:bottom w:val="nil"/>
              <w:right w:val="nil"/>
            </w:tcBorders>
            <w:vAlign w:val="center"/>
            <w:hideMark/>
          </w:tcPr>
          <w:p w14:paraId="3783986B"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jednotlivcom a neziskovým právnickým osobám</w:t>
            </w:r>
          </w:p>
        </w:tc>
        <w:tc>
          <w:tcPr>
            <w:tcW w:w="509" w:type="pct"/>
            <w:tcBorders>
              <w:top w:val="nil"/>
              <w:left w:val="nil"/>
              <w:bottom w:val="nil"/>
              <w:right w:val="nil"/>
            </w:tcBorders>
            <w:noWrap/>
            <w:vAlign w:val="center"/>
            <w:hideMark/>
          </w:tcPr>
          <w:p w14:paraId="4E7B1DA2"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55 358</w:t>
            </w:r>
          </w:p>
        </w:tc>
        <w:tc>
          <w:tcPr>
            <w:tcW w:w="509" w:type="pct"/>
            <w:tcBorders>
              <w:top w:val="nil"/>
              <w:left w:val="nil"/>
              <w:bottom w:val="nil"/>
              <w:right w:val="nil"/>
            </w:tcBorders>
            <w:noWrap/>
            <w:vAlign w:val="center"/>
          </w:tcPr>
          <w:p w14:paraId="642CA4BE"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133 636</w:t>
            </w:r>
          </w:p>
        </w:tc>
        <w:tc>
          <w:tcPr>
            <w:tcW w:w="509" w:type="pct"/>
            <w:tcBorders>
              <w:top w:val="nil"/>
              <w:left w:val="nil"/>
              <w:bottom w:val="nil"/>
              <w:right w:val="nil"/>
            </w:tcBorders>
            <w:noWrap/>
            <w:vAlign w:val="center"/>
          </w:tcPr>
          <w:p w14:paraId="1FB90583"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113 473</w:t>
            </w:r>
          </w:p>
        </w:tc>
        <w:tc>
          <w:tcPr>
            <w:tcW w:w="509" w:type="pct"/>
            <w:tcBorders>
              <w:top w:val="nil"/>
              <w:left w:val="nil"/>
              <w:bottom w:val="nil"/>
              <w:right w:val="nil"/>
            </w:tcBorders>
            <w:noWrap/>
            <w:vAlign w:val="center"/>
          </w:tcPr>
          <w:p w14:paraId="18152911"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202 590</w:t>
            </w:r>
          </w:p>
        </w:tc>
        <w:tc>
          <w:tcPr>
            <w:tcW w:w="572" w:type="pct"/>
            <w:tcBorders>
              <w:top w:val="nil"/>
              <w:left w:val="nil"/>
              <w:bottom w:val="nil"/>
              <w:right w:val="nil"/>
            </w:tcBorders>
            <w:noWrap/>
            <w:vAlign w:val="center"/>
          </w:tcPr>
          <w:p w14:paraId="7ED526AC"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89 117</w:t>
            </w:r>
          </w:p>
        </w:tc>
      </w:tr>
      <w:tr w:rsidR="004C1709" w:rsidRPr="009D29EA" w14:paraId="0CF3B627" w14:textId="77777777" w:rsidTr="004C1709">
        <w:trPr>
          <w:trHeight w:val="289"/>
        </w:trPr>
        <w:tc>
          <w:tcPr>
            <w:tcW w:w="2391" w:type="pct"/>
            <w:tcBorders>
              <w:top w:val="nil"/>
              <w:left w:val="nil"/>
              <w:bottom w:val="nil"/>
              <w:right w:val="nil"/>
            </w:tcBorders>
            <w:vAlign w:val="center"/>
            <w:hideMark/>
          </w:tcPr>
          <w:p w14:paraId="0443CA1F"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w:t>
            </w:r>
            <w:r>
              <w:rPr>
                <w:rFonts w:eastAsia="Times New Roman" w:cs="Times New Roman"/>
                <w:color w:val="000000"/>
                <w:sz w:val="18"/>
                <w:szCs w:val="18"/>
                <w:lang w:eastAsia="sk-SK"/>
              </w:rPr>
              <w:t xml:space="preserve">   </w:t>
            </w:r>
            <w:r w:rsidRPr="009D29EA">
              <w:rPr>
                <w:rFonts w:eastAsia="Times New Roman" w:cs="Times New Roman"/>
                <w:color w:val="000000"/>
                <w:sz w:val="18"/>
                <w:szCs w:val="18"/>
                <w:lang w:eastAsia="sk-SK"/>
              </w:rPr>
              <w:t>z toho</w:t>
            </w:r>
          </w:p>
        </w:tc>
        <w:tc>
          <w:tcPr>
            <w:tcW w:w="509" w:type="pct"/>
            <w:tcBorders>
              <w:top w:val="nil"/>
              <w:left w:val="nil"/>
              <w:bottom w:val="nil"/>
              <w:right w:val="nil"/>
            </w:tcBorders>
            <w:noWrap/>
            <w:vAlign w:val="center"/>
            <w:hideMark/>
          </w:tcPr>
          <w:p w14:paraId="37ADC035" w14:textId="77777777" w:rsidR="004C1709" w:rsidRPr="009D29EA" w:rsidRDefault="004C1709" w:rsidP="00433832">
            <w:pPr>
              <w:spacing w:line="240" w:lineRule="auto"/>
              <w:rPr>
                <w:rFonts w:eastAsia="Times New Roman" w:cs="Times New Roman"/>
                <w:color w:val="000000"/>
                <w:sz w:val="18"/>
                <w:szCs w:val="18"/>
                <w:lang w:eastAsia="sk-SK"/>
              </w:rPr>
            </w:pPr>
          </w:p>
        </w:tc>
        <w:tc>
          <w:tcPr>
            <w:tcW w:w="509" w:type="pct"/>
            <w:tcBorders>
              <w:top w:val="nil"/>
              <w:left w:val="nil"/>
              <w:bottom w:val="nil"/>
              <w:right w:val="nil"/>
            </w:tcBorders>
            <w:noWrap/>
            <w:vAlign w:val="center"/>
          </w:tcPr>
          <w:p w14:paraId="1FB38CE5" w14:textId="77777777" w:rsidR="004C1709" w:rsidRPr="009D29EA" w:rsidRDefault="004C1709" w:rsidP="00433832">
            <w:pPr>
              <w:spacing w:line="240" w:lineRule="auto"/>
              <w:jc w:val="right"/>
              <w:rPr>
                <w:rFonts w:eastAsia="Times New Roman" w:cs="Times New Roman"/>
                <w:sz w:val="20"/>
                <w:szCs w:val="20"/>
                <w:lang w:eastAsia="sk-SK"/>
              </w:rPr>
            </w:pPr>
          </w:p>
        </w:tc>
        <w:tc>
          <w:tcPr>
            <w:tcW w:w="509" w:type="pct"/>
            <w:tcBorders>
              <w:top w:val="nil"/>
              <w:left w:val="nil"/>
              <w:bottom w:val="nil"/>
              <w:right w:val="nil"/>
            </w:tcBorders>
            <w:noWrap/>
            <w:vAlign w:val="center"/>
          </w:tcPr>
          <w:p w14:paraId="4630E649" w14:textId="77777777" w:rsidR="004C1709" w:rsidRPr="009D29EA" w:rsidRDefault="004C1709" w:rsidP="00433832">
            <w:pPr>
              <w:spacing w:line="240" w:lineRule="auto"/>
              <w:jc w:val="right"/>
              <w:rPr>
                <w:rFonts w:eastAsia="Times New Roman" w:cs="Times New Roman"/>
                <w:sz w:val="20"/>
                <w:szCs w:val="20"/>
                <w:lang w:eastAsia="sk-SK"/>
              </w:rPr>
            </w:pPr>
          </w:p>
        </w:tc>
        <w:tc>
          <w:tcPr>
            <w:tcW w:w="509" w:type="pct"/>
            <w:tcBorders>
              <w:top w:val="nil"/>
              <w:left w:val="nil"/>
              <w:bottom w:val="nil"/>
              <w:right w:val="nil"/>
            </w:tcBorders>
            <w:noWrap/>
            <w:vAlign w:val="center"/>
          </w:tcPr>
          <w:p w14:paraId="5CFF6818" w14:textId="77777777" w:rsidR="004C1709" w:rsidRPr="009D29EA" w:rsidRDefault="004C1709" w:rsidP="00433832">
            <w:pPr>
              <w:spacing w:line="240" w:lineRule="auto"/>
              <w:jc w:val="right"/>
              <w:rPr>
                <w:rFonts w:eastAsia="Times New Roman" w:cs="Times New Roman"/>
                <w:sz w:val="20"/>
                <w:szCs w:val="20"/>
                <w:lang w:eastAsia="sk-SK"/>
              </w:rPr>
            </w:pPr>
          </w:p>
        </w:tc>
        <w:tc>
          <w:tcPr>
            <w:tcW w:w="572" w:type="pct"/>
            <w:tcBorders>
              <w:top w:val="nil"/>
              <w:left w:val="nil"/>
              <w:bottom w:val="nil"/>
              <w:right w:val="nil"/>
            </w:tcBorders>
            <w:noWrap/>
            <w:vAlign w:val="center"/>
          </w:tcPr>
          <w:p w14:paraId="4D4937EF" w14:textId="77777777" w:rsidR="004C1709" w:rsidRPr="009D29EA" w:rsidRDefault="004C1709" w:rsidP="00433832">
            <w:pPr>
              <w:spacing w:line="240" w:lineRule="auto"/>
              <w:jc w:val="right"/>
              <w:rPr>
                <w:rFonts w:eastAsia="Times New Roman" w:cs="Times New Roman"/>
                <w:sz w:val="20"/>
                <w:szCs w:val="20"/>
                <w:lang w:eastAsia="sk-SK"/>
              </w:rPr>
            </w:pPr>
          </w:p>
        </w:tc>
      </w:tr>
      <w:tr w:rsidR="004C1709" w:rsidRPr="009D29EA" w14:paraId="3125ACCE" w14:textId="77777777" w:rsidTr="004C1709">
        <w:trPr>
          <w:trHeight w:val="289"/>
        </w:trPr>
        <w:tc>
          <w:tcPr>
            <w:tcW w:w="2391" w:type="pct"/>
            <w:tcBorders>
              <w:top w:val="nil"/>
              <w:left w:val="nil"/>
              <w:bottom w:val="nil"/>
              <w:right w:val="nil"/>
            </w:tcBorders>
            <w:vAlign w:val="center"/>
            <w:hideMark/>
          </w:tcPr>
          <w:p w14:paraId="7C9F9FF9"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Občianskemu združeniu</w:t>
            </w:r>
          </w:p>
        </w:tc>
        <w:tc>
          <w:tcPr>
            <w:tcW w:w="509" w:type="pct"/>
            <w:tcBorders>
              <w:top w:val="nil"/>
              <w:left w:val="nil"/>
              <w:bottom w:val="nil"/>
              <w:right w:val="nil"/>
            </w:tcBorders>
            <w:noWrap/>
            <w:vAlign w:val="center"/>
            <w:hideMark/>
          </w:tcPr>
          <w:p w14:paraId="12C9214D"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14 254</w:t>
            </w:r>
          </w:p>
        </w:tc>
        <w:tc>
          <w:tcPr>
            <w:tcW w:w="509" w:type="pct"/>
            <w:tcBorders>
              <w:top w:val="nil"/>
              <w:left w:val="nil"/>
              <w:bottom w:val="nil"/>
              <w:right w:val="nil"/>
            </w:tcBorders>
            <w:noWrap/>
            <w:vAlign w:val="center"/>
          </w:tcPr>
          <w:p w14:paraId="490F349B"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55 156</w:t>
            </w:r>
          </w:p>
        </w:tc>
        <w:tc>
          <w:tcPr>
            <w:tcW w:w="509" w:type="pct"/>
            <w:tcBorders>
              <w:top w:val="nil"/>
              <w:left w:val="nil"/>
              <w:bottom w:val="nil"/>
              <w:right w:val="nil"/>
            </w:tcBorders>
            <w:noWrap/>
            <w:vAlign w:val="center"/>
          </w:tcPr>
          <w:p w14:paraId="6761E989"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31 483</w:t>
            </w:r>
          </w:p>
        </w:tc>
        <w:tc>
          <w:tcPr>
            <w:tcW w:w="509" w:type="pct"/>
            <w:tcBorders>
              <w:top w:val="nil"/>
              <w:left w:val="nil"/>
              <w:bottom w:val="nil"/>
              <w:right w:val="nil"/>
            </w:tcBorders>
            <w:noWrap/>
            <w:vAlign w:val="center"/>
          </w:tcPr>
          <w:p w14:paraId="324914B2"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94 119</w:t>
            </w:r>
          </w:p>
        </w:tc>
        <w:tc>
          <w:tcPr>
            <w:tcW w:w="572" w:type="pct"/>
            <w:tcBorders>
              <w:top w:val="nil"/>
              <w:left w:val="nil"/>
              <w:bottom w:val="nil"/>
              <w:right w:val="nil"/>
            </w:tcBorders>
            <w:noWrap/>
            <w:vAlign w:val="center"/>
          </w:tcPr>
          <w:p w14:paraId="38ABC808"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62 636</w:t>
            </w:r>
          </w:p>
        </w:tc>
      </w:tr>
      <w:tr w:rsidR="004C1709" w:rsidRPr="009D29EA" w14:paraId="66D1584C" w14:textId="77777777" w:rsidTr="004C1709">
        <w:trPr>
          <w:trHeight w:val="289"/>
        </w:trPr>
        <w:tc>
          <w:tcPr>
            <w:tcW w:w="2391" w:type="pct"/>
            <w:tcBorders>
              <w:top w:val="nil"/>
              <w:left w:val="nil"/>
              <w:bottom w:val="nil"/>
              <w:right w:val="nil"/>
            </w:tcBorders>
            <w:vAlign w:val="center"/>
            <w:hideMark/>
          </w:tcPr>
          <w:p w14:paraId="0D6322C5"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Neziskovej organizácii</w:t>
            </w:r>
          </w:p>
        </w:tc>
        <w:tc>
          <w:tcPr>
            <w:tcW w:w="509" w:type="pct"/>
            <w:tcBorders>
              <w:top w:val="nil"/>
              <w:left w:val="nil"/>
              <w:bottom w:val="nil"/>
              <w:right w:val="nil"/>
            </w:tcBorders>
            <w:noWrap/>
            <w:vAlign w:val="center"/>
            <w:hideMark/>
          </w:tcPr>
          <w:p w14:paraId="2F39A16E"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33 472</w:t>
            </w:r>
          </w:p>
        </w:tc>
        <w:tc>
          <w:tcPr>
            <w:tcW w:w="509" w:type="pct"/>
            <w:tcBorders>
              <w:top w:val="nil"/>
              <w:left w:val="nil"/>
              <w:bottom w:val="nil"/>
              <w:right w:val="nil"/>
            </w:tcBorders>
            <w:noWrap/>
            <w:vAlign w:val="center"/>
          </w:tcPr>
          <w:p w14:paraId="50F2C5D6"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67 610</w:t>
            </w:r>
          </w:p>
        </w:tc>
        <w:tc>
          <w:tcPr>
            <w:tcW w:w="509" w:type="pct"/>
            <w:tcBorders>
              <w:top w:val="nil"/>
              <w:left w:val="nil"/>
              <w:bottom w:val="nil"/>
              <w:right w:val="nil"/>
            </w:tcBorders>
            <w:noWrap/>
            <w:vAlign w:val="center"/>
          </w:tcPr>
          <w:p w14:paraId="0C9C8A85"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81 316</w:t>
            </w:r>
          </w:p>
        </w:tc>
        <w:tc>
          <w:tcPr>
            <w:tcW w:w="509" w:type="pct"/>
            <w:tcBorders>
              <w:top w:val="nil"/>
              <w:left w:val="nil"/>
              <w:bottom w:val="nil"/>
              <w:right w:val="nil"/>
            </w:tcBorders>
            <w:noWrap/>
            <w:vAlign w:val="center"/>
          </w:tcPr>
          <w:p w14:paraId="6C7AD9BE"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97 518</w:t>
            </w:r>
          </w:p>
        </w:tc>
        <w:tc>
          <w:tcPr>
            <w:tcW w:w="572" w:type="pct"/>
            <w:tcBorders>
              <w:top w:val="nil"/>
              <w:left w:val="nil"/>
              <w:bottom w:val="nil"/>
              <w:right w:val="nil"/>
            </w:tcBorders>
            <w:noWrap/>
            <w:vAlign w:val="center"/>
          </w:tcPr>
          <w:p w14:paraId="40004E87"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16 202</w:t>
            </w:r>
          </w:p>
        </w:tc>
      </w:tr>
      <w:tr w:rsidR="004C1709" w:rsidRPr="009D29EA" w14:paraId="198C4812" w14:textId="77777777" w:rsidTr="004C1709">
        <w:trPr>
          <w:trHeight w:val="289"/>
        </w:trPr>
        <w:tc>
          <w:tcPr>
            <w:tcW w:w="2391" w:type="pct"/>
            <w:tcBorders>
              <w:top w:val="nil"/>
              <w:left w:val="nil"/>
              <w:bottom w:val="nil"/>
              <w:right w:val="nil"/>
            </w:tcBorders>
            <w:vAlign w:val="center"/>
            <w:hideMark/>
          </w:tcPr>
          <w:p w14:paraId="083551DA"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 xml:space="preserve">     Cirkvi</w:t>
            </w:r>
          </w:p>
        </w:tc>
        <w:tc>
          <w:tcPr>
            <w:tcW w:w="509" w:type="pct"/>
            <w:tcBorders>
              <w:top w:val="nil"/>
              <w:left w:val="nil"/>
              <w:bottom w:val="nil"/>
              <w:right w:val="nil"/>
            </w:tcBorders>
            <w:noWrap/>
            <w:vAlign w:val="center"/>
            <w:hideMark/>
          </w:tcPr>
          <w:p w14:paraId="0091BD70"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5 326</w:t>
            </w:r>
          </w:p>
        </w:tc>
        <w:tc>
          <w:tcPr>
            <w:tcW w:w="509" w:type="pct"/>
            <w:tcBorders>
              <w:top w:val="nil"/>
              <w:left w:val="nil"/>
              <w:bottom w:val="nil"/>
              <w:right w:val="nil"/>
            </w:tcBorders>
            <w:noWrap/>
            <w:vAlign w:val="center"/>
          </w:tcPr>
          <w:p w14:paraId="721D2FBA"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10 834</w:t>
            </w:r>
          </w:p>
        </w:tc>
        <w:tc>
          <w:tcPr>
            <w:tcW w:w="509" w:type="pct"/>
            <w:tcBorders>
              <w:top w:val="nil"/>
              <w:left w:val="nil"/>
              <w:bottom w:val="nil"/>
              <w:right w:val="nil"/>
            </w:tcBorders>
            <w:noWrap/>
            <w:vAlign w:val="center"/>
          </w:tcPr>
          <w:p w14:paraId="64BCDBB2"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675</w:t>
            </w:r>
          </w:p>
        </w:tc>
        <w:tc>
          <w:tcPr>
            <w:tcW w:w="509" w:type="pct"/>
            <w:tcBorders>
              <w:top w:val="nil"/>
              <w:left w:val="nil"/>
              <w:bottom w:val="nil"/>
              <w:right w:val="nil"/>
            </w:tcBorders>
            <w:noWrap/>
            <w:vAlign w:val="center"/>
          </w:tcPr>
          <w:p w14:paraId="3C451B0C"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10 731</w:t>
            </w:r>
          </w:p>
        </w:tc>
        <w:tc>
          <w:tcPr>
            <w:tcW w:w="572" w:type="pct"/>
            <w:tcBorders>
              <w:top w:val="nil"/>
              <w:left w:val="nil"/>
              <w:bottom w:val="nil"/>
              <w:right w:val="nil"/>
            </w:tcBorders>
            <w:noWrap/>
            <w:vAlign w:val="center"/>
          </w:tcPr>
          <w:p w14:paraId="422B7DF7"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10 056</w:t>
            </w:r>
          </w:p>
        </w:tc>
      </w:tr>
      <w:tr w:rsidR="004C1709" w:rsidRPr="009D29EA" w14:paraId="447287D8" w14:textId="77777777" w:rsidTr="004C1709">
        <w:trPr>
          <w:trHeight w:val="289"/>
        </w:trPr>
        <w:tc>
          <w:tcPr>
            <w:tcW w:w="2391" w:type="pct"/>
            <w:tcBorders>
              <w:top w:val="nil"/>
              <w:left w:val="nil"/>
              <w:bottom w:val="nil"/>
              <w:right w:val="nil"/>
            </w:tcBorders>
            <w:vAlign w:val="center"/>
            <w:hideMark/>
          </w:tcPr>
          <w:p w14:paraId="35B59E20"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do zahraničia</w:t>
            </w:r>
          </w:p>
        </w:tc>
        <w:tc>
          <w:tcPr>
            <w:tcW w:w="509" w:type="pct"/>
            <w:tcBorders>
              <w:top w:val="nil"/>
              <w:left w:val="nil"/>
              <w:bottom w:val="nil"/>
              <w:right w:val="nil"/>
            </w:tcBorders>
            <w:noWrap/>
            <w:vAlign w:val="center"/>
            <w:hideMark/>
          </w:tcPr>
          <w:p w14:paraId="13800553"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6 249</w:t>
            </w:r>
          </w:p>
        </w:tc>
        <w:tc>
          <w:tcPr>
            <w:tcW w:w="509" w:type="pct"/>
            <w:tcBorders>
              <w:top w:val="nil"/>
              <w:left w:val="nil"/>
              <w:bottom w:val="nil"/>
              <w:right w:val="nil"/>
            </w:tcBorders>
            <w:noWrap/>
            <w:vAlign w:val="center"/>
          </w:tcPr>
          <w:p w14:paraId="3158F082"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7 600</w:t>
            </w:r>
          </w:p>
        </w:tc>
        <w:tc>
          <w:tcPr>
            <w:tcW w:w="509" w:type="pct"/>
            <w:tcBorders>
              <w:top w:val="nil"/>
              <w:left w:val="nil"/>
              <w:bottom w:val="nil"/>
              <w:right w:val="nil"/>
            </w:tcBorders>
            <w:noWrap/>
            <w:vAlign w:val="center"/>
          </w:tcPr>
          <w:p w14:paraId="3C0F7D46"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509" w:type="pct"/>
            <w:tcBorders>
              <w:top w:val="nil"/>
              <w:left w:val="nil"/>
              <w:bottom w:val="nil"/>
              <w:right w:val="nil"/>
            </w:tcBorders>
            <w:noWrap/>
            <w:vAlign w:val="center"/>
          </w:tcPr>
          <w:p w14:paraId="3945BC4C"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3 202</w:t>
            </w:r>
          </w:p>
        </w:tc>
        <w:tc>
          <w:tcPr>
            <w:tcW w:w="572" w:type="pct"/>
            <w:tcBorders>
              <w:top w:val="nil"/>
              <w:left w:val="nil"/>
              <w:bottom w:val="nil"/>
              <w:right w:val="nil"/>
            </w:tcBorders>
            <w:noWrap/>
            <w:vAlign w:val="center"/>
          </w:tcPr>
          <w:p w14:paraId="43558F98"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3 202</w:t>
            </w:r>
          </w:p>
        </w:tc>
      </w:tr>
      <w:tr w:rsidR="004C1709" w:rsidRPr="009D29EA" w14:paraId="03CD87EA" w14:textId="77777777" w:rsidTr="004C1709">
        <w:trPr>
          <w:trHeight w:val="289"/>
        </w:trPr>
        <w:tc>
          <w:tcPr>
            <w:tcW w:w="2391" w:type="pct"/>
            <w:tcBorders>
              <w:top w:val="nil"/>
              <w:left w:val="nil"/>
              <w:bottom w:val="single" w:sz="4" w:space="0" w:color="auto"/>
              <w:right w:val="nil"/>
            </w:tcBorders>
            <w:vAlign w:val="center"/>
            <w:hideMark/>
          </w:tcPr>
          <w:p w14:paraId="78D24A33" w14:textId="77777777" w:rsidR="004C1709" w:rsidRPr="009D29EA" w:rsidRDefault="004C1709" w:rsidP="00433832">
            <w:pPr>
              <w:spacing w:line="240" w:lineRule="auto"/>
              <w:rPr>
                <w:rFonts w:eastAsia="Times New Roman" w:cs="Times New Roman"/>
                <w:color w:val="000000"/>
                <w:sz w:val="18"/>
                <w:szCs w:val="18"/>
                <w:lang w:eastAsia="sk-SK"/>
              </w:rPr>
            </w:pPr>
            <w:r w:rsidRPr="009D29EA">
              <w:rPr>
                <w:rFonts w:eastAsia="Times New Roman" w:cs="Times New Roman"/>
                <w:color w:val="000000"/>
                <w:sz w:val="18"/>
                <w:szCs w:val="18"/>
                <w:lang w:eastAsia="sk-SK"/>
              </w:rPr>
              <w:t>transfery finančným inštitúciám</w:t>
            </w:r>
          </w:p>
        </w:tc>
        <w:tc>
          <w:tcPr>
            <w:tcW w:w="509" w:type="pct"/>
            <w:tcBorders>
              <w:top w:val="nil"/>
              <w:left w:val="nil"/>
              <w:bottom w:val="single" w:sz="4" w:space="0" w:color="auto"/>
              <w:right w:val="nil"/>
            </w:tcBorders>
            <w:noWrap/>
            <w:vAlign w:val="center"/>
            <w:hideMark/>
          </w:tcPr>
          <w:p w14:paraId="36757379"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35 334</w:t>
            </w:r>
          </w:p>
        </w:tc>
        <w:tc>
          <w:tcPr>
            <w:tcW w:w="509" w:type="pct"/>
            <w:tcBorders>
              <w:top w:val="nil"/>
              <w:left w:val="nil"/>
              <w:bottom w:val="single" w:sz="4" w:space="0" w:color="auto"/>
              <w:right w:val="nil"/>
            </w:tcBorders>
            <w:noWrap/>
            <w:vAlign w:val="center"/>
          </w:tcPr>
          <w:p w14:paraId="52DBC6FE" w14:textId="77777777" w:rsidR="004C1709" w:rsidRPr="009D29EA" w:rsidRDefault="004C1709" w:rsidP="00433832">
            <w:pPr>
              <w:spacing w:line="240" w:lineRule="auto"/>
              <w:jc w:val="right"/>
              <w:rPr>
                <w:rFonts w:eastAsia="Times New Roman" w:cs="Times New Roman"/>
                <w:color w:val="000000"/>
                <w:sz w:val="18"/>
                <w:szCs w:val="18"/>
                <w:lang w:eastAsia="sk-SK"/>
              </w:rPr>
            </w:pPr>
            <w:r w:rsidRPr="009D29EA">
              <w:rPr>
                <w:rFonts w:eastAsia="Times New Roman" w:cs="Times New Roman"/>
                <w:color w:val="000000"/>
                <w:sz w:val="18"/>
                <w:szCs w:val="18"/>
                <w:lang w:eastAsia="sk-SK"/>
              </w:rPr>
              <w:t>0</w:t>
            </w:r>
          </w:p>
        </w:tc>
        <w:tc>
          <w:tcPr>
            <w:tcW w:w="509" w:type="pct"/>
            <w:tcBorders>
              <w:top w:val="nil"/>
              <w:left w:val="nil"/>
              <w:bottom w:val="single" w:sz="4" w:space="0" w:color="auto"/>
              <w:right w:val="nil"/>
            </w:tcBorders>
            <w:noWrap/>
            <w:vAlign w:val="center"/>
          </w:tcPr>
          <w:p w14:paraId="546DD68A"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509" w:type="pct"/>
            <w:tcBorders>
              <w:top w:val="nil"/>
              <w:left w:val="nil"/>
              <w:bottom w:val="single" w:sz="4" w:space="0" w:color="auto"/>
              <w:right w:val="nil"/>
            </w:tcBorders>
            <w:noWrap/>
            <w:vAlign w:val="center"/>
          </w:tcPr>
          <w:p w14:paraId="14CC44ED"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c>
          <w:tcPr>
            <w:tcW w:w="572" w:type="pct"/>
            <w:tcBorders>
              <w:top w:val="nil"/>
              <w:left w:val="nil"/>
              <w:bottom w:val="single" w:sz="4" w:space="0" w:color="auto"/>
              <w:right w:val="nil"/>
            </w:tcBorders>
            <w:noWrap/>
            <w:vAlign w:val="center"/>
          </w:tcPr>
          <w:p w14:paraId="7B7CF4F0" w14:textId="77777777" w:rsidR="004C1709" w:rsidRPr="009D29EA" w:rsidRDefault="004C1709" w:rsidP="00433832">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4C1709" w:rsidRPr="009D29EA" w14:paraId="5D9D93ED" w14:textId="77777777" w:rsidTr="004C1709">
        <w:trPr>
          <w:trHeight w:val="233"/>
        </w:trPr>
        <w:tc>
          <w:tcPr>
            <w:tcW w:w="2391" w:type="pct"/>
            <w:tcBorders>
              <w:top w:val="single" w:sz="4" w:space="0" w:color="auto"/>
              <w:left w:val="nil"/>
              <w:bottom w:val="single" w:sz="4" w:space="0" w:color="auto"/>
              <w:right w:val="nil"/>
            </w:tcBorders>
            <w:vAlign w:val="center"/>
            <w:hideMark/>
          </w:tcPr>
          <w:p w14:paraId="7EE3BEB2" w14:textId="77777777" w:rsidR="004C1709" w:rsidRPr="009D29EA" w:rsidRDefault="004C1709" w:rsidP="00433832">
            <w:pPr>
              <w:spacing w:line="240" w:lineRule="auto"/>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Spolu</w:t>
            </w:r>
          </w:p>
        </w:tc>
        <w:tc>
          <w:tcPr>
            <w:tcW w:w="509" w:type="pct"/>
            <w:tcBorders>
              <w:top w:val="single" w:sz="4" w:space="0" w:color="auto"/>
              <w:left w:val="nil"/>
              <w:bottom w:val="single" w:sz="4" w:space="0" w:color="auto"/>
              <w:right w:val="nil"/>
            </w:tcBorders>
            <w:noWrap/>
            <w:vAlign w:val="center"/>
            <w:hideMark/>
          </w:tcPr>
          <w:p w14:paraId="0217B6B1" w14:textId="77777777" w:rsidR="004C1709" w:rsidRPr="009D29EA" w:rsidRDefault="004C1709" w:rsidP="00433832">
            <w:pPr>
              <w:spacing w:line="240" w:lineRule="auto"/>
              <w:jc w:val="righ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3 281 006</w:t>
            </w:r>
          </w:p>
        </w:tc>
        <w:tc>
          <w:tcPr>
            <w:tcW w:w="509" w:type="pct"/>
            <w:tcBorders>
              <w:top w:val="single" w:sz="4" w:space="0" w:color="auto"/>
              <w:left w:val="nil"/>
              <w:bottom w:val="single" w:sz="4" w:space="0" w:color="auto"/>
              <w:right w:val="nil"/>
            </w:tcBorders>
            <w:noWrap/>
            <w:vAlign w:val="center"/>
          </w:tcPr>
          <w:p w14:paraId="62C859DF" w14:textId="77777777" w:rsidR="004C1709" w:rsidRPr="009D29EA" w:rsidRDefault="004C1709" w:rsidP="00433832">
            <w:pPr>
              <w:spacing w:line="240" w:lineRule="auto"/>
              <w:jc w:val="right"/>
              <w:rPr>
                <w:rFonts w:eastAsia="Times New Roman" w:cs="Times New Roman"/>
                <w:b/>
                <w:bCs/>
                <w:color w:val="000000"/>
                <w:sz w:val="18"/>
                <w:szCs w:val="18"/>
                <w:lang w:eastAsia="sk-SK"/>
              </w:rPr>
            </w:pPr>
            <w:r w:rsidRPr="009D29EA">
              <w:rPr>
                <w:rFonts w:eastAsia="Times New Roman" w:cs="Times New Roman"/>
                <w:b/>
                <w:bCs/>
                <w:color w:val="000000"/>
                <w:sz w:val="18"/>
                <w:szCs w:val="18"/>
                <w:lang w:eastAsia="sk-SK"/>
              </w:rPr>
              <w:t>2 402 580</w:t>
            </w:r>
          </w:p>
        </w:tc>
        <w:tc>
          <w:tcPr>
            <w:tcW w:w="509" w:type="pct"/>
            <w:tcBorders>
              <w:top w:val="single" w:sz="4" w:space="0" w:color="auto"/>
              <w:left w:val="nil"/>
              <w:bottom w:val="single" w:sz="4" w:space="0" w:color="auto"/>
              <w:right w:val="nil"/>
            </w:tcBorders>
            <w:noWrap/>
            <w:vAlign w:val="center"/>
          </w:tcPr>
          <w:p w14:paraId="3B2CBB59" w14:textId="77777777" w:rsidR="004C1709" w:rsidRPr="009D29EA" w:rsidRDefault="004C1709"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1 656 708</w:t>
            </w:r>
          </w:p>
        </w:tc>
        <w:tc>
          <w:tcPr>
            <w:tcW w:w="509" w:type="pct"/>
            <w:tcBorders>
              <w:top w:val="single" w:sz="4" w:space="0" w:color="auto"/>
              <w:left w:val="nil"/>
              <w:bottom w:val="single" w:sz="4" w:space="0" w:color="auto"/>
              <w:right w:val="nil"/>
            </w:tcBorders>
            <w:noWrap/>
            <w:vAlign w:val="center"/>
          </w:tcPr>
          <w:p w14:paraId="3E1C0F10" w14:textId="77777777" w:rsidR="004C1709" w:rsidRPr="009D29EA" w:rsidRDefault="004C1709"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3 350 020</w:t>
            </w:r>
          </w:p>
        </w:tc>
        <w:tc>
          <w:tcPr>
            <w:tcW w:w="572" w:type="pct"/>
            <w:tcBorders>
              <w:top w:val="single" w:sz="4" w:space="0" w:color="auto"/>
              <w:left w:val="nil"/>
              <w:bottom w:val="single" w:sz="4" w:space="0" w:color="auto"/>
              <w:right w:val="nil"/>
            </w:tcBorders>
            <w:noWrap/>
            <w:vAlign w:val="center"/>
          </w:tcPr>
          <w:p w14:paraId="557AA876" w14:textId="77777777" w:rsidR="004C1709" w:rsidRPr="009D29EA" w:rsidRDefault="004C1709" w:rsidP="00433832">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1 693 312</w:t>
            </w:r>
          </w:p>
        </w:tc>
      </w:tr>
    </w:tbl>
    <w:p w14:paraId="5EE35056" w14:textId="188EDBFF" w:rsidR="0022384F" w:rsidRPr="004C1709" w:rsidRDefault="009A6D81" w:rsidP="009A6D81">
      <w:pPr>
        <w:tabs>
          <w:tab w:val="right" w:pos="9070"/>
        </w:tabs>
        <w:spacing w:line="240" w:lineRule="auto"/>
        <w:jc w:val="both"/>
        <w:rPr>
          <w:sz w:val="18"/>
          <w:szCs w:val="18"/>
        </w:rPr>
      </w:pPr>
      <w:r w:rsidRPr="004C1709">
        <w:rPr>
          <w:sz w:val="18"/>
          <w:szCs w:val="18"/>
        </w:rPr>
        <w:tab/>
      </w:r>
      <w:r w:rsidR="0022384F" w:rsidRPr="004C1709">
        <w:rPr>
          <w:sz w:val="18"/>
          <w:szCs w:val="18"/>
        </w:rPr>
        <w:t>Zdroj: MF SR</w:t>
      </w:r>
    </w:p>
    <w:p w14:paraId="05829603" w14:textId="77777777" w:rsidR="00D46A5E" w:rsidRPr="004C1709" w:rsidRDefault="00D46A5E" w:rsidP="00532D85">
      <w:pPr>
        <w:spacing w:line="240" w:lineRule="auto"/>
        <w:jc w:val="both"/>
        <w:rPr>
          <w:szCs w:val="24"/>
        </w:rPr>
      </w:pPr>
    </w:p>
    <w:p w14:paraId="583A804B" w14:textId="7544281D" w:rsidR="00DB4798" w:rsidRDefault="002C6038" w:rsidP="00240D55">
      <w:pPr>
        <w:spacing w:line="240" w:lineRule="auto"/>
        <w:jc w:val="both"/>
        <w:rPr>
          <w:szCs w:val="24"/>
        </w:rPr>
      </w:pPr>
      <w:r>
        <w:rPr>
          <w:b/>
          <w:bCs/>
          <w:szCs w:val="24"/>
        </w:rPr>
        <w:t>P</w:t>
      </w:r>
      <w:r w:rsidR="00240D55" w:rsidRPr="006B5058">
        <w:rPr>
          <w:b/>
          <w:bCs/>
          <w:szCs w:val="24"/>
        </w:rPr>
        <w:t>ríspevkovým organizáciám</w:t>
      </w:r>
      <w:r w:rsidR="00240D55">
        <w:rPr>
          <w:szCs w:val="24"/>
        </w:rPr>
        <w:t xml:space="preserve"> boli poskytnuté kapitálové transfery najmä v rezorte životného prostredi</w:t>
      </w:r>
      <w:r w:rsidR="00240D55" w:rsidRPr="004A721B">
        <w:rPr>
          <w:szCs w:val="24"/>
        </w:rPr>
        <w:t>a 245</w:t>
      </w:r>
      <w:r w:rsidR="00240D55">
        <w:rPr>
          <w:szCs w:val="24"/>
        </w:rPr>
        <w:t> </w:t>
      </w:r>
      <w:r w:rsidR="00240D55" w:rsidRPr="004A721B">
        <w:rPr>
          <w:szCs w:val="24"/>
        </w:rPr>
        <w:t>890</w:t>
      </w:r>
      <w:r w:rsidR="00240D55">
        <w:rPr>
          <w:szCs w:val="24"/>
        </w:rPr>
        <w:t> </w:t>
      </w:r>
      <w:r w:rsidR="00240D55" w:rsidRPr="004A721B">
        <w:rPr>
          <w:szCs w:val="24"/>
        </w:rPr>
        <w:t>tis.</w:t>
      </w:r>
      <w:r w:rsidR="00240D55">
        <w:rPr>
          <w:szCs w:val="24"/>
        </w:rPr>
        <w:t> </w:t>
      </w:r>
      <w:r w:rsidR="00240D55" w:rsidRPr="004A721B">
        <w:rPr>
          <w:szCs w:val="24"/>
        </w:rPr>
        <w:t>eur a zdravotníctva 221</w:t>
      </w:r>
      <w:r w:rsidR="00240D55">
        <w:rPr>
          <w:szCs w:val="24"/>
        </w:rPr>
        <w:t> </w:t>
      </w:r>
      <w:r w:rsidR="00240D55" w:rsidRPr="004A721B">
        <w:rPr>
          <w:szCs w:val="24"/>
        </w:rPr>
        <w:t>235 tis. eur.</w:t>
      </w:r>
      <w:r w:rsidR="00240D55">
        <w:rPr>
          <w:szCs w:val="24"/>
        </w:rPr>
        <w:t xml:space="preserve"> </w:t>
      </w:r>
      <w:r w:rsidR="00240D55" w:rsidRPr="004A721B">
        <w:rPr>
          <w:szCs w:val="24"/>
        </w:rPr>
        <w:t>Medziročne sa poskytlo úhrnom viac o 267</w:t>
      </w:r>
      <w:r w:rsidR="00240D55">
        <w:rPr>
          <w:szCs w:val="24"/>
        </w:rPr>
        <w:t> </w:t>
      </w:r>
      <w:r w:rsidR="00240D55" w:rsidRPr="004A721B">
        <w:rPr>
          <w:szCs w:val="24"/>
        </w:rPr>
        <w:t>934</w:t>
      </w:r>
      <w:r w:rsidR="00240D55">
        <w:rPr>
          <w:szCs w:val="24"/>
        </w:rPr>
        <w:t> </w:t>
      </w:r>
      <w:r w:rsidR="00240D55" w:rsidRPr="004A721B">
        <w:rPr>
          <w:szCs w:val="24"/>
        </w:rPr>
        <w:t>tis.</w:t>
      </w:r>
      <w:r w:rsidR="00240D55">
        <w:rPr>
          <w:szCs w:val="24"/>
        </w:rPr>
        <w:t> </w:t>
      </w:r>
      <w:r w:rsidR="00240D55" w:rsidRPr="004A721B">
        <w:rPr>
          <w:szCs w:val="24"/>
        </w:rPr>
        <w:t>eur. Prostriedky POO boli vynaložené v spomenutých dvoch kapitolách celkovo za 419</w:t>
      </w:r>
      <w:r w:rsidR="00240D55">
        <w:rPr>
          <w:szCs w:val="24"/>
        </w:rPr>
        <w:t> </w:t>
      </w:r>
      <w:r w:rsidR="00240D55" w:rsidRPr="004A721B">
        <w:rPr>
          <w:szCs w:val="24"/>
        </w:rPr>
        <w:t>659</w:t>
      </w:r>
      <w:r w:rsidR="00240D55">
        <w:rPr>
          <w:szCs w:val="24"/>
        </w:rPr>
        <w:t> </w:t>
      </w:r>
      <w:r w:rsidR="00240D55" w:rsidRPr="004A721B">
        <w:rPr>
          <w:szCs w:val="24"/>
        </w:rPr>
        <w:t>tis.</w:t>
      </w:r>
      <w:r w:rsidR="00240D55">
        <w:rPr>
          <w:szCs w:val="24"/>
        </w:rPr>
        <w:t> </w:t>
      </w:r>
      <w:r w:rsidR="00240D55" w:rsidRPr="004A721B">
        <w:rPr>
          <w:szCs w:val="24"/>
        </w:rPr>
        <w:t xml:space="preserve">eur. V prípade zdravotníctva išlo najmä o financovanie modernizácie </w:t>
      </w:r>
      <w:r w:rsidR="00240D55" w:rsidRPr="00CE79F8">
        <w:rPr>
          <w:szCs w:val="24"/>
        </w:rPr>
        <w:t>infraštruktúry pre zdravotná starostlivosť, zdravotníckej techniky, špecializované systémy a</w:t>
      </w:r>
      <w:r w:rsidR="004F146C">
        <w:rPr>
          <w:szCs w:val="24"/>
        </w:rPr>
        <w:t> </w:t>
      </w:r>
      <w:r w:rsidR="00240D55" w:rsidRPr="00CE79F8">
        <w:rPr>
          <w:szCs w:val="24"/>
        </w:rPr>
        <w:t>podobne.</w:t>
      </w:r>
    </w:p>
    <w:p w14:paraId="7EB14141" w14:textId="77777777" w:rsidR="00DB4798" w:rsidRDefault="00DB4798" w:rsidP="00DB4798">
      <w:pPr>
        <w:spacing w:line="240" w:lineRule="auto"/>
        <w:jc w:val="both"/>
        <w:rPr>
          <w:szCs w:val="24"/>
        </w:rPr>
      </w:pPr>
    </w:p>
    <w:p w14:paraId="250813E2" w14:textId="58B41234" w:rsidR="00DB4798" w:rsidRDefault="00DB4798" w:rsidP="00DB4798">
      <w:pPr>
        <w:spacing w:line="240" w:lineRule="auto"/>
        <w:jc w:val="both"/>
        <w:rPr>
          <w:szCs w:val="24"/>
        </w:rPr>
      </w:pPr>
      <w:r w:rsidRPr="00817383">
        <w:rPr>
          <w:szCs w:val="24"/>
        </w:rPr>
        <w:lastRenderedPageBreak/>
        <w:t>V prípade životného prostredia boli transfery smerované najmä na</w:t>
      </w:r>
      <w:r>
        <w:rPr>
          <w:szCs w:val="24"/>
        </w:rPr>
        <w:t> </w:t>
      </w:r>
      <w:r w:rsidRPr="00817383">
        <w:rPr>
          <w:szCs w:val="24"/>
        </w:rPr>
        <w:t xml:space="preserve">zlepšenie energetickej hospodárnosti rodinných domov v rámci </w:t>
      </w:r>
      <w:r w:rsidR="00C4036E">
        <w:rPr>
          <w:szCs w:val="24"/>
        </w:rPr>
        <w:t>POO</w:t>
      </w:r>
      <w:r w:rsidRPr="00817383">
        <w:rPr>
          <w:szCs w:val="24"/>
        </w:rPr>
        <w:t xml:space="preserve"> v sume 241</w:t>
      </w:r>
      <w:r>
        <w:rPr>
          <w:szCs w:val="24"/>
        </w:rPr>
        <w:t> </w:t>
      </w:r>
      <w:r w:rsidRPr="00817383">
        <w:rPr>
          <w:szCs w:val="24"/>
        </w:rPr>
        <w:t>952</w:t>
      </w:r>
      <w:r>
        <w:rPr>
          <w:szCs w:val="24"/>
        </w:rPr>
        <w:t> </w:t>
      </w:r>
      <w:r w:rsidRPr="00817383">
        <w:rPr>
          <w:szCs w:val="24"/>
        </w:rPr>
        <w:t>tis.</w:t>
      </w:r>
      <w:r>
        <w:rPr>
          <w:szCs w:val="24"/>
        </w:rPr>
        <w:t> </w:t>
      </w:r>
      <w:r w:rsidRPr="00817383">
        <w:rPr>
          <w:szCs w:val="24"/>
        </w:rPr>
        <w:t>eur</w:t>
      </w:r>
      <w:r>
        <w:rPr>
          <w:szCs w:val="24"/>
        </w:rPr>
        <w:t>.</w:t>
      </w:r>
      <w:r w:rsidRPr="00817383">
        <w:rPr>
          <w:szCs w:val="24"/>
        </w:rPr>
        <w:t xml:space="preserve"> Investície realizovala Slovenská agentúra životného prostredia a 2 ďalšie rezortné príspevkové organizácie.  Financované boli aj programy integrovanej starostlivosti o životné prostredie, geologický prieskum environmentálnych záťaž</w:t>
      </w:r>
      <w:r>
        <w:rPr>
          <w:szCs w:val="24"/>
        </w:rPr>
        <w:t>í,</w:t>
      </w:r>
      <w:r w:rsidRPr="00817383">
        <w:rPr>
          <w:szCs w:val="24"/>
        </w:rPr>
        <w:t xml:space="preserve"> riadenie environmentálnej politiky, koordinácia programov v celkovej sume 1</w:t>
      </w:r>
      <w:r>
        <w:rPr>
          <w:szCs w:val="24"/>
        </w:rPr>
        <w:t> </w:t>
      </w:r>
      <w:r w:rsidRPr="00817383">
        <w:rPr>
          <w:szCs w:val="24"/>
        </w:rPr>
        <w:t>807</w:t>
      </w:r>
      <w:r>
        <w:rPr>
          <w:szCs w:val="24"/>
        </w:rPr>
        <w:t> </w:t>
      </w:r>
      <w:r w:rsidRPr="00817383">
        <w:rPr>
          <w:szCs w:val="24"/>
        </w:rPr>
        <w:t>tis.</w:t>
      </w:r>
      <w:r>
        <w:rPr>
          <w:szCs w:val="24"/>
        </w:rPr>
        <w:t> </w:t>
      </w:r>
      <w:r w:rsidRPr="00817383">
        <w:rPr>
          <w:szCs w:val="24"/>
        </w:rPr>
        <w:t>eur.  Na investičnú činnosť v rámci správy majetku štátu  boli príspevkovým organizáciám v rámci rezortu životného prostredia poskytnuté prostriedky v celkovej sume  1</w:t>
      </w:r>
      <w:r>
        <w:rPr>
          <w:szCs w:val="24"/>
        </w:rPr>
        <w:t> </w:t>
      </w:r>
      <w:r w:rsidRPr="00817383">
        <w:rPr>
          <w:szCs w:val="24"/>
        </w:rPr>
        <w:t>697</w:t>
      </w:r>
      <w:r>
        <w:rPr>
          <w:szCs w:val="24"/>
        </w:rPr>
        <w:t> </w:t>
      </w:r>
      <w:r w:rsidRPr="00817383">
        <w:rPr>
          <w:szCs w:val="24"/>
        </w:rPr>
        <w:t>tis.</w:t>
      </w:r>
      <w:r>
        <w:rPr>
          <w:szCs w:val="24"/>
        </w:rPr>
        <w:t> </w:t>
      </w:r>
      <w:r w:rsidRPr="00817383">
        <w:rPr>
          <w:szCs w:val="24"/>
        </w:rPr>
        <w:t>eur</w:t>
      </w:r>
      <w:r w:rsidRPr="00CE79F8">
        <w:rPr>
          <w:szCs w:val="24"/>
        </w:rPr>
        <w:t>.</w:t>
      </w:r>
    </w:p>
    <w:p w14:paraId="71994EF3" w14:textId="77777777" w:rsidR="00DB4798" w:rsidRDefault="00DB4798" w:rsidP="00DB4798">
      <w:pPr>
        <w:spacing w:line="240" w:lineRule="auto"/>
        <w:jc w:val="both"/>
        <w:rPr>
          <w:szCs w:val="24"/>
        </w:rPr>
      </w:pPr>
    </w:p>
    <w:p w14:paraId="4C4799A9" w14:textId="7A92DC04" w:rsidR="003C4372" w:rsidRDefault="00240D55" w:rsidP="00DB4798">
      <w:pPr>
        <w:spacing w:line="240" w:lineRule="auto"/>
        <w:jc w:val="both"/>
        <w:rPr>
          <w:szCs w:val="24"/>
        </w:rPr>
      </w:pPr>
      <w:r w:rsidRPr="00D2123C">
        <w:rPr>
          <w:b/>
          <w:bCs/>
          <w:szCs w:val="24"/>
        </w:rPr>
        <w:t>Obciam</w:t>
      </w:r>
      <w:r w:rsidRPr="00D2123C">
        <w:rPr>
          <w:szCs w:val="24"/>
        </w:rPr>
        <w:t xml:space="preserve"> bolo poskytnutých úhrnom </w:t>
      </w:r>
      <w:r>
        <w:rPr>
          <w:szCs w:val="24"/>
        </w:rPr>
        <w:t>608</w:t>
      </w:r>
      <w:r w:rsidR="007E6B83">
        <w:rPr>
          <w:szCs w:val="24"/>
        </w:rPr>
        <w:t> </w:t>
      </w:r>
      <w:r w:rsidR="002C6038">
        <w:rPr>
          <w:szCs w:val="24"/>
        </w:rPr>
        <w:t>987 </w:t>
      </w:r>
      <w:r w:rsidRPr="00D2123C">
        <w:rPr>
          <w:szCs w:val="24"/>
        </w:rPr>
        <w:t>tis.</w:t>
      </w:r>
      <w:r>
        <w:rPr>
          <w:szCs w:val="24"/>
        </w:rPr>
        <w:t> </w:t>
      </w:r>
      <w:r w:rsidRPr="00D2123C">
        <w:rPr>
          <w:szCs w:val="24"/>
        </w:rPr>
        <w:t xml:space="preserve">eur, najmä z rezortu </w:t>
      </w:r>
      <w:r>
        <w:rPr>
          <w:szCs w:val="24"/>
        </w:rPr>
        <w:t>dopravy 168</w:t>
      </w:r>
      <w:r w:rsidR="007E6B83">
        <w:rPr>
          <w:szCs w:val="24"/>
        </w:rPr>
        <w:t> </w:t>
      </w:r>
      <w:r>
        <w:rPr>
          <w:szCs w:val="24"/>
        </w:rPr>
        <w:t>612</w:t>
      </w:r>
      <w:r w:rsidR="007E6B83">
        <w:rPr>
          <w:szCs w:val="24"/>
        </w:rPr>
        <w:t> </w:t>
      </w:r>
      <w:r>
        <w:rPr>
          <w:szCs w:val="24"/>
        </w:rPr>
        <w:t>tis.</w:t>
      </w:r>
      <w:r w:rsidR="007E6B83">
        <w:rPr>
          <w:szCs w:val="24"/>
        </w:rPr>
        <w:t> </w:t>
      </w:r>
      <w:r>
        <w:rPr>
          <w:szCs w:val="24"/>
        </w:rPr>
        <w:t>eur, pôdohospodárstva 125</w:t>
      </w:r>
      <w:r w:rsidR="007E6B83">
        <w:rPr>
          <w:szCs w:val="24"/>
        </w:rPr>
        <w:t> </w:t>
      </w:r>
      <w:r>
        <w:rPr>
          <w:szCs w:val="24"/>
        </w:rPr>
        <w:t>153</w:t>
      </w:r>
      <w:r w:rsidR="007E6B83">
        <w:rPr>
          <w:szCs w:val="24"/>
        </w:rPr>
        <w:t> </w:t>
      </w:r>
      <w:r>
        <w:rPr>
          <w:szCs w:val="24"/>
        </w:rPr>
        <w:t>tis.</w:t>
      </w:r>
      <w:r w:rsidR="007E6B83">
        <w:rPr>
          <w:szCs w:val="24"/>
        </w:rPr>
        <w:t> </w:t>
      </w:r>
      <w:r>
        <w:rPr>
          <w:szCs w:val="24"/>
        </w:rPr>
        <w:t>eur, školstva 116</w:t>
      </w:r>
      <w:r w:rsidR="007E6B83">
        <w:rPr>
          <w:szCs w:val="24"/>
        </w:rPr>
        <w:t> </w:t>
      </w:r>
      <w:r>
        <w:rPr>
          <w:szCs w:val="24"/>
        </w:rPr>
        <w:t>914</w:t>
      </w:r>
      <w:r w:rsidR="007E6B83">
        <w:rPr>
          <w:szCs w:val="24"/>
        </w:rPr>
        <w:t> </w:t>
      </w:r>
      <w:r>
        <w:rPr>
          <w:szCs w:val="24"/>
        </w:rPr>
        <w:t>tis.</w:t>
      </w:r>
      <w:r w:rsidR="007E6B83">
        <w:rPr>
          <w:szCs w:val="24"/>
        </w:rPr>
        <w:t> </w:t>
      </w:r>
      <w:r>
        <w:rPr>
          <w:szCs w:val="24"/>
        </w:rPr>
        <w:t xml:space="preserve">eur a </w:t>
      </w:r>
      <w:r w:rsidRPr="00D2123C">
        <w:rPr>
          <w:szCs w:val="24"/>
        </w:rPr>
        <w:t xml:space="preserve">MIRRI </w:t>
      </w:r>
      <w:r>
        <w:rPr>
          <w:szCs w:val="24"/>
        </w:rPr>
        <w:t>86</w:t>
      </w:r>
      <w:r w:rsidR="007E6B83">
        <w:rPr>
          <w:szCs w:val="24"/>
        </w:rPr>
        <w:t> </w:t>
      </w:r>
      <w:r>
        <w:rPr>
          <w:szCs w:val="24"/>
        </w:rPr>
        <w:t>220 tis. eur.</w:t>
      </w:r>
    </w:p>
    <w:p w14:paraId="096C8DDF" w14:textId="77777777" w:rsidR="003C4372" w:rsidRDefault="003C4372" w:rsidP="00240D55">
      <w:pPr>
        <w:spacing w:line="240" w:lineRule="auto"/>
        <w:jc w:val="both"/>
        <w:rPr>
          <w:szCs w:val="24"/>
        </w:rPr>
      </w:pPr>
    </w:p>
    <w:p w14:paraId="3111A8F2" w14:textId="77777777" w:rsidR="003C4372" w:rsidRDefault="003C4372" w:rsidP="003C4372">
      <w:pPr>
        <w:spacing w:line="240" w:lineRule="auto"/>
        <w:jc w:val="both"/>
        <w:rPr>
          <w:szCs w:val="24"/>
        </w:rPr>
      </w:pPr>
      <w:r>
        <w:rPr>
          <w:szCs w:val="24"/>
        </w:rPr>
        <w:t>MIRRI poskytlo prostriedky na dopravnú a verejnú infraštruktúru, energetickú obnovu budov a regionálne rozvojové projekty.</w:t>
      </w:r>
    </w:p>
    <w:p w14:paraId="383F7CAC" w14:textId="71DEBFAF" w:rsidR="00240D55" w:rsidRDefault="00240D55" w:rsidP="00240D55">
      <w:pPr>
        <w:spacing w:line="240" w:lineRule="auto"/>
        <w:jc w:val="both"/>
        <w:rPr>
          <w:szCs w:val="24"/>
        </w:rPr>
      </w:pPr>
      <w:r>
        <w:rPr>
          <w:szCs w:val="24"/>
        </w:rPr>
        <w:t>Rezort dopravy poskytol transfery na obnovu verejných historických a pamiatkovo chránených budov (55</w:t>
      </w:r>
      <w:r w:rsidR="007E6B83">
        <w:rPr>
          <w:szCs w:val="24"/>
        </w:rPr>
        <w:t> </w:t>
      </w:r>
      <w:r>
        <w:rPr>
          <w:szCs w:val="24"/>
        </w:rPr>
        <w:t>848</w:t>
      </w:r>
      <w:r w:rsidR="007E6B83">
        <w:rPr>
          <w:szCs w:val="24"/>
        </w:rPr>
        <w:t> </w:t>
      </w:r>
      <w:r>
        <w:rPr>
          <w:szCs w:val="24"/>
        </w:rPr>
        <w:t>tis.</w:t>
      </w:r>
      <w:r w:rsidR="007E6B83">
        <w:rPr>
          <w:szCs w:val="24"/>
        </w:rPr>
        <w:t> </w:t>
      </w:r>
      <w:r>
        <w:rPr>
          <w:szCs w:val="24"/>
        </w:rPr>
        <w:t>eur), rozvoj infraštruktúry nízkouhlíkovej dopravy (38</w:t>
      </w:r>
      <w:r w:rsidR="007E6B83">
        <w:rPr>
          <w:szCs w:val="24"/>
        </w:rPr>
        <w:t> </w:t>
      </w:r>
      <w:r>
        <w:rPr>
          <w:szCs w:val="24"/>
        </w:rPr>
        <w:t>813</w:t>
      </w:r>
      <w:r w:rsidR="007E6B83">
        <w:rPr>
          <w:szCs w:val="24"/>
        </w:rPr>
        <w:t> </w:t>
      </w:r>
      <w:r>
        <w:rPr>
          <w:szCs w:val="24"/>
        </w:rPr>
        <w:t>tis.</w:t>
      </w:r>
      <w:r w:rsidR="007E6B83">
        <w:rPr>
          <w:szCs w:val="24"/>
        </w:rPr>
        <w:t> </w:t>
      </w:r>
      <w:r>
        <w:rPr>
          <w:szCs w:val="24"/>
        </w:rPr>
        <w:t>eur), udržateľnú mobilitu Bratislavského samosprávneho kraja (32</w:t>
      </w:r>
      <w:r w:rsidR="007E6B83">
        <w:rPr>
          <w:szCs w:val="24"/>
        </w:rPr>
        <w:t> </w:t>
      </w:r>
      <w:r>
        <w:rPr>
          <w:szCs w:val="24"/>
        </w:rPr>
        <w:t>322</w:t>
      </w:r>
      <w:r w:rsidR="007E6B83">
        <w:rPr>
          <w:szCs w:val="24"/>
        </w:rPr>
        <w:t> </w:t>
      </w:r>
      <w:r>
        <w:rPr>
          <w:szCs w:val="24"/>
        </w:rPr>
        <w:t>tis.</w:t>
      </w:r>
      <w:r w:rsidR="007E6B83">
        <w:rPr>
          <w:szCs w:val="24"/>
        </w:rPr>
        <w:t> </w:t>
      </w:r>
      <w:r>
        <w:rPr>
          <w:szCs w:val="24"/>
        </w:rPr>
        <w:t xml:space="preserve">eur), výstavbu a obnovu bytového fondu </w:t>
      </w:r>
      <w:r w:rsidR="007E6B83">
        <w:rPr>
          <w:szCs w:val="24"/>
        </w:rPr>
        <w:t>(</w:t>
      </w:r>
      <w:r>
        <w:rPr>
          <w:szCs w:val="24"/>
        </w:rPr>
        <w:t>18</w:t>
      </w:r>
      <w:r w:rsidR="007E6B83">
        <w:rPr>
          <w:szCs w:val="24"/>
        </w:rPr>
        <w:t> </w:t>
      </w:r>
      <w:r>
        <w:rPr>
          <w:szCs w:val="24"/>
        </w:rPr>
        <w:t>456</w:t>
      </w:r>
      <w:r w:rsidR="007E6B83">
        <w:rPr>
          <w:szCs w:val="24"/>
        </w:rPr>
        <w:t> </w:t>
      </w:r>
      <w:r>
        <w:rPr>
          <w:szCs w:val="24"/>
        </w:rPr>
        <w:t>tis.</w:t>
      </w:r>
      <w:r w:rsidR="007E6B83">
        <w:rPr>
          <w:szCs w:val="24"/>
        </w:rPr>
        <w:t> </w:t>
      </w:r>
      <w:r>
        <w:rPr>
          <w:szCs w:val="24"/>
        </w:rPr>
        <w:t>eur).</w:t>
      </w:r>
    </w:p>
    <w:p w14:paraId="12BA061D" w14:textId="77777777" w:rsidR="007E6B83" w:rsidRDefault="007E6B83" w:rsidP="00240D55">
      <w:pPr>
        <w:spacing w:line="240" w:lineRule="auto"/>
        <w:jc w:val="both"/>
        <w:rPr>
          <w:szCs w:val="24"/>
        </w:rPr>
      </w:pPr>
    </w:p>
    <w:p w14:paraId="769EA5F4" w14:textId="10A06328" w:rsidR="00240D55" w:rsidRDefault="00240D55" w:rsidP="00240D55">
      <w:pPr>
        <w:spacing w:line="240" w:lineRule="auto"/>
        <w:jc w:val="both"/>
        <w:rPr>
          <w:szCs w:val="24"/>
        </w:rPr>
      </w:pPr>
      <w:r>
        <w:rPr>
          <w:szCs w:val="24"/>
        </w:rPr>
        <w:t>Rezort pôdohospodárstva poskytol prostriedky na programy miestneho rozvoja vedeného komunitou (73</w:t>
      </w:r>
      <w:r w:rsidR="007E6B83">
        <w:rPr>
          <w:szCs w:val="24"/>
        </w:rPr>
        <w:t> </w:t>
      </w:r>
      <w:r>
        <w:rPr>
          <w:szCs w:val="24"/>
        </w:rPr>
        <w:t>998</w:t>
      </w:r>
      <w:r w:rsidR="007E6B83">
        <w:rPr>
          <w:szCs w:val="24"/>
        </w:rPr>
        <w:t> </w:t>
      </w:r>
      <w:r>
        <w:rPr>
          <w:szCs w:val="24"/>
        </w:rPr>
        <w:t>tis.</w:t>
      </w:r>
      <w:r w:rsidR="007E6B83">
        <w:rPr>
          <w:szCs w:val="24"/>
        </w:rPr>
        <w:t> </w:t>
      </w:r>
      <w:r>
        <w:rPr>
          <w:szCs w:val="24"/>
        </w:rPr>
        <w:t>eur), podpora na investície do vytvárania, zlepšovania alebo rozširovania všetkých druhov infraštruktúr malých rozmerov a energií z obnoviteľných zdrojov (29</w:t>
      </w:r>
      <w:r w:rsidR="007E6B83">
        <w:rPr>
          <w:szCs w:val="24"/>
        </w:rPr>
        <w:t> </w:t>
      </w:r>
      <w:r w:rsidRPr="007E6B83">
        <w:t>397</w:t>
      </w:r>
      <w:r w:rsidR="007E6B83">
        <w:t> </w:t>
      </w:r>
      <w:r w:rsidRPr="007E6B83">
        <w:t>tis</w:t>
      </w:r>
      <w:r>
        <w:rPr>
          <w:szCs w:val="24"/>
        </w:rPr>
        <w:t>.</w:t>
      </w:r>
      <w:r w:rsidR="007E6B83">
        <w:rPr>
          <w:szCs w:val="24"/>
        </w:rPr>
        <w:t> </w:t>
      </w:r>
      <w:r>
        <w:rPr>
          <w:szCs w:val="24"/>
        </w:rPr>
        <w:t>eur), na investície do infraštruktúry súvisiacej s vývojom, modernizáciou alebo prispôsobením poľnohospodárstva a lesného hospodárstva (20</w:t>
      </w:r>
      <w:r w:rsidR="007E6B83">
        <w:rPr>
          <w:szCs w:val="24"/>
        </w:rPr>
        <w:t> </w:t>
      </w:r>
      <w:r>
        <w:rPr>
          <w:szCs w:val="24"/>
        </w:rPr>
        <w:t>833</w:t>
      </w:r>
      <w:r w:rsidR="007E6B83">
        <w:rPr>
          <w:szCs w:val="24"/>
        </w:rPr>
        <w:t> </w:t>
      </w:r>
      <w:r>
        <w:rPr>
          <w:szCs w:val="24"/>
        </w:rPr>
        <w:t>tis.</w:t>
      </w:r>
      <w:r w:rsidR="007E6B83">
        <w:rPr>
          <w:szCs w:val="24"/>
        </w:rPr>
        <w:t> </w:t>
      </w:r>
      <w:r>
        <w:rPr>
          <w:szCs w:val="24"/>
        </w:rPr>
        <w:t>eur).</w:t>
      </w:r>
    </w:p>
    <w:p w14:paraId="0A798CB7" w14:textId="77777777" w:rsidR="007E6B83" w:rsidRDefault="007E6B83" w:rsidP="00240D55">
      <w:pPr>
        <w:spacing w:line="240" w:lineRule="auto"/>
        <w:jc w:val="both"/>
        <w:rPr>
          <w:szCs w:val="24"/>
        </w:rPr>
      </w:pPr>
    </w:p>
    <w:p w14:paraId="312EF869" w14:textId="70012DB5" w:rsidR="00240D55" w:rsidRDefault="00240D55" w:rsidP="00240D55">
      <w:pPr>
        <w:spacing w:line="240" w:lineRule="auto"/>
        <w:jc w:val="both"/>
        <w:rPr>
          <w:szCs w:val="24"/>
        </w:rPr>
      </w:pPr>
      <w:r>
        <w:rPr>
          <w:b/>
          <w:bCs/>
          <w:szCs w:val="24"/>
        </w:rPr>
        <w:t>Železnice SR</w:t>
      </w:r>
      <w:r>
        <w:rPr>
          <w:szCs w:val="24"/>
        </w:rPr>
        <w:t xml:space="preserve"> </w:t>
      </w:r>
      <w:r w:rsidRPr="00F140A7">
        <w:rPr>
          <w:szCs w:val="24"/>
        </w:rPr>
        <w:t>dostali v roku 2025 kapitálové transfery vo výške 480</w:t>
      </w:r>
      <w:r w:rsidR="007E6B83">
        <w:rPr>
          <w:szCs w:val="24"/>
        </w:rPr>
        <w:t> </w:t>
      </w:r>
      <w:r w:rsidRPr="00F140A7">
        <w:rPr>
          <w:szCs w:val="24"/>
        </w:rPr>
        <w:t>772</w:t>
      </w:r>
      <w:r w:rsidR="007E6B83">
        <w:rPr>
          <w:szCs w:val="24"/>
        </w:rPr>
        <w:t> </w:t>
      </w:r>
      <w:r w:rsidRPr="00F140A7">
        <w:rPr>
          <w:szCs w:val="24"/>
        </w:rPr>
        <w:t>tis.</w:t>
      </w:r>
      <w:r w:rsidR="007E6B83">
        <w:rPr>
          <w:szCs w:val="24"/>
        </w:rPr>
        <w:t> </w:t>
      </w:r>
      <w:r w:rsidRPr="00F140A7">
        <w:rPr>
          <w:szCs w:val="24"/>
        </w:rPr>
        <w:t>eur, medziročne viac o 213</w:t>
      </w:r>
      <w:r w:rsidR="007E6B83">
        <w:rPr>
          <w:szCs w:val="24"/>
        </w:rPr>
        <w:t> </w:t>
      </w:r>
      <w:r w:rsidRPr="00F140A7">
        <w:rPr>
          <w:szCs w:val="24"/>
        </w:rPr>
        <w:t>422</w:t>
      </w:r>
      <w:r w:rsidR="007E6B83">
        <w:rPr>
          <w:szCs w:val="24"/>
        </w:rPr>
        <w:t> </w:t>
      </w:r>
      <w:r w:rsidRPr="00F140A7">
        <w:rPr>
          <w:szCs w:val="24"/>
        </w:rPr>
        <w:t>tis.</w:t>
      </w:r>
      <w:r w:rsidR="007E6B83">
        <w:rPr>
          <w:szCs w:val="24"/>
        </w:rPr>
        <w:t> </w:t>
      </w:r>
      <w:r w:rsidRPr="00F140A7">
        <w:rPr>
          <w:szCs w:val="24"/>
        </w:rPr>
        <w:t>eur. Financovali sa nimi národné projekty rozvoja a modernizácie železničnej siete, rozvoj infraštruktúry nízkouhlíkovej dopravy ako aj projekty v rámci CEF.</w:t>
      </w:r>
    </w:p>
    <w:p w14:paraId="1920C881" w14:textId="77777777" w:rsidR="003C4372" w:rsidRDefault="003C4372" w:rsidP="003C4372">
      <w:pPr>
        <w:spacing w:line="240" w:lineRule="auto"/>
        <w:jc w:val="both"/>
        <w:rPr>
          <w:b/>
          <w:bCs/>
          <w:szCs w:val="24"/>
        </w:rPr>
      </w:pPr>
    </w:p>
    <w:p w14:paraId="5BA1AE69" w14:textId="0E14C859" w:rsidR="003C4372" w:rsidRPr="006A1332" w:rsidRDefault="003C4372" w:rsidP="003C4372">
      <w:pPr>
        <w:spacing w:line="240" w:lineRule="auto"/>
        <w:jc w:val="both"/>
        <w:rPr>
          <w:szCs w:val="24"/>
        </w:rPr>
      </w:pPr>
      <w:r w:rsidRPr="00CF45BD">
        <w:rPr>
          <w:b/>
          <w:bCs/>
          <w:szCs w:val="24"/>
        </w:rPr>
        <w:t>Železničnej spoločnosti Slovensko,</w:t>
      </w:r>
      <w:r>
        <w:rPr>
          <w:b/>
          <w:bCs/>
          <w:szCs w:val="24"/>
        </w:rPr>
        <w:t> </w:t>
      </w:r>
      <w:r w:rsidRPr="00CF45BD">
        <w:rPr>
          <w:b/>
          <w:bCs/>
          <w:szCs w:val="24"/>
        </w:rPr>
        <w:t>a.</w:t>
      </w:r>
      <w:r>
        <w:rPr>
          <w:b/>
          <w:bCs/>
          <w:szCs w:val="24"/>
        </w:rPr>
        <w:t> </w:t>
      </w:r>
      <w:r w:rsidRPr="00CF45BD">
        <w:rPr>
          <w:b/>
          <w:bCs/>
          <w:szCs w:val="24"/>
        </w:rPr>
        <w:t>s.</w:t>
      </w:r>
      <w:r w:rsidRPr="00765C52">
        <w:rPr>
          <w:szCs w:val="24"/>
        </w:rPr>
        <w:t>, boli poskytnuté výdavky v rámci POO v sume 53</w:t>
      </w:r>
      <w:r>
        <w:rPr>
          <w:szCs w:val="24"/>
        </w:rPr>
        <w:t> </w:t>
      </w:r>
      <w:r w:rsidRPr="00765C52">
        <w:rPr>
          <w:szCs w:val="24"/>
        </w:rPr>
        <w:t>623</w:t>
      </w:r>
      <w:r>
        <w:rPr>
          <w:szCs w:val="24"/>
        </w:rPr>
        <w:t> tis. </w:t>
      </w:r>
      <w:r w:rsidRPr="00765C52">
        <w:rPr>
          <w:szCs w:val="24"/>
        </w:rPr>
        <w:t>eur, a to n</w:t>
      </w:r>
      <w:r>
        <w:rPr>
          <w:szCs w:val="24"/>
        </w:rPr>
        <w:t>a n</w:t>
      </w:r>
      <w:r w:rsidRPr="00765C52">
        <w:rPr>
          <w:szCs w:val="24"/>
        </w:rPr>
        <w:t>ákup 5</w:t>
      </w:r>
      <w:r>
        <w:rPr>
          <w:szCs w:val="24"/>
        </w:rPr>
        <w:t> </w:t>
      </w:r>
      <w:r w:rsidRPr="00765C52">
        <w:rPr>
          <w:szCs w:val="24"/>
        </w:rPr>
        <w:t>ks ekologických koľajových vozidiel pre</w:t>
      </w:r>
      <w:r>
        <w:rPr>
          <w:szCs w:val="24"/>
        </w:rPr>
        <w:t> </w:t>
      </w:r>
      <w:r w:rsidRPr="00765C52">
        <w:rPr>
          <w:szCs w:val="24"/>
        </w:rPr>
        <w:t>osobnú dopravu (36</w:t>
      </w:r>
      <w:r>
        <w:rPr>
          <w:szCs w:val="24"/>
        </w:rPr>
        <w:t> </w:t>
      </w:r>
      <w:r w:rsidRPr="00765C52">
        <w:rPr>
          <w:szCs w:val="24"/>
        </w:rPr>
        <w:t>824</w:t>
      </w:r>
      <w:r>
        <w:rPr>
          <w:szCs w:val="24"/>
        </w:rPr>
        <w:t> tis. eur</w:t>
      </w:r>
      <w:r w:rsidRPr="00765C52">
        <w:rPr>
          <w:szCs w:val="24"/>
        </w:rPr>
        <w:t xml:space="preserve">) a </w:t>
      </w:r>
      <w:r>
        <w:rPr>
          <w:szCs w:val="24"/>
        </w:rPr>
        <w:t>o</w:t>
      </w:r>
      <w:r w:rsidRPr="00765C52">
        <w:rPr>
          <w:szCs w:val="24"/>
        </w:rPr>
        <w:t>bstaranie ekologických veľkokapacitných ucelených jednotiek (16</w:t>
      </w:r>
      <w:r>
        <w:rPr>
          <w:szCs w:val="24"/>
        </w:rPr>
        <w:t> </w:t>
      </w:r>
      <w:r w:rsidRPr="00765C52">
        <w:rPr>
          <w:szCs w:val="24"/>
        </w:rPr>
        <w:t>798</w:t>
      </w:r>
      <w:r>
        <w:rPr>
          <w:szCs w:val="24"/>
        </w:rPr>
        <w:t> tis. eur</w:t>
      </w:r>
      <w:r w:rsidRPr="00765C52">
        <w:rPr>
          <w:szCs w:val="24"/>
        </w:rPr>
        <w:t>)</w:t>
      </w:r>
      <w:r>
        <w:rPr>
          <w:szCs w:val="24"/>
        </w:rPr>
        <w:t>.</w:t>
      </w:r>
    </w:p>
    <w:p w14:paraId="07615209" w14:textId="77777777" w:rsidR="003C4372" w:rsidRDefault="003C4372" w:rsidP="003C4372">
      <w:pPr>
        <w:spacing w:line="240" w:lineRule="auto"/>
        <w:jc w:val="both"/>
        <w:rPr>
          <w:szCs w:val="24"/>
        </w:rPr>
      </w:pPr>
    </w:p>
    <w:p w14:paraId="4E118FCC" w14:textId="0F72B59D" w:rsidR="003C4372" w:rsidRDefault="003C4372" w:rsidP="003C4372">
      <w:pPr>
        <w:spacing w:line="240" w:lineRule="auto"/>
        <w:jc w:val="both"/>
        <w:rPr>
          <w:szCs w:val="24"/>
        </w:rPr>
      </w:pPr>
      <w:r w:rsidRPr="00824CF4">
        <w:rPr>
          <w:szCs w:val="24"/>
        </w:rPr>
        <w:t xml:space="preserve">Transfery určené </w:t>
      </w:r>
      <w:r w:rsidRPr="007F2B23">
        <w:rPr>
          <w:b/>
          <w:bCs/>
          <w:szCs w:val="24"/>
        </w:rPr>
        <w:t>Národnej diaľničnej spoločnosti,</w:t>
      </w:r>
      <w:r>
        <w:rPr>
          <w:b/>
          <w:bCs/>
          <w:szCs w:val="24"/>
        </w:rPr>
        <w:t> </w:t>
      </w:r>
      <w:r w:rsidRPr="007F2B23">
        <w:rPr>
          <w:b/>
          <w:bCs/>
          <w:szCs w:val="24"/>
        </w:rPr>
        <w:t>a.</w:t>
      </w:r>
      <w:r>
        <w:rPr>
          <w:b/>
          <w:bCs/>
          <w:szCs w:val="24"/>
        </w:rPr>
        <w:t> </w:t>
      </w:r>
      <w:r w:rsidRPr="007F2B23">
        <w:rPr>
          <w:b/>
          <w:bCs/>
          <w:szCs w:val="24"/>
        </w:rPr>
        <w:t>s</w:t>
      </w:r>
      <w:r w:rsidRPr="000D4B91">
        <w:rPr>
          <w:b/>
          <w:bCs/>
          <w:szCs w:val="24"/>
        </w:rPr>
        <w:t>.</w:t>
      </w:r>
      <w:r w:rsidR="00467F0B">
        <w:rPr>
          <w:b/>
          <w:bCs/>
          <w:szCs w:val="24"/>
        </w:rPr>
        <w:t>,</w:t>
      </w:r>
      <w:r w:rsidRPr="000D4B91">
        <w:rPr>
          <w:szCs w:val="24"/>
        </w:rPr>
        <w:t xml:space="preserve"> smerovali na financovanie prípravy a</w:t>
      </w:r>
      <w:r>
        <w:rPr>
          <w:szCs w:val="24"/>
        </w:rPr>
        <w:t> </w:t>
      </w:r>
      <w:r w:rsidRPr="000D4B91">
        <w:rPr>
          <w:szCs w:val="24"/>
        </w:rPr>
        <w:t>pokračujúcej výstavby diaľnic a rýchlostných ciest, z toho medzi najväčšie projekty patrí D1 Hubová – Ivachnová (61</w:t>
      </w:r>
      <w:r>
        <w:rPr>
          <w:szCs w:val="24"/>
        </w:rPr>
        <w:t> </w:t>
      </w:r>
      <w:r w:rsidRPr="000D4B91">
        <w:rPr>
          <w:szCs w:val="24"/>
        </w:rPr>
        <w:t>039</w:t>
      </w:r>
      <w:r>
        <w:rPr>
          <w:szCs w:val="24"/>
        </w:rPr>
        <w:t> tis. eur</w:t>
      </w:r>
      <w:r w:rsidRPr="000D4B91">
        <w:rPr>
          <w:szCs w:val="24"/>
        </w:rPr>
        <w:t>), R2 Kriváň – Lovinobaňa (47</w:t>
      </w:r>
      <w:r>
        <w:rPr>
          <w:szCs w:val="24"/>
        </w:rPr>
        <w:t> </w:t>
      </w:r>
      <w:r w:rsidRPr="000D4B91">
        <w:rPr>
          <w:szCs w:val="24"/>
        </w:rPr>
        <w:t>000</w:t>
      </w:r>
      <w:r>
        <w:rPr>
          <w:szCs w:val="24"/>
        </w:rPr>
        <w:t> tis. </w:t>
      </w:r>
      <w:r w:rsidRPr="000D4B91">
        <w:rPr>
          <w:szCs w:val="24"/>
        </w:rPr>
        <w:t>eur), D1 Lietavská Lúčka – Višňové – Dubná Skala (40</w:t>
      </w:r>
      <w:r>
        <w:rPr>
          <w:szCs w:val="24"/>
        </w:rPr>
        <w:t> </w:t>
      </w:r>
      <w:r w:rsidRPr="000D4B91">
        <w:rPr>
          <w:szCs w:val="24"/>
        </w:rPr>
        <w:t>000</w:t>
      </w:r>
      <w:r>
        <w:rPr>
          <w:szCs w:val="24"/>
        </w:rPr>
        <w:t> tis. </w:t>
      </w:r>
      <w:r w:rsidRPr="000D4B91">
        <w:rPr>
          <w:szCs w:val="24"/>
        </w:rPr>
        <w:t>eur).</w:t>
      </w:r>
    </w:p>
    <w:p w14:paraId="5D3B78B6" w14:textId="77777777" w:rsidR="003C4372" w:rsidRDefault="003C4372" w:rsidP="003C4372">
      <w:pPr>
        <w:spacing w:line="240" w:lineRule="auto"/>
        <w:jc w:val="both"/>
        <w:rPr>
          <w:szCs w:val="24"/>
        </w:rPr>
      </w:pPr>
    </w:p>
    <w:p w14:paraId="55C78724" w14:textId="2B08A1BA" w:rsidR="003C4372" w:rsidRDefault="003C4372" w:rsidP="003C4372">
      <w:pPr>
        <w:spacing w:line="240" w:lineRule="auto"/>
        <w:jc w:val="both"/>
        <w:rPr>
          <w:szCs w:val="24"/>
        </w:rPr>
      </w:pPr>
      <w:r w:rsidRPr="000321BF">
        <w:rPr>
          <w:b/>
          <w:bCs/>
          <w:szCs w:val="24"/>
        </w:rPr>
        <w:t>Dopravným podnikom</w:t>
      </w:r>
      <w:r>
        <w:rPr>
          <w:szCs w:val="24"/>
        </w:rPr>
        <w:t xml:space="preserve"> zaradeným vo verejnej správe boli poskytnuté kapitálové transfery vo výške 48 211 tis. eur, </w:t>
      </w:r>
      <w:r w:rsidRPr="004D02C2">
        <w:rPr>
          <w:szCs w:val="24"/>
        </w:rPr>
        <w:t>z toho v rámci P</w:t>
      </w:r>
      <w:r>
        <w:rPr>
          <w:szCs w:val="24"/>
        </w:rPr>
        <w:t>rogramu Slovensko</w:t>
      </w:r>
      <w:r w:rsidRPr="004D02C2">
        <w:rPr>
          <w:szCs w:val="24"/>
        </w:rPr>
        <w:t xml:space="preserve"> boli výdavky čerpané v</w:t>
      </w:r>
      <w:r>
        <w:rPr>
          <w:szCs w:val="24"/>
        </w:rPr>
        <w:t> </w:t>
      </w:r>
      <w:r w:rsidRPr="004D02C2">
        <w:rPr>
          <w:szCs w:val="24"/>
        </w:rPr>
        <w:t>sume</w:t>
      </w:r>
      <w:r>
        <w:rPr>
          <w:szCs w:val="24"/>
        </w:rPr>
        <w:t xml:space="preserve"> </w:t>
      </w:r>
      <w:r w:rsidRPr="004D02C2">
        <w:rPr>
          <w:szCs w:val="24"/>
        </w:rPr>
        <w:t>39</w:t>
      </w:r>
      <w:r>
        <w:rPr>
          <w:szCs w:val="24"/>
        </w:rPr>
        <w:t> </w:t>
      </w:r>
      <w:r w:rsidRPr="004D02C2">
        <w:rPr>
          <w:szCs w:val="24"/>
        </w:rPr>
        <w:t>845</w:t>
      </w:r>
      <w:r>
        <w:rPr>
          <w:szCs w:val="24"/>
        </w:rPr>
        <w:t> tis. eur</w:t>
      </w:r>
      <w:r w:rsidRPr="004D02C2">
        <w:rPr>
          <w:szCs w:val="24"/>
        </w:rPr>
        <w:t xml:space="preserve"> a boli určené na projekty ako napr. Výstavba a modernizácia údržbovej základne trolejbusov v Žiline – realizácia – druhá fáza (17 325 </w:t>
      </w:r>
      <w:r>
        <w:rPr>
          <w:szCs w:val="24"/>
        </w:rPr>
        <w:t>tis. eur</w:t>
      </w:r>
      <w:r w:rsidRPr="004D02C2">
        <w:rPr>
          <w:szCs w:val="24"/>
        </w:rPr>
        <w:t>), Modernizácia údržbovej základne v Košiciach, realizácia – I. a II. etapa, 2.</w:t>
      </w:r>
      <w:r>
        <w:rPr>
          <w:szCs w:val="24"/>
        </w:rPr>
        <w:t> </w:t>
      </w:r>
      <w:r w:rsidRPr="004D02C2">
        <w:rPr>
          <w:szCs w:val="24"/>
        </w:rPr>
        <w:t>fáza (16</w:t>
      </w:r>
      <w:r>
        <w:rPr>
          <w:szCs w:val="24"/>
        </w:rPr>
        <w:t> </w:t>
      </w:r>
      <w:r w:rsidRPr="004D02C2">
        <w:rPr>
          <w:szCs w:val="24"/>
        </w:rPr>
        <w:t>245</w:t>
      </w:r>
      <w:r>
        <w:rPr>
          <w:szCs w:val="24"/>
        </w:rPr>
        <w:t> tis. eur</w:t>
      </w:r>
      <w:r w:rsidRPr="004D02C2">
        <w:rPr>
          <w:szCs w:val="24"/>
        </w:rPr>
        <w:t>). V rámci POO boli výdavky v sume 8</w:t>
      </w:r>
      <w:r>
        <w:rPr>
          <w:szCs w:val="24"/>
        </w:rPr>
        <w:t> </w:t>
      </w:r>
      <w:r w:rsidRPr="004D02C2">
        <w:rPr>
          <w:szCs w:val="24"/>
        </w:rPr>
        <w:t>365</w:t>
      </w:r>
      <w:r>
        <w:rPr>
          <w:szCs w:val="24"/>
        </w:rPr>
        <w:t> </w:t>
      </w:r>
      <w:r w:rsidRPr="004D02C2">
        <w:rPr>
          <w:szCs w:val="24"/>
        </w:rPr>
        <w:t>tis.</w:t>
      </w:r>
      <w:r>
        <w:rPr>
          <w:szCs w:val="24"/>
        </w:rPr>
        <w:t> </w:t>
      </w:r>
      <w:r w:rsidRPr="004D02C2">
        <w:rPr>
          <w:szCs w:val="24"/>
        </w:rPr>
        <w:t>eur určené na nákup jednosmerných električiek pre</w:t>
      </w:r>
      <w:r>
        <w:rPr>
          <w:szCs w:val="24"/>
        </w:rPr>
        <w:t> Hlavné mesto Slovenska Bratislavu</w:t>
      </w:r>
      <w:r w:rsidRPr="004D02C2">
        <w:rPr>
          <w:szCs w:val="24"/>
        </w:rPr>
        <w:t>.</w:t>
      </w:r>
    </w:p>
    <w:p w14:paraId="74B95F94" w14:textId="77777777" w:rsidR="003C4372" w:rsidRDefault="003C4372" w:rsidP="003C4372">
      <w:pPr>
        <w:spacing w:line="240" w:lineRule="auto"/>
        <w:jc w:val="both"/>
        <w:rPr>
          <w:szCs w:val="24"/>
        </w:rPr>
      </w:pPr>
    </w:p>
    <w:p w14:paraId="61908B13" w14:textId="5686B759" w:rsidR="00240D55" w:rsidRDefault="00240D55" w:rsidP="00240D55">
      <w:pPr>
        <w:spacing w:line="240" w:lineRule="auto"/>
        <w:jc w:val="both"/>
        <w:rPr>
          <w:szCs w:val="24"/>
        </w:rPr>
      </w:pPr>
      <w:r w:rsidRPr="00190E50">
        <w:rPr>
          <w:b/>
          <w:bCs/>
          <w:szCs w:val="24"/>
        </w:rPr>
        <w:t>Transfery nefinančným subjektom</w:t>
      </w:r>
      <w:r>
        <w:rPr>
          <w:szCs w:val="24"/>
        </w:rPr>
        <w:t xml:space="preserve"> boli v rozhodujúcej miere poskytnuté z rezortu pôdohospodárstva (431</w:t>
      </w:r>
      <w:r w:rsidR="007E6B83">
        <w:rPr>
          <w:szCs w:val="24"/>
        </w:rPr>
        <w:t> </w:t>
      </w:r>
      <w:r>
        <w:rPr>
          <w:szCs w:val="24"/>
        </w:rPr>
        <w:t>837 tis. eur), hospodárstva (99</w:t>
      </w:r>
      <w:r w:rsidR="007E6B83">
        <w:rPr>
          <w:szCs w:val="24"/>
        </w:rPr>
        <w:t> </w:t>
      </w:r>
      <w:r>
        <w:rPr>
          <w:szCs w:val="24"/>
        </w:rPr>
        <w:t>353 tis. eur) a zdravotníctva (77</w:t>
      </w:r>
      <w:r w:rsidR="007E6B83">
        <w:rPr>
          <w:szCs w:val="24"/>
        </w:rPr>
        <w:t> </w:t>
      </w:r>
      <w:r>
        <w:rPr>
          <w:szCs w:val="24"/>
        </w:rPr>
        <w:t xml:space="preserve">661 tis. eur). Ide o transfery nie len právnickým osobám (založeným štátom alebo </w:t>
      </w:r>
      <w:r>
        <w:rPr>
          <w:szCs w:val="24"/>
        </w:rPr>
        <w:lastRenderedPageBreak/>
        <w:t>súkromným podnikateľským subjektom), ale aj fyzickým osobám – podnikateľom a ostatným právnickým osobám.</w:t>
      </w:r>
    </w:p>
    <w:p w14:paraId="01343677" w14:textId="77777777" w:rsidR="00240D55" w:rsidRDefault="00240D55" w:rsidP="00240D55">
      <w:pPr>
        <w:spacing w:line="240" w:lineRule="auto"/>
        <w:jc w:val="both"/>
        <w:rPr>
          <w:szCs w:val="24"/>
        </w:rPr>
      </w:pPr>
    </w:p>
    <w:p w14:paraId="4B1A2F8C" w14:textId="77777777" w:rsidR="00240D55" w:rsidRDefault="00240D55" w:rsidP="00240D55">
      <w:pPr>
        <w:spacing w:line="240" w:lineRule="auto"/>
        <w:jc w:val="both"/>
        <w:rPr>
          <w:szCs w:val="24"/>
        </w:rPr>
      </w:pPr>
      <w:r>
        <w:rPr>
          <w:szCs w:val="24"/>
        </w:rPr>
        <w:t>Prostriedky boli použité na vyplácanie platieb z poľnohospodárskych fondov EPZ, programy integrovanej infraštruktúry, podporu výskumu a vývoja, mobility, hospodárskeho rastu, technologických inovácií, zvýšenie konkurencieschopnosti, modernú a dostupnú zdravotnú starostlivosť.</w:t>
      </w:r>
    </w:p>
    <w:p w14:paraId="33823C5F" w14:textId="765E3FCD" w:rsidR="00AD3EA0" w:rsidRDefault="00AD3EA0" w:rsidP="00AD3EA0">
      <w:pPr>
        <w:spacing w:line="240" w:lineRule="auto"/>
        <w:jc w:val="both"/>
        <w:rPr>
          <w:szCs w:val="24"/>
        </w:rPr>
      </w:pPr>
      <w:r w:rsidRPr="00BF58F1">
        <w:rPr>
          <w:szCs w:val="24"/>
        </w:rPr>
        <w:t>Ministerstvo hospodárstva SR poskytlo prostriedky vo forme investičných stimulov spoločnostiam ako Volvo Car Slovakia (27</w:t>
      </w:r>
      <w:r w:rsidR="004F146C">
        <w:rPr>
          <w:szCs w:val="24"/>
        </w:rPr>
        <w:t> </w:t>
      </w:r>
      <w:r w:rsidRPr="00BF58F1">
        <w:rPr>
          <w:szCs w:val="24"/>
        </w:rPr>
        <w:t>900</w:t>
      </w:r>
      <w:r w:rsidR="004F146C">
        <w:rPr>
          <w:szCs w:val="24"/>
        </w:rPr>
        <w:t> </w:t>
      </w:r>
      <w:r w:rsidRPr="00BF58F1">
        <w:rPr>
          <w:szCs w:val="24"/>
        </w:rPr>
        <w:t>tis.</w:t>
      </w:r>
      <w:r w:rsidR="004F146C">
        <w:rPr>
          <w:szCs w:val="24"/>
        </w:rPr>
        <w:t> </w:t>
      </w:r>
      <w:r w:rsidRPr="00BF58F1">
        <w:rPr>
          <w:szCs w:val="24"/>
        </w:rPr>
        <w:t>eur) vo výške 27</w:t>
      </w:r>
      <w:r w:rsidR="004F146C">
        <w:rPr>
          <w:szCs w:val="24"/>
        </w:rPr>
        <w:t> </w:t>
      </w:r>
      <w:r w:rsidRPr="00BF58F1">
        <w:rPr>
          <w:szCs w:val="24"/>
        </w:rPr>
        <w:t>900</w:t>
      </w:r>
      <w:r w:rsidR="004F146C">
        <w:rPr>
          <w:szCs w:val="24"/>
        </w:rPr>
        <w:t> </w:t>
      </w:r>
      <w:r w:rsidRPr="00BF58F1">
        <w:rPr>
          <w:szCs w:val="24"/>
        </w:rPr>
        <w:t>tis.</w:t>
      </w:r>
      <w:r w:rsidR="004F146C">
        <w:rPr>
          <w:szCs w:val="24"/>
        </w:rPr>
        <w:t> </w:t>
      </w:r>
      <w:r w:rsidRPr="00BF58F1">
        <w:rPr>
          <w:szCs w:val="24"/>
        </w:rPr>
        <w:t>eur, ostatným spoločnostiam vo výške 27</w:t>
      </w:r>
      <w:r w:rsidR="004F146C">
        <w:rPr>
          <w:szCs w:val="24"/>
        </w:rPr>
        <w:t> </w:t>
      </w:r>
      <w:r w:rsidRPr="00BF58F1">
        <w:rPr>
          <w:szCs w:val="24"/>
        </w:rPr>
        <w:t>400</w:t>
      </w:r>
      <w:r w:rsidR="004F146C">
        <w:rPr>
          <w:szCs w:val="24"/>
        </w:rPr>
        <w:t> </w:t>
      </w:r>
      <w:r w:rsidRPr="00BF58F1">
        <w:rPr>
          <w:szCs w:val="24"/>
        </w:rPr>
        <w:t>tis.</w:t>
      </w:r>
      <w:r w:rsidR="004F146C">
        <w:rPr>
          <w:szCs w:val="24"/>
        </w:rPr>
        <w:t> </w:t>
      </w:r>
      <w:r w:rsidRPr="00BF58F1">
        <w:rPr>
          <w:szCs w:val="24"/>
        </w:rPr>
        <w:t>eur, Jaguar Land Rover vo výške 2</w:t>
      </w:r>
      <w:r w:rsidR="004F146C">
        <w:rPr>
          <w:szCs w:val="24"/>
        </w:rPr>
        <w:t> </w:t>
      </w:r>
      <w:r w:rsidRPr="00BF58F1">
        <w:rPr>
          <w:szCs w:val="24"/>
        </w:rPr>
        <w:t>300</w:t>
      </w:r>
      <w:r w:rsidR="004F146C">
        <w:rPr>
          <w:szCs w:val="24"/>
        </w:rPr>
        <w:t> </w:t>
      </w:r>
      <w:r w:rsidRPr="00BF58F1">
        <w:rPr>
          <w:szCs w:val="24"/>
        </w:rPr>
        <w:t>tis.</w:t>
      </w:r>
      <w:r w:rsidR="004F146C">
        <w:rPr>
          <w:szCs w:val="24"/>
        </w:rPr>
        <w:t> </w:t>
      </w:r>
      <w:r w:rsidRPr="00BF58F1">
        <w:rPr>
          <w:szCs w:val="24"/>
        </w:rPr>
        <w:t>eur. Ďalej išlo o transfery v oblasti reformy podpory OZE, z prostriedkov plánu obnovy a odolnosti, vo</w:t>
      </w:r>
      <w:r w:rsidR="004F146C">
        <w:rPr>
          <w:szCs w:val="24"/>
        </w:rPr>
        <w:t> </w:t>
      </w:r>
      <w:r w:rsidRPr="00BF58F1">
        <w:rPr>
          <w:szCs w:val="24"/>
        </w:rPr>
        <w:t>výške 19</w:t>
      </w:r>
      <w:r w:rsidR="004F146C">
        <w:rPr>
          <w:szCs w:val="24"/>
        </w:rPr>
        <w:t> </w:t>
      </w:r>
      <w:r w:rsidRPr="00BF58F1">
        <w:rPr>
          <w:szCs w:val="24"/>
        </w:rPr>
        <w:t>500</w:t>
      </w:r>
      <w:r w:rsidR="004F146C">
        <w:rPr>
          <w:szCs w:val="24"/>
        </w:rPr>
        <w:t> </w:t>
      </w:r>
      <w:r w:rsidRPr="00BF58F1">
        <w:rPr>
          <w:szCs w:val="24"/>
        </w:rPr>
        <w:t>tis.</w:t>
      </w:r>
      <w:r w:rsidR="004F146C">
        <w:rPr>
          <w:szCs w:val="24"/>
        </w:rPr>
        <w:t> </w:t>
      </w:r>
      <w:r w:rsidRPr="00BF58F1">
        <w:rPr>
          <w:szCs w:val="24"/>
        </w:rPr>
        <w:t>eur, kde cieľom investície je prispieť k modernizácii a digitalizácii prenosovej sústavy a regionálnych distribučných sústav a  transfery v oblasti podpory energetickej efektívnosti, z prostriedkov plánu obnovy a odolnosti, vo výške 20</w:t>
      </w:r>
      <w:r w:rsidR="004F146C">
        <w:rPr>
          <w:szCs w:val="24"/>
        </w:rPr>
        <w:t> </w:t>
      </w:r>
      <w:r w:rsidRPr="00BF58F1">
        <w:rPr>
          <w:szCs w:val="24"/>
        </w:rPr>
        <w:t>600</w:t>
      </w:r>
      <w:r w:rsidR="004F146C">
        <w:rPr>
          <w:szCs w:val="24"/>
        </w:rPr>
        <w:t> </w:t>
      </w:r>
      <w:r w:rsidRPr="00BF58F1">
        <w:rPr>
          <w:szCs w:val="24"/>
        </w:rPr>
        <w:t>tis.</w:t>
      </w:r>
      <w:r w:rsidR="004F146C">
        <w:rPr>
          <w:szCs w:val="24"/>
        </w:rPr>
        <w:t> </w:t>
      </w:r>
      <w:r w:rsidRPr="00BF58F1">
        <w:rPr>
          <w:szCs w:val="24"/>
        </w:rPr>
        <w:t>eur.</w:t>
      </w:r>
    </w:p>
    <w:p w14:paraId="469EF02B" w14:textId="7DFB568E" w:rsidR="00240D55" w:rsidRDefault="00240D55" w:rsidP="00240D55">
      <w:pPr>
        <w:spacing w:line="240" w:lineRule="auto"/>
        <w:jc w:val="both"/>
        <w:rPr>
          <w:szCs w:val="24"/>
        </w:rPr>
      </w:pPr>
      <w:r>
        <w:rPr>
          <w:szCs w:val="24"/>
        </w:rPr>
        <w:t xml:space="preserve">V prípade kapitálových transferov </w:t>
      </w:r>
      <w:r w:rsidRPr="00221DEE">
        <w:rPr>
          <w:b/>
          <w:bCs/>
          <w:szCs w:val="24"/>
        </w:rPr>
        <w:t xml:space="preserve">jednotlivcom a neziskovým </w:t>
      </w:r>
      <w:r>
        <w:rPr>
          <w:b/>
          <w:bCs/>
          <w:szCs w:val="24"/>
        </w:rPr>
        <w:t>právnickým osobám</w:t>
      </w:r>
      <w:r>
        <w:rPr>
          <w:szCs w:val="24"/>
        </w:rPr>
        <w:t xml:space="preserve"> ide hlavne o transfery z kapitoly Ministerstva práce, sociálnych vecí a rodiny SR (106</w:t>
      </w:r>
      <w:r w:rsidR="007E6B83">
        <w:rPr>
          <w:szCs w:val="24"/>
        </w:rPr>
        <w:t> </w:t>
      </w:r>
      <w:r>
        <w:rPr>
          <w:szCs w:val="24"/>
        </w:rPr>
        <w:t>273 tis. eur) a kapitoly Ministerstva cestovného ruchu a športu SR (37</w:t>
      </w:r>
      <w:r w:rsidR="007E6B83">
        <w:rPr>
          <w:szCs w:val="24"/>
        </w:rPr>
        <w:t> </w:t>
      </w:r>
      <w:r>
        <w:rPr>
          <w:szCs w:val="24"/>
        </w:rPr>
        <w:t>532 tis. eur). Prostriedky smerovali na rozširovanie kapacít komunitnej sociálnej starostlivosti a modernej, dostupnej a kvalitnej zdravotnej starostlivosti (napr. zariadenia pre seniorov, denné stacionáre).</w:t>
      </w:r>
    </w:p>
    <w:p w14:paraId="0962D9E3" w14:textId="77777777" w:rsidR="00D46A5E" w:rsidRPr="0050710A" w:rsidRDefault="00D46A5E" w:rsidP="00532D85">
      <w:pPr>
        <w:spacing w:line="240" w:lineRule="auto"/>
        <w:jc w:val="both"/>
        <w:rPr>
          <w:szCs w:val="24"/>
          <w:highlight w:val="yellow"/>
        </w:rPr>
      </w:pPr>
    </w:p>
    <w:p w14:paraId="360E6D4E" w14:textId="77777777" w:rsidR="004D69BF" w:rsidRPr="00F84026" w:rsidRDefault="004D69BF" w:rsidP="00532D85">
      <w:pPr>
        <w:pStyle w:val="Nadpis3"/>
        <w:spacing w:before="0"/>
        <w:jc w:val="both"/>
      </w:pPr>
      <w:bookmarkStart w:id="137" w:name="_Toc6415650"/>
      <w:bookmarkStart w:id="138" w:name="_Toc227758910"/>
      <w:r w:rsidRPr="00F84026">
        <w:t>Čerpanie rezerv štátneho rozpočtu</w:t>
      </w:r>
      <w:bookmarkEnd w:id="137"/>
      <w:bookmarkEnd w:id="138"/>
    </w:p>
    <w:p w14:paraId="6F3B7D81" w14:textId="77777777" w:rsidR="00D46A5E" w:rsidRPr="0050710A" w:rsidRDefault="00D46A5E" w:rsidP="00532D85">
      <w:pPr>
        <w:spacing w:line="240" w:lineRule="auto"/>
        <w:jc w:val="both"/>
        <w:rPr>
          <w:rFonts w:eastAsia="Calibri" w:cs="Times New Roman"/>
          <w:highlight w:val="yellow"/>
          <w:lang w:eastAsia="cs-CZ"/>
        </w:rPr>
      </w:pPr>
    </w:p>
    <w:p w14:paraId="73CF5A2D" w14:textId="77777777" w:rsidR="00F84026" w:rsidRPr="00F84026" w:rsidRDefault="00F84026" w:rsidP="00F84026">
      <w:pPr>
        <w:spacing w:line="240" w:lineRule="auto"/>
        <w:jc w:val="both"/>
        <w:rPr>
          <w:szCs w:val="24"/>
          <w:lang w:eastAsia="cs-CZ"/>
        </w:rPr>
      </w:pPr>
      <w:r w:rsidRPr="00F84026">
        <w:rPr>
          <w:szCs w:val="24"/>
          <w:lang w:eastAsia="cs-CZ"/>
        </w:rPr>
        <w:t>Na zabezpečenie rozpočtového hospodárenia sa na krytie v čase alebo výške neistých nevyhnutných alebo nepredvídateľných výdavkov vytvárajú v štátnom rozpočte rezervy.</w:t>
      </w:r>
    </w:p>
    <w:p w14:paraId="4FBBFF9F" w14:textId="1064E7B7" w:rsidR="00F84026" w:rsidRPr="00F84026" w:rsidRDefault="00F84026" w:rsidP="00F84026">
      <w:pPr>
        <w:spacing w:line="240" w:lineRule="auto"/>
        <w:jc w:val="both"/>
        <w:rPr>
          <w:szCs w:val="24"/>
          <w:lang w:eastAsia="cs-CZ"/>
        </w:rPr>
      </w:pPr>
    </w:p>
    <w:p w14:paraId="7A4A5924" w14:textId="324463BD" w:rsidR="00F84026" w:rsidRPr="00F84026" w:rsidRDefault="00F84026" w:rsidP="00F84026">
      <w:pPr>
        <w:spacing w:line="240" w:lineRule="auto"/>
        <w:jc w:val="both"/>
        <w:rPr>
          <w:szCs w:val="24"/>
          <w:lang w:eastAsia="cs-CZ"/>
        </w:rPr>
      </w:pPr>
      <w:r w:rsidRPr="00F84026">
        <w:rPr>
          <w:szCs w:val="24"/>
          <w:lang w:eastAsia="cs-CZ"/>
        </w:rPr>
        <w:t>Podľa ustanovenia §</w:t>
      </w:r>
      <w:r w:rsidR="002A4C68">
        <w:rPr>
          <w:szCs w:val="24"/>
          <w:lang w:eastAsia="cs-CZ"/>
        </w:rPr>
        <w:t> </w:t>
      </w:r>
      <w:r w:rsidRPr="00F84026">
        <w:rPr>
          <w:szCs w:val="24"/>
          <w:lang w:eastAsia="cs-CZ"/>
        </w:rPr>
        <w:t>10 ods.</w:t>
      </w:r>
      <w:r w:rsidR="002A4C68">
        <w:rPr>
          <w:szCs w:val="24"/>
          <w:lang w:eastAsia="cs-CZ"/>
        </w:rPr>
        <w:t> </w:t>
      </w:r>
      <w:r w:rsidRPr="00F84026">
        <w:rPr>
          <w:szCs w:val="24"/>
          <w:lang w:eastAsia="cs-CZ"/>
        </w:rPr>
        <w:t>4 zákona č.</w:t>
      </w:r>
      <w:r w:rsidR="002A4C68">
        <w:rPr>
          <w:szCs w:val="24"/>
          <w:lang w:eastAsia="cs-CZ"/>
        </w:rPr>
        <w:t> </w:t>
      </w:r>
      <w:r w:rsidRPr="00F84026">
        <w:rPr>
          <w:szCs w:val="24"/>
          <w:lang w:eastAsia="cs-CZ"/>
        </w:rPr>
        <w:t>523/2004</w:t>
      </w:r>
      <w:r w:rsidR="002A4C68">
        <w:rPr>
          <w:szCs w:val="24"/>
          <w:lang w:eastAsia="cs-CZ"/>
        </w:rPr>
        <w:t> </w:t>
      </w:r>
      <w:r w:rsidRPr="00F84026">
        <w:rPr>
          <w:szCs w:val="24"/>
          <w:lang w:eastAsia="cs-CZ"/>
        </w:rPr>
        <w:t>Z.</w:t>
      </w:r>
      <w:r w:rsidR="002A4C68">
        <w:rPr>
          <w:szCs w:val="24"/>
          <w:lang w:eastAsia="cs-CZ"/>
        </w:rPr>
        <w:t> </w:t>
      </w:r>
      <w:r w:rsidRPr="00F84026">
        <w:rPr>
          <w:szCs w:val="24"/>
          <w:lang w:eastAsia="cs-CZ"/>
        </w:rPr>
        <w:t>z. o rozpočtových pravidlách verejnej správy a o zmene a doplnení niektorých zákonov v znení neskorších predpisov vláda Slovenskej republiky informuje Národnú radu Slovenskej republiky v rámci štátneho záverečného účtu o uvoľnených alebo o použitých prostriedkoch v členení podľa správcov kapitol alebo podľa prijímateľov prostriedkov z rozpočtových rezerv, podľa účelu a výšky ich čerpania.</w:t>
      </w:r>
    </w:p>
    <w:p w14:paraId="04F32EBD" w14:textId="77777777" w:rsidR="00F84026" w:rsidRPr="00F84026" w:rsidRDefault="00F84026" w:rsidP="00F84026">
      <w:pPr>
        <w:spacing w:line="240" w:lineRule="auto"/>
        <w:jc w:val="both"/>
        <w:rPr>
          <w:szCs w:val="24"/>
          <w:lang w:eastAsia="cs-CZ"/>
        </w:rPr>
      </w:pPr>
    </w:p>
    <w:p w14:paraId="37A636D1" w14:textId="379CA78D" w:rsidR="004D69BF" w:rsidRPr="00F84026" w:rsidRDefault="00F84026" w:rsidP="00F84026">
      <w:pPr>
        <w:spacing w:line="240" w:lineRule="auto"/>
        <w:jc w:val="both"/>
        <w:rPr>
          <w:szCs w:val="24"/>
          <w:lang w:eastAsia="cs-CZ"/>
        </w:rPr>
      </w:pPr>
      <w:r w:rsidRPr="00F84026">
        <w:rPr>
          <w:szCs w:val="24"/>
          <w:lang w:eastAsia="cs-CZ"/>
        </w:rPr>
        <w:t>Výšku rozpočtových rezerv na rok 2025 schválila Národná rada Slovenskej republiky zákonom č.</w:t>
      </w:r>
      <w:r w:rsidR="002A4C68">
        <w:rPr>
          <w:szCs w:val="24"/>
          <w:lang w:eastAsia="cs-CZ"/>
        </w:rPr>
        <w:t> </w:t>
      </w:r>
      <w:r w:rsidRPr="00F84026">
        <w:rPr>
          <w:szCs w:val="24"/>
          <w:lang w:eastAsia="cs-CZ"/>
        </w:rPr>
        <w:t>345/2024</w:t>
      </w:r>
      <w:r w:rsidR="002A4C68">
        <w:rPr>
          <w:szCs w:val="24"/>
          <w:lang w:eastAsia="cs-CZ"/>
        </w:rPr>
        <w:t> </w:t>
      </w:r>
      <w:r w:rsidRPr="00F84026">
        <w:rPr>
          <w:szCs w:val="24"/>
          <w:lang w:eastAsia="cs-CZ"/>
        </w:rPr>
        <w:t>Z.</w:t>
      </w:r>
      <w:r w:rsidR="002A4C68">
        <w:rPr>
          <w:szCs w:val="24"/>
          <w:lang w:eastAsia="cs-CZ"/>
        </w:rPr>
        <w:t> </w:t>
      </w:r>
      <w:r w:rsidRPr="00F84026">
        <w:rPr>
          <w:szCs w:val="24"/>
          <w:lang w:eastAsia="cs-CZ"/>
        </w:rPr>
        <w:t>z. o štátnom rozpočte na rok 2025.</w:t>
      </w:r>
    </w:p>
    <w:p w14:paraId="4564CF9E" w14:textId="77777777" w:rsidR="00D46A5E" w:rsidRPr="0050710A" w:rsidRDefault="00D46A5E" w:rsidP="00532D85">
      <w:pPr>
        <w:spacing w:line="240" w:lineRule="auto"/>
        <w:jc w:val="both"/>
        <w:rPr>
          <w:rFonts w:eastAsia="Calibri" w:cs="Times New Roman"/>
          <w:szCs w:val="24"/>
          <w:highlight w:val="yellow"/>
          <w:lang w:eastAsia="cs-CZ"/>
        </w:rPr>
      </w:pPr>
    </w:p>
    <w:p w14:paraId="59B0CA93" w14:textId="20910A65" w:rsidR="006875C3" w:rsidRDefault="006875C3" w:rsidP="00532D85">
      <w:pPr>
        <w:pStyle w:val="Popis"/>
        <w:jc w:val="both"/>
      </w:pPr>
      <w:bookmarkStart w:id="139" w:name="_Toc196313662"/>
      <w:bookmarkStart w:id="140" w:name="_Toc227670172"/>
      <w:r w:rsidRPr="00F84026">
        <w:t xml:space="preserve">Tabuľka </w:t>
      </w:r>
      <w:r w:rsidR="00995280">
        <w:fldChar w:fldCharType="begin"/>
      </w:r>
      <w:r w:rsidR="00995280">
        <w:instrText xml:space="preserve"> SEQ Tabuľka \* ARABIC </w:instrText>
      </w:r>
      <w:r w:rsidR="00995280">
        <w:fldChar w:fldCharType="separate"/>
      </w:r>
      <w:r w:rsidR="00396BE8">
        <w:rPr>
          <w:noProof/>
        </w:rPr>
        <w:t>36</w:t>
      </w:r>
      <w:r w:rsidR="00995280">
        <w:rPr>
          <w:noProof/>
        </w:rPr>
        <w:fldChar w:fldCharType="end"/>
      </w:r>
      <w:r w:rsidRPr="00F84026">
        <w:t xml:space="preserve"> - Prehľad hospodárenia s rezervami v roku 202</w:t>
      </w:r>
      <w:bookmarkEnd w:id="139"/>
      <w:r w:rsidR="00F84026" w:rsidRPr="00F84026">
        <w:t>5</w:t>
      </w:r>
      <w:bookmarkEnd w:id="140"/>
    </w:p>
    <w:tbl>
      <w:tblPr>
        <w:tblW w:w="5000" w:type="pct"/>
        <w:tblCellMar>
          <w:left w:w="70" w:type="dxa"/>
          <w:right w:w="70" w:type="dxa"/>
        </w:tblCellMar>
        <w:tblLook w:val="04A0" w:firstRow="1" w:lastRow="0" w:firstColumn="1" w:lastColumn="0" w:noHBand="0" w:noVBand="1"/>
      </w:tblPr>
      <w:tblGrid>
        <w:gridCol w:w="4388"/>
        <w:gridCol w:w="1005"/>
        <w:gridCol w:w="972"/>
        <w:gridCol w:w="1565"/>
        <w:gridCol w:w="1140"/>
      </w:tblGrid>
      <w:tr w:rsidR="000072F7" w:rsidRPr="000072F7" w14:paraId="4BD25F11" w14:textId="77777777" w:rsidTr="000072F7">
        <w:trPr>
          <w:trHeight w:val="460"/>
        </w:trPr>
        <w:tc>
          <w:tcPr>
            <w:tcW w:w="2467" w:type="pct"/>
            <w:tcBorders>
              <w:top w:val="single" w:sz="4" w:space="0" w:color="auto"/>
              <w:left w:val="nil"/>
              <w:bottom w:val="single" w:sz="4" w:space="0" w:color="auto"/>
              <w:right w:val="nil"/>
            </w:tcBorders>
            <w:noWrap/>
            <w:vAlign w:val="center"/>
            <w:hideMark/>
          </w:tcPr>
          <w:p w14:paraId="61BEB9C4" w14:textId="77777777" w:rsidR="000072F7" w:rsidRPr="000072F7" w:rsidRDefault="000072F7" w:rsidP="000072F7">
            <w:pPr>
              <w:spacing w:line="240" w:lineRule="auto"/>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v tis. eur</w:t>
            </w:r>
          </w:p>
        </w:tc>
        <w:tc>
          <w:tcPr>
            <w:tcW w:w="602" w:type="pct"/>
            <w:tcBorders>
              <w:top w:val="single" w:sz="4" w:space="0" w:color="auto"/>
              <w:left w:val="nil"/>
              <w:bottom w:val="single" w:sz="4" w:space="0" w:color="auto"/>
              <w:right w:val="nil"/>
            </w:tcBorders>
            <w:vAlign w:val="center"/>
            <w:hideMark/>
          </w:tcPr>
          <w:p w14:paraId="6CE98544"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Schválený rozpočet</w:t>
            </w:r>
          </w:p>
        </w:tc>
        <w:tc>
          <w:tcPr>
            <w:tcW w:w="583" w:type="pct"/>
            <w:tcBorders>
              <w:top w:val="single" w:sz="4" w:space="0" w:color="auto"/>
              <w:left w:val="nil"/>
              <w:bottom w:val="single" w:sz="4" w:space="0" w:color="auto"/>
              <w:right w:val="nil"/>
            </w:tcBorders>
            <w:vAlign w:val="center"/>
            <w:hideMark/>
          </w:tcPr>
          <w:p w14:paraId="55AA8593"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Upravený rozpočet</w:t>
            </w:r>
          </w:p>
        </w:tc>
        <w:tc>
          <w:tcPr>
            <w:tcW w:w="793" w:type="pct"/>
            <w:tcBorders>
              <w:top w:val="single" w:sz="4" w:space="0" w:color="auto"/>
              <w:left w:val="nil"/>
              <w:bottom w:val="single" w:sz="4" w:space="0" w:color="auto"/>
              <w:right w:val="nil"/>
            </w:tcBorders>
            <w:vAlign w:val="center"/>
            <w:hideMark/>
          </w:tcPr>
          <w:p w14:paraId="09D34C9F"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Uvoľnené/Viazané k 31.12.2025 *</w:t>
            </w:r>
          </w:p>
        </w:tc>
        <w:tc>
          <w:tcPr>
            <w:tcW w:w="554" w:type="pct"/>
            <w:tcBorders>
              <w:top w:val="single" w:sz="4" w:space="0" w:color="auto"/>
              <w:left w:val="nil"/>
              <w:bottom w:val="single" w:sz="4" w:space="0" w:color="auto"/>
              <w:right w:val="nil"/>
            </w:tcBorders>
            <w:vAlign w:val="center"/>
            <w:hideMark/>
          </w:tcPr>
          <w:p w14:paraId="0A2F18AD"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Nevyčerpané k 31.12.2025</w:t>
            </w:r>
          </w:p>
        </w:tc>
      </w:tr>
      <w:tr w:rsidR="000072F7" w:rsidRPr="000072F7" w14:paraId="241B59FB" w14:textId="77777777" w:rsidTr="000072F7">
        <w:trPr>
          <w:trHeight w:val="290"/>
        </w:trPr>
        <w:tc>
          <w:tcPr>
            <w:tcW w:w="2467" w:type="pct"/>
            <w:tcBorders>
              <w:top w:val="nil"/>
              <w:left w:val="nil"/>
              <w:bottom w:val="nil"/>
              <w:right w:val="nil"/>
            </w:tcBorders>
            <w:noWrap/>
            <w:vAlign w:val="center"/>
            <w:hideMark/>
          </w:tcPr>
          <w:p w14:paraId="6095EE2F" w14:textId="77777777" w:rsidR="000072F7" w:rsidRPr="000072F7" w:rsidRDefault="000072F7" w:rsidP="000072F7">
            <w:pPr>
              <w:spacing w:line="240" w:lineRule="auto"/>
              <w:rPr>
                <w:rFonts w:eastAsia="Times New Roman" w:cs="Times New Roman"/>
                <w:color w:val="000000"/>
                <w:sz w:val="18"/>
                <w:szCs w:val="18"/>
                <w:lang w:eastAsia="sk-SK"/>
              </w:rPr>
            </w:pPr>
            <w:r w:rsidRPr="000072F7">
              <w:rPr>
                <w:rFonts w:eastAsia="Times New Roman" w:cs="Times New Roman"/>
                <w:color w:val="000000"/>
                <w:sz w:val="18"/>
                <w:szCs w:val="18"/>
                <w:lang w:eastAsia="sk-SK"/>
              </w:rPr>
              <w:t xml:space="preserve">Rezerva vlády </w:t>
            </w:r>
          </w:p>
        </w:tc>
        <w:tc>
          <w:tcPr>
            <w:tcW w:w="602" w:type="pct"/>
            <w:tcBorders>
              <w:top w:val="nil"/>
              <w:left w:val="nil"/>
              <w:bottom w:val="nil"/>
              <w:right w:val="nil"/>
            </w:tcBorders>
            <w:noWrap/>
            <w:vAlign w:val="center"/>
            <w:hideMark/>
          </w:tcPr>
          <w:p w14:paraId="72DF6733"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5 000</w:t>
            </w:r>
          </w:p>
        </w:tc>
        <w:tc>
          <w:tcPr>
            <w:tcW w:w="583" w:type="pct"/>
            <w:tcBorders>
              <w:top w:val="nil"/>
              <w:left w:val="nil"/>
              <w:bottom w:val="nil"/>
              <w:right w:val="nil"/>
            </w:tcBorders>
            <w:vAlign w:val="center"/>
            <w:hideMark/>
          </w:tcPr>
          <w:p w14:paraId="7F86FF77"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4 947</w:t>
            </w:r>
          </w:p>
        </w:tc>
        <w:tc>
          <w:tcPr>
            <w:tcW w:w="793" w:type="pct"/>
            <w:tcBorders>
              <w:top w:val="nil"/>
              <w:left w:val="nil"/>
              <w:bottom w:val="nil"/>
              <w:right w:val="nil"/>
            </w:tcBorders>
            <w:vAlign w:val="center"/>
            <w:hideMark/>
          </w:tcPr>
          <w:p w14:paraId="790386D1"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157</w:t>
            </w:r>
          </w:p>
        </w:tc>
        <w:tc>
          <w:tcPr>
            <w:tcW w:w="554" w:type="pct"/>
            <w:tcBorders>
              <w:top w:val="nil"/>
              <w:left w:val="nil"/>
              <w:bottom w:val="nil"/>
              <w:right w:val="nil"/>
            </w:tcBorders>
            <w:vAlign w:val="center"/>
            <w:hideMark/>
          </w:tcPr>
          <w:p w14:paraId="1757F33E"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4 843</w:t>
            </w:r>
          </w:p>
        </w:tc>
      </w:tr>
      <w:tr w:rsidR="000072F7" w:rsidRPr="000072F7" w14:paraId="523EF0A5" w14:textId="77777777" w:rsidTr="000072F7">
        <w:trPr>
          <w:trHeight w:val="460"/>
        </w:trPr>
        <w:tc>
          <w:tcPr>
            <w:tcW w:w="2467" w:type="pct"/>
            <w:tcBorders>
              <w:top w:val="nil"/>
              <w:left w:val="nil"/>
              <w:bottom w:val="nil"/>
              <w:right w:val="nil"/>
            </w:tcBorders>
            <w:vAlign w:val="center"/>
            <w:hideMark/>
          </w:tcPr>
          <w:p w14:paraId="4857BE76" w14:textId="77777777" w:rsidR="000072F7" w:rsidRPr="000072F7" w:rsidRDefault="000072F7" w:rsidP="000072F7">
            <w:pPr>
              <w:spacing w:line="240" w:lineRule="auto"/>
              <w:rPr>
                <w:rFonts w:eastAsia="Times New Roman" w:cs="Times New Roman"/>
                <w:color w:val="000000"/>
                <w:sz w:val="18"/>
                <w:szCs w:val="18"/>
                <w:lang w:eastAsia="sk-SK"/>
              </w:rPr>
            </w:pPr>
            <w:r w:rsidRPr="000072F7">
              <w:rPr>
                <w:rFonts w:eastAsia="Times New Roman" w:cs="Times New Roman"/>
                <w:color w:val="000000"/>
                <w:sz w:val="18"/>
                <w:szCs w:val="18"/>
                <w:lang w:eastAsia="sk-SK"/>
              </w:rPr>
              <w:t>Rezerva na riešenie negatívnych vplyvov vývoja rozpočtového hospodárenia</w:t>
            </w:r>
          </w:p>
        </w:tc>
        <w:tc>
          <w:tcPr>
            <w:tcW w:w="602" w:type="pct"/>
            <w:tcBorders>
              <w:top w:val="nil"/>
              <w:left w:val="nil"/>
              <w:bottom w:val="nil"/>
              <w:right w:val="nil"/>
            </w:tcBorders>
            <w:noWrap/>
            <w:vAlign w:val="center"/>
            <w:hideMark/>
          </w:tcPr>
          <w:p w14:paraId="69328B42"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297 924</w:t>
            </w:r>
          </w:p>
        </w:tc>
        <w:tc>
          <w:tcPr>
            <w:tcW w:w="583" w:type="pct"/>
            <w:tcBorders>
              <w:top w:val="nil"/>
              <w:left w:val="nil"/>
              <w:bottom w:val="nil"/>
              <w:right w:val="nil"/>
            </w:tcBorders>
            <w:noWrap/>
            <w:vAlign w:val="center"/>
            <w:hideMark/>
          </w:tcPr>
          <w:p w14:paraId="53154D60"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39 123</w:t>
            </w:r>
          </w:p>
        </w:tc>
        <w:tc>
          <w:tcPr>
            <w:tcW w:w="793" w:type="pct"/>
            <w:tcBorders>
              <w:top w:val="nil"/>
              <w:left w:val="nil"/>
              <w:bottom w:val="nil"/>
              <w:right w:val="nil"/>
            </w:tcBorders>
            <w:noWrap/>
            <w:vAlign w:val="center"/>
            <w:hideMark/>
          </w:tcPr>
          <w:p w14:paraId="73463304"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258 801</w:t>
            </w:r>
          </w:p>
        </w:tc>
        <w:tc>
          <w:tcPr>
            <w:tcW w:w="554" w:type="pct"/>
            <w:tcBorders>
              <w:top w:val="nil"/>
              <w:left w:val="nil"/>
              <w:bottom w:val="nil"/>
              <w:right w:val="nil"/>
            </w:tcBorders>
            <w:noWrap/>
            <w:vAlign w:val="center"/>
            <w:hideMark/>
          </w:tcPr>
          <w:p w14:paraId="672003CE"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39 123</w:t>
            </w:r>
          </w:p>
        </w:tc>
      </w:tr>
      <w:tr w:rsidR="000072F7" w:rsidRPr="000072F7" w14:paraId="0940040D" w14:textId="77777777" w:rsidTr="000072F7">
        <w:trPr>
          <w:trHeight w:val="460"/>
        </w:trPr>
        <w:tc>
          <w:tcPr>
            <w:tcW w:w="2467" w:type="pct"/>
            <w:tcBorders>
              <w:top w:val="nil"/>
              <w:left w:val="nil"/>
              <w:bottom w:val="single" w:sz="4" w:space="0" w:color="auto"/>
              <w:right w:val="nil"/>
            </w:tcBorders>
            <w:vAlign w:val="center"/>
            <w:hideMark/>
          </w:tcPr>
          <w:p w14:paraId="53A2B89E" w14:textId="77777777" w:rsidR="000072F7" w:rsidRPr="000072F7" w:rsidRDefault="000072F7" w:rsidP="000072F7">
            <w:pPr>
              <w:spacing w:line="240" w:lineRule="auto"/>
              <w:rPr>
                <w:rFonts w:eastAsia="Times New Roman" w:cs="Times New Roman"/>
                <w:color w:val="000000"/>
                <w:sz w:val="18"/>
                <w:szCs w:val="18"/>
                <w:lang w:eastAsia="sk-SK"/>
              </w:rPr>
            </w:pPr>
            <w:r w:rsidRPr="000072F7">
              <w:rPr>
                <w:rFonts w:eastAsia="Times New Roman" w:cs="Times New Roman"/>
                <w:color w:val="000000"/>
                <w:sz w:val="18"/>
                <w:szCs w:val="18"/>
                <w:lang w:eastAsia="sk-SK"/>
              </w:rPr>
              <w:t>Rezerva na riešenie krízových situácií mimo času vojny a vojnového stavu a vykonávanie povodňových prác</w:t>
            </w:r>
          </w:p>
        </w:tc>
        <w:tc>
          <w:tcPr>
            <w:tcW w:w="602" w:type="pct"/>
            <w:tcBorders>
              <w:top w:val="nil"/>
              <w:left w:val="nil"/>
              <w:bottom w:val="single" w:sz="4" w:space="0" w:color="auto"/>
              <w:right w:val="nil"/>
            </w:tcBorders>
            <w:noWrap/>
            <w:vAlign w:val="center"/>
            <w:hideMark/>
          </w:tcPr>
          <w:p w14:paraId="2491549A"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30 000</w:t>
            </w:r>
          </w:p>
        </w:tc>
        <w:tc>
          <w:tcPr>
            <w:tcW w:w="583" w:type="pct"/>
            <w:tcBorders>
              <w:top w:val="nil"/>
              <w:left w:val="nil"/>
              <w:bottom w:val="single" w:sz="4" w:space="0" w:color="auto"/>
              <w:right w:val="nil"/>
            </w:tcBorders>
            <w:noWrap/>
            <w:vAlign w:val="center"/>
            <w:hideMark/>
          </w:tcPr>
          <w:p w14:paraId="76674B31"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1 561</w:t>
            </w:r>
          </w:p>
        </w:tc>
        <w:tc>
          <w:tcPr>
            <w:tcW w:w="793" w:type="pct"/>
            <w:tcBorders>
              <w:top w:val="nil"/>
              <w:left w:val="nil"/>
              <w:bottom w:val="single" w:sz="4" w:space="0" w:color="auto"/>
              <w:right w:val="nil"/>
            </w:tcBorders>
            <w:noWrap/>
            <w:vAlign w:val="center"/>
            <w:hideMark/>
          </w:tcPr>
          <w:p w14:paraId="73BCA04B"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28 439</w:t>
            </w:r>
          </w:p>
        </w:tc>
        <w:tc>
          <w:tcPr>
            <w:tcW w:w="554" w:type="pct"/>
            <w:tcBorders>
              <w:top w:val="nil"/>
              <w:left w:val="nil"/>
              <w:bottom w:val="single" w:sz="4" w:space="0" w:color="auto"/>
              <w:right w:val="nil"/>
            </w:tcBorders>
            <w:noWrap/>
            <w:vAlign w:val="center"/>
            <w:hideMark/>
          </w:tcPr>
          <w:p w14:paraId="265E4313" w14:textId="77777777" w:rsidR="000072F7" w:rsidRPr="000072F7" w:rsidRDefault="000072F7" w:rsidP="000072F7">
            <w:pPr>
              <w:spacing w:line="240" w:lineRule="auto"/>
              <w:jc w:val="right"/>
              <w:rPr>
                <w:rFonts w:eastAsia="Times New Roman" w:cs="Times New Roman"/>
                <w:color w:val="000000"/>
                <w:sz w:val="18"/>
                <w:szCs w:val="18"/>
                <w:lang w:eastAsia="sk-SK"/>
              </w:rPr>
            </w:pPr>
            <w:r w:rsidRPr="000072F7">
              <w:rPr>
                <w:rFonts w:eastAsia="Times New Roman" w:cs="Times New Roman"/>
                <w:color w:val="000000"/>
                <w:sz w:val="18"/>
                <w:szCs w:val="18"/>
                <w:lang w:eastAsia="sk-SK"/>
              </w:rPr>
              <w:t>1 561</w:t>
            </w:r>
          </w:p>
        </w:tc>
      </w:tr>
      <w:tr w:rsidR="000072F7" w:rsidRPr="000072F7" w14:paraId="0BD7ABBB" w14:textId="77777777" w:rsidTr="000072F7">
        <w:trPr>
          <w:trHeight w:val="290"/>
        </w:trPr>
        <w:tc>
          <w:tcPr>
            <w:tcW w:w="2467" w:type="pct"/>
            <w:tcBorders>
              <w:top w:val="nil"/>
              <w:left w:val="nil"/>
              <w:bottom w:val="single" w:sz="4" w:space="0" w:color="auto"/>
              <w:right w:val="nil"/>
            </w:tcBorders>
            <w:vAlign w:val="center"/>
            <w:hideMark/>
          </w:tcPr>
          <w:p w14:paraId="77E81985" w14:textId="77777777" w:rsidR="000072F7" w:rsidRPr="000072F7" w:rsidRDefault="000072F7" w:rsidP="000072F7">
            <w:pPr>
              <w:spacing w:line="240" w:lineRule="auto"/>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Spolu</w:t>
            </w:r>
          </w:p>
        </w:tc>
        <w:tc>
          <w:tcPr>
            <w:tcW w:w="602" w:type="pct"/>
            <w:tcBorders>
              <w:top w:val="nil"/>
              <w:left w:val="nil"/>
              <w:bottom w:val="single" w:sz="4" w:space="0" w:color="auto"/>
              <w:right w:val="nil"/>
            </w:tcBorders>
            <w:noWrap/>
            <w:vAlign w:val="center"/>
            <w:hideMark/>
          </w:tcPr>
          <w:p w14:paraId="1E28095E"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332 924</w:t>
            </w:r>
          </w:p>
        </w:tc>
        <w:tc>
          <w:tcPr>
            <w:tcW w:w="583" w:type="pct"/>
            <w:tcBorders>
              <w:top w:val="nil"/>
              <w:left w:val="nil"/>
              <w:bottom w:val="single" w:sz="4" w:space="0" w:color="auto"/>
              <w:right w:val="nil"/>
            </w:tcBorders>
            <w:noWrap/>
            <w:vAlign w:val="center"/>
            <w:hideMark/>
          </w:tcPr>
          <w:p w14:paraId="00FC0CFB"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45 631</w:t>
            </w:r>
          </w:p>
        </w:tc>
        <w:tc>
          <w:tcPr>
            <w:tcW w:w="793" w:type="pct"/>
            <w:tcBorders>
              <w:top w:val="nil"/>
              <w:left w:val="nil"/>
              <w:bottom w:val="single" w:sz="4" w:space="0" w:color="auto"/>
              <w:right w:val="nil"/>
            </w:tcBorders>
            <w:noWrap/>
            <w:vAlign w:val="center"/>
            <w:hideMark/>
          </w:tcPr>
          <w:p w14:paraId="608AA4A4"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287 397</w:t>
            </w:r>
          </w:p>
        </w:tc>
        <w:tc>
          <w:tcPr>
            <w:tcW w:w="554" w:type="pct"/>
            <w:tcBorders>
              <w:top w:val="nil"/>
              <w:left w:val="nil"/>
              <w:bottom w:val="single" w:sz="4" w:space="0" w:color="auto"/>
              <w:right w:val="nil"/>
            </w:tcBorders>
            <w:noWrap/>
            <w:vAlign w:val="center"/>
            <w:hideMark/>
          </w:tcPr>
          <w:p w14:paraId="41DB0EE8" w14:textId="77777777" w:rsidR="000072F7" w:rsidRPr="000072F7" w:rsidRDefault="000072F7" w:rsidP="000072F7">
            <w:pPr>
              <w:spacing w:line="240" w:lineRule="auto"/>
              <w:jc w:val="right"/>
              <w:rPr>
                <w:rFonts w:eastAsia="Times New Roman" w:cs="Times New Roman"/>
                <w:b/>
                <w:bCs/>
                <w:color w:val="000000"/>
                <w:sz w:val="18"/>
                <w:szCs w:val="18"/>
                <w:lang w:eastAsia="sk-SK"/>
              </w:rPr>
            </w:pPr>
            <w:r w:rsidRPr="000072F7">
              <w:rPr>
                <w:rFonts w:eastAsia="Times New Roman" w:cs="Times New Roman"/>
                <w:b/>
                <w:bCs/>
                <w:color w:val="000000"/>
                <w:sz w:val="18"/>
                <w:szCs w:val="18"/>
                <w:lang w:eastAsia="sk-SK"/>
              </w:rPr>
              <w:t>45 527</w:t>
            </w:r>
          </w:p>
        </w:tc>
      </w:tr>
    </w:tbl>
    <w:p w14:paraId="0FE699B9" w14:textId="74285313" w:rsidR="00273B98" w:rsidRPr="000072F7" w:rsidRDefault="004D69BF" w:rsidP="009A6D81">
      <w:pPr>
        <w:tabs>
          <w:tab w:val="right" w:pos="9070"/>
        </w:tabs>
        <w:spacing w:line="240" w:lineRule="auto"/>
        <w:jc w:val="both"/>
        <w:rPr>
          <w:rFonts w:eastAsia="Times New Roman" w:cs="Times New Roman"/>
          <w:iCs/>
          <w:sz w:val="18"/>
          <w:szCs w:val="18"/>
          <w:lang w:eastAsia="sk-SK"/>
        </w:rPr>
      </w:pPr>
      <w:r w:rsidRPr="000072F7">
        <w:rPr>
          <w:rFonts w:eastAsia="Times New Roman" w:cs="Times New Roman"/>
          <w:i/>
          <w:iCs/>
          <w:sz w:val="18"/>
          <w:szCs w:val="18"/>
          <w:lang w:eastAsia="sk-SK"/>
        </w:rPr>
        <w:t>*</w:t>
      </w:r>
      <w:r w:rsidR="000072F7" w:rsidRPr="000072F7">
        <w:rPr>
          <w:rFonts w:eastAsia="Times New Roman" w:cs="Times New Roman"/>
          <w:iCs/>
          <w:sz w:val="18"/>
          <w:szCs w:val="18"/>
          <w:lang w:eastAsia="sk-SK"/>
        </w:rPr>
        <w:t xml:space="preserve"> Zohľadňuje uvoľnenie</w:t>
      </w:r>
      <w:r w:rsidR="00C90960">
        <w:rPr>
          <w:rFonts w:eastAsia="Times New Roman" w:cs="Times New Roman"/>
          <w:iCs/>
          <w:sz w:val="18"/>
          <w:szCs w:val="18"/>
          <w:lang w:eastAsia="sk-SK"/>
        </w:rPr>
        <w:t>/viazanie</w:t>
      </w:r>
      <w:r w:rsidR="000072F7" w:rsidRPr="000072F7">
        <w:rPr>
          <w:rFonts w:eastAsia="Times New Roman" w:cs="Times New Roman"/>
          <w:iCs/>
          <w:sz w:val="18"/>
          <w:szCs w:val="18"/>
          <w:lang w:eastAsia="sk-SK"/>
        </w:rPr>
        <w:t xml:space="preserve"> prostriedkov prostredníctvom rozpočtových opatrení a platobných príkazov.</w:t>
      </w:r>
      <w:r w:rsidR="00273B98" w:rsidRPr="000072F7">
        <w:rPr>
          <w:rFonts w:eastAsia="Times New Roman" w:cs="Times New Roman"/>
          <w:iCs/>
          <w:sz w:val="18"/>
          <w:szCs w:val="18"/>
          <w:lang w:eastAsia="sk-SK"/>
        </w:rPr>
        <w:tab/>
        <w:t xml:space="preserve">   </w:t>
      </w:r>
      <w:r w:rsidR="00273B98" w:rsidRPr="000072F7">
        <w:rPr>
          <w:rFonts w:eastAsia="Times New Roman" w:cs="Times New Roman"/>
          <w:sz w:val="18"/>
          <w:szCs w:val="18"/>
          <w:lang w:eastAsia="sk-SK"/>
        </w:rPr>
        <w:t>Zdroj: MF SR</w:t>
      </w:r>
    </w:p>
    <w:p w14:paraId="7F4DF582" w14:textId="77777777" w:rsidR="00D46A5E" w:rsidRPr="0050710A" w:rsidRDefault="00D46A5E" w:rsidP="00532D85">
      <w:pPr>
        <w:tabs>
          <w:tab w:val="left" w:pos="0"/>
          <w:tab w:val="left" w:pos="720"/>
          <w:tab w:val="left" w:pos="1440"/>
          <w:tab w:val="left" w:pos="2160"/>
          <w:tab w:val="left" w:pos="2880"/>
          <w:tab w:val="left" w:pos="3600"/>
          <w:tab w:val="left" w:pos="4320"/>
        </w:tabs>
        <w:adjustRightInd w:val="0"/>
        <w:spacing w:line="240" w:lineRule="auto"/>
        <w:jc w:val="both"/>
        <w:rPr>
          <w:rFonts w:cs="Times New Roman"/>
          <w:b/>
          <w:iCs/>
          <w:szCs w:val="24"/>
          <w:highlight w:val="yellow"/>
        </w:rPr>
      </w:pPr>
    </w:p>
    <w:p w14:paraId="437D20DD" w14:textId="3BA68BCC" w:rsidR="004D69BF" w:rsidRPr="00F84026" w:rsidRDefault="004D69BF" w:rsidP="00532D85">
      <w:pPr>
        <w:tabs>
          <w:tab w:val="left" w:pos="0"/>
          <w:tab w:val="left" w:pos="720"/>
          <w:tab w:val="left" w:pos="1440"/>
          <w:tab w:val="left" w:pos="2160"/>
          <w:tab w:val="left" w:pos="2880"/>
          <w:tab w:val="left" w:pos="3600"/>
          <w:tab w:val="left" w:pos="4320"/>
        </w:tabs>
        <w:adjustRightInd w:val="0"/>
        <w:spacing w:line="240" w:lineRule="auto"/>
        <w:jc w:val="both"/>
        <w:rPr>
          <w:rFonts w:eastAsia="Times New Roman" w:cs="Times New Roman"/>
          <w:b/>
          <w:szCs w:val="24"/>
          <w:lang w:eastAsia="cs-CZ"/>
        </w:rPr>
      </w:pPr>
      <w:r w:rsidRPr="00F84026">
        <w:rPr>
          <w:rFonts w:eastAsia="Times New Roman" w:cs="Times New Roman"/>
          <w:b/>
          <w:szCs w:val="24"/>
          <w:lang w:eastAsia="cs-CZ"/>
        </w:rPr>
        <w:t>Rezerva vlády</w:t>
      </w:r>
    </w:p>
    <w:p w14:paraId="62B6D29F" w14:textId="70902619" w:rsidR="00F84026" w:rsidRP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szCs w:val="24"/>
          <w:lang w:eastAsia="cs-CZ"/>
        </w:rPr>
      </w:pPr>
      <w:r w:rsidRPr="00F84026">
        <w:rPr>
          <w:szCs w:val="24"/>
          <w:lang w:eastAsia="cs-CZ"/>
        </w:rPr>
        <w:t>Z rozpočtovanej rezervy v sume 5</w:t>
      </w:r>
      <w:r w:rsidR="002A4C68">
        <w:rPr>
          <w:szCs w:val="24"/>
          <w:lang w:eastAsia="cs-CZ"/>
        </w:rPr>
        <w:t> </w:t>
      </w:r>
      <w:r w:rsidRPr="00F84026">
        <w:rPr>
          <w:szCs w:val="24"/>
          <w:lang w:eastAsia="cs-CZ"/>
        </w:rPr>
        <w:t>000</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 boli uvoľnené  prostriedky v celkovej sume 157 tis. eur, a to podľa UZN č.</w:t>
      </w:r>
      <w:r w:rsidR="002A4C68">
        <w:rPr>
          <w:szCs w:val="24"/>
          <w:lang w:eastAsia="cs-CZ"/>
        </w:rPr>
        <w:t> </w:t>
      </w:r>
      <w:r w:rsidRPr="00F84026">
        <w:rPr>
          <w:szCs w:val="24"/>
          <w:lang w:eastAsia="cs-CZ"/>
        </w:rPr>
        <w:t>241/2025 mestu Liptovský Mikuláš v sume 25 tis. eur na organizačné zabezpečenie prvomájových osláv v Liptovskom Mikuláši a podľa UZN č. 356/2025 obci Stará Bystrica v sume 79</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 a kapitole MK SR v sume 53 tis. eur na finančné a organizačné zabezpečenie "Oslavy zvrchovanosti" v obci Stará Bystrica.</w:t>
      </w:r>
    </w:p>
    <w:p w14:paraId="15A1F39D" w14:textId="3E14118D" w:rsidR="00F84026" w:rsidRP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szCs w:val="24"/>
          <w:lang w:eastAsia="cs-CZ"/>
        </w:rPr>
      </w:pPr>
      <w:r w:rsidRPr="00F84026">
        <w:rPr>
          <w:szCs w:val="24"/>
          <w:lang w:eastAsia="cs-CZ"/>
        </w:rPr>
        <w:lastRenderedPageBreak/>
        <w:t>Podľa čl.</w:t>
      </w:r>
      <w:r w:rsidR="002A4C68">
        <w:rPr>
          <w:szCs w:val="24"/>
          <w:lang w:eastAsia="cs-CZ"/>
        </w:rPr>
        <w:t> </w:t>
      </w:r>
      <w:r w:rsidRPr="00F84026">
        <w:rPr>
          <w:szCs w:val="24"/>
          <w:lang w:eastAsia="cs-CZ"/>
        </w:rPr>
        <w:t>12 ods.</w:t>
      </w:r>
      <w:r w:rsidR="002A4C68">
        <w:rPr>
          <w:szCs w:val="24"/>
          <w:lang w:eastAsia="cs-CZ"/>
        </w:rPr>
        <w:t> </w:t>
      </w:r>
      <w:r w:rsidRPr="00F84026">
        <w:rPr>
          <w:szCs w:val="24"/>
          <w:lang w:eastAsia="cs-CZ"/>
        </w:rPr>
        <w:t>5. písm.</w:t>
      </w:r>
      <w:r w:rsidR="002A4C68">
        <w:rPr>
          <w:szCs w:val="24"/>
          <w:lang w:eastAsia="cs-CZ"/>
        </w:rPr>
        <w:t> </w:t>
      </w:r>
      <w:r w:rsidRPr="00F84026">
        <w:rPr>
          <w:szCs w:val="24"/>
          <w:lang w:eastAsia="cs-CZ"/>
        </w:rPr>
        <w:t>b) ústavného zákona č</w:t>
      </w:r>
      <w:r w:rsidR="002A4C68">
        <w:rPr>
          <w:szCs w:val="24"/>
          <w:lang w:eastAsia="cs-CZ"/>
        </w:rPr>
        <w:t>. </w:t>
      </w:r>
      <w:r w:rsidRPr="00F84026">
        <w:rPr>
          <w:szCs w:val="24"/>
          <w:lang w:eastAsia="cs-CZ"/>
        </w:rPr>
        <w:t>493/2011</w:t>
      </w:r>
      <w:r w:rsidR="002A4C68">
        <w:rPr>
          <w:szCs w:val="24"/>
          <w:lang w:eastAsia="cs-CZ"/>
        </w:rPr>
        <w:t> </w:t>
      </w:r>
      <w:r w:rsidRPr="00F84026">
        <w:rPr>
          <w:szCs w:val="24"/>
          <w:lang w:eastAsia="cs-CZ"/>
        </w:rPr>
        <w:t>Z.</w:t>
      </w:r>
      <w:r w:rsidR="002A4C68">
        <w:rPr>
          <w:szCs w:val="24"/>
          <w:lang w:eastAsia="cs-CZ"/>
        </w:rPr>
        <w:t> </w:t>
      </w:r>
      <w:r w:rsidRPr="00F84026">
        <w:rPr>
          <w:szCs w:val="24"/>
          <w:lang w:eastAsia="cs-CZ"/>
        </w:rPr>
        <w:t>z. o rozpočtovej zodpovednosti nebolo možné v období od 21.</w:t>
      </w:r>
      <w:r w:rsidR="002A4C68">
        <w:rPr>
          <w:szCs w:val="24"/>
          <w:lang w:eastAsia="cs-CZ"/>
        </w:rPr>
        <w:t> </w:t>
      </w:r>
      <w:r w:rsidRPr="00F84026">
        <w:rPr>
          <w:szCs w:val="24"/>
          <w:lang w:eastAsia="cs-CZ"/>
        </w:rPr>
        <w:t>novembra 2025 poskytovať prostriedky z rezervy vlády. Uvedené ustanovenie zákona bolo dodržané.</w:t>
      </w:r>
      <w:r w:rsidR="00865B7D">
        <w:rPr>
          <w:szCs w:val="24"/>
          <w:lang w:eastAsia="cs-CZ"/>
        </w:rPr>
        <w:t xml:space="preserve"> </w:t>
      </w:r>
      <w:r w:rsidRPr="00F84026">
        <w:rPr>
          <w:szCs w:val="24"/>
          <w:lang w:eastAsia="cs-CZ"/>
        </w:rPr>
        <w:t>Nevyčerpané prostriedky zostali v sume 4</w:t>
      </w:r>
      <w:r w:rsidR="002A4C68">
        <w:rPr>
          <w:szCs w:val="24"/>
          <w:lang w:eastAsia="cs-CZ"/>
        </w:rPr>
        <w:t> </w:t>
      </w:r>
      <w:r w:rsidRPr="00F84026">
        <w:rPr>
          <w:szCs w:val="24"/>
          <w:lang w:eastAsia="cs-CZ"/>
        </w:rPr>
        <w:t>843</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w:t>
      </w:r>
    </w:p>
    <w:p w14:paraId="10F0702F" w14:textId="1202DA6A" w:rsidR="00AF3D2E" w:rsidRDefault="00AF3D2E">
      <w:pPr>
        <w:rPr>
          <w:rFonts w:eastAsia="Times New Roman" w:cs="Times New Roman"/>
          <w:b/>
          <w:szCs w:val="24"/>
          <w:lang w:eastAsia="cs-CZ"/>
        </w:rPr>
      </w:pPr>
    </w:p>
    <w:p w14:paraId="3B72BA78" w14:textId="25DC5688" w:rsidR="00F84026" w:rsidRP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rFonts w:eastAsia="Times New Roman" w:cs="Times New Roman"/>
          <w:b/>
          <w:szCs w:val="24"/>
          <w:lang w:eastAsia="cs-CZ"/>
        </w:rPr>
      </w:pPr>
      <w:r w:rsidRPr="00F84026">
        <w:rPr>
          <w:rFonts w:eastAsia="Times New Roman" w:cs="Times New Roman"/>
          <w:b/>
          <w:szCs w:val="24"/>
          <w:lang w:eastAsia="cs-CZ"/>
        </w:rPr>
        <w:t>Rezerva na riešenie negatívnych vplyvov vývoja rozpočtového hospodárenia</w:t>
      </w:r>
    </w:p>
    <w:p w14:paraId="21BE193F" w14:textId="282036B9" w:rsidR="00F84026" w:rsidRP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szCs w:val="24"/>
          <w:lang w:eastAsia="cs-CZ"/>
        </w:rPr>
      </w:pPr>
      <w:r w:rsidRPr="00F84026">
        <w:rPr>
          <w:szCs w:val="24"/>
          <w:lang w:eastAsia="cs-CZ"/>
        </w:rPr>
        <w:t>Z rozpočtovanej rezervy v sume 297</w:t>
      </w:r>
      <w:r w:rsidR="002A4C68">
        <w:rPr>
          <w:szCs w:val="24"/>
          <w:lang w:eastAsia="cs-CZ"/>
        </w:rPr>
        <w:t> </w:t>
      </w:r>
      <w:r w:rsidRPr="00F84026">
        <w:rPr>
          <w:szCs w:val="24"/>
          <w:lang w:eastAsia="cs-CZ"/>
        </w:rPr>
        <w:t>924</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 boli viazané prostriedky v</w:t>
      </w:r>
      <w:r w:rsidR="002A4C68">
        <w:rPr>
          <w:szCs w:val="24"/>
          <w:lang w:eastAsia="cs-CZ"/>
        </w:rPr>
        <w:t> </w:t>
      </w:r>
      <w:r w:rsidRPr="00F84026">
        <w:rPr>
          <w:szCs w:val="24"/>
          <w:lang w:eastAsia="cs-CZ"/>
        </w:rPr>
        <w:t>nadväznosti na dodržanie LVV v roku 2025 z dôvodu zabezpečenia financovania DPH v kontexte implementácie POO v  sume 162</w:t>
      </w:r>
      <w:r w:rsidR="002A4C68">
        <w:rPr>
          <w:szCs w:val="24"/>
          <w:lang w:eastAsia="cs-CZ"/>
        </w:rPr>
        <w:t> </w:t>
      </w:r>
      <w:r w:rsidRPr="00F84026">
        <w:rPr>
          <w:szCs w:val="24"/>
          <w:lang w:eastAsia="cs-CZ"/>
        </w:rPr>
        <w:t>179</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w:t>
      </w:r>
      <w:r w:rsidR="005172AE">
        <w:rPr>
          <w:szCs w:val="24"/>
          <w:lang w:eastAsia="cs-CZ"/>
        </w:rPr>
        <w:t>.</w:t>
      </w:r>
      <w:r w:rsidR="00865B7D">
        <w:rPr>
          <w:szCs w:val="24"/>
          <w:lang w:eastAsia="cs-CZ"/>
        </w:rPr>
        <w:t xml:space="preserve"> </w:t>
      </w:r>
      <w:r w:rsidRPr="00F84026">
        <w:rPr>
          <w:szCs w:val="24"/>
          <w:lang w:eastAsia="cs-CZ"/>
        </w:rPr>
        <w:t>Z rezervy boli uvoľnené prostriedky na poskytnutie finančnej pomoci obciam a samosprávnym krajom na vyplatenie 800</w:t>
      </w:r>
      <w:r w:rsidR="002A4C68">
        <w:rPr>
          <w:szCs w:val="24"/>
          <w:lang w:eastAsia="cs-CZ"/>
        </w:rPr>
        <w:t> </w:t>
      </w:r>
      <w:r w:rsidRPr="00F84026">
        <w:rPr>
          <w:szCs w:val="24"/>
          <w:lang w:eastAsia="cs-CZ"/>
        </w:rPr>
        <w:t>eur odmeny pre zamestnancov podľa UZN č. 291/2025 a UZN č. 338/2025 v celkovej sume 96</w:t>
      </w:r>
      <w:r w:rsidR="002A4C68">
        <w:rPr>
          <w:szCs w:val="24"/>
          <w:lang w:eastAsia="cs-CZ"/>
        </w:rPr>
        <w:t> </w:t>
      </w:r>
      <w:r w:rsidRPr="00F84026">
        <w:rPr>
          <w:szCs w:val="24"/>
          <w:lang w:eastAsia="cs-CZ"/>
        </w:rPr>
        <w:t>622</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w:t>
      </w:r>
      <w:r w:rsidR="00865B7D">
        <w:rPr>
          <w:szCs w:val="24"/>
          <w:lang w:eastAsia="cs-CZ"/>
        </w:rPr>
        <w:t xml:space="preserve"> </w:t>
      </w:r>
      <w:r w:rsidRPr="00F84026">
        <w:rPr>
          <w:szCs w:val="24"/>
          <w:lang w:eastAsia="cs-CZ"/>
        </w:rPr>
        <w:t>Nevyčerpané prostriedky zostali v sume 39</w:t>
      </w:r>
      <w:r w:rsidR="002A4C68">
        <w:rPr>
          <w:szCs w:val="24"/>
          <w:lang w:eastAsia="cs-CZ"/>
        </w:rPr>
        <w:t> </w:t>
      </w:r>
      <w:r w:rsidRPr="00F84026">
        <w:rPr>
          <w:szCs w:val="24"/>
          <w:lang w:eastAsia="cs-CZ"/>
        </w:rPr>
        <w:t>123</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w:t>
      </w:r>
    </w:p>
    <w:p w14:paraId="2730A457" w14:textId="77777777" w:rsidR="00F84026" w:rsidRP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rFonts w:eastAsia="Times New Roman" w:cs="Times New Roman"/>
          <w:lang w:eastAsia="cs-CZ"/>
        </w:rPr>
      </w:pPr>
    </w:p>
    <w:p w14:paraId="5E5A6E3D" w14:textId="5983752A" w:rsidR="00F84026" w:rsidRP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rFonts w:eastAsia="Times New Roman" w:cs="Times New Roman"/>
          <w:b/>
          <w:szCs w:val="24"/>
          <w:lang w:eastAsia="cs-CZ"/>
        </w:rPr>
      </w:pPr>
      <w:r w:rsidRPr="00F84026">
        <w:rPr>
          <w:rFonts w:eastAsia="Times New Roman" w:cs="Times New Roman"/>
          <w:b/>
          <w:szCs w:val="24"/>
          <w:lang w:eastAsia="cs-CZ"/>
        </w:rPr>
        <w:t>Rezerva na riešenie krízových situácií mimo času vojny a vojnového stavu a vykonávanie povodňových prác</w:t>
      </w:r>
    </w:p>
    <w:p w14:paraId="51DE8BBA" w14:textId="1BC4C5A8" w:rsidR="00F84026" w:rsidRP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szCs w:val="24"/>
          <w:lang w:eastAsia="cs-CZ"/>
        </w:rPr>
      </w:pPr>
      <w:r w:rsidRPr="00F84026">
        <w:rPr>
          <w:szCs w:val="24"/>
          <w:lang w:eastAsia="cs-CZ"/>
        </w:rPr>
        <w:t>Z rozpočtovanej rezervy v sume 30</w:t>
      </w:r>
      <w:r w:rsidR="002A4C68">
        <w:rPr>
          <w:szCs w:val="24"/>
          <w:lang w:eastAsia="cs-CZ"/>
        </w:rPr>
        <w:t> </w:t>
      </w:r>
      <w:r w:rsidRPr="00F84026">
        <w:rPr>
          <w:szCs w:val="24"/>
          <w:lang w:eastAsia="cs-CZ"/>
        </w:rPr>
        <w:t>000</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 boli uvoľnené prostriedky jednotlivým kapitolám v celkovej sume 28</w:t>
      </w:r>
      <w:r w:rsidR="002A4C68">
        <w:rPr>
          <w:szCs w:val="24"/>
          <w:lang w:eastAsia="cs-CZ"/>
        </w:rPr>
        <w:t> </w:t>
      </w:r>
      <w:r w:rsidRPr="00F84026">
        <w:rPr>
          <w:szCs w:val="24"/>
          <w:lang w:eastAsia="cs-CZ"/>
        </w:rPr>
        <w:t>439</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w:t>
      </w:r>
      <w:r w:rsidR="00865B7D">
        <w:rPr>
          <w:szCs w:val="24"/>
          <w:lang w:eastAsia="cs-CZ"/>
        </w:rPr>
        <w:t xml:space="preserve"> </w:t>
      </w:r>
      <w:r w:rsidRPr="00F84026">
        <w:rPr>
          <w:szCs w:val="24"/>
          <w:lang w:eastAsia="cs-CZ"/>
        </w:rPr>
        <w:t>Nevyčerpané prostriedky zostali v sume 1</w:t>
      </w:r>
      <w:r w:rsidR="002A4C68">
        <w:rPr>
          <w:szCs w:val="24"/>
          <w:lang w:eastAsia="cs-CZ"/>
        </w:rPr>
        <w:t> </w:t>
      </w:r>
      <w:r w:rsidRPr="00F84026">
        <w:rPr>
          <w:szCs w:val="24"/>
          <w:lang w:eastAsia="cs-CZ"/>
        </w:rPr>
        <w:t>561</w:t>
      </w:r>
      <w:r w:rsidR="002A4C68">
        <w:rPr>
          <w:szCs w:val="24"/>
          <w:lang w:eastAsia="cs-CZ"/>
        </w:rPr>
        <w:t> </w:t>
      </w:r>
      <w:r w:rsidRPr="00F84026">
        <w:rPr>
          <w:szCs w:val="24"/>
          <w:lang w:eastAsia="cs-CZ"/>
        </w:rPr>
        <w:t>tis.</w:t>
      </w:r>
      <w:r w:rsidR="002A4C68">
        <w:rPr>
          <w:szCs w:val="24"/>
          <w:lang w:eastAsia="cs-CZ"/>
        </w:rPr>
        <w:t> </w:t>
      </w:r>
      <w:r w:rsidRPr="00F84026">
        <w:rPr>
          <w:szCs w:val="24"/>
          <w:lang w:eastAsia="cs-CZ"/>
        </w:rPr>
        <w:t>eur.</w:t>
      </w:r>
    </w:p>
    <w:p w14:paraId="0CE8AB11" w14:textId="77777777" w:rsidR="00F84026" w:rsidRDefault="00F84026" w:rsidP="00F84026">
      <w:pPr>
        <w:tabs>
          <w:tab w:val="left" w:pos="0"/>
          <w:tab w:val="left" w:pos="720"/>
          <w:tab w:val="left" w:pos="1440"/>
          <w:tab w:val="left" w:pos="2160"/>
          <w:tab w:val="left" w:pos="2880"/>
          <w:tab w:val="left" w:pos="3600"/>
          <w:tab w:val="left" w:pos="4320"/>
        </w:tabs>
        <w:adjustRightInd w:val="0"/>
        <w:spacing w:line="240" w:lineRule="auto"/>
        <w:jc w:val="both"/>
        <w:rPr>
          <w:rFonts w:eastAsia="Times New Roman" w:cs="Times New Roman"/>
          <w:highlight w:val="yellow"/>
          <w:lang w:eastAsia="cs-CZ"/>
        </w:rPr>
      </w:pPr>
    </w:p>
    <w:p w14:paraId="19654FAF" w14:textId="4445B21E" w:rsidR="004D69BF" w:rsidRPr="0050710A" w:rsidRDefault="004D69BF" w:rsidP="00A972FB">
      <w:pPr>
        <w:spacing w:line="240" w:lineRule="auto"/>
        <w:jc w:val="both"/>
        <w:rPr>
          <w:b/>
          <w:i/>
          <w:highlight w:val="yellow"/>
        </w:rPr>
      </w:pPr>
      <w:r w:rsidRPr="005172AE">
        <w:rPr>
          <w:b/>
          <w:i/>
        </w:rPr>
        <w:t>Bližší popis prehľadu čerpania rezerv štátneho rozpočtu je uvedený v tabuľkovej prílohe, v</w:t>
      </w:r>
      <w:r w:rsidR="0078224A" w:rsidRPr="005172AE">
        <w:rPr>
          <w:b/>
          <w:i/>
        </w:rPr>
        <w:t> </w:t>
      </w:r>
      <w:r w:rsidRPr="00AF3D2E">
        <w:rPr>
          <w:b/>
          <w:i/>
        </w:rPr>
        <w:t>tabuľkách č. 3</w:t>
      </w:r>
      <w:r w:rsidR="00C64A41" w:rsidRPr="00AF3D2E">
        <w:rPr>
          <w:b/>
          <w:i/>
        </w:rPr>
        <w:t>4</w:t>
      </w:r>
      <w:r w:rsidRPr="00AF3D2E">
        <w:rPr>
          <w:b/>
          <w:i/>
        </w:rPr>
        <w:t xml:space="preserve"> a 3</w:t>
      </w:r>
      <w:r w:rsidR="00C64A41" w:rsidRPr="00AF3D2E">
        <w:rPr>
          <w:b/>
          <w:i/>
        </w:rPr>
        <w:t>5</w:t>
      </w:r>
      <w:r w:rsidRPr="00AF3D2E">
        <w:rPr>
          <w:b/>
          <w:i/>
        </w:rPr>
        <w:t>.</w:t>
      </w:r>
    </w:p>
    <w:p w14:paraId="69654801" w14:textId="77777777" w:rsidR="00D46A5E" w:rsidRPr="0050710A" w:rsidRDefault="00D46A5E" w:rsidP="00A972FB">
      <w:pPr>
        <w:spacing w:line="240" w:lineRule="auto"/>
        <w:jc w:val="both"/>
        <w:rPr>
          <w:bCs/>
          <w:iCs/>
          <w:szCs w:val="24"/>
          <w:highlight w:val="yellow"/>
        </w:rPr>
      </w:pPr>
    </w:p>
    <w:p w14:paraId="7010386C" w14:textId="77777777" w:rsidR="004D69BF" w:rsidRPr="00DA100D" w:rsidRDefault="004D69BF" w:rsidP="00A972FB">
      <w:pPr>
        <w:pStyle w:val="Nadpis2"/>
        <w:spacing w:after="0"/>
      </w:pPr>
      <w:bookmarkStart w:id="141" w:name="_Toc6415651"/>
      <w:bookmarkStart w:id="142" w:name="_Toc227758911"/>
      <w:r w:rsidRPr="00DA100D">
        <w:t>Štátne finančné aktíva</w:t>
      </w:r>
      <w:bookmarkEnd w:id="141"/>
      <w:bookmarkEnd w:id="142"/>
    </w:p>
    <w:p w14:paraId="05924B4E" w14:textId="77777777" w:rsidR="00D46A5E" w:rsidRPr="0050710A" w:rsidRDefault="00D46A5E" w:rsidP="00A972FB">
      <w:pPr>
        <w:spacing w:line="240" w:lineRule="auto"/>
        <w:jc w:val="both"/>
        <w:rPr>
          <w:szCs w:val="24"/>
          <w:highlight w:val="yellow"/>
        </w:rPr>
      </w:pPr>
    </w:p>
    <w:p w14:paraId="5D0E20C2" w14:textId="5173B5A3" w:rsidR="00702069" w:rsidRDefault="00702069" w:rsidP="00702069">
      <w:pPr>
        <w:spacing w:line="240" w:lineRule="auto"/>
        <w:jc w:val="both"/>
        <w:rPr>
          <w:szCs w:val="24"/>
          <w:lang w:eastAsia="cs-CZ"/>
        </w:rPr>
      </w:pPr>
      <w:r w:rsidRPr="00D715AF">
        <w:rPr>
          <w:szCs w:val="24"/>
          <w:lang w:eastAsia="cs-CZ"/>
        </w:rPr>
        <w:t>Štátne finančné aktíva (ŠFA) rovnako ako aj štátne finančné pasíva</w:t>
      </w:r>
      <w:r w:rsidRPr="00702069">
        <w:rPr>
          <w:vertAlign w:val="superscript"/>
          <w:lang w:eastAsia="cs-CZ"/>
        </w:rPr>
        <w:footnoteReference w:id="26"/>
      </w:r>
      <w:r w:rsidRPr="00D715AF">
        <w:rPr>
          <w:szCs w:val="24"/>
          <w:lang w:eastAsia="cs-CZ"/>
        </w:rPr>
        <w:t xml:space="preserve"> sú súčasťou návrhu štátneho rozpočtu verejnej správy na príslušný rok. Finančné operácie so štátnymi finančnými aktívami a</w:t>
      </w:r>
      <w:r>
        <w:rPr>
          <w:szCs w:val="24"/>
          <w:lang w:eastAsia="cs-CZ"/>
        </w:rPr>
        <w:t> </w:t>
      </w:r>
      <w:r w:rsidRPr="00D715AF">
        <w:rPr>
          <w:szCs w:val="24"/>
          <w:lang w:eastAsia="cs-CZ"/>
        </w:rPr>
        <w:t>iné operácie, ktoré ovplyvňujú stav štátnych finančných aktív, nie sú súčasťou príjmov štátneho rozpočtu a výdavkov štátneho rozpočtu. Správu štátnych finančných aktív vykonáva Ministerstvo financií SR, v rozsahu zá</w:t>
      </w:r>
      <w:r>
        <w:rPr>
          <w:szCs w:val="24"/>
          <w:lang w:eastAsia="cs-CZ"/>
        </w:rPr>
        <w:t xml:space="preserve">kona o rozpočtových pravidlách, </w:t>
      </w:r>
      <w:r w:rsidRPr="00D715AF">
        <w:rPr>
          <w:szCs w:val="24"/>
          <w:lang w:eastAsia="cs-CZ"/>
        </w:rPr>
        <w:t>pričom na</w:t>
      </w:r>
      <w:r>
        <w:rPr>
          <w:szCs w:val="24"/>
          <w:lang w:eastAsia="cs-CZ"/>
        </w:rPr>
        <w:t> </w:t>
      </w:r>
      <w:r w:rsidRPr="00D715AF">
        <w:rPr>
          <w:szCs w:val="24"/>
          <w:lang w:eastAsia="cs-CZ"/>
        </w:rPr>
        <w:t>niektoré transakcie sa vyžaduje súhlas</w:t>
      </w:r>
      <w:r>
        <w:rPr>
          <w:szCs w:val="24"/>
          <w:lang w:eastAsia="cs-CZ"/>
        </w:rPr>
        <w:t xml:space="preserve"> vlády a na niektoré aj súhlas N</w:t>
      </w:r>
      <w:r w:rsidRPr="00D715AF">
        <w:rPr>
          <w:szCs w:val="24"/>
          <w:lang w:eastAsia="cs-CZ"/>
        </w:rPr>
        <w:t>árodnej rady SR</w:t>
      </w:r>
      <w:r w:rsidR="00952B49">
        <w:rPr>
          <w:szCs w:val="24"/>
          <w:lang w:eastAsia="cs-CZ"/>
        </w:rPr>
        <w:t>.</w:t>
      </w:r>
      <w:r w:rsidRPr="00702069">
        <w:rPr>
          <w:vertAlign w:val="superscript"/>
          <w:lang w:eastAsia="cs-CZ"/>
        </w:rPr>
        <w:footnoteReference w:id="27"/>
      </w:r>
    </w:p>
    <w:p w14:paraId="799330FE" w14:textId="77777777" w:rsidR="00702069" w:rsidRDefault="00702069" w:rsidP="00702069">
      <w:pPr>
        <w:spacing w:line="240" w:lineRule="auto"/>
        <w:jc w:val="both"/>
        <w:rPr>
          <w:szCs w:val="24"/>
          <w:lang w:eastAsia="cs-CZ"/>
        </w:rPr>
      </w:pPr>
    </w:p>
    <w:p w14:paraId="020BA86B" w14:textId="77777777" w:rsidR="00702069" w:rsidRPr="00D715AF" w:rsidRDefault="00702069" w:rsidP="00702069">
      <w:pPr>
        <w:spacing w:line="240" w:lineRule="auto"/>
        <w:contextualSpacing/>
        <w:jc w:val="both"/>
        <w:rPr>
          <w:szCs w:val="24"/>
          <w:lang w:eastAsia="cs-CZ"/>
        </w:rPr>
      </w:pPr>
      <w:r w:rsidRPr="00D715AF">
        <w:rPr>
          <w:szCs w:val="24"/>
          <w:lang w:eastAsia="cs-CZ"/>
        </w:rPr>
        <w:t>Podľa zákona o rozpočtových pravidlách štátnymi finančnými aktívami</w:t>
      </w:r>
      <w:r w:rsidRPr="002B42D8">
        <w:rPr>
          <w:szCs w:val="24"/>
          <w:lang w:eastAsia="cs-CZ"/>
        </w:rPr>
        <w:t xml:space="preserve"> </w:t>
      </w:r>
      <w:r w:rsidRPr="00D715AF">
        <w:rPr>
          <w:szCs w:val="24"/>
          <w:lang w:eastAsia="cs-CZ"/>
        </w:rPr>
        <w:t>sú:</w:t>
      </w:r>
    </w:p>
    <w:p w14:paraId="1448C09A" w14:textId="77777777" w:rsidR="00702069" w:rsidRPr="00A81FFB" w:rsidRDefault="00702069" w:rsidP="008B1431">
      <w:pPr>
        <w:pStyle w:val="Odsekzoznamu"/>
        <w:numPr>
          <w:ilvl w:val="0"/>
          <w:numId w:val="1"/>
        </w:numPr>
        <w:tabs>
          <w:tab w:val="left" w:pos="284"/>
        </w:tabs>
        <w:jc w:val="both"/>
        <w:rPr>
          <w:rFonts w:ascii="Times New Roman" w:hAnsi="Times New Roman"/>
          <w:szCs w:val="24"/>
          <w:lang w:eastAsia="cs-CZ"/>
        </w:rPr>
      </w:pPr>
      <w:r w:rsidRPr="00A81FFB">
        <w:rPr>
          <w:rFonts w:ascii="Times New Roman" w:hAnsi="Times New Roman"/>
          <w:szCs w:val="24"/>
          <w:lang w:eastAsia="cs-CZ"/>
        </w:rPr>
        <w:t>peňažné prostriedky štátu vytvorené z výsledkov rozpočtového hospodárenia štátneho rozpočtu z minulých rokov,</w:t>
      </w:r>
    </w:p>
    <w:p w14:paraId="4611A279" w14:textId="77777777" w:rsidR="00702069" w:rsidRPr="00A81FFB" w:rsidRDefault="00702069" w:rsidP="008B1431">
      <w:pPr>
        <w:pStyle w:val="Odsekzoznamu"/>
        <w:numPr>
          <w:ilvl w:val="0"/>
          <w:numId w:val="1"/>
        </w:numPr>
        <w:tabs>
          <w:tab w:val="left" w:pos="284"/>
        </w:tabs>
        <w:jc w:val="both"/>
        <w:rPr>
          <w:rFonts w:ascii="Times New Roman" w:hAnsi="Times New Roman"/>
          <w:szCs w:val="24"/>
          <w:lang w:eastAsia="cs-CZ"/>
        </w:rPr>
      </w:pPr>
      <w:r w:rsidRPr="00A81FFB">
        <w:rPr>
          <w:rFonts w:ascii="Times New Roman" w:hAnsi="Times New Roman"/>
          <w:szCs w:val="24"/>
          <w:lang w:eastAsia="cs-CZ"/>
        </w:rPr>
        <w:t>peňažné prostriedky štátu zo splácania istín poskytnutých návratných výpomocí, úverov a pôžičiek,</w:t>
      </w:r>
    </w:p>
    <w:p w14:paraId="2D92D439" w14:textId="77777777" w:rsidR="00702069" w:rsidRPr="00A81FFB" w:rsidRDefault="00702069" w:rsidP="008B1431">
      <w:pPr>
        <w:pStyle w:val="Odsekzoznamu"/>
        <w:numPr>
          <w:ilvl w:val="0"/>
          <w:numId w:val="1"/>
        </w:numPr>
        <w:tabs>
          <w:tab w:val="left" w:pos="284"/>
        </w:tabs>
        <w:jc w:val="both"/>
        <w:rPr>
          <w:rFonts w:ascii="Times New Roman" w:hAnsi="Times New Roman"/>
          <w:szCs w:val="24"/>
          <w:lang w:eastAsia="cs-CZ"/>
        </w:rPr>
      </w:pPr>
      <w:r w:rsidRPr="00A81FFB">
        <w:rPr>
          <w:rFonts w:ascii="Times New Roman" w:hAnsi="Times New Roman"/>
          <w:szCs w:val="24"/>
          <w:lang w:eastAsia="cs-CZ"/>
        </w:rPr>
        <w:t>peňažné prostriedky v pokladnici a na bežných účtoch štátnych rozpočtových organizácií a štátnych príspevkových organizácií a odvod za porušenie finančnej disciplíny pri nakladaní so štátnymi finančnými aktívami,</w:t>
      </w:r>
    </w:p>
    <w:p w14:paraId="74E4677F" w14:textId="6086B7A6" w:rsidR="00702069" w:rsidRPr="00A81FFB" w:rsidRDefault="00702069" w:rsidP="008B1431">
      <w:pPr>
        <w:pStyle w:val="Odsekzoznamu"/>
        <w:numPr>
          <w:ilvl w:val="0"/>
          <w:numId w:val="1"/>
        </w:numPr>
        <w:tabs>
          <w:tab w:val="left" w:pos="284"/>
        </w:tabs>
        <w:jc w:val="both"/>
        <w:rPr>
          <w:rFonts w:ascii="Times New Roman" w:hAnsi="Times New Roman"/>
          <w:szCs w:val="24"/>
          <w:lang w:eastAsia="cs-CZ"/>
        </w:rPr>
      </w:pPr>
      <w:r w:rsidRPr="00A81FFB">
        <w:rPr>
          <w:rFonts w:ascii="Times New Roman" w:hAnsi="Times New Roman"/>
          <w:szCs w:val="24"/>
          <w:lang w:eastAsia="cs-CZ"/>
        </w:rPr>
        <w:t>pohľadávky štátu z poskytnutých návratných finančných výpomocí, úverov a</w:t>
      </w:r>
      <w:r w:rsidR="00A81FFB">
        <w:rPr>
          <w:rFonts w:ascii="Times New Roman" w:hAnsi="Times New Roman"/>
          <w:szCs w:val="24"/>
          <w:lang w:eastAsia="cs-CZ"/>
        </w:rPr>
        <w:t> </w:t>
      </w:r>
      <w:r w:rsidRPr="00A81FFB">
        <w:rPr>
          <w:rFonts w:ascii="Times New Roman" w:hAnsi="Times New Roman"/>
          <w:szCs w:val="24"/>
          <w:lang w:eastAsia="cs-CZ"/>
        </w:rPr>
        <w:t>pôžičiek,</w:t>
      </w:r>
    </w:p>
    <w:p w14:paraId="79635657" w14:textId="77777777" w:rsidR="00702069" w:rsidRPr="00A81FFB" w:rsidRDefault="00702069" w:rsidP="008B1431">
      <w:pPr>
        <w:pStyle w:val="Odsekzoznamu"/>
        <w:numPr>
          <w:ilvl w:val="0"/>
          <w:numId w:val="1"/>
        </w:numPr>
        <w:tabs>
          <w:tab w:val="left" w:pos="284"/>
        </w:tabs>
        <w:jc w:val="both"/>
        <w:rPr>
          <w:rFonts w:ascii="Times New Roman" w:hAnsi="Times New Roman"/>
          <w:szCs w:val="24"/>
          <w:lang w:eastAsia="cs-CZ"/>
        </w:rPr>
      </w:pPr>
      <w:r w:rsidRPr="00A81FFB">
        <w:rPr>
          <w:rFonts w:ascii="Times New Roman" w:hAnsi="Times New Roman"/>
          <w:szCs w:val="24"/>
          <w:lang w:eastAsia="cs-CZ"/>
        </w:rPr>
        <w:t>cenné papiere vo vlastníctve štátu,</w:t>
      </w:r>
    </w:p>
    <w:p w14:paraId="72F43453" w14:textId="77777777" w:rsidR="00702069" w:rsidRPr="00A81FFB" w:rsidRDefault="00702069" w:rsidP="008B1431">
      <w:pPr>
        <w:pStyle w:val="Odsekzoznamu"/>
        <w:numPr>
          <w:ilvl w:val="0"/>
          <w:numId w:val="1"/>
        </w:numPr>
        <w:tabs>
          <w:tab w:val="left" w:pos="284"/>
        </w:tabs>
        <w:jc w:val="both"/>
        <w:rPr>
          <w:rFonts w:ascii="Times New Roman" w:hAnsi="Times New Roman"/>
          <w:szCs w:val="24"/>
          <w:lang w:eastAsia="cs-CZ"/>
        </w:rPr>
      </w:pPr>
      <w:r w:rsidRPr="00A81FFB">
        <w:rPr>
          <w:rFonts w:ascii="Times New Roman" w:hAnsi="Times New Roman"/>
          <w:szCs w:val="24"/>
          <w:lang w:eastAsia="cs-CZ"/>
        </w:rPr>
        <w:t>majetkové účasti štátu,</w:t>
      </w:r>
    </w:p>
    <w:p w14:paraId="1D884393" w14:textId="77777777" w:rsidR="00702069" w:rsidRPr="00A81FFB" w:rsidRDefault="00702069" w:rsidP="008B1431">
      <w:pPr>
        <w:pStyle w:val="Odsekzoznamu"/>
        <w:numPr>
          <w:ilvl w:val="0"/>
          <w:numId w:val="1"/>
        </w:numPr>
        <w:tabs>
          <w:tab w:val="left" w:pos="284"/>
        </w:tabs>
        <w:jc w:val="both"/>
        <w:rPr>
          <w:rFonts w:ascii="Times New Roman" w:hAnsi="Times New Roman"/>
          <w:szCs w:val="24"/>
          <w:lang w:eastAsia="cs-CZ"/>
        </w:rPr>
      </w:pPr>
      <w:r w:rsidRPr="00A81FFB">
        <w:rPr>
          <w:rFonts w:ascii="Times New Roman" w:hAnsi="Times New Roman"/>
          <w:szCs w:val="24"/>
          <w:lang w:eastAsia="cs-CZ"/>
        </w:rPr>
        <w:t>ďalšie peňažné prostriedky na základe rozhodnutia vlády alebo národnej rady.</w:t>
      </w:r>
    </w:p>
    <w:p w14:paraId="0F9515C7" w14:textId="1ECB6893" w:rsidR="00702069" w:rsidRPr="00A81FFB" w:rsidRDefault="00702069" w:rsidP="00A81FF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rFonts w:cs="Times New Roman"/>
          <w:szCs w:val="24"/>
          <w:lang w:eastAsia="cs-CZ"/>
        </w:rPr>
      </w:pPr>
      <w:r w:rsidRPr="00A81FFB">
        <w:rPr>
          <w:rFonts w:cs="Times New Roman"/>
          <w:szCs w:val="24"/>
          <w:lang w:eastAsia="cs-CZ"/>
        </w:rPr>
        <w:t>Prostriedky ŠFA sú vedené na samostatných účtoch v Štátnej pokladnici a ich zostatok prechádza vždy do nasledujúceho rozpočtového roka.</w:t>
      </w:r>
    </w:p>
    <w:p w14:paraId="65712FAF" w14:textId="6716443C" w:rsidR="00702069" w:rsidRDefault="00702069" w:rsidP="0070206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lang w:eastAsia="cs-CZ"/>
        </w:rPr>
      </w:pPr>
      <w:r>
        <w:rPr>
          <w:szCs w:val="24"/>
          <w:lang w:eastAsia="cs-CZ"/>
        </w:rPr>
        <w:lastRenderedPageBreak/>
        <w:t>Väčšina operácií so ŠFA sú v hotovostnej forme klasifikované ako finančné operácie, avšak v metodike ESA často dochádza ku klasifikovaniu príjmov alebo výdavkov ŠFA ovplyvňujúcich výsledné saldo verejnej správy v metodike ESA. Napríklad niektoré výdavkové finančné operácie sú zaznamenané ako kapitálové transfery (výdavky), ide o vklady do základného imania štátnych obchodných spoločnost</w:t>
      </w:r>
      <w:r w:rsidR="00FA4D6D">
        <w:rPr>
          <w:szCs w:val="24"/>
          <w:lang w:eastAsia="cs-CZ"/>
        </w:rPr>
        <w:t>í</w:t>
      </w:r>
      <w:r>
        <w:rPr>
          <w:szCs w:val="24"/>
          <w:lang w:eastAsia="cs-CZ"/>
        </w:rPr>
        <w:t xml:space="preserve"> alebo odpustenie v minulosti poskytnutých NFV subjektom verejnej správy. Medzi príjmové finančné operácie patria hlavne splátky z poskytnutých NFV.</w:t>
      </w:r>
    </w:p>
    <w:p w14:paraId="253AA309" w14:textId="77777777" w:rsidR="00702069" w:rsidRDefault="00702069" w:rsidP="0070206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lang w:eastAsia="cs-CZ"/>
        </w:rPr>
      </w:pPr>
    </w:p>
    <w:p w14:paraId="423F35D9" w14:textId="77777777" w:rsidR="00702069" w:rsidRDefault="00702069" w:rsidP="0070206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lang w:eastAsia="cs-CZ"/>
        </w:rPr>
      </w:pPr>
      <w:r w:rsidRPr="00702069">
        <w:rPr>
          <w:szCs w:val="24"/>
          <w:lang w:eastAsia="cs-CZ"/>
        </w:rPr>
        <w:t>Od 1. januára 2024 nie sú súčasťou samostatného účtu ŠFA prostriedky z odvodu z podnikania v regulovaných odvetviach, platené po 1. januári 2024 za rozpočtové obdobie týkajúce sa roku 2024. Posledné platby z tohto odvodu do ŠFA predstavovali platby za december 2023 prijaté na účet ŠFA v januári 2024. Následné platby z odvodu boli už súčasťou rozpočtových príjmov kapitoly Všeobecná pokladničná správa (prostredníctvom výberu cez FR SR).</w:t>
      </w:r>
    </w:p>
    <w:p w14:paraId="2C7A4DDD" w14:textId="77777777" w:rsidR="00702069" w:rsidRPr="00702069" w:rsidRDefault="00702069" w:rsidP="00702069">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lang w:eastAsia="cs-CZ"/>
        </w:rPr>
      </w:pPr>
    </w:p>
    <w:p w14:paraId="0E01A78B" w14:textId="77777777" w:rsidR="00702069" w:rsidRDefault="00702069" w:rsidP="00702069">
      <w:pPr>
        <w:spacing w:line="240" w:lineRule="auto"/>
        <w:jc w:val="both"/>
        <w:rPr>
          <w:szCs w:val="24"/>
        </w:rPr>
      </w:pPr>
      <w:r w:rsidRPr="00D715AF">
        <w:rPr>
          <w:szCs w:val="24"/>
          <w:lang w:eastAsia="cs-CZ"/>
        </w:rPr>
        <w:t xml:space="preserve">Nasledovný prehľad </w:t>
      </w:r>
      <w:r>
        <w:rPr>
          <w:szCs w:val="24"/>
          <w:lang w:eastAsia="cs-CZ"/>
        </w:rPr>
        <w:t xml:space="preserve">účtov </w:t>
      </w:r>
      <w:r w:rsidRPr="00D715AF">
        <w:rPr>
          <w:szCs w:val="24"/>
          <w:lang w:eastAsia="cs-CZ"/>
        </w:rPr>
        <w:t>ŠFA abstrahuje od účt</w:t>
      </w:r>
      <w:r>
        <w:rPr>
          <w:szCs w:val="24"/>
          <w:lang w:eastAsia="cs-CZ"/>
        </w:rPr>
        <w:t>ov, ktoré slúžia na operácie so </w:t>
      </w:r>
      <w:r w:rsidRPr="00D715AF">
        <w:rPr>
          <w:szCs w:val="24"/>
          <w:lang w:eastAsia="cs-CZ"/>
        </w:rPr>
        <w:t xml:space="preserve">štátnym dlhom. </w:t>
      </w:r>
      <w:r>
        <w:rPr>
          <w:szCs w:val="24"/>
          <w:lang w:eastAsia="cs-CZ"/>
        </w:rPr>
        <w:t xml:space="preserve">Prehľad sa zameriava na pohyby ŠFA a ich disponibilné zostatky podľa jednotlivých účtov v kombinácii s plánom </w:t>
      </w:r>
      <w:r w:rsidRPr="00D715AF">
        <w:rPr>
          <w:szCs w:val="24"/>
          <w:lang w:eastAsia="cs-CZ"/>
        </w:rPr>
        <w:t>plnenia</w:t>
      </w:r>
      <w:r>
        <w:rPr>
          <w:szCs w:val="24"/>
          <w:lang w:eastAsia="cs-CZ"/>
        </w:rPr>
        <w:t xml:space="preserve"> a čerpania </w:t>
      </w:r>
      <w:r w:rsidRPr="00D715AF">
        <w:rPr>
          <w:szCs w:val="24"/>
          <w:lang w:eastAsia="cs-CZ"/>
        </w:rPr>
        <w:t xml:space="preserve">ŠFA </w:t>
      </w:r>
      <w:r>
        <w:rPr>
          <w:szCs w:val="24"/>
          <w:lang w:eastAsia="cs-CZ"/>
        </w:rPr>
        <w:t>podľa jednotlivých transakcií uvedených v </w:t>
      </w:r>
      <w:r w:rsidRPr="00D715AF">
        <w:rPr>
          <w:szCs w:val="24"/>
          <w:lang w:eastAsia="cs-CZ"/>
        </w:rPr>
        <w:t>návrh</w:t>
      </w:r>
      <w:r>
        <w:rPr>
          <w:szCs w:val="24"/>
          <w:lang w:eastAsia="cs-CZ"/>
        </w:rPr>
        <w:t>u</w:t>
      </w:r>
      <w:r w:rsidRPr="00D715AF">
        <w:rPr>
          <w:szCs w:val="24"/>
          <w:lang w:eastAsia="cs-CZ"/>
        </w:rPr>
        <w:t xml:space="preserve"> rozpočtu verejnej správy na rok 202</w:t>
      </w:r>
      <w:r>
        <w:rPr>
          <w:szCs w:val="24"/>
          <w:lang w:eastAsia="cs-CZ"/>
        </w:rPr>
        <w:t>5.</w:t>
      </w:r>
    </w:p>
    <w:p w14:paraId="67439F40" w14:textId="77777777" w:rsidR="00D46A5E" w:rsidRPr="0050710A" w:rsidRDefault="00D46A5E" w:rsidP="00702069">
      <w:pPr>
        <w:spacing w:line="240" w:lineRule="auto"/>
        <w:jc w:val="both"/>
        <w:rPr>
          <w:szCs w:val="24"/>
          <w:highlight w:val="yellow"/>
        </w:rPr>
      </w:pPr>
    </w:p>
    <w:p w14:paraId="72A3BDA5" w14:textId="7F58B4D6" w:rsidR="006875C3" w:rsidRPr="00702069" w:rsidRDefault="006875C3" w:rsidP="00532D85">
      <w:pPr>
        <w:pStyle w:val="Popis"/>
        <w:jc w:val="both"/>
        <w:rPr>
          <w:lang w:eastAsia="sk-SK"/>
        </w:rPr>
      </w:pPr>
      <w:bookmarkStart w:id="143" w:name="_Toc196313663"/>
      <w:bookmarkStart w:id="144" w:name="_Toc227670173"/>
      <w:r w:rsidRPr="00702069">
        <w:rPr>
          <w:lang w:eastAsia="sk-SK"/>
        </w:rPr>
        <w:t xml:space="preserve">Tabuľka </w:t>
      </w:r>
      <w:r w:rsidRPr="00702069">
        <w:rPr>
          <w:i/>
          <w:lang w:eastAsia="sk-SK"/>
        </w:rPr>
        <w:fldChar w:fldCharType="begin"/>
      </w:r>
      <w:r w:rsidRPr="00702069">
        <w:rPr>
          <w:lang w:eastAsia="sk-SK"/>
        </w:rPr>
        <w:instrText xml:space="preserve"> SEQ Tabuľka \* ARABIC </w:instrText>
      </w:r>
      <w:r w:rsidRPr="00702069">
        <w:rPr>
          <w:i/>
          <w:lang w:eastAsia="sk-SK"/>
        </w:rPr>
        <w:fldChar w:fldCharType="separate"/>
      </w:r>
      <w:r w:rsidR="00396BE8">
        <w:rPr>
          <w:noProof/>
          <w:lang w:eastAsia="sk-SK"/>
        </w:rPr>
        <w:t>37</w:t>
      </w:r>
      <w:r w:rsidRPr="00702069">
        <w:rPr>
          <w:i/>
          <w:lang w:eastAsia="sk-SK"/>
        </w:rPr>
        <w:fldChar w:fldCharType="end"/>
      </w:r>
      <w:r w:rsidRPr="00702069">
        <w:rPr>
          <w:lang w:eastAsia="sk-SK"/>
        </w:rPr>
        <w:t xml:space="preserve"> - Pohyb na vybraných účtoch štátnych finančných aktív</w:t>
      </w:r>
      <w:bookmarkEnd w:id="143"/>
      <w:bookmarkEnd w:id="144"/>
    </w:p>
    <w:tbl>
      <w:tblPr>
        <w:tblW w:w="5000" w:type="pct"/>
        <w:tblCellMar>
          <w:left w:w="70" w:type="dxa"/>
          <w:right w:w="70" w:type="dxa"/>
        </w:tblCellMar>
        <w:tblLook w:val="04A0" w:firstRow="1" w:lastRow="0" w:firstColumn="1" w:lastColumn="0" w:noHBand="0" w:noVBand="1"/>
      </w:tblPr>
      <w:tblGrid>
        <w:gridCol w:w="5354"/>
        <w:gridCol w:w="987"/>
        <w:gridCol w:w="1321"/>
        <w:gridCol w:w="1408"/>
      </w:tblGrid>
      <w:tr w:rsidR="00702069" w:rsidRPr="00D0395E" w14:paraId="002F4EF4" w14:textId="77777777" w:rsidTr="00702069">
        <w:trPr>
          <w:trHeight w:val="345"/>
          <w:tblHeader/>
        </w:trPr>
        <w:tc>
          <w:tcPr>
            <w:tcW w:w="2951" w:type="pct"/>
            <w:tcBorders>
              <w:top w:val="single" w:sz="4" w:space="0" w:color="auto"/>
              <w:left w:val="nil"/>
              <w:bottom w:val="single" w:sz="4" w:space="0" w:color="auto"/>
              <w:right w:val="nil"/>
            </w:tcBorders>
            <w:noWrap/>
            <w:vAlign w:val="center"/>
            <w:hideMark/>
          </w:tcPr>
          <w:p w14:paraId="3036B00E" w14:textId="77777777" w:rsidR="00702069" w:rsidRPr="00D0395E" w:rsidRDefault="00702069" w:rsidP="006433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v tis. eur</w:t>
            </w:r>
          </w:p>
        </w:tc>
        <w:tc>
          <w:tcPr>
            <w:tcW w:w="544" w:type="pct"/>
            <w:tcBorders>
              <w:top w:val="single" w:sz="4" w:space="0" w:color="auto"/>
              <w:left w:val="nil"/>
              <w:bottom w:val="single" w:sz="4" w:space="0" w:color="auto"/>
              <w:right w:val="nil"/>
            </w:tcBorders>
            <w:noWrap/>
            <w:vAlign w:val="center"/>
            <w:hideMark/>
          </w:tcPr>
          <w:p w14:paraId="3D0CD5E3"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3</w:t>
            </w:r>
            <w:r w:rsidRPr="00D0395E">
              <w:rPr>
                <w:rFonts w:eastAsia="Times New Roman" w:cs="Times New Roman"/>
                <w:b/>
                <w:bCs/>
                <w:color w:val="000000"/>
                <w:sz w:val="18"/>
                <w:szCs w:val="18"/>
                <w:lang w:eastAsia="sk-SK"/>
              </w:rPr>
              <w:t xml:space="preserve"> S</w:t>
            </w:r>
          </w:p>
        </w:tc>
        <w:tc>
          <w:tcPr>
            <w:tcW w:w="728" w:type="pct"/>
            <w:tcBorders>
              <w:top w:val="single" w:sz="4" w:space="0" w:color="auto"/>
              <w:left w:val="nil"/>
              <w:bottom w:val="single" w:sz="4" w:space="0" w:color="auto"/>
              <w:right w:val="nil"/>
            </w:tcBorders>
            <w:noWrap/>
            <w:vAlign w:val="center"/>
            <w:hideMark/>
          </w:tcPr>
          <w:p w14:paraId="30764646"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4</w:t>
            </w:r>
            <w:r w:rsidRPr="00D0395E">
              <w:rPr>
                <w:rFonts w:eastAsia="Times New Roman" w:cs="Times New Roman"/>
                <w:b/>
                <w:bCs/>
                <w:color w:val="000000"/>
                <w:sz w:val="18"/>
                <w:szCs w:val="18"/>
                <w:lang w:eastAsia="sk-SK"/>
              </w:rPr>
              <w:t xml:space="preserve"> S</w:t>
            </w:r>
          </w:p>
        </w:tc>
        <w:tc>
          <w:tcPr>
            <w:tcW w:w="776" w:type="pct"/>
            <w:tcBorders>
              <w:top w:val="single" w:sz="4" w:space="0" w:color="auto"/>
              <w:left w:val="nil"/>
              <w:bottom w:val="single" w:sz="4" w:space="0" w:color="auto"/>
              <w:right w:val="nil"/>
            </w:tcBorders>
            <w:noWrap/>
            <w:vAlign w:val="center"/>
            <w:hideMark/>
          </w:tcPr>
          <w:p w14:paraId="4472B8FB"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202</w:t>
            </w:r>
            <w:r>
              <w:rPr>
                <w:rFonts w:eastAsia="Times New Roman" w:cs="Times New Roman"/>
                <w:b/>
                <w:bCs/>
                <w:color w:val="000000"/>
                <w:sz w:val="18"/>
                <w:szCs w:val="18"/>
                <w:lang w:eastAsia="sk-SK"/>
              </w:rPr>
              <w:t>5</w:t>
            </w:r>
            <w:r w:rsidRPr="00D0395E">
              <w:rPr>
                <w:rFonts w:eastAsia="Times New Roman" w:cs="Times New Roman"/>
                <w:b/>
                <w:bCs/>
                <w:color w:val="000000"/>
                <w:sz w:val="18"/>
                <w:szCs w:val="18"/>
                <w:lang w:eastAsia="sk-SK"/>
              </w:rPr>
              <w:t xml:space="preserve"> S</w:t>
            </w:r>
          </w:p>
        </w:tc>
      </w:tr>
      <w:tr w:rsidR="00702069" w:rsidRPr="00D0395E" w14:paraId="6FADADA8" w14:textId="77777777" w:rsidTr="00702069">
        <w:trPr>
          <w:trHeight w:val="345"/>
        </w:trPr>
        <w:tc>
          <w:tcPr>
            <w:tcW w:w="2951" w:type="pct"/>
            <w:tcBorders>
              <w:top w:val="single" w:sz="4" w:space="0" w:color="auto"/>
              <w:left w:val="nil"/>
              <w:bottom w:val="single" w:sz="4" w:space="0" w:color="auto"/>
              <w:right w:val="nil"/>
            </w:tcBorders>
            <w:noWrap/>
            <w:vAlign w:val="center"/>
            <w:hideMark/>
          </w:tcPr>
          <w:p w14:paraId="31F48AFB" w14:textId="77777777" w:rsidR="00702069" w:rsidRPr="00D0395E" w:rsidRDefault="00702069" w:rsidP="006433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Stav k 1.1.</w:t>
            </w:r>
          </w:p>
        </w:tc>
        <w:tc>
          <w:tcPr>
            <w:tcW w:w="544" w:type="pct"/>
            <w:tcBorders>
              <w:top w:val="single" w:sz="4" w:space="0" w:color="auto"/>
              <w:left w:val="nil"/>
              <w:bottom w:val="single" w:sz="4" w:space="0" w:color="auto"/>
              <w:right w:val="nil"/>
            </w:tcBorders>
            <w:noWrap/>
            <w:vAlign w:val="center"/>
          </w:tcPr>
          <w:p w14:paraId="0D849CB3"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3 196 933</w:t>
            </w:r>
          </w:p>
        </w:tc>
        <w:tc>
          <w:tcPr>
            <w:tcW w:w="728" w:type="pct"/>
            <w:tcBorders>
              <w:top w:val="single" w:sz="4" w:space="0" w:color="auto"/>
              <w:left w:val="nil"/>
              <w:bottom w:val="single" w:sz="4" w:space="0" w:color="auto"/>
              <w:right w:val="nil"/>
            </w:tcBorders>
            <w:noWrap/>
            <w:vAlign w:val="center"/>
          </w:tcPr>
          <w:p w14:paraId="337C34E7"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3 041 203</w:t>
            </w:r>
          </w:p>
        </w:tc>
        <w:tc>
          <w:tcPr>
            <w:tcW w:w="776" w:type="pct"/>
            <w:tcBorders>
              <w:top w:val="single" w:sz="4" w:space="0" w:color="auto"/>
              <w:left w:val="nil"/>
              <w:bottom w:val="single" w:sz="4" w:space="0" w:color="auto"/>
              <w:right w:val="nil"/>
            </w:tcBorders>
            <w:noWrap/>
            <w:vAlign w:val="center"/>
          </w:tcPr>
          <w:p w14:paraId="3F064C66"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2 537 098</w:t>
            </w:r>
          </w:p>
        </w:tc>
      </w:tr>
      <w:tr w:rsidR="00702069" w:rsidRPr="00D0395E" w14:paraId="2072286C" w14:textId="77777777" w:rsidTr="00702069">
        <w:trPr>
          <w:trHeight w:val="289"/>
        </w:trPr>
        <w:tc>
          <w:tcPr>
            <w:tcW w:w="2951" w:type="pct"/>
            <w:tcBorders>
              <w:top w:val="single" w:sz="4" w:space="0" w:color="auto"/>
              <w:left w:val="nil"/>
              <w:bottom w:val="nil"/>
              <w:right w:val="nil"/>
            </w:tcBorders>
            <w:noWrap/>
            <w:vAlign w:val="center"/>
            <w:hideMark/>
          </w:tcPr>
          <w:p w14:paraId="74EC069B" w14:textId="77777777" w:rsidR="00702069" w:rsidRPr="00D0395E" w:rsidRDefault="00702069" w:rsidP="006433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 xml:space="preserve">Príjmy - </w:t>
            </w:r>
            <w:r w:rsidRPr="00242BED">
              <w:rPr>
                <w:rFonts w:eastAsia="Times New Roman" w:cs="Times New Roman"/>
                <w:color w:val="000000"/>
                <w:sz w:val="18"/>
                <w:szCs w:val="18"/>
                <w:lang w:eastAsia="sk-SK"/>
              </w:rPr>
              <w:t>zvýšenie ŠFA</w:t>
            </w:r>
          </w:p>
        </w:tc>
        <w:tc>
          <w:tcPr>
            <w:tcW w:w="544" w:type="pct"/>
            <w:tcBorders>
              <w:top w:val="single" w:sz="4" w:space="0" w:color="auto"/>
              <w:left w:val="nil"/>
              <w:bottom w:val="nil"/>
              <w:right w:val="nil"/>
            </w:tcBorders>
            <w:noWrap/>
            <w:vAlign w:val="center"/>
          </w:tcPr>
          <w:p w14:paraId="1DC65CD3"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167 155</w:t>
            </w:r>
          </w:p>
        </w:tc>
        <w:tc>
          <w:tcPr>
            <w:tcW w:w="728" w:type="pct"/>
            <w:tcBorders>
              <w:top w:val="single" w:sz="4" w:space="0" w:color="auto"/>
              <w:left w:val="nil"/>
              <w:bottom w:val="nil"/>
              <w:right w:val="nil"/>
            </w:tcBorders>
            <w:noWrap/>
            <w:vAlign w:val="center"/>
          </w:tcPr>
          <w:p w14:paraId="5DE3CF83"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132 333</w:t>
            </w:r>
          </w:p>
        </w:tc>
        <w:tc>
          <w:tcPr>
            <w:tcW w:w="776" w:type="pct"/>
            <w:tcBorders>
              <w:top w:val="single" w:sz="4" w:space="0" w:color="auto"/>
              <w:left w:val="nil"/>
              <w:bottom w:val="nil"/>
              <w:right w:val="nil"/>
            </w:tcBorders>
            <w:noWrap/>
            <w:vAlign w:val="center"/>
          </w:tcPr>
          <w:p w14:paraId="079CABA9"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309 079</w:t>
            </w:r>
          </w:p>
        </w:tc>
      </w:tr>
      <w:tr w:rsidR="00702069" w:rsidRPr="00D0395E" w14:paraId="34FFAB46" w14:textId="77777777" w:rsidTr="00702069">
        <w:trPr>
          <w:trHeight w:val="289"/>
        </w:trPr>
        <w:tc>
          <w:tcPr>
            <w:tcW w:w="2951" w:type="pct"/>
            <w:tcBorders>
              <w:top w:val="nil"/>
              <w:left w:val="nil"/>
              <w:bottom w:val="nil"/>
              <w:right w:val="nil"/>
            </w:tcBorders>
            <w:noWrap/>
            <w:vAlign w:val="center"/>
            <w:hideMark/>
          </w:tcPr>
          <w:p w14:paraId="56856949"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44" w:type="pct"/>
            <w:tcBorders>
              <w:top w:val="nil"/>
              <w:left w:val="nil"/>
              <w:bottom w:val="nil"/>
              <w:right w:val="nil"/>
            </w:tcBorders>
            <w:noWrap/>
            <w:vAlign w:val="center"/>
          </w:tcPr>
          <w:p w14:paraId="5724FC3F" w14:textId="77777777" w:rsidR="00702069" w:rsidRPr="00D0395E" w:rsidRDefault="00702069" w:rsidP="006433D6">
            <w:pPr>
              <w:spacing w:line="240" w:lineRule="auto"/>
              <w:rPr>
                <w:rFonts w:eastAsia="Times New Roman" w:cs="Times New Roman"/>
                <w:color w:val="000000"/>
                <w:sz w:val="18"/>
                <w:szCs w:val="18"/>
                <w:lang w:eastAsia="sk-SK"/>
              </w:rPr>
            </w:pPr>
          </w:p>
        </w:tc>
        <w:tc>
          <w:tcPr>
            <w:tcW w:w="728" w:type="pct"/>
            <w:tcBorders>
              <w:top w:val="nil"/>
              <w:left w:val="nil"/>
              <w:bottom w:val="nil"/>
              <w:right w:val="nil"/>
            </w:tcBorders>
            <w:noWrap/>
            <w:vAlign w:val="center"/>
          </w:tcPr>
          <w:p w14:paraId="40EDD7DA" w14:textId="77777777" w:rsidR="00702069" w:rsidRPr="00D0395E" w:rsidRDefault="00702069" w:rsidP="006433D6">
            <w:pPr>
              <w:spacing w:line="240" w:lineRule="auto"/>
              <w:jc w:val="right"/>
              <w:rPr>
                <w:rFonts w:eastAsia="Times New Roman" w:cs="Times New Roman"/>
                <w:sz w:val="18"/>
                <w:szCs w:val="18"/>
                <w:lang w:eastAsia="sk-SK"/>
              </w:rPr>
            </w:pPr>
          </w:p>
        </w:tc>
        <w:tc>
          <w:tcPr>
            <w:tcW w:w="776" w:type="pct"/>
            <w:tcBorders>
              <w:top w:val="nil"/>
              <w:left w:val="nil"/>
              <w:bottom w:val="nil"/>
              <w:right w:val="nil"/>
            </w:tcBorders>
            <w:noWrap/>
            <w:vAlign w:val="center"/>
          </w:tcPr>
          <w:p w14:paraId="7F7E8D4C" w14:textId="77777777" w:rsidR="00702069" w:rsidRPr="00D0395E" w:rsidRDefault="00702069" w:rsidP="006433D6">
            <w:pPr>
              <w:spacing w:line="240" w:lineRule="auto"/>
              <w:jc w:val="right"/>
              <w:rPr>
                <w:rFonts w:eastAsia="Times New Roman" w:cs="Times New Roman"/>
                <w:sz w:val="18"/>
                <w:szCs w:val="18"/>
                <w:lang w:eastAsia="sk-SK"/>
              </w:rPr>
            </w:pPr>
          </w:p>
        </w:tc>
      </w:tr>
      <w:tr w:rsidR="00702069" w:rsidRPr="00D0395E" w14:paraId="1FA15283" w14:textId="77777777" w:rsidTr="00702069">
        <w:trPr>
          <w:trHeight w:val="289"/>
        </w:trPr>
        <w:tc>
          <w:tcPr>
            <w:tcW w:w="2951" w:type="pct"/>
            <w:tcBorders>
              <w:top w:val="nil"/>
              <w:left w:val="nil"/>
              <w:bottom w:val="nil"/>
              <w:right w:val="nil"/>
            </w:tcBorders>
            <w:noWrap/>
            <w:vAlign w:val="center"/>
            <w:hideMark/>
          </w:tcPr>
          <w:p w14:paraId="4F5A7046"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účelové prostriedky z FNM/MH Manažment, a. s.</w:t>
            </w:r>
          </w:p>
        </w:tc>
        <w:tc>
          <w:tcPr>
            <w:tcW w:w="544" w:type="pct"/>
            <w:tcBorders>
              <w:top w:val="nil"/>
              <w:left w:val="nil"/>
              <w:bottom w:val="nil"/>
              <w:right w:val="nil"/>
            </w:tcBorders>
            <w:noWrap/>
            <w:vAlign w:val="center"/>
          </w:tcPr>
          <w:p w14:paraId="5B921115"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1 571</w:t>
            </w:r>
          </w:p>
        </w:tc>
        <w:tc>
          <w:tcPr>
            <w:tcW w:w="728" w:type="pct"/>
            <w:tcBorders>
              <w:top w:val="nil"/>
              <w:left w:val="nil"/>
              <w:bottom w:val="nil"/>
              <w:right w:val="nil"/>
            </w:tcBorders>
            <w:noWrap/>
            <w:vAlign w:val="center"/>
          </w:tcPr>
          <w:p w14:paraId="0DA642CD"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34 711</w:t>
            </w:r>
          </w:p>
        </w:tc>
        <w:tc>
          <w:tcPr>
            <w:tcW w:w="776" w:type="pct"/>
            <w:tcBorders>
              <w:top w:val="nil"/>
              <w:left w:val="nil"/>
              <w:bottom w:val="nil"/>
              <w:right w:val="nil"/>
            </w:tcBorders>
            <w:noWrap/>
            <w:vAlign w:val="center"/>
          </w:tcPr>
          <w:p w14:paraId="3E5D62BA"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1 695</w:t>
            </w:r>
          </w:p>
        </w:tc>
      </w:tr>
      <w:tr w:rsidR="00702069" w:rsidRPr="00D0395E" w14:paraId="148A2657" w14:textId="77777777" w:rsidTr="00702069">
        <w:trPr>
          <w:trHeight w:val="289"/>
        </w:trPr>
        <w:tc>
          <w:tcPr>
            <w:tcW w:w="2951" w:type="pct"/>
            <w:tcBorders>
              <w:top w:val="nil"/>
              <w:left w:val="nil"/>
              <w:bottom w:val="nil"/>
              <w:right w:val="nil"/>
            </w:tcBorders>
            <w:noWrap/>
            <w:vAlign w:val="center"/>
            <w:hideMark/>
          </w:tcPr>
          <w:p w14:paraId="0AE7365F"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návratné finančné výpomoci</w:t>
            </w:r>
          </w:p>
        </w:tc>
        <w:tc>
          <w:tcPr>
            <w:tcW w:w="544" w:type="pct"/>
            <w:tcBorders>
              <w:top w:val="nil"/>
              <w:left w:val="nil"/>
              <w:bottom w:val="nil"/>
              <w:right w:val="nil"/>
            </w:tcBorders>
            <w:noWrap/>
            <w:vAlign w:val="center"/>
          </w:tcPr>
          <w:p w14:paraId="631D98A0"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58 430</w:t>
            </w:r>
          </w:p>
        </w:tc>
        <w:tc>
          <w:tcPr>
            <w:tcW w:w="728" w:type="pct"/>
            <w:tcBorders>
              <w:top w:val="nil"/>
              <w:left w:val="nil"/>
              <w:bottom w:val="nil"/>
              <w:right w:val="nil"/>
            </w:tcBorders>
            <w:noWrap/>
            <w:vAlign w:val="center"/>
          </w:tcPr>
          <w:p w14:paraId="01752239"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88 844</w:t>
            </w:r>
          </w:p>
        </w:tc>
        <w:tc>
          <w:tcPr>
            <w:tcW w:w="776" w:type="pct"/>
            <w:tcBorders>
              <w:top w:val="nil"/>
              <w:left w:val="nil"/>
              <w:bottom w:val="nil"/>
              <w:right w:val="nil"/>
            </w:tcBorders>
            <w:noWrap/>
            <w:vAlign w:val="center"/>
          </w:tcPr>
          <w:p w14:paraId="05AE8DFF"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305 876</w:t>
            </w:r>
          </w:p>
        </w:tc>
      </w:tr>
      <w:tr w:rsidR="00702069" w:rsidRPr="00D0395E" w14:paraId="6827927D" w14:textId="77777777" w:rsidTr="00702069">
        <w:trPr>
          <w:trHeight w:val="289"/>
        </w:trPr>
        <w:tc>
          <w:tcPr>
            <w:tcW w:w="2951" w:type="pct"/>
            <w:tcBorders>
              <w:top w:val="nil"/>
              <w:left w:val="nil"/>
              <w:bottom w:val="nil"/>
              <w:right w:val="nil"/>
            </w:tcBorders>
            <w:noWrap/>
            <w:vAlign w:val="center"/>
            <w:hideMark/>
          </w:tcPr>
          <w:p w14:paraId="12ED8725"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finančných inštitúcií</w:t>
            </w:r>
          </w:p>
        </w:tc>
        <w:tc>
          <w:tcPr>
            <w:tcW w:w="544" w:type="pct"/>
            <w:tcBorders>
              <w:top w:val="nil"/>
              <w:left w:val="nil"/>
              <w:bottom w:val="nil"/>
              <w:right w:val="nil"/>
            </w:tcBorders>
            <w:noWrap/>
            <w:vAlign w:val="center"/>
          </w:tcPr>
          <w:p w14:paraId="3D665F1B"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28" w:type="pct"/>
            <w:tcBorders>
              <w:top w:val="nil"/>
              <w:left w:val="nil"/>
              <w:bottom w:val="nil"/>
              <w:right w:val="nil"/>
            </w:tcBorders>
            <w:noWrap/>
            <w:vAlign w:val="center"/>
          </w:tcPr>
          <w:p w14:paraId="1B5B517B"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76" w:type="pct"/>
            <w:tcBorders>
              <w:top w:val="nil"/>
              <w:left w:val="nil"/>
              <w:bottom w:val="nil"/>
              <w:right w:val="nil"/>
            </w:tcBorders>
            <w:noWrap/>
            <w:vAlign w:val="center"/>
          </w:tcPr>
          <w:p w14:paraId="195189FE"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702069" w:rsidRPr="00D0395E" w14:paraId="48D08897" w14:textId="77777777" w:rsidTr="00702069">
        <w:trPr>
          <w:trHeight w:val="289"/>
        </w:trPr>
        <w:tc>
          <w:tcPr>
            <w:tcW w:w="2951" w:type="pct"/>
            <w:tcBorders>
              <w:top w:val="nil"/>
              <w:left w:val="nil"/>
              <w:bottom w:val="nil"/>
              <w:right w:val="nil"/>
            </w:tcBorders>
            <w:noWrap/>
            <w:vAlign w:val="center"/>
            <w:hideMark/>
          </w:tcPr>
          <w:p w14:paraId="512BAE9C"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z podnikania v regulovaných odvetviach</w:t>
            </w:r>
          </w:p>
        </w:tc>
        <w:tc>
          <w:tcPr>
            <w:tcW w:w="544" w:type="pct"/>
            <w:tcBorders>
              <w:top w:val="nil"/>
              <w:left w:val="nil"/>
              <w:bottom w:val="nil"/>
              <w:right w:val="nil"/>
            </w:tcBorders>
            <w:noWrap/>
            <w:vAlign w:val="center"/>
          </w:tcPr>
          <w:p w14:paraId="13D6716A"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105 552</w:t>
            </w:r>
          </w:p>
        </w:tc>
        <w:tc>
          <w:tcPr>
            <w:tcW w:w="728" w:type="pct"/>
            <w:tcBorders>
              <w:top w:val="nil"/>
              <w:left w:val="nil"/>
              <w:bottom w:val="nil"/>
              <w:right w:val="nil"/>
            </w:tcBorders>
            <w:noWrap/>
            <w:vAlign w:val="center"/>
          </w:tcPr>
          <w:p w14:paraId="24C9A1B6"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6 990</w:t>
            </w:r>
          </w:p>
        </w:tc>
        <w:tc>
          <w:tcPr>
            <w:tcW w:w="776" w:type="pct"/>
            <w:tcBorders>
              <w:top w:val="nil"/>
              <w:left w:val="nil"/>
              <w:bottom w:val="nil"/>
              <w:right w:val="nil"/>
            </w:tcBorders>
            <w:noWrap/>
            <w:vAlign w:val="center"/>
          </w:tcPr>
          <w:p w14:paraId="664D916A"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702069" w:rsidRPr="00D0395E" w14:paraId="792E4CC1" w14:textId="77777777" w:rsidTr="00702069">
        <w:trPr>
          <w:trHeight w:val="289"/>
        </w:trPr>
        <w:tc>
          <w:tcPr>
            <w:tcW w:w="2951" w:type="pct"/>
            <w:tcBorders>
              <w:top w:val="nil"/>
              <w:left w:val="nil"/>
              <w:bottom w:val="nil"/>
              <w:right w:val="nil"/>
            </w:tcBorders>
            <w:noWrap/>
            <w:vAlign w:val="center"/>
            <w:hideMark/>
          </w:tcPr>
          <w:p w14:paraId="0314F714"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anonymné vklady</w:t>
            </w:r>
          </w:p>
        </w:tc>
        <w:tc>
          <w:tcPr>
            <w:tcW w:w="544" w:type="pct"/>
            <w:tcBorders>
              <w:top w:val="nil"/>
              <w:left w:val="nil"/>
              <w:bottom w:val="nil"/>
              <w:right w:val="nil"/>
            </w:tcBorders>
            <w:noWrap/>
            <w:vAlign w:val="center"/>
          </w:tcPr>
          <w:p w14:paraId="56577529"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47</w:t>
            </w:r>
          </w:p>
        </w:tc>
        <w:tc>
          <w:tcPr>
            <w:tcW w:w="728" w:type="pct"/>
            <w:tcBorders>
              <w:top w:val="nil"/>
              <w:left w:val="nil"/>
              <w:bottom w:val="nil"/>
              <w:right w:val="nil"/>
            </w:tcBorders>
            <w:noWrap/>
            <w:vAlign w:val="center"/>
          </w:tcPr>
          <w:p w14:paraId="743676E4"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102</w:t>
            </w:r>
          </w:p>
        </w:tc>
        <w:tc>
          <w:tcPr>
            <w:tcW w:w="776" w:type="pct"/>
            <w:tcBorders>
              <w:top w:val="nil"/>
              <w:left w:val="nil"/>
              <w:bottom w:val="nil"/>
              <w:right w:val="nil"/>
            </w:tcBorders>
            <w:noWrap/>
            <w:vAlign w:val="center"/>
          </w:tcPr>
          <w:p w14:paraId="687C073B"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9</w:t>
            </w:r>
          </w:p>
        </w:tc>
      </w:tr>
      <w:tr w:rsidR="00702069" w:rsidRPr="00D0395E" w14:paraId="7FA330CC" w14:textId="77777777" w:rsidTr="00702069">
        <w:trPr>
          <w:trHeight w:val="289"/>
        </w:trPr>
        <w:tc>
          <w:tcPr>
            <w:tcW w:w="2951" w:type="pct"/>
            <w:tcBorders>
              <w:top w:val="nil"/>
              <w:left w:val="nil"/>
              <w:bottom w:val="nil"/>
              <w:right w:val="nil"/>
            </w:tcBorders>
            <w:noWrap/>
            <w:vAlign w:val="center"/>
            <w:hideMark/>
          </w:tcPr>
          <w:p w14:paraId="00437EA7"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w:t>
            </w:r>
          </w:p>
        </w:tc>
        <w:tc>
          <w:tcPr>
            <w:tcW w:w="544" w:type="pct"/>
            <w:tcBorders>
              <w:top w:val="nil"/>
              <w:left w:val="nil"/>
              <w:bottom w:val="nil"/>
              <w:right w:val="nil"/>
            </w:tcBorders>
            <w:noWrap/>
            <w:vAlign w:val="center"/>
          </w:tcPr>
          <w:p w14:paraId="385E8DEE"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1 555</w:t>
            </w:r>
          </w:p>
        </w:tc>
        <w:tc>
          <w:tcPr>
            <w:tcW w:w="728" w:type="pct"/>
            <w:tcBorders>
              <w:top w:val="nil"/>
              <w:left w:val="nil"/>
              <w:bottom w:val="nil"/>
              <w:right w:val="nil"/>
            </w:tcBorders>
            <w:noWrap/>
            <w:vAlign w:val="center"/>
          </w:tcPr>
          <w:p w14:paraId="1E77C552"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1 686</w:t>
            </w:r>
          </w:p>
        </w:tc>
        <w:tc>
          <w:tcPr>
            <w:tcW w:w="776" w:type="pct"/>
            <w:tcBorders>
              <w:top w:val="nil"/>
              <w:left w:val="nil"/>
              <w:bottom w:val="nil"/>
              <w:right w:val="nil"/>
            </w:tcBorders>
            <w:noWrap/>
            <w:vAlign w:val="center"/>
          </w:tcPr>
          <w:p w14:paraId="73D9A531"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1 499</w:t>
            </w:r>
          </w:p>
        </w:tc>
      </w:tr>
      <w:tr w:rsidR="00702069" w:rsidRPr="00D0395E" w14:paraId="7B1CEC2A" w14:textId="77777777" w:rsidTr="00702069">
        <w:trPr>
          <w:trHeight w:val="289"/>
        </w:trPr>
        <w:tc>
          <w:tcPr>
            <w:tcW w:w="2951" w:type="pct"/>
            <w:tcBorders>
              <w:top w:val="nil"/>
              <w:left w:val="nil"/>
              <w:bottom w:val="nil"/>
              <w:right w:val="nil"/>
            </w:tcBorders>
            <w:noWrap/>
            <w:vAlign w:val="center"/>
            <w:hideMark/>
          </w:tcPr>
          <w:p w14:paraId="329406CF" w14:textId="77777777" w:rsidR="00702069" w:rsidRPr="00D0395E" w:rsidRDefault="00702069" w:rsidP="006433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 xml:space="preserve">Výdavky - </w:t>
            </w:r>
            <w:r w:rsidRPr="00242BED">
              <w:rPr>
                <w:rFonts w:eastAsia="Times New Roman" w:cs="Times New Roman"/>
                <w:color w:val="000000"/>
                <w:sz w:val="18"/>
                <w:szCs w:val="18"/>
                <w:lang w:eastAsia="sk-SK"/>
              </w:rPr>
              <w:t>zníženie ŠFA</w:t>
            </w:r>
          </w:p>
        </w:tc>
        <w:tc>
          <w:tcPr>
            <w:tcW w:w="544" w:type="pct"/>
            <w:tcBorders>
              <w:top w:val="nil"/>
              <w:left w:val="nil"/>
              <w:bottom w:val="nil"/>
              <w:right w:val="nil"/>
            </w:tcBorders>
            <w:noWrap/>
            <w:vAlign w:val="center"/>
          </w:tcPr>
          <w:p w14:paraId="73D6010C"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322 885</w:t>
            </w:r>
          </w:p>
        </w:tc>
        <w:tc>
          <w:tcPr>
            <w:tcW w:w="728" w:type="pct"/>
            <w:tcBorders>
              <w:top w:val="nil"/>
              <w:left w:val="nil"/>
              <w:bottom w:val="nil"/>
              <w:right w:val="nil"/>
            </w:tcBorders>
            <w:noWrap/>
            <w:vAlign w:val="center"/>
          </w:tcPr>
          <w:p w14:paraId="73F31EFE"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636 438</w:t>
            </w:r>
          </w:p>
        </w:tc>
        <w:tc>
          <w:tcPr>
            <w:tcW w:w="776" w:type="pct"/>
            <w:tcBorders>
              <w:top w:val="nil"/>
              <w:left w:val="nil"/>
              <w:bottom w:val="nil"/>
              <w:right w:val="nil"/>
            </w:tcBorders>
            <w:noWrap/>
            <w:vAlign w:val="center"/>
          </w:tcPr>
          <w:p w14:paraId="50F8FD5E"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224 930</w:t>
            </w:r>
          </w:p>
        </w:tc>
      </w:tr>
      <w:tr w:rsidR="00702069" w:rsidRPr="00D0395E" w14:paraId="2C3C2BAF" w14:textId="77777777" w:rsidTr="00702069">
        <w:trPr>
          <w:trHeight w:val="289"/>
        </w:trPr>
        <w:tc>
          <w:tcPr>
            <w:tcW w:w="2951" w:type="pct"/>
            <w:tcBorders>
              <w:top w:val="nil"/>
              <w:left w:val="nil"/>
              <w:bottom w:val="nil"/>
              <w:right w:val="nil"/>
            </w:tcBorders>
            <w:noWrap/>
            <w:vAlign w:val="center"/>
            <w:hideMark/>
          </w:tcPr>
          <w:p w14:paraId="1F9D127A"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44" w:type="pct"/>
            <w:tcBorders>
              <w:top w:val="nil"/>
              <w:left w:val="nil"/>
              <w:bottom w:val="nil"/>
              <w:right w:val="nil"/>
            </w:tcBorders>
            <w:noWrap/>
            <w:vAlign w:val="center"/>
          </w:tcPr>
          <w:p w14:paraId="67DA98AD" w14:textId="77777777" w:rsidR="00702069" w:rsidRPr="00D0395E" w:rsidRDefault="00702069" w:rsidP="006433D6">
            <w:pPr>
              <w:spacing w:line="240" w:lineRule="auto"/>
              <w:rPr>
                <w:rFonts w:eastAsia="Times New Roman" w:cs="Times New Roman"/>
                <w:color w:val="000000"/>
                <w:sz w:val="18"/>
                <w:szCs w:val="18"/>
                <w:lang w:eastAsia="sk-SK"/>
              </w:rPr>
            </w:pPr>
          </w:p>
        </w:tc>
        <w:tc>
          <w:tcPr>
            <w:tcW w:w="728" w:type="pct"/>
            <w:tcBorders>
              <w:top w:val="nil"/>
              <w:left w:val="nil"/>
              <w:bottom w:val="nil"/>
              <w:right w:val="nil"/>
            </w:tcBorders>
            <w:noWrap/>
            <w:vAlign w:val="center"/>
          </w:tcPr>
          <w:p w14:paraId="48201431" w14:textId="77777777" w:rsidR="00702069" w:rsidRPr="00D0395E" w:rsidRDefault="00702069" w:rsidP="006433D6">
            <w:pPr>
              <w:spacing w:line="240" w:lineRule="auto"/>
              <w:jc w:val="right"/>
              <w:rPr>
                <w:rFonts w:eastAsia="Times New Roman" w:cs="Times New Roman"/>
                <w:sz w:val="18"/>
                <w:szCs w:val="18"/>
                <w:lang w:eastAsia="sk-SK"/>
              </w:rPr>
            </w:pPr>
          </w:p>
        </w:tc>
        <w:tc>
          <w:tcPr>
            <w:tcW w:w="776" w:type="pct"/>
            <w:tcBorders>
              <w:top w:val="nil"/>
              <w:left w:val="nil"/>
              <w:bottom w:val="nil"/>
              <w:right w:val="nil"/>
            </w:tcBorders>
            <w:noWrap/>
            <w:vAlign w:val="center"/>
          </w:tcPr>
          <w:p w14:paraId="11B3727F" w14:textId="77777777" w:rsidR="00702069" w:rsidRPr="00D0395E" w:rsidRDefault="00702069" w:rsidP="006433D6">
            <w:pPr>
              <w:spacing w:line="240" w:lineRule="auto"/>
              <w:jc w:val="right"/>
              <w:rPr>
                <w:rFonts w:eastAsia="Times New Roman" w:cs="Times New Roman"/>
                <w:sz w:val="18"/>
                <w:szCs w:val="18"/>
                <w:lang w:eastAsia="sk-SK"/>
              </w:rPr>
            </w:pPr>
          </w:p>
        </w:tc>
      </w:tr>
      <w:tr w:rsidR="00702069" w:rsidRPr="00D0395E" w14:paraId="52BE1EA5" w14:textId="77777777" w:rsidTr="00702069">
        <w:trPr>
          <w:trHeight w:val="289"/>
        </w:trPr>
        <w:tc>
          <w:tcPr>
            <w:tcW w:w="2951" w:type="pct"/>
            <w:tcBorders>
              <w:top w:val="nil"/>
              <w:left w:val="nil"/>
              <w:bottom w:val="nil"/>
              <w:right w:val="nil"/>
            </w:tcBorders>
            <w:noWrap/>
            <w:vAlign w:val="center"/>
            <w:hideMark/>
          </w:tcPr>
          <w:p w14:paraId="1B649F3C"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účelové prostriedky z FNM/ MH Manažment, a. s.</w:t>
            </w:r>
          </w:p>
        </w:tc>
        <w:tc>
          <w:tcPr>
            <w:tcW w:w="544" w:type="pct"/>
            <w:tcBorders>
              <w:top w:val="nil"/>
              <w:left w:val="nil"/>
              <w:bottom w:val="nil"/>
              <w:right w:val="nil"/>
            </w:tcBorders>
            <w:noWrap/>
            <w:vAlign w:val="center"/>
          </w:tcPr>
          <w:p w14:paraId="7E3D7F49"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107 264</w:t>
            </w:r>
          </w:p>
        </w:tc>
        <w:tc>
          <w:tcPr>
            <w:tcW w:w="728" w:type="pct"/>
            <w:tcBorders>
              <w:top w:val="nil"/>
              <w:left w:val="nil"/>
              <w:bottom w:val="nil"/>
              <w:right w:val="nil"/>
            </w:tcBorders>
            <w:noWrap/>
            <w:vAlign w:val="center"/>
          </w:tcPr>
          <w:p w14:paraId="18490018"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182 101</w:t>
            </w:r>
          </w:p>
        </w:tc>
        <w:tc>
          <w:tcPr>
            <w:tcW w:w="776" w:type="pct"/>
            <w:tcBorders>
              <w:top w:val="nil"/>
              <w:left w:val="nil"/>
              <w:bottom w:val="nil"/>
              <w:right w:val="nil"/>
            </w:tcBorders>
            <w:noWrap/>
            <w:vAlign w:val="center"/>
          </w:tcPr>
          <w:p w14:paraId="439553D6"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43 887</w:t>
            </w:r>
          </w:p>
        </w:tc>
      </w:tr>
      <w:tr w:rsidR="00702069" w:rsidRPr="00D0395E" w14:paraId="0B8EA8E3" w14:textId="77777777" w:rsidTr="00702069">
        <w:trPr>
          <w:trHeight w:val="289"/>
        </w:trPr>
        <w:tc>
          <w:tcPr>
            <w:tcW w:w="2951" w:type="pct"/>
            <w:tcBorders>
              <w:top w:val="nil"/>
              <w:left w:val="nil"/>
              <w:bottom w:val="nil"/>
              <w:right w:val="nil"/>
            </w:tcBorders>
            <w:noWrap/>
            <w:vAlign w:val="center"/>
            <w:hideMark/>
          </w:tcPr>
          <w:p w14:paraId="62AA7AFA"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návratné finančné výpomocí</w:t>
            </w:r>
          </w:p>
        </w:tc>
        <w:tc>
          <w:tcPr>
            <w:tcW w:w="544" w:type="pct"/>
            <w:tcBorders>
              <w:top w:val="nil"/>
              <w:left w:val="nil"/>
              <w:bottom w:val="nil"/>
              <w:right w:val="nil"/>
            </w:tcBorders>
            <w:noWrap/>
            <w:vAlign w:val="center"/>
          </w:tcPr>
          <w:p w14:paraId="413CBD42"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20 500</w:t>
            </w:r>
          </w:p>
        </w:tc>
        <w:tc>
          <w:tcPr>
            <w:tcW w:w="728" w:type="pct"/>
            <w:tcBorders>
              <w:top w:val="nil"/>
              <w:left w:val="nil"/>
              <w:bottom w:val="nil"/>
              <w:right w:val="nil"/>
            </w:tcBorders>
            <w:noWrap/>
            <w:vAlign w:val="center"/>
          </w:tcPr>
          <w:p w14:paraId="52357128"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76" w:type="pct"/>
            <w:tcBorders>
              <w:top w:val="nil"/>
              <w:left w:val="nil"/>
              <w:bottom w:val="nil"/>
              <w:right w:val="nil"/>
            </w:tcBorders>
            <w:noWrap/>
            <w:vAlign w:val="center"/>
          </w:tcPr>
          <w:p w14:paraId="6742DFC0"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702069" w:rsidRPr="00D0395E" w14:paraId="5945BCD4" w14:textId="77777777" w:rsidTr="00702069">
        <w:trPr>
          <w:trHeight w:val="289"/>
        </w:trPr>
        <w:tc>
          <w:tcPr>
            <w:tcW w:w="2951" w:type="pct"/>
            <w:tcBorders>
              <w:top w:val="nil"/>
              <w:left w:val="nil"/>
              <w:bottom w:val="nil"/>
              <w:right w:val="nil"/>
            </w:tcBorders>
            <w:noWrap/>
            <w:vAlign w:val="center"/>
            <w:hideMark/>
          </w:tcPr>
          <w:p w14:paraId="7AF1C1A9"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finančných inštitúcií</w:t>
            </w:r>
          </w:p>
        </w:tc>
        <w:tc>
          <w:tcPr>
            <w:tcW w:w="544" w:type="pct"/>
            <w:tcBorders>
              <w:top w:val="nil"/>
              <w:left w:val="nil"/>
              <w:bottom w:val="nil"/>
              <w:right w:val="nil"/>
            </w:tcBorders>
            <w:noWrap/>
            <w:vAlign w:val="center"/>
          </w:tcPr>
          <w:p w14:paraId="279F6F40"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188 630</w:t>
            </w:r>
          </w:p>
        </w:tc>
        <w:tc>
          <w:tcPr>
            <w:tcW w:w="728" w:type="pct"/>
            <w:tcBorders>
              <w:top w:val="nil"/>
              <w:left w:val="nil"/>
              <w:bottom w:val="nil"/>
              <w:right w:val="nil"/>
            </w:tcBorders>
            <w:noWrap/>
            <w:vAlign w:val="center"/>
          </w:tcPr>
          <w:p w14:paraId="2A7BB1A9"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172 831</w:t>
            </w:r>
          </w:p>
        </w:tc>
        <w:tc>
          <w:tcPr>
            <w:tcW w:w="776" w:type="pct"/>
            <w:tcBorders>
              <w:top w:val="nil"/>
              <w:left w:val="nil"/>
              <w:bottom w:val="nil"/>
              <w:right w:val="nil"/>
            </w:tcBorders>
            <w:noWrap/>
            <w:vAlign w:val="center"/>
          </w:tcPr>
          <w:p w14:paraId="665B57D7"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180 748</w:t>
            </w:r>
          </w:p>
        </w:tc>
      </w:tr>
      <w:tr w:rsidR="00702069" w:rsidRPr="00D0395E" w14:paraId="210A3136" w14:textId="77777777" w:rsidTr="00702069">
        <w:trPr>
          <w:trHeight w:val="289"/>
        </w:trPr>
        <w:tc>
          <w:tcPr>
            <w:tcW w:w="2951" w:type="pct"/>
            <w:tcBorders>
              <w:top w:val="nil"/>
              <w:left w:val="nil"/>
              <w:bottom w:val="nil"/>
              <w:right w:val="nil"/>
            </w:tcBorders>
            <w:noWrap/>
            <w:vAlign w:val="center"/>
            <w:hideMark/>
          </w:tcPr>
          <w:p w14:paraId="6369F62B"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osobitný odvod z podnikania v regulovaných odvetviach</w:t>
            </w:r>
          </w:p>
        </w:tc>
        <w:tc>
          <w:tcPr>
            <w:tcW w:w="544" w:type="pct"/>
            <w:tcBorders>
              <w:top w:val="nil"/>
              <w:left w:val="nil"/>
              <w:bottom w:val="nil"/>
              <w:right w:val="nil"/>
            </w:tcBorders>
            <w:noWrap/>
            <w:vAlign w:val="center"/>
          </w:tcPr>
          <w:p w14:paraId="7315B1B3"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6 433</w:t>
            </w:r>
          </w:p>
        </w:tc>
        <w:tc>
          <w:tcPr>
            <w:tcW w:w="728" w:type="pct"/>
            <w:tcBorders>
              <w:top w:val="nil"/>
              <w:left w:val="nil"/>
              <w:bottom w:val="nil"/>
              <w:right w:val="nil"/>
            </w:tcBorders>
            <w:noWrap/>
            <w:vAlign w:val="center"/>
          </w:tcPr>
          <w:p w14:paraId="224F1751"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250 000</w:t>
            </w:r>
          </w:p>
        </w:tc>
        <w:tc>
          <w:tcPr>
            <w:tcW w:w="776" w:type="pct"/>
            <w:tcBorders>
              <w:top w:val="nil"/>
              <w:left w:val="nil"/>
              <w:bottom w:val="nil"/>
              <w:right w:val="nil"/>
            </w:tcBorders>
            <w:noWrap/>
            <w:vAlign w:val="center"/>
          </w:tcPr>
          <w:p w14:paraId="4F3E387F"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0</w:t>
            </w:r>
          </w:p>
        </w:tc>
      </w:tr>
      <w:tr w:rsidR="00702069" w:rsidRPr="00D0395E" w14:paraId="4196A58C" w14:textId="77777777" w:rsidTr="00702069">
        <w:trPr>
          <w:trHeight w:val="289"/>
        </w:trPr>
        <w:tc>
          <w:tcPr>
            <w:tcW w:w="2951" w:type="pct"/>
            <w:tcBorders>
              <w:top w:val="nil"/>
              <w:left w:val="nil"/>
              <w:bottom w:val="nil"/>
              <w:right w:val="nil"/>
            </w:tcBorders>
            <w:noWrap/>
            <w:vAlign w:val="center"/>
            <w:hideMark/>
          </w:tcPr>
          <w:p w14:paraId="1F0EACA0"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anonymné vklady</w:t>
            </w:r>
          </w:p>
        </w:tc>
        <w:tc>
          <w:tcPr>
            <w:tcW w:w="544" w:type="pct"/>
            <w:tcBorders>
              <w:top w:val="nil"/>
              <w:left w:val="nil"/>
              <w:bottom w:val="nil"/>
              <w:right w:val="nil"/>
            </w:tcBorders>
            <w:noWrap/>
            <w:vAlign w:val="center"/>
          </w:tcPr>
          <w:p w14:paraId="11013EF5"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58</w:t>
            </w:r>
          </w:p>
        </w:tc>
        <w:tc>
          <w:tcPr>
            <w:tcW w:w="728" w:type="pct"/>
            <w:tcBorders>
              <w:top w:val="nil"/>
              <w:left w:val="nil"/>
              <w:bottom w:val="nil"/>
              <w:right w:val="nil"/>
            </w:tcBorders>
            <w:noWrap/>
            <w:vAlign w:val="center"/>
          </w:tcPr>
          <w:p w14:paraId="77D905C2"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54</w:t>
            </w:r>
          </w:p>
        </w:tc>
        <w:tc>
          <w:tcPr>
            <w:tcW w:w="776" w:type="pct"/>
            <w:tcBorders>
              <w:top w:val="nil"/>
              <w:left w:val="nil"/>
              <w:bottom w:val="nil"/>
              <w:right w:val="nil"/>
            </w:tcBorders>
            <w:noWrap/>
            <w:vAlign w:val="center"/>
          </w:tcPr>
          <w:p w14:paraId="5BBECBA0"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109</w:t>
            </w:r>
          </w:p>
        </w:tc>
      </w:tr>
      <w:tr w:rsidR="00702069" w:rsidRPr="00D0395E" w14:paraId="67A23878" w14:textId="77777777" w:rsidTr="00702069">
        <w:trPr>
          <w:trHeight w:val="289"/>
        </w:trPr>
        <w:tc>
          <w:tcPr>
            <w:tcW w:w="2951" w:type="pct"/>
            <w:tcBorders>
              <w:top w:val="nil"/>
              <w:left w:val="nil"/>
              <w:bottom w:val="single" w:sz="4" w:space="0" w:color="auto"/>
              <w:right w:val="nil"/>
            </w:tcBorders>
            <w:noWrap/>
            <w:vAlign w:val="center"/>
            <w:hideMark/>
          </w:tcPr>
          <w:p w14:paraId="4B59BF54"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 xml:space="preserve">   ostatné</w:t>
            </w:r>
          </w:p>
        </w:tc>
        <w:tc>
          <w:tcPr>
            <w:tcW w:w="544" w:type="pct"/>
            <w:tcBorders>
              <w:top w:val="nil"/>
              <w:left w:val="nil"/>
              <w:bottom w:val="single" w:sz="4" w:space="0" w:color="auto"/>
              <w:right w:val="nil"/>
            </w:tcBorders>
            <w:noWrap/>
            <w:vAlign w:val="center"/>
          </w:tcPr>
          <w:p w14:paraId="4D0DE0B1"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0</w:t>
            </w:r>
          </w:p>
        </w:tc>
        <w:tc>
          <w:tcPr>
            <w:tcW w:w="728" w:type="pct"/>
            <w:tcBorders>
              <w:top w:val="nil"/>
              <w:left w:val="nil"/>
              <w:bottom w:val="single" w:sz="4" w:space="0" w:color="auto"/>
              <w:right w:val="nil"/>
            </w:tcBorders>
            <w:noWrap/>
            <w:vAlign w:val="center"/>
          </w:tcPr>
          <w:p w14:paraId="2871C4B6"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31 452</w:t>
            </w:r>
          </w:p>
        </w:tc>
        <w:tc>
          <w:tcPr>
            <w:tcW w:w="776" w:type="pct"/>
            <w:tcBorders>
              <w:top w:val="nil"/>
              <w:left w:val="nil"/>
              <w:bottom w:val="single" w:sz="4" w:space="0" w:color="auto"/>
              <w:right w:val="nil"/>
            </w:tcBorders>
            <w:noWrap/>
            <w:vAlign w:val="center"/>
          </w:tcPr>
          <w:p w14:paraId="2F944EDD"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186</w:t>
            </w:r>
          </w:p>
        </w:tc>
      </w:tr>
      <w:tr w:rsidR="00702069" w:rsidRPr="00D0395E" w14:paraId="7E4F2089" w14:textId="77777777" w:rsidTr="00702069">
        <w:trPr>
          <w:trHeight w:val="289"/>
        </w:trPr>
        <w:tc>
          <w:tcPr>
            <w:tcW w:w="2951" w:type="pct"/>
            <w:tcBorders>
              <w:top w:val="single" w:sz="4" w:space="0" w:color="auto"/>
              <w:left w:val="nil"/>
              <w:bottom w:val="single" w:sz="4" w:space="0" w:color="auto"/>
              <w:right w:val="nil"/>
            </w:tcBorders>
            <w:noWrap/>
            <w:vAlign w:val="center"/>
            <w:hideMark/>
          </w:tcPr>
          <w:p w14:paraId="555D38AC" w14:textId="77777777" w:rsidR="00702069" w:rsidRPr="00D0395E" w:rsidRDefault="00702069" w:rsidP="006433D6">
            <w:pPr>
              <w:spacing w:line="240" w:lineRule="auto"/>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Stav k 31.12.</w:t>
            </w:r>
          </w:p>
        </w:tc>
        <w:tc>
          <w:tcPr>
            <w:tcW w:w="544" w:type="pct"/>
            <w:tcBorders>
              <w:top w:val="single" w:sz="4" w:space="0" w:color="auto"/>
              <w:left w:val="nil"/>
              <w:bottom w:val="single" w:sz="4" w:space="0" w:color="auto"/>
              <w:right w:val="nil"/>
            </w:tcBorders>
            <w:noWrap/>
            <w:vAlign w:val="center"/>
          </w:tcPr>
          <w:p w14:paraId="7453F998"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3 041 203</w:t>
            </w:r>
          </w:p>
        </w:tc>
        <w:tc>
          <w:tcPr>
            <w:tcW w:w="728" w:type="pct"/>
            <w:tcBorders>
              <w:top w:val="single" w:sz="4" w:space="0" w:color="auto"/>
              <w:left w:val="nil"/>
              <w:bottom w:val="single" w:sz="4" w:space="0" w:color="auto"/>
              <w:right w:val="nil"/>
            </w:tcBorders>
            <w:noWrap/>
            <w:vAlign w:val="center"/>
          </w:tcPr>
          <w:p w14:paraId="549B37A0"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sidRPr="00D0395E">
              <w:rPr>
                <w:rFonts w:eastAsia="Times New Roman" w:cs="Times New Roman"/>
                <w:b/>
                <w:bCs/>
                <w:color w:val="000000"/>
                <w:sz w:val="18"/>
                <w:szCs w:val="18"/>
                <w:lang w:eastAsia="sk-SK"/>
              </w:rPr>
              <w:t>2 537 098</w:t>
            </w:r>
          </w:p>
        </w:tc>
        <w:tc>
          <w:tcPr>
            <w:tcW w:w="776" w:type="pct"/>
            <w:tcBorders>
              <w:top w:val="single" w:sz="4" w:space="0" w:color="auto"/>
              <w:left w:val="nil"/>
              <w:bottom w:val="single" w:sz="4" w:space="0" w:color="auto"/>
              <w:right w:val="nil"/>
            </w:tcBorders>
            <w:noWrap/>
            <w:vAlign w:val="center"/>
          </w:tcPr>
          <w:p w14:paraId="61B1D542" w14:textId="77777777" w:rsidR="00702069" w:rsidRPr="00D0395E" w:rsidRDefault="00702069" w:rsidP="006433D6">
            <w:pPr>
              <w:spacing w:line="240" w:lineRule="auto"/>
              <w:jc w:val="right"/>
              <w:rPr>
                <w:rFonts w:eastAsia="Times New Roman" w:cs="Times New Roman"/>
                <w:b/>
                <w:bCs/>
                <w:color w:val="000000"/>
                <w:sz w:val="18"/>
                <w:szCs w:val="18"/>
                <w:lang w:eastAsia="sk-SK"/>
              </w:rPr>
            </w:pPr>
            <w:r>
              <w:rPr>
                <w:rFonts w:eastAsia="Times New Roman" w:cs="Times New Roman"/>
                <w:b/>
                <w:bCs/>
                <w:color w:val="000000"/>
                <w:sz w:val="18"/>
                <w:szCs w:val="18"/>
                <w:lang w:eastAsia="sk-SK"/>
              </w:rPr>
              <w:t>2 621 247</w:t>
            </w:r>
          </w:p>
        </w:tc>
      </w:tr>
      <w:tr w:rsidR="00702069" w:rsidRPr="00D0395E" w14:paraId="6EC74B8B" w14:textId="77777777" w:rsidTr="00702069">
        <w:trPr>
          <w:trHeight w:val="289"/>
        </w:trPr>
        <w:tc>
          <w:tcPr>
            <w:tcW w:w="2951" w:type="pct"/>
            <w:tcBorders>
              <w:top w:val="single" w:sz="4" w:space="0" w:color="auto"/>
              <w:left w:val="nil"/>
              <w:bottom w:val="nil"/>
              <w:right w:val="nil"/>
            </w:tcBorders>
            <w:noWrap/>
            <w:vAlign w:val="center"/>
            <w:hideMark/>
          </w:tcPr>
          <w:p w14:paraId="3CA026A0"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z toho:</w:t>
            </w:r>
          </w:p>
        </w:tc>
        <w:tc>
          <w:tcPr>
            <w:tcW w:w="544" w:type="pct"/>
            <w:tcBorders>
              <w:top w:val="single" w:sz="4" w:space="0" w:color="auto"/>
              <w:left w:val="nil"/>
              <w:bottom w:val="nil"/>
              <w:right w:val="nil"/>
            </w:tcBorders>
            <w:noWrap/>
            <w:vAlign w:val="center"/>
          </w:tcPr>
          <w:p w14:paraId="66F68F88" w14:textId="77777777" w:rsidR="00702069" w:rsidRPr="00D0395E" w:rsidRDefault="00702069" w:rsidP="006433D6">
            <w:pPr>
              <w:spacing w:line="240" w:lineRule="auto"/>
              <w:rPr>
                <w:rFonts w:eastAsia="Times New Roman" w:cs="Times New Roman"/>
                <w:color w:val="000000"/>
                <w:sz w:val="18"/>
                <w:szCs w:val="18"/>
                <w:lang w:eastAsia="sk-SK"/>
              </w:rPr>
            </w:pPr>
          </w:p>
        </w:tc>
        <w:tc>
          <w:tcPr>
            <w:tcW w:w="728" w:type="pct"/>
            <w:tcBorders>
              <w:top w:val="single" w:sz="4" w:space="0" w:color="auto"/>
              <w:left w:val="nil"/>
              <w:bottom w:val="nil"/>
              <w:right w:val="nil"/>
            </w:tcBorders>
            <w:noWrap/>
            <w:vAlign w:val="center"/>
          </w:tcPr>
          <w:p w14:paraId="1BED3238" w14:textId="77777777" w:rsidR="00702069" w:rsidRPr="00D0395E" w:rsidRDefault="00702069" w:rsidP="006433D6">
            <w:pPr>
              <w:spacing w:line="240" w:lineRule="auto"/>
              <w:jc w:val="right"/>
              <w:rPr>
                <w:rFonts w:eastAsia="Times New Roman" w:cs="Times New Roman"/>
                <w:sz w:val="18"/>
                <w:szCs w:val="18"/>
                <w:lang w:eastAsia="sk-SK"/>
              </w:rPr>
            </w:pPr>
          </w:p>
        </w:tc>
        <w:tc>
          <w:tcPr>
            <w:tcW w:w="776" w:type="pct"/>
            <w:tcBorders>
              <w:top w:val="single" w:sz="4" w:space="0" w:color="auto"/>
              <w:left w:val="nil"/>
              <w:bottom w:val="nil"/>
              <w:right w:val="nil"/>
            </w:tcBorders>
            <w:noWrap/>
            <w:vAlign w:val="center"/>
          </w:tcPr>
          <w:p w14:paraId="75AC51B4" w14:textId="77777777" w:rsidR="00702069" w:rsidRPr="00D0395E" w:rsidRDefault="00702069" w:rsidP="006433D6">
            <w:pPr>
              <w:spacing w:line="240" w:lineRule="auto"/>
              <w:jc w:val="right"/>
              <w:rPr>
                <w:rFonts w:eastAsia="Times New Roman" w:cs="Times New Roman"/>
                <w:sz w:val="18"/>
                <w:szCs w:val="18"/>
                <w:lang w:eastAsia="sk-SK"/>
              </w:rPr>
            </w:pPr>
          </w:p>
        </w:tc>
      </w:tr>
      <w:tr w:rsidR="00702069" w:rsidRPr="00D0395E" w14:paraId="153D9F55" w14:textId="77777777" w:rsidTr="00702069">
        <w:trPr>
          <w:trHeight w:val="289"/>
        </w:trPr>
        <w:tc>
          <w:tcPr>
            <w:tcW w:w="2951" w:type="pct"/>
            <w:tcBorders>
              <w:top w:val="nil"/>
              <w:left w:val="nil"/>
              <w:bottom w:val="nil"/>
              <w:right w:val="nil"/>
            </w:tcBorders>
            <w:noWrap/>
            <w:vAlign w:val="center"/>
            <w:hideMark/>
          </w:tcPr>
          <w:p w14:paraId="6EA9F5B9"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FNM/MH Manažment, a. s.</w:t>
            </w:r>
          </w:p>
        </w:tc>
        <w:tc>
          <w:tcPr>
            <w:tcW w:w="544" w:type="pct"/>
            <w:tcBorders>
              <w:top w:val="nil"/>
              <w:left w:val="nil"/>
              <w:bottom w:val="nil"/>
              <w:right w:val="nil"/>
            </w:tcBorders>
            <w:noWrap/>
            <w:vAlign w:val="center"/>
          </w:tcPr>
          <w:p w14:paraId="0944BF82"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913 473</w:t>
            </w:r>
          </w:p>
        </w:tc>
        <w:tc>
          <w:tcPr>
            <w:tcW w:w="728" w:type="pct"/>
            <w:tcBorders>
              <w:top w:val="nil"/>
              <w:left w:val="nil"/>
              <w:bottom w:val="nil"/>
              <w:right w:val="nil"/>
            </w:tcBorders>
            <w:noWrap/>
            <w:vAlign w:val="center"/>
          </w:tcPr>
          <w:p w14:paraId="2D739719"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766 082</w:t>
            </w:r>
          </w:p>
        </w:tc>
        <w:tc>
          <w:tcPr>
            <w:tcW w:w="776" w:type="pct"/>
            <w:tcBorders>
              <w:top w:val="nil"/>
              <w:left w:val="nil"/>
              <w:bottom w:val="nil"/>
              <w:right w:val="nil"/>
            </w:tcBorders>
            <w:noWrap/>
            <w:vAlign w:val="center"/>
          </w:tcPr>
          <w:p w14:paraId="46786EC0"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723 891</w:t>
            </w:r>
          </w:p>
        </w:tc>
      </w:tr>
      <w:tr w:rsidR="00702069" w:rsidRPr="00D0395E" w14:paraId="7710B986" w14:textId="77777777" w:rsidTr="00702069">
        <w:trPr>
          <w:trHeight w:val="289"/>
        </w:trPr>
        <w:tc>
          <w:tcPr>
            <w:tcW w:w="2951" w:type="pct"/>
            <w:tcBorders>
              <w:top w:val="nil"/>
              <w:left w:val="nil"/>
              <w:bottom w:val="nil"/>
              <w:right w:val="nil"/>
            </w:tcBorders>
            <w:noWrap/>
            <w:vAlign w:val="center"/>
            <w:hideMark/>
          </w:tcPr>
          <w:p w14:paraId="781642B6"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NFV</w:t>
            </w:r>
          </w:p>
        </w:tc>
        <w:tc>
          <w:tcPr>
            <w:tcW w:w="544" w:type="pct"/>
            <w:tcBorders>
              <w:top w:val="nil"/>
              <w:left w:val="nil"/>
              <w:bottom w:val="nil"/>
              <w:right w:val="nil"/>
            </w:tcBorders>
            <w:noWrap/>
            <w:vAlign w:val="center"/>
          </w:tcPr>
          <w:p w14:paraId="090A4139"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96 245</w:t>
            </w:r>
          </w:p>
        </w:tc>
        <w:tc>
          <w:tcPr>
            <w:tcW w:w="728" w:type="pct"/>
            <w:tcBorders>
              <w:top w:val="nil"/>
              <w:left w:val="nil"/>
              <w:bottom w:val="nil"/>
              <w:right w:val="nil"/>
            </w:tcBorders>
            <w:noWrap/>
            <w:vAlign w:val="center"/>
          </w:tcPr>
          <w:p w14:paraId="6974D9FB"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185 090</w:t>
            </w:r>
          </w:p>
        </w:tc>
        <w:tc>
          <w:tcPr>
            <w:tcW w:w="776" w:type="pct"/>
            <w:tcBorders>
              <w:top w:val="nil"/>
              <w:left w:val="nil"/>
              <w:bottom w:val="nil"/>
              <w:right w:val="nil"/>
            </w:tcBorders>
            <w:noWrap/>
            <w:vAlign w:val="center"/>
          </w:tcPr>
          <w:p w14:paraId="42DB6DD1"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490 966</w:t>
            </w:r>
          </w:p>
        </w:tc>
      </w:tr>
      <w:tr w:rsidR="00702069" w:rsidRPr="00D0395E" w14:paraId="7DAEDA7D" w14:textId="77777777" w:rsidTr="00702069">
        <w:trPr>
          <w:trHeight w:val="289"/>
        </w:trPr>
        <w:tc>
          <w:tcPr>
            <w:tcW w:w="2951" w:type="pct"/>
            <w:tcBorders>
              <w:top w:val="nil"/>
              <w:left w:val="nil"/>
              <w:bottom w:val="nil"/>
              <w:right w:val="nil"/>
            </w:tcBorders>
            <w:noWrap/>
            <w:vAlign w:val="center"/>
            <w:hideMark/>
          </w:tcPr>
          <w:p w14:paraId="57AA3846"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osobitného odvodu finančných inštitúcií</w:t>
            </w:r>
          </w:p>
        </w:tc>
        <w:tc>
          <w:tcPr>
            <w:tcW w:w="544" w:type="pct"/>
            <w:tcBorders>
              <w:top w:val="nil"/>
              <w:left w:val="nil"/>
              <w:bottom w:val="nil"/>
              <w:right w:val="nil"/>
            </w:tcBorders>
            <w:noWrap/>
            <w:vAlign w:val="center"/>
          </w:tcPr>
          <w:p w14:paraId="383DB32A"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934 156</w:t>
            </w:r>
          </w:p>
        </w:tc>
        <w:tc>
          <w:tcPr>
            <w:tcW w:w="728" w:type="pct"/>
            <w:tcBorders>
              <w:top w:val="nil"/>
              <w:left w:val="nil"/>
              <w:bottom w:val="nil"/>
              <w:right w:val="nil"/>
            </w:tcBorders>
            <w:noWrap/>
            <w:vAlign w:val="center"/>
          </w:tcPr>
          <w:p w14:paraId="320F3504"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761 325</w:t>
            </w:r>
          </w:p>
        </w:tc>
        <w:tc>
          <w:tcPr>
            <w:tcW w:w="776" w:type="pct"/>
            <w:tcBorders>
              <w:top w:val="nil"/>
              <w:left w:val="nil"/>
              <w:bottom w:val="nil"/>
              <w:right w:val="nil"/>
            </w:tcBorders>
            <w:noWrap/>
            <w:vAlign w:val="center"/>
          </w:tcPr>
          <w:p w14:paraId="0C719D5E"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580 577</w:t>
            </w:r>
          </w:p>
        </w:tc>
      </w:tr>
      <w:tr w:rsidR="00702069" w:rsidRPr="00D0395E" w14:paraId="18E03483" w14:textId="77777777" w:rsidTr="00702069">
        <w:trPr>
          <w:trHeight w:val="289"/>
        </w:trPr>
        <w:tc>
          <w:tcPr>
            <w:tcW w:w="2951" w:type="pct"/>
            <w:tcBorders>
              <w:top w:val="nil"/>
              <w:left w:val="nil"/>
              <w:bottom w:val="nil"/>
              <w:right w:val="nil"/>
            </w:tcBorders>
            <w:noWrap/>
            <w:vAlign w:val="center"/>
            <w:hideMark/>
          </w:tcPr>
          <w:p w14:paraId="3800E838"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osobitného odvodu z podnikania v regulovaných odvetviach</w:t>
            </w:r>
          </w:p>
        </w:tc>
        <w:tc>
          <w:tcPr>
            <w:tcW w:w="544" w:type="pct"/>
            <w:tcBorders>
              <w:top w:val="nil"/>
              <w:left w:val="nil"/>
              <w:bottom w:val="nil"/>
              <w:right w:val="nil"/>
            </w:tcBorders>
            <w:noWrap/>
            <w:vAlign w:val="center"/>
          </w:tcPr>
          <w:p w14:paraId="15D97B19"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1 018 922</w:t>
            </w:r>
          </w:p>
        </w:tc>
        <w:tc>
          <w:tcPr>
            <w:tcW w:w="728" w:type="pct"/>
            <w:tcBorders>
              <w:top w:val="nil"/>
              <w:left w:val="nil"/>
              <w:bottom w:val="nil"/>
              <w:right w:val="nil"/>
            </w:tcBorders>
            <w:noWrap/>
            <w:vAlign w:val="center"/>
          </w:tcPr>
          <w:p w14:paraId="53541DE3"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775 912</w:t>
            </w:r>
          </w:p>
        </w:tc>
        <w:tc>
          <w:tcPr>
            <w:tcW w:w="776" w:type="pct"/>
            <w:tcBorders>
              <w:top w:val="nil"/>
              <w:left w:val="nil"/>
              <w:bottom w:val="nil"/>
              <w:right w:val="nil"/>
            </w:tcBorders>
            <w:noWrap/>
            <w:vAlign w:val="center"/>
          </w:tcPr>
          <w:p w14:paraId="5D0B62F5"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775 912</w:t>
            </w:r>
          </w:p>
        </w:tc>
      </w:tr>
      <w:tr w:rsidR="00702069" w:rsidRPr="00D0395E" w14:paraId="533EC9AF" w14:textId="77777777" w:rsidTr="00702069">
        <w:trPr>
          <w:trHeight w:val="289"/>
        </w:trPr>
        <w:tc>
          <w:tcPr>
            <w:tcW w:w="2951" w:type="pct"/>
            <w:tcBorders>
              <w:top w:val="nil"/>
              <w:left w:val="nil"/>
              <w:right w:val="nil"/>
            </w:tcBorders>
            <w:noWrap/>
            <w:vAlign w:val="center"/>
            <w:hideMark/>
          </w:tcPr>
          <w:p w14:paraId="6C4B4175"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účet anonymných vkladov</w:t>
            </w:r>
          </w:p>
        </w:tc>
        <w:tc>
          <w:tcPr>
            <w:tcW w:w="544" w:type="pct"/>
            <w:tcBorders>
              <w:top w:val="nil"/>
              <w:left w:val="nil"/>
              <w:right w:val="nil"/>
            </w:tcBorders>
            <w:noWrap/>
            <w:vAlign w:val="center"/>
          </w:tcPr>
          <w:p w14:paraId="1E1B045E"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26 030</w:t>
            </w:r>
          </w:p>
        </w:tc>
        <w:tc>
          <w:tcPr>
            <w:tcW w:w="728" w:type="pct"/>
            <w:tcBorders>
              <w:top w:val="nil"/>
              <w:left w:val="nil"/>
              <w:right w:val="nil"/>
            </w:tcBorders>
            <w:noWrap/>
            <w:vAlign w:val="center"/>
          </w:tcPr>
          <w:p w14:paraId="0D833C21"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26 079</w:t>
            </w:r>
          </w:p>
        </w:tc>
        <w:tc>
          <w:tcPr>
            <w:tcW w:w="776" w:type="pct"/>
            <w:tcBorders>
              <w:top w:val="nil"/>
              <w:left w:val="nil"/>
              <w:right w:val="nil"/>
            </w:tcBorders>
            <w:noWrap/>
            <w:vAlign w:val="center"/>
          </w:tcPr>
          <w:p w14:paraId="7EA67761"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25 979</w:t>
            </w:r>
          </w:p>
        </w:tc>
      </w:tr>
      <w:tr w:rsidR="00702069" w:rsidRPr="00D0395E" w14:paraId="0F22D050" w14:textId="77777777" w:rsidTr="00702069">
        <w:trPr>
          <w:trHeight w:val="289"/>
        </w:trPr>
        <w:tc>
          <w:tcPr>
            <w:tcW w:w="2951" w:type="pct"/>
            <w:tcBorders>
              <w:top w:val="nil"/>
              <w:left w:val="nil"/>
              <w:bottom w:val="single" w:sz="4" w:space="0" w:color="auto"/>
              <w:right w:val="nil"/>
            </w:tcBorders>
            <w:noWrap/>
            <w:vAlign w:val="center"/>
            <w:hideMark/>
          </w:tcPr>
          <w:p w14:paraId="2ACC2BBF" w14:textId="77777777" w:rsidR="00702069" w:rsidRPr="00D0395E" w:rsidRDefault="00702069" w:rsidP="006433D6">
            <w:pPr>
              <w:spacing w:line="240" w:lineRule="auto"/>
              <w:rPr>
                <w:rFonts w:eastAsia="Times New Roman" w:cs="Times New Roman"/>
                <w:color w:val="000000"/>
                <w:sz w:val="18"/>
                <w:szCs w:val="18"/>
                <w:lang w:eastAsia="sk-SK"/>
              </w:rPr>
            </w:pPr>
            <w:r w:rsidRPr="00D0395E">
              <w:rPr>
                <w:rFonts w:eastAsia="Times New Roman" w:cs="Times New Roman"/>
                <w:color w:val="000000"/>
                <w:sz w:val="18"/>
                <w:szCs w:val="18"/>
                <w:lang w:eastAsia="sk-SK"/>
              </w:rPr>
              <w:t>ostatné</w:t>
            </w:r>
          </w:p>
        </w:tc>
        <w:tc>
          <w:tcPr>
            <w:tcW w:w="544" w:type="pct"/>
            <w:tcBorders>
              <w:top w:val="nil"/>
              <w:left w:val="nil"/>
              <w:bottom w:val="single" w:sz="4" w:space="0" w:color="auto"/>
              <w:right w:val="nil"/>
            </w:tcBorders>
            <w:noWrap/>
            <w:vAlign w:val="center"/>
          </w:tcPr>
          <w:p w14:paraId="75B70AD0"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52 377</w:t>
            </w:r>
          </w:p>
        </w:tc>
        <w:tc>
          <w:tcPr>
            <w:tcW w:w="728" w:type="pct"/>
            <w:tcBorders>
              <w:top w:val="nil"/>
              <w:left w:val="nil"/>
              <w:bottom w:val="single" w:sz="4" w:space="0" w:color="auto"/>
              <w:right w:val="nil"/>
            </w:tcBorders>
            <w:noWrap/>
            <w:vAlign w:val="center"/>
          </w:tcPr>
          <w:p w14:paraId="0A26B1E5" w14:textId="77777777" w:rsidR="00702069" w:rsidRPr="00D0395E" w:rsidRDefault="00702069" w:rsidP="006433D6">
            <w:pPr>
              <w:spacing w:line="240" w:lineRule="auto"/>
              <w:jc w:val="right"/>
              <w:rPr>
                <w:rFonts w:eastAsia="Times New Roman" w:cs="Times New Roman"/>
                <w:color w:val="000000"/>
                <w:sz w:val="18"/>
                <w:szCs w:val="18"/>
                <w:lang w:eastAsia="sk-SK"/>
              </w:rPr>
            </w:pPr>
            <w:r w:rsidRPr="00D0395E">
              <w:rPr>
                <w:rFonts w:eastAsia="Times New Roman" w:cs="Times New Roman"/>
                <w:color w:val="000000"/>
                <w:sz w:val="18"/>
                <w:szCs w:val="18"/>
                <w:lang w:eastAsia="sk-SK"/>
              </w:rPr>
              <w:t>22 610</w:t>
            </w:r>
          </w:p>
        </w:tc>
        <w:tc>
          <w:tcPr>
            <w:tcW w:w="776" w:type="pct"/>
            <w:tcBorders>
              <w:top w:val="nil"/>
              <w:left w:val="nil"/>
              <w:bottom w:val="single" w:sz="4" w:space="0" w:color="auto"/>
              <w:right w:val="nil"/>
            </w:tcBorders>
            <w:noWrap/>
            <w:vAlign w:val="center"/>
          </w:tcPr>
          <w:p w14:paraId="09835A10" w14:textId="77777777" w:rsidR="00702069" w:rsidRPr="00D0395E" w:rsidRDefault="00702069" w:rsidP="006433D6">
            <w:pPr>
              <w:spacing w:line="240" w:lineRule="auto"/>
              <w:jc w:val="right"/>
              <w:rPr>
                <w:rFonts w:eastAsia="Times New Roman" w:cs="Times New Roman"/>
                <w:color w:val="000000"/>
                <w:sz w:val="18"/>
                <w:szCs w:val="18"/>
                <w:lang w:eastAsia="sk-SK"/>
              </w:rPr>
            </w:pPr>
            <w:r>
              <w:rPr>
                <w:rFonts w:eastAsia="Times New Roman" w:cs="Times New Roman"/>
                <w:color w:val="000000"/>
                <w:sz w:val="18"/>
                <w:szCs w:val="18"/>
                <w:lang w:eastAsia="sk-SK"/>
              </w:rPr>
              <w:t>23 922</w:t>
            </w:r>
          </w:p>
        </w:tc>
      </w:tr>
    </w:tbl>
    <w:p w14:paraId="756EC193" w14:textId="6873FE24" w:rsidR="00702069" w:rsidRPr="00702069" w:rsidRDefault="00702069" w:rsidP="00702069">
      <w:pPr>
        <w:tabs>
          <w:tab w:val="right" w:pos="9070"/>
        </w:tabs>
        <w:rPr>
          <w:sz w:val="18"/>
          <w:szCs w:val="18"/>
          <w:lang w:eastAsia="sk-SK"/>
        </w:rPr>
      </w:pPr>
      <w:r w:rsidRPr="00702069">
        <w:rPr>
          <w:sz w:val="18"/>
          <w:szCs w:val="18"/>
          <w:lang w:eastAsia="sk-SK"/>
        </w:rPr>
        <w:tab/>
        <w:t>Zdroj: MF SR</w:t>
      </w:r>
    </w:p>
    <w:p w14:paraId="1AAC51FA" w14:textId="77777777" w:rsidR="00D46A5E" w:rsidRPr="0050710A" w:rsidRDefault="00D46A5E" w:rsidP="00532D8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highlight w:val="yellow"/>
          <w:u w:val="single"/>
        </w:rPr>
      </w:pPr>
    </w:p>
    <w:p w14:paraId="4B1A3060" w14:textId="34AD5CB4" w:rsidR="00702069" w:rsidRDefault="00702069"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r w:rsidRPr="00BB092C">
        <w:rPr>
          <w:szCs w:val="24"/>
          <w:u w:val="single"/>
        </w:rPr>
        <w:lastRenderedPageBreak/>
        <w:t>Rozpočtované príjmy štátnych finančných aktív</w:t>
      </w:r>
      <w:r>
        <w:rPr>
          <w:szCs w:val="24"/>
        </w:rPr>
        <w:t xml:space="preserve"> pre rok 2025 </w:t>
      </w:r>
      <w:r w:rsidRPr="00BB092C">
        <w:rPr>
          <w:szCs w:val="24"/>
        </w:rPr>
        <w:t xml:space="preserve">boli v sume </w:t>
      </w:r>
      <w:r>
        <w:rPr>
          <w:szCs w:val="24"/>
        </w:rPr>
        <w:t>992</w:t>
      </w:r>
      <w:r w:rsidR="007745DC">
        <w:rPr>
          <w:szCs w:val="24"/>
        </w:rPr>
        <w:t> </w:t>
      </w:r>
      <w:r>
        <w:rPr>
          <w:szCs w:val="24"/>
        </w:rPr>
        <w:t>724 </w:t>
      </w:r>
      <w:r w:rsidRPr="00BB092C">
        <w:rPr>
          <w:szCs w:val="24"/>
        </w:rPr>
        <w:t>tis.</w:t>
      </w:r>
      <w:r>
        <w:rPr>
          <w:szCs w:val="24"/>
        </w:rPr>
        <w:t> </w:t>
      </w:r>
      <w:r w:rsidRPr="00BB092C">
        <w:rPr>
          <w:szCs w:val="24"/>
        </w:rPr>
        <w:t xml:space="preserve">eur, z čoho príjmové finančné operácie tvorili </w:t>
      </w:r>
      <w:r>
        <w:rPr>
          <w:szCs w:val="24"/>
        </w:rPr>
        <w:t>241</w:t>
      </w:r>
      <w:r w:rsidR="007745DC">
        <w:rPr>
          <w:szCs w:val="24"/>
        </w:rPr>
        <w:t> </w:t>
      </w:r>
      <w:r>
        <w:rPr>
          <w:szCs w:val="24"/>
        </w:rPr>
        <w:t>660 </w:t>
      </w:r>
      <w:r w:rsidRPr="00BB092C">
        <w:rPr>
          <w:szCs w:val="24"/>
        </w:rPr>
        <w:t>tis.</w:t>
      </w:r>
      <w:r>
        <w:rPr>
          <w:szCs w:val="24"/>
        </w:rPr>
        <w:t> </w:t>
      </w:r>
      <w:r w:rsidRPr="00BB092C">
        <w:rPr>
          <w:szCs w:val="24"/>
        </w:rPr>
        <w:t>eur</w:t>
      </w:r>
      <w:r>
        <w:rPr>
          <w:szCs w:val="24"/>
        </w:rPr>
        <w:t xml:space="preserve"> a z nich 101</w:t>
      </w:r>
      <w:r w:rsidR="007745DC">
        <w:rPr>
          <w:szCs w:val="24"/>
        </w:rPr>
        <w:t> </w:t>
      </w:r>
      <w:r>
        <w:rPr>
          <w:szCs w:val="24"/>
        </w:rPr>
        <w:t>660</w:t>
      </w:r>
      <w:r w:rsidR="007745DC">
        <w:rPr>
          <w:szCs w:val="24"/>
        </w:rPr>
        <w:t> </w:t>
      </w:r>
      <w:r>
        <w:rPr>
          <w:szCs w:val="24"/>
        </w:rPr>
        <w:t>tis.</w:t>
      </w:r>
      <w:r w:rsidR="007745DC">
        <w:rPr>
          <w:szCs w:val="24"/>
        </w:rPr>
        <w:t> </w:t>
      </w:r>
      <w:r>
        <w:rPr>
          <w:szCs w:val="24"/>
        </w:rPr>
        <w:t xml:space="preserve">eur </w:t>
      </w:r>
      <w:r w:rsidRPr="00BB092C">
        <w:rPr>
          <w:szCs w:val="24"/>
        </w:rPr>
        <w:t xml:space="preserve">ako splátky NFV. </w:t>
      </w:r>
      <w:r>
        <w:rPr>
          <w:szCs w:val="24"/>
        </w:rPr>
        <w:t>Ďalších 140</w:t>
      </w:r>
      <w:r w:rsidR="007745DC">
        <w:rPr>
          <w:szCs w:val="24"/>
        </w:rPr>
        <w:t> </w:t>
      </w:r>
      <w:r>
        <w:rPr>
          <w:szCs w:val="24"/>
        </w:rPr>
        <w:t>000</w:t>
      </w:r>
      <w:r w:rsidR="007745DC">
        <w:rPr>
          <w:szCs w:val="24"/>
        </w:rPr>
        <w:t> </w:t>
      </w:r>
      <w:r>
        <w:rPr>
          <w:szCs w:val="24"/>
        </w:rPr>
        <w:t>tis.</w:t>
      </w:r>
      <w:r w:rsidR="007745DC">
        <w:rPr>
          <w:szCs w:val="24"/>
        </w:rPr>
        <w:t> </w:t>
      </w:r>
      <w:r>
        <w:rPr>
          <w:szCs w:val="24"/>
        </w:rPr>
        <w:t>eur predstavovalo vrátenie prostriedkov od SPP,</w:t>
      </w:r>
      <w:r w:rsidR="007745DC">
        <w:rPr>
          <w:szCs w:val="24"/>
        </w:rPr>
        <w:t> </w:t>
      </w:r>
      <w:r>
        <w:rPr>
          <w:szCs w:val="24"/>
        </w:rPr>
        <w:t>a.</w:t>
      </w:r>
      <w:r w:rsidR="007745DC">
        <w:rPr>
          <w:szCs w:val="24"/>
        </w:rPr>
        <w:t> </w:t>
      </w:r>
      <w:r>
        <w:rPr>
          <w:szCs w:val="24"/>
        </w:rPr>
        <w:t>s.</w:t>
      </w:r>
      <w:r w:rsidR="00467F0B">
        <w:rPr>
          <w:szCs w:val="24"/>
        </w:rPr>
        <w:t>,</w:t>
      </w:r>
      <w:r>
        <w:rPr>
          <w:szCs w:val="24"/>
        </w:rPr>
        <w:t xml:space="preserve"> zo</w:t>
      </w:r>
      <w:r w:rsidR="007745DC">
        <w:rPr>
          <w:szCs w:val="24"/>
        </w:rPr>
        <w:t> </w:t>
      </w:r>
      <w:r>
        <w:rPr>
          <w:szCs w:val="24"/>
        </w:rPr>
        <w:t xml:space="preserve">zníženia vlastného imania (kapitálových fondov). </w:t>
      </w:r>
      <w:r w:rsidRPr="00BB092C">
        <w:rPr>
          <w:szCs w:val="24"/>
        </w:rPr>
        <w:t>Oproti roku 202</w:t>
      </w:r>
      <w:r>
        <w:rPr>
          <w:szCs w:val="24"/>
        </w:rPr>
        <w:t>4</w:t>
      </w:r>
      <w:r w:rsidRPr="00BB092C">
        <w:rPr>
          <w:szCs w:val="24"/>
        </w:rPr>
        <w:t xml:space="preserve"> </w:t>
      </w:r>
      <w:r w:rsidRPr="00F93475">
        <w:rPr>
          <w:szCs w:val="24"/>
        </w:rPr>
        <w:t xml:space="preserve">sa </w:t>
      </w:r>
      <w:r>
        <w:rPr>
          <w:szCs w:val="24"/>
        </w:rPr>
        <w:t xml:space="preserve">zvýšenie vybraných ŠFA </w:t>
      </w:r>
      <w:r w:rsidRPr="00F93475">
        <w:rPr>
          <w:szCs w:val="24"/>
        </w:rPr>
        <w:t>rozpočtoval</w:t>
      </w:r>
      <w:r>
        <w:rPr>
          <w:szCs w:val="24"/>
        </w:rPr>
        <w:t>o</w:t>
      </w:r>
      <w:r w:rsidRPr="00F93475">
        <w:rPr>
          <w:szCs w:val="24"/>
        </w:rPr>
        <w:t xml:space="preserve"> </w:t>
      </w:r>
      <w:r>
        <w:rPr>
          <w:szCs w:val="24"/>
        </w:rPr>
        <w:t xml:space="preserve">úhrnom vyššie </w:t>
      </w:r>
      <w:r w:rsidRPr="00F93475">
        <w:rPr>
          <w:szCs w:val="24"/>
        </w:rPr>
        <w:t>o</w:t>
      </w:r>
      <w:r w:rsidR="007745DC">
        <w:rPr>
          <w:szCs w:val="24"/>
        </w:rPr>
        <w:t> </w:t>
      </w:r>
      <w:r>
        <w:rPr>
          <w:szCs w:val="24"/>
        </w:rPr>
        <w:t>889</w:t>
      </w:r>
      <w:r w:rsidR="007745DC">
        <w:rPr>
          <w:szCs w:val="24"/>
        </w:rPr>
        <w:t> </w:t>
      </w:r>
      <w:r>
        <w:rPr>
          <w:szCs w:val="24"/>
        </w:rPr>
        <w:t>299 </w:t>
      </w:r>
      <w:r w:rsidRPr="00F93475">
        <w:rPr>
          <w:szCs w:val="24"/>
        </w:rPr>
        <w:t>tis.</w:t>
      </w:r>
      <w:r>
        <w:rPr>
          <w:szCs w:val="24"/>
        </w:rPr>
        <w:t> </w:t>
      </w:r>
      <w:r w:rsidRPr="00F93475">
        <w:rPr>
          <w:szCs w:val="24"/>
        </w:rPr>
        <w:t>eur</w:t>
      </w:r>
      <w:r>
        <w:rPr>
          <w:szCs w:val="24"/>
        </w:rPr>
        <w:t>, najmä z dôvodu plánovaného doplnenia z výdavkov štátneho rozpočtu vo výške 750</w:t>
      </w:r>
      <w:r w:rsidR="007745DC">
        <w:rPr>
          <w:szCs w:val="24"/>
        </w:rPr>
        <w:t> </w:t>
      </w:r>
      <w:r>
        <w:rPr>
          <w:szCs w:val="24"/>
        </w:rPr>
        <w:t>000</w:t>
      </w:r>
      <w:r w:rsidR="007745DC">
        <w:rPr>
          <w:szCs w:val="24"/>
        </w:rPr>
        <w:t> </w:t>
      </w:r>
      <w:r>
        <w:rPr>
          <w:szCs w:val="24"/>
        </w:rPr>
        <w:t>tis.</w:t>
      </w:r>
      <w:r w:rsidR="007745DC">
        <w:rPr>
          <w:szCs w:val="24"/>
        </w:rPr>
        <w:t> </w:t>
      </w:r>
      <w:r>
        <w:rPr>
          <w:szCs w:val="24"/>
        </w:rPr>
        <w:t>eur na kapitalizáciu existujúcich spoločnosti štátu.</w:t>
      </w:r>
    </w:p>
    <w:p w14:paraId="6A99B30A" w14:textId="77777777" w:rsidR="007745DC" w:rsidRDefault="007745DC"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p>
    <w:p w14:paraId="46BEA0BA" w14:textId="2425D688" w:rsidR="00702069" w:rsidRDefault="00702069"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r w:rsidRPr="00BB092C">
        <w:rPr>
          <w:szCs w:val="24"/>
          <w:u w:val="single"/>
        </w:rPr>
        <w:t>Rozpočtované výdavky štátnych finančných aktív</w:t>
      </w:r>
      <w:r w:rsidRPr="00BB092C">
        <w:rPr>
          <w:szCs w:val="24"/>
        </w:rPr>
        <w:t xml:space="preserve"> pre rok 202</w:t>
      </w:r>
      <w:r>
        <w:rPr>
          <w:szCs w:val="24"/>
        </w:rPr>
        <w:t>5</w:t>
      </w:r>
      <w:r w:rsidRPr="00BB092C">
        <w:rPr>
          <w:szCs w:val="24"/>
        </w:rPr>
        <w:t xml:space="preserve"> boli v sume </w:t>
      </w:r>
      <w:r>
        <w:rPr>
          <w:szCs w:val="24"/>
        </w:rPr>
        <w:t>203</w:t>
      </w:r>
      <w:r w:rsidR="007745DC">
        <w:rPr>
          <w:szCs w:val="24"/>
        </w:rPr>
        <w:t> </w:t>
      </w:r>
      <w:r>
        <w:rPr>
          <w:szCs w:val="24"/>
        </w:rPr>
        <w:t>441</w:t>
      </w:r>
      <w:r w:rsidR="007745DC">
        <w:rPr>
          <w:szCs w:val="24"/>
        </w:rPr>
        <w:t> </w:t>
      </w:r>
      <w:r>
        <w:rPr>
          <w:szCs w:val="24"/>
        </w:rPr>
        <w:t>tis.</w:t>
      </w:r>
      <w:r w:rsidR="007745DC">
        <w:rPr>
          <w:szCs w:val="24"/>
        </w:rPr>
        <w:t> </w:t>
      </w:r>
      <w:r>
        <w:rPr>
          <w:szCs w:val="24"/>
        </w:rPr>
        <w:t>eur, z toho boli finančné operácie 14</w:t>
      </w:r>
      <w:r w:rsidR="007745DC">
        <w:rPr>
          <w:szCs w:val="24"/>
        </w:rPr>
        <w:t> </w:t>
      </w:r>
      <w:r>
        <w:rPr>
          <w:szCs w:val="24"/>
        </w:rPr>
        <w:t>981 tis. eur.</w:t>
      </w:r>
      <w:r w:rsidRPr="00BB092C">
        <w:rPr>
          <w:szCs w:val="24"/>
        </w:rPr>
        <w:t xml:space="preserve"> </w:t>
      </w:r>
      <w:r>
        <w:rPr>
          <w:szCs w:val="24"/>
        </w:rPr>
        <w:t>V porovnaní s rozpočtom na</w:t>
      </w:r>
      <w:r w:rsidR="007745DC">
        <w:rPr>
          <w:szCs w:val="24"/>
        </w:rPr>
        <w:t> </w:t>
      </w:r>
      <w:r>
        <w:rPr>
          <w:szCs w:val="24"/>
        </w:rPr>
        <w:t>rok 2024 sa predpokladalo vyššie použitie ŠFA úhrnom o 58</w:t>
      </w:r>
      <w:r w:rsidR="007745DC">
        <w:rPr>
          <w:szCs w:val="24"/>
        </w:rPr>
        <w:t> </w:t>
      </w:r>
      <w:r>
        <w:rPr>
          <w:szCs w:val="24"/>
        </w:rPr>
        <w:t>572</w:t>
      </w:r>
      <w:r w:rsidR="007745DC">
        <w:rPr>
          <w:szCs w:val="24"/>
        </w:rPr>
        <w:t> </w:t>
      </w:r>
      <w:r>
        <w:rPr>
          <w:szCs w:val="24"/>
        </w:rPr>
        <w:t>tis. eur. Vyššie použitie ŠFA sa predpokladalo na vklady do tuzemskej spoločnosti Valaliky Industrial Park, s. r. o., 114 400 tis. eur, na financovanie významnej investície</w:t>
      </w:r>
      <w:r>
        <w:rPr>
          <w:rStyle w:val="Odkaznapoznmkupodiarou"/>
          <w:szCs w:val="24"/>
        </w:rPr>
        <w:footnoteReference w:id="28"/>
      </w:r>
      <w:r>
        <w:rPr>
          <w:szCs w:val="24"/>
        </w:rPr>
        <w:t xml:space="preserve"> „Strategické územie Valaliky“ a</w:t>
      </w:r>
      <w:r w:rsidR="007745DC">
        <w:rPr>
          <w:szCs w:val="24"/>
        </w:rPr>
        <w:t> </w:t>
      </w:r>
      <w:r>
        <w:rPr>
          <w:szCs w:val="24"/>
        </w:rPr>
        <w:t>„Strategické územie Valaliky – rozvoj verejných služieb“, spolu vo výške 177</w:t>
      </w:r>
      <w:r w:rsidR="007745DC">
        <w:rPr>
          <w:szCs w:val="24"/>
        </w:rPr>
        <w:t> </w:t>
      </w:r>
      <w:r>
        <w:rPr>
          <w:szCs w:val="24"/>
        </w:rPr>
        <w:t>910</w:t>
      </w:r>
      <w:r w:rsidR="007745DC">
        <w:rPr>
          <w:szCs w:val="24"/>
        </w:rPr>
        <w:t> </w:t>
      </w:r>
      <w:r>
        <w:rPr>
          <w:szCs w:val="24"/>
        </w:rPr>
        <w:t>tis.</w:t>
      </w:r>
      <w:r w:rsidR="007745DC">
        <w:rPr>
          <w:szCs w:val="24"/>
        </w:rPr>
        <w:t> </w:t>
      </w:r>
      <w:r>
        <w:rPr>
          <w:szCs w:val="24"/>
        </w:rPr>
        <w:t>eur a s medziročným nárastom o 63</w:t>
      </w:r>
      <w:r w:rsidR="007745DC">
        <w:rPr>
          <w:szCs w:val="24"/>
        </w:rPr>
        <w:t> </w:t>
      </w:r>
      <w:r>
        <w:rPr>
          <w:szCs w:val="24"/>
        </w:rPr>
        <w:t>510</w:t>
      </w:r>
      <w:r w:rsidR="007745DC">
        <w:rPr>
          <w:szCs w:val="24"/>
        </w:rPr>
        <w:t> </w:t>
      </w:r>
      <w:r>
        <w:rPr>
          <w:szCs w:val="24"/>
        </w:rPr>
        <w:t>tis.</w:t>
      </w:r>
      <w:r w:rsidR="007745DC">
        <w:rPr>
          <w:szCs w:val="24"/>
        </w:rPr>
        <w:t> </w:t>
      </w:r>
      <w:r>
        <w:rPr>
          <w:szCs w:val="24"/>
        </w:rPr>
        <w:t>eur. Realizácia záruk bola rozpočtovaná ,naopak, mierne nižšia (15</w:t>
      </w:r>
      <w:r w:rsidR="007745DC">
        <w:rPr>
          <w:szCs w:val="24"/>
        </w:rPr>
        <w:t> </w:t>
      </w:r>
      <w:r>
        <w:rPr>
          <w:szCs w:val="24"/>
        </w:rPr>
        <w:t>300 tis. eur) ako v roku 2024 (20 780 tis. eur).</w:t>
      </w:r>
    </w:p>
    <w:p w14:paraId="4E873845" w14:textId="77777777" w:rsidR="007745DC" w:rsidRDefault="007745DC"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p>
    <w:p w14:paraId="1A28CED9" w14:textId="70DFB54E" w:rsidR="00702069" w:rsidRDefault="00702069"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r w:rsidRPr="00105924">
        <w:rPr>
          <w:b/>
          <w:szCs w:val="24"/>
        </w:rPr>
        <w:t>Celkové saldo príjmov a výdavkov ŠFA v roku 202</w:t>
      </w:r>
      <w:r>
        <w:rPr>
          <w:b/>
          <w:szCs w:val="24"/>
        </w:rPr>
        <w:t>5</w:t>
      </w:r>
      <w:r w:rsidRPr="00105924">
        <w:rPr>
          <w:b/>
          <w:szCs w:val="24"/>
        </w:rPr>
        <w:t xml:space="preserve"> sa </w:t>
      </w:r>
      <w:r>
        <w:rPr>
          <w:b/>
          <w:szCs w:val="24"/>
        </w:rPr>
        <w:t xml:space="preserve">na hotovostnom princípe </w:t>
      </w:r>
      <w:r w:rsidRPr="00105924">
        <w:rPr>
          <w:b/>
          <w:szCs w:val="24"/>
        </w:rPr>
        <w:t xml:space="preserve">rozpočtovalo v sume </w:t>
      </w:r>
      <w:r>
        <w:rPr>
          <w:b/>
          <w:szCs w:val="24"/>
        </w:rPr>
        <w:t>789</w:t>
      </w:r>
      <w:r w:rsidR="007745DC">
        <w:rPr>
          <w:b/>
          <w:szCs w:val="24"/>
        </w:rPr>
        <w:t> </w:t>
      </w:r>
      <w:r>
        <w:rPr>
          <w:b/>
          <w:szCs w:val="24"/>
        </w:rPr>
        <w:t>283</w:t>
      </w:r>
      <w:r w:rsidR="007745DC">
        <w:rPr>
          <w:b/>
          <w:szCs w:val="24"/>
        </w:rPr>
        <w:t> </w:t>
      </w:r>
      <w:r>
        <w:rPr>
          <w:b/>
          <w:szCs w:val="24"/>
        </w:rPr>
        <w:t>tis.</w:t>
      </w:r>
      <w:r w:rsidR="007745DC">
        <w:rPr>
          <w:b/>
          <w:szCs w:val="24"/>
        </w:rPr>
        <w:t> </w:t>
      </w:r>
      <w:r>
        <w:rPr>
          <w:b/>
          <w:szCs w:val="24"/>
        </w:rPr>
        <w:t>eur,</w:t>
      </w:r>
      <w:r>
        <w:rPr>
          <w:szCs w:val="24"/>
        </w:rPr>
        <w:t xml:space="preserve"> po vylúčení finančných operácií v sume 226</w:t>
      </w:r>
      <w:r w:rsidR="007745DC">
        <w:rPr>
          <w:szCs w:val="24"/>
        </w:rPr>
        <w:t> </w:t>
      </w:r>
      <w:r>
        <w:rPr>
          <w:szCs w:val="24"/>
        </w:rPr>
        <w:t>679 tis. eur predstavovalo plánované saldo ŠFA v metodike ESA</w:t>
      </w:r>
      <w:r w:rsidR="007745DC">
        <w:rPr>
          <w:szCs w:val="24"/>
        </w:rPr>
        <w:t> </w:t>
      </w:r>
      <w:r>
        <w:rPr>
          <w:szCs w:val="24"/>
        </w:rPr>
        <w:t>2010 sumu 562</w:t>
      </w:r>
      <w:r w:rsidR="007745DC">
        <w:rPr>
          <w:szCs w:val="24"/>
        </w:rPr>
        <w:t> </w:t>
      </w:r>
      <w:r>
        <w:rPr>
          <w:szCs w:val="24"/>
        </w:rPr>
        <w:t>604 tis. eur.</w:t>
      </w:r>
      <w:r w:rsidRPr="008925D3">
        <w:rPr>
          <w:szCs w:val="24"/>
        </w:rPr>
        <w:t xml:space="preserve"> Skutočné </w:t>
      </w:r>
      <w:r>
        <w:rPr>
          <w:szCs w:val="24"/>
        </w:rPr>
        <w:t>pohyby na</w:t>
      </w:r>
      <w:r w:rsidRPr="008925D3">
        <w:rPr>
          <w:szCs w:val="24"/>
        </w:rPr>
        <w:t xml:space="preserve"> vybraných účto</w:t>
      </w:r>
      <w:r w:rsidR="00FA4D6D">
        <w:rPr>
          <w:szCs w:val="24"/>
        </w:rPr>
        <w:t>ch</w:t>
      </w:r>
      <w:r w:rsidRPr="008925D3">
        <w:rPr>
          <w:szCs w:val="24"/>
        </w:rPr>
        <w:t xml:space="preserve"> ŠFA predstavoval</w:t>
      </w:r>
      <w:r>
        <w:rPr>
          <w:szCs w:val="24"/>
        </w:rPr>
        <w:t>i</w:t>
      </w:r>
      <w:r w:rsidRPr="008925D3">
        <w:rPr>
          <w:szCs w:val="24"/>
        </w:rPr>
        <w:t xml:space="preserve"> ich medziročné </w:t>
      </w:r>
      <w:r>
        <w:rPr>
          <w:szCs w:val="24"/>
        </w:rPr>
        <w:t>zvýšenie</w:t>
      </w:r>
      <w:r w:rsidRPr="008925D3">
        <w:rPr>
          <w:szCs w:val="24"/>
        </w:rPr>
        <w:t xml:space="preserve"> </w:t>
      </w:r>
      <w:r>
        <w:rPr>
          <w:szCs w:val="24"/>
        </w:rPr>
        <w:t>o</w:t>
      </w:r>
      <w:r w:rsidR="007745DC">
        <w:rPr>
          <w:szCs w:val="24"/>
        </w:rPr>
        <w:t> </w:t>
      </w:r>
      <w:r>
        <w:rPr>
          <w:szCs w:val="24"/>
        </w:rPr>
        <w:t>84</w:t>
      </w:r>
      <w:r w:rsidR="007745DC">
        <w:rPr>
          <w:szCs w:val="24"/>
        </w:rPr>
        <w:t> </w:t>
      </w:r>
      <w:r>
        <w:rPr>
          <w:szCs w:val="24"/>
        </w:rPr>
        <w:t>149 </w:t>
      </w:r>
      <w:r w:rsidRPr="008925D3">
        <w:rPr>
          <w:szCs w:val="24"/>
        </w:rPr>
        <w:t>tis.</w:t>
      </w:r>
      <w:r>
        <w:rPr>
          <w:szCs w:val="24"/>
        </w:rPr>
        <w:t> </w:t>
      </w:r>
      <w:r w:rsidRPr="008925D3">
        <w:rPr>
          <w:szCs w:val="24"/>
        </w:rPr>
        <w:t>eur.</w:t>
      </w:r>
    </w:p>
    <w:p w14:paraId="15641715" w14:textId="77777777" w:rsidR="007745DC" w:rsidRDefault="007745DC"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p>
    <w:p w14:paraId="2A94150E" w14:textId="31B3B7FD" w:rsidR="00702069" w:rsidRDefault="00702069" w:rsidP="007745DC">
      <w:pPr>
        <w:spacing w:line="240" w:lineRule="auto"/>
        <w:jc w:val="both"/>
        <w:rPr>
          <w:szCs w:val="24"/>
        </w:rPr>
      </w:pPr>
      <w:r>
        <w:rPr>
          <w:i/>
          <w:szCs w:val="24"/>
          <w:u w:val="single"/>
        </w:rPr>
        <w:t>Účet ú</w:t>
      </w:r>
      <w:r w:rsidRPr="00C9112A">
        <w:rPr>
          <w:i/>
          <w:szCs w:val="24"/>
          <w:u w:val="single"/>
        </w:rPr>
        <w:t>čelov</w:t>
      </w:r>
      <w:r>
        <w:rPr>
          <w:i/>
          <w:szCs w:val="24"/>
          <w:u w:val="single"/>
        </w:rPr>
        <w:t>ých</w:t>
      </w:r>
      <w:r w:rsidRPr="00C9112A">
        <w:rPr>
          <w:i/>
          <w:szCs w:val="24"/>
          <w:u w:val="single"/>
        </w:rPr>
        <w:t xml:space="preserve"> prostriedk</w:t>
      </w:r>
      <w:r>
        <w:rPr>
          <w:i/>
          <w:szCs w:val="24"/>
          <w:u w:val="single"/>
        </w:rPr>
        <w:t>ov</w:t>
      </w:r>
      <w:r w:rsidRPr="00C9112A">
        <w:rPr>
          <w:i/>
          <w:szCs w:val="24"/>
          <w:u w:val="single"/>
        </w:rPr>
        <w:t xml:space="preserve"> FNM/MH Manažment,</w:t>
      </w:r>
      <w:r>
        <w:rPr>
          <w:i/>
          <w:szCs w:val="24"/>
          <w:u w:val="single"/>
        </w:rPr>
        <w:t> </w:t>
      </w:r>
      <w:r w:rsidRPr="00C9112A">
        <w:rPr>
          <w:i/>
          <w:szCs w:val="24"/>
          <w:u w:val="single"/>
        </w:rPr>
        <w:t>a.</w:t>
      </w:r>
      <w:r>
        <w:rPr>
          <w:i/>
          <w:szCs w:val="24"/>
          <w:u w:val="single"/>
        </w:rPr>
        <w:t> </w:t>
      </w:r>
      <w:r w:rsidRPr="00C9112A">
        <w:rPr>
          <w:i/>
          <w:szCs w:val="24"/>
          <w:u w:val="single"/>
        </w:rPr>
        <w:t>s</w:t>
      </w:r>
      <w:r w:rsidRPr="00C9112A">
        <w:rPr>
          <w:i/>
          <w:szCs w:val="24"/>
        </w:rPr>
        <w:t>.</w:t>
      </w:r>
      <w:r w:rsidR="00467F0B">
        <w:rPr>
          <w:i/>
          <w:szCs w:val="24"/>
        </w:rPr>
        <w:t>,</w:t>
      </w:r>
      <w:r w:rsidRPr="00C9112A">
        <w:rPr>
          <w:i/>
          <w:szCs w:val="24"/>
        </w:rPr>
        <w:t xml:space="preserve"> </w:t>
      </w:r>
      <w:r w:rsidRPr="00C9112A">
        <w:rPr>
          <w:szCs w:val="24"/>
        </w:rPr>
        <w:t>bol v minulosti tvoren</w:t>
      </w:r>
      <w:r>
        <w:rPr>
          <w:szCs w:val="24"/>
        </w:rPr>
        <w:t>ý</w:t>
      </w:r>
      <w:r w:rsidRPr="00C9112A">
        <w:rPr>
          <w:szCs w:val="24"/>
        </w:rPr>
        <w:t xml:space="preserve"> najmä prevodom dividend obchodných spoločností štátu, v ktorých podiely do</w:t>
      </w:r>
      <w:r w:rsidR="007745DC">
        <w:rPr>
          <w:szCs w:val="24"/>
        </w:rPr>
        <w:t> </w:t>
      </w:r>
      <w:r w:rsidRPr="00C9112A">
        <w:rPr>
          <w:szCs w:val="24"/>
        </w:rPr>
        <w:t>roku 2016 sp</w:t>
      </w:r>
      <w:r>
        <w:rPr>
          <w:szCs w:val="24"/>
        </w:rPr>
        <w:t>ravoval Fond národného majetku.</w:t>
      </w:r>
    </w:p>
    <w:p w14:paraId="266A7309" w14:textId="77777777" w:rsidR="007745DC" w:rsidRPr="00C9112A" w:rsidRDefault="007745DC" w:rsidP="007745DC">
      <w:pPr>
        <w:spacing w:line="240" w:lineRule="auto"/>
        <w:jc w:val="both"/>
        <w:rPr>
          <w:i/>
          <w:szCs w:val="24"/>
        </w:rPr>
      </w:pPr>
    </w:p>
    <w:p w14:paraId="0DF872BC" w14:textId="230A15DA" w:rsidR="00702069" w:rsidRDefault="00702069" w:rsidP="007745DC">
      <w:pPr>
        <w:spacing w:line="240" w:lineRule="auto"/>
        <w:jc w:val="both"/>
        <w:rPr>
          <w:szCs w:val="24"/>
        </w:rPr>
      </w:pPr>
      <w:r>
        <w:rPr>
          <w:szCs w:val="24"/>
        </w:rPr>
        <w:t>Medziročné zníženie stavu tohto účtu o 42 191 tis. eur je výsledkom nižších príjmov ako výdavkov v roku 2025. Príjmy v sume 1</w:t>
      </w:r>
      <w:r w:rsidR="007745DC">
        <w:rPr>
          <w:szCs w:val="24"/>
        </w:rPr>
        <w:t> </w:t>
      </w:r>
      <w:r>
        <w:rPr>
          <w:szCs w:val="24"/>
        </w:rPr>
        <w:t>695</w:t>
      </w:r>
      <w:r w:rsidR="007745DC">
        <w:rPr>
          <w:szCs w:val="24"/>
        </w:rPr>
        <w:t> </w:t>
      </w:r>
      <w:r>
        <w:rPr>
          <w:szCs w:val="24"/>
        </w:rPr>
        <w:t>tis.</w:t>
      </w:r>
      <w:r w:rsidR="007745DC">
        <w:rPr>
          <w:szCs w:val="24"/>
        </w:rPr>
        <w:t> </w:t>
      </w:r>
      <w:r>
        <w:rPr>
          <w:szCs w:val="24"/>
        </w:rPr>
        <w:t>eur predstavovali splatené pohľadávky z realizovaných záruk vo výške 1</w:t>
      </w:r>
      <w:r w:rsidR="002077ED">
        <w:rPr>
          <w:szCs w:val="24"/>
        </w:rPr>
        <w:t> </w:t>
      </w:r>
      <w:r>
        <w:rPr>
          <w:szCs w:val="24"/>
        </w:rPr>
        <w:t>350</w:t>
      </w:r>
      <w:r w:rsidR="002077ED">
        <w:rPr>
          <w:szCs w:val="24"/>
        </w:rPr>
        <w:t> </w:t>
      </w:r>
      <w:r>
        <w:rPr>
          <w:szCs w:val="24"/>
        </w:rPr>
        <w:t>tis.</w:t>
      </w:r>
      <w:r w:rsidR="002077ED">
        <w:rPr>
          <w:szCs w:val="24"/>
        </w:rPr>
        <w:t> </w:t>
      </w:r>
      <w:r>
        <w:rPr>
          <w:szCs w:val="24"/>
        </w:rPr>
        <w:t>eur a splátka z poskytnutej NFV Univerzite P.</w:t>
      </w:r>
      <w:r w:rsidR="002077ED">
        <w:rPr>
          <w:szCs w:val="24"/>
        </w:rPr>
        <w:t> </w:t>
      </w:r>
      <w:r>
        <w:rPr>
          <w:szCs w:val="24"/>
        </w:rPr>
        <w:t>J. Šafárika v</w:t>
      </w:r>
      <w:r w:rsidR="00FA4D6D">
        <w:rPr>
          <w:szCs w:val="24"/>
        </w:rPr>
        <w:t> </w:t>
      </w:r>
      <w:r>
        <w:rPr>
          <w:szCs w:val="24"/>
        </w:rPr>
        <w:t>Košiciach 300 tis.</w:t>
      </w:r>
      <w:r w:rsidR="002077ED">
        <w:rPr>
          <w:szCs w:val="24"/>
        </w:rPr>
        <w:t> </w:t>
      </w:r>
      <w:r>
        <w:rPr>
          <w:szCs w:val="24"/>
        </w:rPr>
        <w:t>eur. Výdavky v sume 43</w:t>
      </w:r>
      <w:r w:rsidR="002077ED">
        <w:rPr>
          <w:szCs w:val="24"/>
        </w:rPr>
        <w:t> </w:t>
      </w:r>
      <w:r>
        <w:rPr>
          <w:szCs w:val="24"/>
        </w:rPr>
        <w:t>886</w:t>
      </w:r>
      <w:r w:rsidR="002077ED">
        <w:rPr>
          <w:szCs w:val="24"/>
        </w:rPr>
        <w:t> </w:t>
      </w:r>
      <w:r>
        <w:rPr>
          <w:szCs w:val="24"/>
        </w:rPr>
        <w:t>tis.</w:t>
      </w:r>
      <w:r w:rsidR="002077ED">
        <w:rPr>
          <w:szCs w:val="24"/>
        </w:rPr>
        <w:t> </w:t>
      </w:r>
      <w:r>
        <w:rPr>
          <w:szCs w:val="24"/>
        </w:rPr>
        <w:t>eur boli použité najmä ako vklad do základného imania obchodnej spoločnosti MIRRI Developments,</w:t>
      </w:r>
      <w:r w:rsidR="002077ED">
        <w:rPr>
          <w:szCs w:val="24"/>
        </w:rPr>
        <w:t> </w:t>
      </w:r>
      <w:r>
        <w:rPr>
          <w:szCs w:val="24"/>
        </w:rPr>
        <w:t>s.</w:t>
      </w:r>
      <w:r w:rsidR="002077ED">
        <w:rPr>
          <w:szCs w:val="24"/>
        </w:rPr>
        <w:t> </w:t>
      </w:r>
      <w:r>
        <w:rPr>
          <w:szCs w:val="24"/>
        </w:rPr>
        <w:t>r.</w:t>
      </w:r>
      <w:r w:rsidR="002077ED">
        <w:rPr>
          <w:szCs w:val="24"/>
        </w:rPr>
        <w:t> </w:t>
      </w:r>
      <w:r>
        <w:rPr>
          <w:szCs w:val="24"/>
        </w:rPr>
        <w:t>o.</w:t>
      </w:r>
      <w:r w:rsidR="00467F0B">
        <w:rPr>
          <w:szCs w:val="24"/>
        </w:rPr>
        <w:t>,</w:t>
      </w:r>
      <w:r>
        <w:rPr>
          <w:szCs w:val="24"/>
        </w:rPr>
        <w:t xml:space="preserve"> v sume 30</w:t>
      </w:r>
      <w:r w:rsidR="002077ED">
        <w:rPr>
          <w:szCs w:val="24"/>
        </w:rPr>
        <w:t> </w:t>
      </w:r>
      <w:r>
        <w:rPr>
          <w:szCs w:val="24"/>
        </w:rPr>
        <w:t>000</w:t>
      </w:r>
      <w:r w:rsidR="002077ED">
        <w:rPr>
          <w:szCs w:val="24"/>
        </w:rPr>
        <w:t> </w:t>
      </w:r>
      <w:r>
        <w:rPr>
          <w:szCs w:val="24"/>
        </w:rPr>
        <w:t>tis.</w:t>
      </w:r>
      <w:r w:rsidR="002077ED">
        <w:rPr>
          <w:szCs w:val="24"/>
        </w:rPr>
        <w:t> </w:t>
      </w:r>
      <w:r>
        <w:rPr>
          <w:szCs w:val="24"/>
        </w:rPr>
        <w:t>eur, ako vklady štátu v medzinárodných inštitúciách ako je napríklad IFC, IDA a RBRE, v sume 9</w:t>
      </w:r>
      <w:r w:rsidR="002077ED">
        <w:rPr>
          <w:szCs w:val="24"/>
        </w:rPr>
        <w:t> </w:t>
      </w:r>
      <w:r>
        <w:rPr>
          <w:szCs w:val="24"/>
        </w:rPr>
        <w:t>682</w:t>
      </w:r>
      <w:r w:rsidR="002077ED">
        <w:rPr>
          <w:szCs w:val="24"/>
        </w:rPr>
        <w:t> </w:t>
      </w:r>
      <w:r>
        <w:rPr>
          <w:szCs w:val="24"/>
        </w:rPr>
        <w:t>tis.</w:t>
      </w:r>
      <w:r w:rsidR="002077ED">
        <w:rPr>
          <w:szCs w:val="24"/>
        </w:rPr>
        <w:t> </w:t>
      </w:r>
      <w:r>
        <w:rPr>
          <w:szCs w:val="24"/>
        </w:rPr>
        <w:t>eur, na realizáciu záruk 2</w:t>
      </w:r>
      <w:r w:rsidR="002077ED">
        <w:rPr>
          <w:szCs w:val="24"/>
        </w:rPr>
        <w:t> </w:t>
      </w:r>
      <w:r>
        <w:rPr>
          <w:szCs w:val="24"/>
        </w:rPr>
        <w:t>551</w:t>
      </w:r>
      <w:r w:rsidR="002077ED">
        <w:rPr>
          <w:szCs w:val="24"/>
        </w:rPr>
        <w:t> </w:t>
      </w:r>
      <w:r>
        <w:rPr>
          <w:szCs w:val="24"/>
        </w:rPr>
        <w:t>tis.</w:t>
      </w:r>
      <w:r w:rsidR="002077ED">
        <w:rPr>
          <w:szCs w:val="24"/>
        </w:rPr>
        <w:t> </w:t>
      </w:r>
      <w:r>
        <w:rPr>
          <w:szCs w:val="24"/>
        </w:rPr>
        <w:t>eur a na úhradu výdavkov vo</w:t>
      </w:r>
      <w:r w:rsidR="002077ED">
        <w:rPr>
          <w:szCs w:val="24"/>
        </w:rPr>
        <w:t> </w:t>
      </w:r>
      <w:r>
        <w:rPr>
          <w:szCs w:val="24"/>
        </w:rPr>
        <w:t>vzťahu k Dohode</w:t>
      </w:r>
      <w:r w:rsidRPr="00DF2E9D">
        <w:t xml:space="preserve"> </w:t>
      </w:r>
      <w:r>
        <w:rPr>
          <w:szCs w:val="24"/>
        </w:rPr>
        <w:t>o príspevku pre </w:t>
      </w:r>
      <w:r w:rsidRPr="00DF2E9D">
        <w:rPr>
          <w:szCs w:val="24"/>
        </w:rPr>
        <w:t>Pan</w:t>
      </w:r>
      <w:r>
        <w:rPr>
          <w:szCs w:val="24"/>
        </w:rPr>
        <w:t> </w:t>
      </w:r>
      <w:r w:rsidRPr="00DF2E9D">
        <w:rPr>
          <w:szCs w:val="24"/>
        </w:rPr>
        <w:t>-</w:t>
      </w:r>
      <w:r>
        <w:rPr>
          <w:szCs w:val="24"/>
        </w:rPr>
        <w:t> európsky garančný fond v </w:t>
      </w:r>
      <w:r w:rsidRPr="00DF2E9D">
        <w:rPr>
          <w:szCs w:val="24"/>
        </w:rPr>
        <w:t>reakcii na</w:t>
      </w:r>
      <w:r>
        <w:rPr>
          <w:szCs w:val="24"/>
        </w:rPr>
        <w:t> </w:t>
      </w:r>
      <w:r w:rsidRPr="00DF2E9D">
        <w:rPr>
          <w:szCs w:val="24"/>
        </w:rPr>
        <w:t>COVID-19</w:t>
      </w:r>
      <w:r>
        <w:rPr>
          <w:szCs w:val="24"/>
        </w:rPr>
        <w:t xml:space="preserve"> v hodnote 1</w:t>
      </w:r>
      <w:r w:rsidR="002077ED">
        <w:rPr>
          <w:szCs w:val="24"/>
        </w:rPr>
        <w:t> </w:t>
      </w:r>
      <w:r>
        <w:rPr>
          <w:szCs w:val="24"/>
        </w:rPr>
        <w:t>653</w:t>
      </w:r>
      <w:r w:rsidR="002077ED">
        <w:rPr>
          <w:szCs w:val="24"/>
        </w:rPr>
        <w:t> </w:t>
      </w:r>
      <w:r>
        <w:rPr>
          <w:szCs w:val="24"/>
        </w:rPr>
        <w:t>tis.</w:t>
      </w:r>
      <w:r w:rsidR="002077ED">
        <w:rPr>
          <w:szCs w:val="24"/>
        </w:rPr>
        <w:t> </w:t>
      </w:r>
      <w:r>
        <w:rPr>
          <w:szCs w:val="24"/>
        </w:rPr>
        <w:t>eur.</w:t>
      </w:r>
    </w:p>
    <w:p w14:paraId="246929F3" w14:textId="77777777" w:rsidR="002077ED" w:rsidRDefault="002077ED" w:rsidP="007745DC">
      <w:pPr>
        <w:spacing w:line="240" w:lineRule="auto"/>
        <w:jc w:val="both"/>
        <w:rPr>
          <w:szCs w:val="24"/>
        </w:rPr>
      </w:pPr>
    </w:p>
    <w:p w14:paraId="0F565610" w14:textId="432208C8" w:rsidR="00702069" w:rsidRDefault="00702069" w:rsidP="007745DC">
      <w:pPr>
        <w:spacing w:line="240" w:lineRule="auto"/>
        <w:jc w:val="both"/>
        <w:rPr>
          <w:szCs w:val="24"/>
        </w:rPr>
      </w:pPr>
      <w:r w:rsidRPr="00D715AF">
        <w:rPr>
          <w:i/>
          <w:szCs w:val="24"/>
          <w:u w:val="single"/>
        </w:rPr>
        <w:t>Bežný účet návratných finančných výpomocí (NFV)</w:t>
      </w:r>
      <w:r w:rsidRPr="00D715AF">
        <w:rPr>
          <w:i/>
          <w:szCs w:val="24"/>
        </w:rPr>
        <w:t xml:space="preserve"> </w:t>
      </w:r>
      <w:r w:rsidRPr="00D715AF">
        <w:rPr>
          <w:szCs w:val="24"/>
        </w:rPr>
        <w:t>zaznamenal v roku 202</w:t>
      </w:r>
      <w:r>
        <w:rPr>
          <w:szCs w:val="24"/>
        </w:rPr>
        <w:t>5, rovnako ako v roku 2024,</w:t>
      </w:r>
      <w:r w:rsidRPr="00D715AF">
        <w:rPr>
          <w:szCs w:val="24"/>
        </w:rPr>
        <w:t xml:space="preserve"> </w:t>
      </w:r>
      <w:r>
        <w:rPr>
          <w:szCs w:val="24"/>
        </w:rPr>
        <w:t xml:space="preserve">len </w:t>
      </w:r>
      <w:r w:rsidRPr="00D715AF">
        <w:rPr>
          <w:szCs w:val="24"/>
        </w:rPr>
        <w:t>príjm</w:t>
      </w:r>
      <w:r>
        <w:rPr>
          <w:szCs w:val="24"/>
        </w:rPr>
        <w:t>y</w:t>
      </w:r>
      <w:r w:rsidRPr="00D715AF">
        <w:rPr>
          <w:szCs w:val="24"/>
        </w:rPr>
        <w:t xml:space="preserve"> </w:t>
      </w:r>
      <w:r>
        <w:rPr>
          <w:szCs w:val="24"/>
        </w:rPr>
        <w:t>v sume</w:t>
      </w:r>
      <w:r w:rsidRPr="00D715AF">
        <w:rPr>
          <w:szCs w:val="24"/>
        </w:rPr>
        <w:t xml:space="preserve"> </w:t>
      </w:r>
      <w:r>
        <w:rPr>
          <w:szCs w:val="24"/>
        </w:rPr>
        <w:t>305</w:t>
      </w:r>
      <w:r w:rsidR="002077ED">
        <w:rPr>
          <w:szCs w:val="24"/>
        </w:rPr>
        <w:t> </w:t>
      </w:r>
      <w:r>
        <w:rPr>
          <w:szCs w:val="24"/>
        </w:rPr>
        <w:t>876</w:t>
      </w:r>
      <w:r w:rsidR="002077ED">
        <w:rPr>
          <w:szCs w:val="24"/>
        </w:rPr>
        <w:t> </w:t>
      </w:r>
      <w:r>
        <w:rPr>
          <w:szCs w:val="24"/>
        </w:rPr>
        <w:t>tis.</w:t>
      </w:r>
      <w:r w:rsidR="002077ED">
        <w:rPr>
          <w:szCs w:val="24"/>
        </w:rPr>
        <w:t> </w:t>
      </w:r>
      <w:r>
        <w:rPr>
          <w:szCs w:val="24"/>
        </w:rPr>
        <w:t>eur. V rámci nich išlo o rozpočtované splátky v minulosti poskytnutých NFV, ale aj o pôvodne nerozpočtované príjmy.</w:t>
      </w:r>
    </w:p>
    <w:p w14:paraId="22BF68B5" w14:textId="77777777" w:rsidR="002077ED" w:rsidRDefault="002077ED" w:rsidP="007745DC">
      <w:pPr>
        <w:spacing w:line="240" w:lineRule="auto"/>
        <w:jc w:val="both"/>
        <w:rPr>
          <w:szCs w:val="24"/>
        </w:rPr>
      </w:pPr>
    </w:p>
    <w:p w14:paraId="7E306D63" w14:textId="56A64019" w:rsidR="00702069" w:rsidRDefault="00702069" w:rsidP="007745DC">
      <w:pPr>
        <w:spacing w:line="240" w:lineRule="auto"/>
        <w:jc w:val="both"/>
        <w:rPr>
          <w:szCs w:val="24"/>
        </w:rPr>
      </w:pPr>
      <w:r>
        <w:rPr>
          <w:szCs w:val="24"/>
        </w:rPr>
        <w:t>Splátky NFV boli rozpočtované v hodnote 101</w:t>
      </w:r>
      <w:r w:rsidR="002077ED">
        <w:rPr>
          <w:szCs w:val="24"/>
        </w:rPr>
        <w:t> </w:t>
      </w:r>
      <w:r>
        <w:rPr>
          <w:szCs w:val="24"/>
        </w:rPr>
        <w:t>660</w:t>
      </w:r>
      <w:r w:rsidR="002077ED">
        <w:rPr>
          <w:szCs w:val="24"/>
        </w:rPr>
        <w:t> </w:t>
      </w:r>
      <w:r>
        <w:rPr>
          <w:szCs w:val="24"/>
        </w:rPr>
        <w:t>tis.</w:t>
      </w:r>
      <w:r w:rsidR="002077ED">
        <w:rPr>
          <w:szCs w:val="24"/>
        </w:rPr>
        <w:t> </w:t>
      </w:r>
      <w:r>
        <w:rPr>
          <w:szCs w:val="24"/>
        </w:rPr>
        <w:t>eur, z toho najviac tvorila splátka od</w:t>
      </w:r>
      <w:r w:rsidR="002077ED">
        <w:rPr>
          <w:szCs w:val="24"/>
        </w:rPr>
        <w:t> </w:t>
      </w:r>
      <w:r>
        <w:rPr>
          <w:szCs w:val="24"/>
        </w:rPr>
        <w:t>Agentúry pre núdzové zásoby ropy a ropných výrobkov v sume 73 000 tis. eur, ďalej išlo o</w:t>
      </w:r>
      <w:r w:rsidR="002077ED">
        <w:rPr>
          <w:szCs w:val="24"/>
        </w:rPr>
        <w:t> </w:t>
      </w:r>
      <w:r>
        <w:rPr>
          <w:szCs w:val="24"/>
        </w:rPr>
        <w:t>splátky VÚC 14</w:t>
      </w:r>
      <w:r w:rsidR="002077ED">
        <w:rPr>
          <w:szCs w:val="24"/>
        </w:rPr>
        <w:t> </w:t>
      </w:r>
      <w:r>
        <w:rPr>
          <w:szCs w:val="24"/>
        </w:rPr>
        <w:t>700</w:t>
      </w:r>
      <w:r w:rsidR="002077ED">
        <w:rPr>
          <w:szCs w:val="24"/>
        </w:rPr>
        <w:t> </w:t>
      </w:r>
      <w:r>
        <w:rPr>
          <w:szCs w:val="24"/>
        </w:rPr>
        <w:t>tis</w:t>
      </w:r>
      <w:r w:rsidR="002077ED">
        <w:rPr>
          <w:szCs w:val="24"/>
        </w:rPr>
        <w:t>. eur</w:t>
      </w:r>
      <w:r>
        <w:rPr>
          <w:szCs w:val="24"/>
        </w:rPr>
        <w:t>, splátky obcí 5</w:t>
      </w:r>
      <w:r w:rsidR="002077ED">
        <w:rPr>
          <w:szCs w:val="24"/>
        </w:rPr>
        <w:t> </w:t>
      </w:r>
      <w:r>
        <w:rPr>
          <w:szCs w:val="24"/>
        </w:rPr>
        <w:t>404</w:t>
      </w:r>
      <w:r w:rsidR="002077ED">
        <w:rPr>
          <w:szCs w:val="24"/>
        </w:rPr>
        <w:t> </w:t>
      </w:r>
      <w:r>
        <w:rPr>
          <w:szCs w:val="24"/>
        </w:rPr>
        <w:t>tis.</w:t>
      </w:r>
      <w:r w:rsidR="002077ED">
        <w:rPr>
          <w:szCs w:val="24"/>
        </w:rPr>
        <w:t> </w:t>
      </w:r>
      <w:r>
        <w:rPr>
          <w:szCs w:val="24"/>
        </w:rPr>
        <w:t>eur a splátky od</w:t>
      </w:r>
      <w:r w:rsidR="002077ED">
        <w:rPr>
          <w:szCs w:val="24"/>
        </w:rPr>
        <w:t> </w:t>
      </w:r>
      <w:r>
        <w:rPr>
          <w:szCs w:val="24"/>
        </w:rPr>
        <w:t>cestovných kancelárií 7</w:t>
      </w:r>
      <w:r w:rsidR="002077ED">
        <w:rPr>
          <w:szCs w:val="24"/>
        </w:rPr>
        <w:t> </w:t>
      </w:r>
      <w:r>
        <w:rPr>
          <w:szCs w:val="24"/>
        </w:rPr>
        <w:t>256</w:t>
      </w:r>
      <w:r w:rsidR="002077ED">
        <w:rPr>
          <w:szCs w:val="24"/>
        </w:rPr>
        <w:t> </w:t>
      </w:r>
      <w:r>
        <w:rPr>
          <w:szCs w:val="24"/>
        </w:rPr>
        <w:t>tis.</w:t>
      </w:r>
      <w:r w:rsidR="002077ED">
        <w:rPr>
          <w:szCs w:val="24"/>
        </w:rPr>
        <w:t> </w:t>
      </w:r>
      <w:r>
        <w:rPr>
          <w:szCs w:val="24"/>
        </w:rPr>
        <w:t>eur. V skutočnom plnení splátok NFV vo výške 85</w:t>
      </w:r>
      <w:r w:rsidR="002077ED">
        <w:rPr>
          <w:szCs w:val="24"/>
        </w:rPr>
        <w:t> </w:t>
      </w:r>
      <w:r>
        <w:rPr>
          <w:szCs w:val="24"/>
        </w:rPr>
        <w:t>876</w:t>
      </w:r>
      <w:r w:rsidR="002077ED">
        <w:rPr>
          <w:szCs w:val="24"/>
        </w:rPr>
        <w:t> </w:t>
      </w:r>
      <w:r>
        <w:rPr>
          <w:szCs w:val="24"/>
        </w:rPr>
        <w:t>tis.</w:t>
      </w:r>
      <w:r w:rsidR="002077ED">
        <w:rPr>
          <w:szCs w:val="24"/>
        </w:rPr>
        <w:t> </w:t>
      </w:r>
      <w:r>
        <w:rPr>
          <w:szCs w:val="24"/>
        </w:rPr>
        <w:t>eur sa prejavila splátka Agentúry pre núdzové zásoby ropy a ropných výrobkov v sume 73 000 tis. eur, splátka spoločnosti GA Driling, a. s.</w:t>
      </w:r>
      <w:r w:rsidR="00467F0B">
        <w:rPr>
          <w:szCs w:val="24"/>
        </w:rPr>
        <w:t>,</w:t>
      </w:r>
      <w:r>
        <w:rPr>
          <w:szCs w:val="24"/>
        </w:rPr>
        <w:t xml:space="preserve"> 1 000 tis. eur, splátky cestovných kancelárií 6</w:t>
      </w:r>
      <w:r w:rsidR="002077ED">
        <w:rPr>
          <w:szCs w:val="24"/>
        </w:rPr>
        <w:t> </w:t>
      </w:r>
      <w:r>
        <w:rPr>
          <w:szCs w:val="24"/>
        </w:rPr>
        <w:t>472</w:t>
      </w:r>
      <w:r w:rsidR="002077ED">
        <w:rPr>
          <w:szCs w:val="24"/>
        </w:rPr>
        <w:t> </w:t>
      </w:r>
      <w:r>
        <w:rPr>
          <w:szCs w:val="24"/>
        </w:rPr>
        <w:t>tis.</w:t>
      </w:r>
      <w:r w:rsidR="002077ED">
        <w:rPr>
          <w:szCs w:val="24"/>
        </w:rPr>
        <w:t> </w:t>
      </w:r>
      <w:r>
        <w:rPr>
          <w:szCs w:val="24"/>
        </w:rPr>
        <w:t>eur, splátka mesta Kežmarok 350</w:t>
      </w:r>
      <w:r w:rsidR="002077ED">
        <w:rPr>
          <w:szCs w:val="24"/>
        </w:rPr>
        <w:t> </w:t>
      </w:r>
      <w:r>
        <w:rPr>
          <w:szCs w:val="24"/>
        </w:rPr>
        <w:t>tis.</w:t>
      </w:r>
      <w:r w:rsidR="002077ED">
        <w:rPr>
          <w:szCs w:val="24"/>
        </w:rPr>
        <w:t> </w:t>
      </w:r>
      <w:r>
        <w:rPr>
          <w:szCs w:val="24"/>
        </w:rPr>
        <w:t>eur, mesta Prešov 442</w:t>
      </w:r>
      <w:r w:rsidR="002077ED">
        <w:rPr>
          <w:szCs w:val="24"/>
        </w:rPr>
        <w:t> </w:t>
      </w:r>
      <w:r>
        <w:rPr>
          <w:szCs w:val="24"/>
        </w:rPr>
        <w:t>tis.</w:t>
      </w:r>
      <w:r w:rsidR="002077ED">
        <w:rPr>
          <w:szCs w:val="24"/>
        </w:rPr>
        <w:t> </w:t>
      </w:r>
      <w:r>
        <w:rPr>
          <w:szCs w:val="24"/>
        </w:rPr>
        <w:t>eur, mesta Košice 3</w:t>
      </w:r>
      <w:r w:rsidR="002077ED">
        <w:rPr>
          <w:szCs w:val="24"/>
        </w:rPr>
        <w:t> </w:t>
      </w:r>
      <w:r>
        <w:rPr>
          <w:szCs w:val="24"/>
        </w:rPr>
        <w:t>893</w:t>
      </w:r>
      <w:r w:rsidR="002077ED">
        <w:rPr>
          <w:szCs w:val="24"/>
        </w:rPr>
        <w:t> </w:t>
      </w:r>
      <w:r>
        <w:rPr>
          <w:szCs w:val="24"/>
        </w:rPr>
        <w:t>tis.</w:t>
      </w:r>
      <w:r w:rsidR="002077ED">
        <w:rPr>
          <w:szCs w:val="24"/>
        </w:rPr>
        <w:t> </w:t>
      </w:r>
      <w:r>
        <w:rPr>
          <w:szCs w:val="24"/>
        </w:rPr>
        <w:t xml:space="preserve">eur, </w:t>
      </w:r>
      <w:r>
        <w:rPr>
          <w:szCs w:val="24"/>
        </w:rPr>
        <w:lastRenderedPageBreak/>
        <w:t>mesta Martin 250</w:t>
      </w:r>
      <w:r w:rsidR="002077ED">
        <w:rPr>
          <w:szCs w:val="24"/>
        </w:rPr>
        <w:t> </w:t>
      </w:r>
      <w:r>
        <w:rPr>
          <w:szCs w:val="24"/>
        </w:rPr>
        <w:t>tis.</w:t>
      </w:r>
      <w:r w:rsidR="002077ED">
        <w:rPr>
          <w:szCs w:val="24"/>
        </w:rPr>
        <w:t> </w:t>
      </w:r>
      <w:r>
        <w:rPr>
          <w:szCs w:val="24"/>
        </w:rPr>
        <w:t>eur a mesta Bardejov 100</w:t>
      </w:r>
      <w:r w:rsidR="002077ED">
        <w:rPr>
          <w:szCs w:val="24"/>
        </w:rPr>
        <w:t> </w:t>
      </w:r>
      <w:r>
        <w:rPr>
          <w:szCs w:val="24"/>
        </w:rPr>
        <w:t>tis.</w:t>
      </w:r>
      <w:r w:rsidR="002077ED">
        <w:rPr>
          <w:szCs w:val="24"/>
        </w:rPr>
        <w:t> </w:t>
      </w:r>
      <w:r>
        <w:rPr>
          <w:szCs w:val="24"/>
        </w:rPr>
        <w:t>eur. Mesto Prievidza spolu so</w:t>
      </w:r>
      <w:r w:rsidR="002077ED">
        <w:rPr>
          <w:szCs w:val="24"/>
        </w:rPr>
        <w:t> </w:t>
      </w:r>
      <w:r>
        <w:rPr>
          <w:szCs w:val="24"/>
        </w:rPr>
        <w:t>spoločnosťou Správa majetku mesta Prievidza vrátili naspäť do ŠFA 368</w:t>
      </w:r>
      <w:r w:rsidR="002077ED">
        <w:rPr>
          <w:szCs w:val="24"/>
        </w:rPr>
        <w:t> </w:t>
      </w:r>
      <w:r>
        <w:rPr>
          <w:szCs w:val="24"/>
        </w:rPr>
        <w:t>tis.</w:t>
      </w:r>
      <w:r w:rsidR="002077ED">
        <w:rPr>
          <w:szCs w:val="24"/>
        </w:rPr>
        <w:t> </w:t>
      </w:r>
      <w:r>
        <w:rPr>
          <w:szCs w:val="24"/>
        </w:rPr>
        <w:t>eur.</w:t>
      </w:r>
    </w:p>
    <w:p w14:paraId="21184BC0" w14:textId="77777777" w:rsidR="002077ED" w:rsidRDefault="002077ED" w:rsidP="007745DC">
      <w:pPr>
        <w:spacing w:line="240" w:lineRule="auto"/>
        <w:jc w:val="both"/>
        <w:rPr>
          <w:szCs w:val="24"/>
        </w:rPr>
      </w:pPr>
    </w:p>
    <w:p w14:paraId="22E17D68" w14:textId="7EDD187E" w:rsidR="00702069" w:rsidRDefault="00702069" w:rsidP="007745DC">
      <w:pPr>
        <w:spacing w:line="240" w:lineRule="auto"/>
        <w:jc w:val="both"/>
        <w:rPr>
          <w:szCs w:val="24"/>
        </w:rPr>
      </w:pPr>
      <w:r w:rsidRPr="003F7870">
        <w:rPr>
          <w:szCs w:val="24"/>
        </w:rPr>
        <w:t>Rozpočet príjmov sa nenaplnil z dôvodu odpustenia časti splátok NFV vyšším územným celkom</w:t>
      </w:r>
      <w:r>
        <w:rPr>
          <w:szCs w:val="24"/>
        </w:rPr>
        <w:t xml:space="preserve"> (uznesenie vlády SR č.</w:t>
      </w:r>
      <w:r w:rsidR="00456D59">
        <w:rPr>
          <w:szCs w:val="24"/>
        </w:rPr>
        <w:t> </w:t>
      </w:r>
      <w:r>
        <w:rPr>
          <w:szCs w:val="24"/>
        </w:rPr>
        <w:t>291/2025</w:t>
      </w:r>
      <w:r>
        <w:rPr>
          <w:rStyle w:val="Odkaznapoznmkupodiarou"/>
          <w:szCs w:val="24"/>
        </w:rPr>
        <w:footnoteReference w:id="29"/>
      </w:r>
      <w:r>
        <w:rPr>
          <w:szCs w:val="24"/>
        </w:rPr>
        <w:t>) spolu vo výške 12</w:t>
      </w:r>
      <w:r w:rsidR="00456D59">
        <w:rPr>
          <w:szCs w:val="24"/>
        </w:rPr>
        <w:t> </w:t>
      </w:r>
      <w:r>
        <w:rPr>
          <w:szCs w:val="24"/>
        </w:rPr>
        <w:t>419</w:t>
      </w:r>
      <w:r w:rsidR="00456D59">
        <w:rPr>
          <w:szCs w:val="24"/>
        </w:rPr>
        <w:t> </w:t>
      </w:r>
      <w:r>
        <w:rPr>
          <w:szCs w:val="24"/>
        </w:rPr>
        <w:t>tis.</w:t>
      </w:r>
      <w:r w:rsidR="00456D59">
        <w:rPr>
          <w:szCs w:val="24"/>
        </w:rPr>
        <w:t> </w:t>
      </w:r>
      <w:r>
        <w:rPr>
          <w:szCs w:val="24"/>
        </w:rPr>
        <w:t>eur (v roku 2024 to bolo rozpočtovaných 13 000 </w:t>
      </w:r>
      <w:r w:rsidRPr="003F7870">
        <w:rPr>
          <w:szCs w:val="24"/>
        </w:rPr>
        <w:t>tis.</w:t>
      </w:r>
      <w:r>
        <w:rPr>
          <w:szCs w:val="24"/>
        </w:rPr>
        <w:t> </w:t>
      </w:r>
      <w:r w:rsidRPr="003F7870">
        <w:rPr>
          <w:szCs w:val="24"/>
        </w:rPr>
        <w:t>eur</w:t>
      </w:r>
      <w:r>
        <w:rPr>
          <w:szCs w:val="24"/>
        </w:rPr>
        <w:t xml:space="preserve"> z odpustených 20</w:t>
      </w:r>
      <w:r w:rsidR="00456D59">
        <w:rPr>
          <w:szCs w:val="24"/>
        </w:rPr>
        <w:t> </w:t>
      </w:r>
      <w:r>
        <w:rPr>
          <w:szCs w:val="24"/>
        </w:rPr>
        <w:t>000</w:t>
      </w:r>
      <w:r w:rsidR="00456D59">
        <w:rPr>
          <w:szCs w:val="24"/>
        </w:rPr>
        <w:t> </w:t>
      </w:r>
      <w:r>
        <w:rPr>
          <w:szCs w:val="24"/>
        </w:rPr>
        <w:t>tis.</w:t>
      </w:r>
      <w:r w:rsidR="00456D59">
        <w:rPr>
          <w:szCs w:val="24"/>
        </w:rPr>
        <w:t> </w:t>
      </w:r>
      <w:r>
        <w:rPr>
          <w:szCs w:val="24"/>
        </w:rPr>
        <w:t>eur podľa uznesenia vlády SR č.</w:t>
      </w:r>
      <w:r w:rsidR="00456D59">
        <w:rPr>
          <w:szCs w:val="24"/>
        </w:rPr>
        <w:t> </w:t>
      </w:r>
      <w:r>
        <w:rPr>
          <w:szCs w:val="24"/>
        </w:rPr>
        <w:t>642/2024)</w:t>
      </w:r>
      <w:r w:rsidRPr="003F7870">
        <w:rPr>
          <w:szCs w:val="24"/>
        </w:rPr>
        <w:t>, ktoré mali v roku 202</w:t>
      </w:r>
      <w:r>
        <w:rPr>
          <w:szCs w:val="24"/>
        </w:rPr>
        <w:t>5</w:t>
      </w:r>
      <w:r w:rsidRPr="003F7870">
        <w:rPr>
          <w:szCs w:val="24"/>
        </w:rPr>
        <w:t xml:space="preserve"> </w:t>
      </w:r>
      <w:r>
        <w:rPr>
          <w:szCs w:val="24"/>
        </w:rPr>
        <w:t>splatiť</w:t>
      </w:r>
      <w:r w:rsidRPr="003F7870">
        <w:rPr>
          <w:szCs w:val="24"/>
        </w:rPr>
        <w:t xml:space="preserve"> a boli súčasťou rozpočtu</w:t>
      </w:r>
      <w:r>
        <w:rPr>
          <w:szCs w:val="24"/>
        </w:rPr>
        <w:t xml:space="preserve"> ŠFA. Podľa prijatého uznesenia vlády bolo trvalé zníženie ŠFA rozdelené medzi VÚC nasledovne: Banskobystrický samosprávny kraj v sume 3</w:t>
      </w:r>
      <w:r w:rsidR="00456D59">
        <w:rPr>
          <w:szCs w:val="24"/>
        </w:rPr>
        <w:t> </w:t>
      </w:r>
      <w:r>
        <w:rPr>
          <w:szCs w:val="24"/>
        </w:rPr>
        <w:t>189</w:t>
      </w:r>
      <w:r w:rsidR="00456D59">
        <w:rPr>
          <w:szCs w:val="24"/>
        </w:rPr>
        <w:t> </w:t>
      </w:r>
      <w:r>
        <w:rPr>
          <w:szCs w:val="24"/>
        </w:rPr>
        <w:t>tis.</w:t>
      </w:r>
      <w:r w:rsidR="00456D59">
        <w:rPr>
          <w:szCs w:val="24"/>
        </w:rPr>
        <w:t> </w:t>
      </w:r>
      <w:r>
        <w:rPr>
          <w:szCs w:val="24"/>
        </w:rPr>
        <w:t>eur, Košický samosprávny kraj v sume 3</w:t>
      </w:r>
      <w:r w:rsidR="00456D59">
        <w:rPr>
          <w:szCs w:val="24"/>
        </w:rPr>
        <w:t> </w:t>
      </w:r>
      <w:r>
        <w:rPr>
          <w:szCs w:val="24"/>
        </w:rPr>
        <w:t>227</w:t>
      </w:r>
      <w:r w:rsidR="00456D59">
        <w:rPr>
          <w:szCs w:val="24"/>
        </w:rPr>
        <w:t> </w:t>
      </w:r>
      <w:r>
        <w:rPr>
          <w:szCs w:val="24"/>
        </w:rPr>
        <w:t>tis.</w:t>
      </w:r>
      <w:r w:rsidR="00456D59">
        <w:rPr>
          <w:szCs w:val="24"/>
        </w:rPr>
        <w:t> </w:t>
      </w:r>
      <w:r>
        <w:rPr>
          <w:szCs w:val="24"/>
        </w:rPr>
        <w:t>eur, Nitriansky samosprávny kraj 500</w:t>
      </w:r>
      <w:r w:rsidR="00456D59">
        <w:rPr>
          <w:szCs w:val="24"/>
        </w:rPr>
        <w:t> </w:t>
      </w:r>
      <w:r>
        <w:rPr>
          <w:szCs w:val="24"/>
        </w:rPr>
        <w:t>tis.</w:t>
      </w:r>
      <w:r w:rsidR="00456D59">
        <w:rPr>
          <w:szCs w:val="24"/>
        </w:rPr>
        <w:t> </w:t>
      </w:r>
      <w:r>
        <w:rPr>
          <w:szCs w:val="24"/>
        </w:rPr>
        <w:t>eur, Trenčiansky samosprávny kraj 2</w:t>
      </w:r>
      <w:r w:rsidR="00456D59">
        <w:rPr>
          <w:szCs w:val="24"/>
        </w:rPr>
        <w:t> </w:t>
      </w:r>
      <w:r>
        <w:rPr>
          <w:szCs w:val="24"/>
        </w:rPr>
        <w:t>465</w:t>
      </w:r>
      <w:r w:rsidR="00456D59">
        <w:rPr>
          <w:szCs w:val="24"/>
        </w:rPr>
        <w:t> </w:t>
      </w:r>
      <w:r>
        <w:rPr>
          <w:szCs w:val="24"/>
        </w:rPr>
        <w:t>tis.</w:t>
      </w:r>
      <w:r w:rsidR="00456D59">
        <w:rPr>
          <w:szCs w:val="24"/>
        </w:rPr>
        <w:t> </w:t>
      </w:r>
      <w:r>
        <w:rPr>
          <w:szCs w:val="24"/>
        </w:rPr>
        <w:t>eur, Trnavský samosprávny kraj 2</w:t>
      </w:r>
      <w:r w:rsidR="00456D59">
        <w:rPr>
          <w:szCs w:val="24"/>
        </w:rPr>
        <w:t> </w:t>
      </w:r>
      <w:r>
        <w:rPr>
          <w:szCs w:val="24"/>
        </w:rPr>
        <w:t>538</w:t>
      </w:r>
      <w:r w:rsidR="00456D59">
        <w:rPr>
          <w:szCs w:val="24"/>
        </w:rPr>
        <w:t> </w:t>
      </w:r>
      <w:r>
        <w:rPr>
          <w:szCs w:val="24"/>
        </w:rPr>
        <w:t>tis.</w:t>
      </w:r>
      <w:r w:rsidR="00456D59">
        <w:rPr>
          <w:szCs w:val="24"/>
        </w:rPr>
        <w:t> </w:t>
      </w:r>
      <w:r>
        <w:rPr>
          <w:szCs w:val="24"/>
        </w:rPr>
        <w:t>eur a Žilinský samosprávny kraj 500</w:t>
      </w:r>
      <w:r w:rsidR="00456D59">
        <w:rPr>
          <w:szCs w:val="24"/>
        </w:rPr>
        <w:t> </w:t>
      </w:r>
      <w:r>
        <w:rPr>
          <w:szCs w:val="24"/>
        </w:rPr>
        <w:t>tis.</w:t>
      </w:r>
      <w:r w:rsidR="00456D59">
        <w:rPr>
          <w:szCs w:val="24"/>
        </w:rPr>
        <w:t> </w:t>
      </w:r>
      <w:r>
        <w:rPr>
          <w:szCs w:val="24"/>
        </w:rPr>
        <w:t>eur.</w:t>
      </w:r>
    </w:p>
    <w:p w14:paraId="01F52BC0" w14:textId="77777777" w:rsidR="002077ED" w:rsidRDefault="002077ED" w:rsidP="007745DC">
      <w:pPr>
        <w:spacing w:line="240" w:lineRule="auto"/>
        <w:jc w:val="both"/>
        <w:rPr>
          <w:szCs w:val="24"/>
        </w:rPr>
      </w:pPr>
    </w:p>
    <w:p w14:paraId="3F94BDCC" w14:textId="6CE303A7" w:rsidR="00702069" w:rsidRDefault="00702069" w:rsidP="007745DC">
      <w:pPr>
        <w:spacing w:line="240" w:lineRule="auto"/>
        <w:jc w:val="both"/>
        <w:rPr>
          <w:szCs w:val="24"/>
        </w:rPr>
      </w:pPr>
      <w:r>
        <w:rPr>
          <w:szCs w:val="24"/>
        </w:rPr>
        <w:t>Nad rámec rozpočtovaných príjmov boli prijaté prostriedky od SPP,</w:t>
      </w:r>
      <w:r w:rsidR="00456D59">
        <w:rPr>
          <w:szCs w:val="24"/>
        </w:rPr>
        <w:t> </w:t>
      </w:r>
      <w:r>
        <w:rPr>
          <w:szCs w:val="24"/>
        </w:rPr>
        <w:t>a.</w:t>
      </w:r>
      <w:r w:rsidR="00456D59">
        <w:rPr>
          <w:szCs w:val="24"/>
        </w:rPr>
        <w:t> </w:t>
      </w:r>
      <w:r>
        <w:rPr>
          <w:szCs w:val="24"/>
        </w:rPr>
        <w:t>s.</w:t>
      </w:r>
      <w:r w:rsidR="00467F0B">
        <w:rPr>
          <w:szCs w:val="24"/>
        </w:rPr>
        <w:t>,</w:t>
      </w:r>
      <w:r>
        <w:rPr>
          <w:szCs w:val="24"/>
        </w:rPr>
        <w:t xml:space="preserve"> z postupného prerozdelenia splateného kapitálového fondu z príspevkov akcionára vo výške 220</w:t>
      </w:r>
      <w:r w:rsidR="00456D59">
        <w:rPr>
          <w:szCs w:val="24"/>
        </w:rPr>
        <w:t> </w:t>
      </w:r>
      <w:r>
        <w:rPr>
          <w:szCs w:val="24"/>
        </w:rPr>
        <w:t>000</w:t>
      </w:r>
      <w:r w:rsidR="00456D59">
        <w:rPr>
          <w:szCs w:val="24"/>
        </w:rPr>
        <w:t> </w:t>
      </w:r>
      <w:r>
        <w:rPr>
          <w:szCs w:val="24"/>
        </w:rPr>
        <w:t>tis.</w:t>
      </w:r>
      <w:r w:rsidR="00456D59">
        <w:rPr>
          <w:szCs w:val="24"/>
        </w:rPr>
        <w:t> </w:t>
      </w:r>
      <w:r>
        <w:rPr>
          <w:szCs w:val="24"/>
        </w:rPr>
        <w:t>eur. Efektívny presun prostriedkov na účet ŠFA bol v metodike ESA rozdelený aj do</w:t>
      </w:r>
      <w:r w:rsidR="00456D59">
        <w:rPr>
          <w:szCs w:val="24"/>
        </w:rPr>
        <w:t> </w:t>
      </w:r>
      <w:r>
        <w:rPr>
          <w:szCs w:val="24"/>
        </w:rPr>
        <w:t>roku 2024 (80</w:t>
      </w:r>
      <w:r w:rsidR="00456D59">
        <w:rPr>
          <w:szCs w:val="24"/>
        </w:rPr>
        <w:t> </w:t>
      </w:r>
      <w:r>
        <w:rPr>
          <w:szCs w:val="24"/>
        </w:rPr>
        <w:t>000</w:t>
      </w:r>
      <w:r w:rsidR="00456D59">
        <w:rPr>
          <w:szCs w:val="24"/>
        </w:rPr>
        <w:t> </w:t>
      </w:r>
      <w:r>
        <w:rPr>
          <w:szCs w:val="24"/>
        </w:rPr>
        <w:t>tis.</w:t>
      </w:r>
      <w:r w:rsidR="00456D59">
        <w:rPr>
          <w:szCs w:val="24"/>
        </w:rPr>
        <w:t> </w:t>
      </w:r>
      <w:r>
        <w:rPr>
          <w:szCs w:val="24"/>
        </w:rPr>
        <w:t>eur). SPP,</w:t>
      </w:r>
      <w:r w:rsidR="00456D59">
        <w:rPr>
          <w:szCs w:val="24"/>
        </w:rPr>
        <w:t> </w:t>
      </w:r>
      <w:r>
        <w:rPr>
          <w:szCs w:val="24"/>
        </w:rPr>
        <w:t>a.</w:t>
      </w:r>
      <w:r w:rsidR="00456D59">
        <w:rPr>
          <w:szCs w:val="24"/>
        </w:rPr>
        <w:t> </w:t>
      </w:r>
      <w:r>
        <w:rPr>
          <w:szCs w:val="24"/>
        </w:rPr>
        <w:t>s.</w:t>
      </w:r>
      <w:r w:rsidR="00467F0B">
        <w:rPr>
          <w:szCs w:val="24"/>
        </w:rPr>
        <w:t>,</w:t>
      </w:r>
      <w:r>
        <w:rPr>
          <w:szCs w:val="24"/>
        </w:rPr>
        <w:t xml:space="preserve"> má podľa uznesenia vlády SR č.</w:t>
      </w:r>
      <w:r w:rsidR="00456D59">
        <w:rPr>
          <w:szCs w:val="24"/>
        </w:rPr>
        <w:t> </w:t>
      </w:r>
      <w:r>
        <w:rPr>
          <w:szCs w:val="24"/>
        </w:rPr>
        <w:t>385/2024 vrátiť úhrnom 500</w:t>
      </w:r>
      <w:r w:rsidR="00456D59">
        <w:rPr>
          <w:szCs w:val="24"/>
        </w:rPr>
        <w:t> </w:t>
      </w:r>
      <w:r>
        <w:rPr>
          <w:szCs w:val="24"/>
        </w:rPr>
        <w:t>000</w:t>
      </w:r>
      <w:r w:rsidR="00456D59">
        <w:rPr>
          <w:szCs w:val="24"/>
        </w:rPr>
        <w:t> </w:t>
      </w:r>
      <w:r>
        <w:rPr>
          <w:szCs w:val="24"/>
        </w:rPr>
        <w:t>tis.</w:t>
      </w:r>
      <w:r w:rsidR="00456D59">
        <w:rPr>
          <w:szCs w:val="24"/>
        </w:rPr>
        <w:t> </w:t>
      </w:r>
      <w:r>
        <w:rPr>
          <w:szCs w:val="24"/>
        </w:rPr>
        <w:t>eur najneskôr do 31.</w:t>
      </w:r>
      <w:r w:rsidR="00456D59">
        <w:rPr>
          <w:szCs w:val="24"/>
        </w:rPr>
        <w:t> </w:t>
      </w:r>
      <w:r>
        <w:rPr>
          <w:szCs w:val="24"/>
        </w:rPr>
        <w:t>decembra 2028.</w:t>
      </w:r>
    </w:p>
    <w:p w14:paraId="3FB0A260" w14:textId="77777777" w:rsidR="002077ED" w:rsidRDefault="002077ED" w:rsidP="007745DC">
      <w:pPr>
        <w:spacing w:line="240" w:lineRule="auto"/>
        <w:jc w:val="both"/>
        <w:rPr>
          <w:szCs w:val="24"/>
        </w:rPr>
      </w:pPr>
    </w:p>
    <w:p w14:paraId="48420BBB" w14:textId="77777777" w:rsidR="00702069" w:rsidRDefault="00702069" w:rsidP="007745DC">
      <w:pPr>
        <w:spacing w:line="240" w:lineRule="auto"/>
        <w:jc w:val="both"/>
        <w:rPr>
          <w:szCs w:val="24"/>
        </w:rPr>
      </w:pPr>
      <w:r>
        <w:rPr>
          <w:i/>
          <w:szCs w:val="24"/>
          <w:u w:val="single"/>
        </w:rPr>
        <w:t>Na účte o</w:t>
      </w:r>
      <w:r w:rsidRPr="00D33881">
        <w:rPr>
          <w:i/>
          <w:szCs w:val="24"/>
          <w:u w:val="single"/>
        </w:rPr>
        <w:t>sobitn</w:t>
      </w:r>
      <w:r>
        <w:rPr>
          <w:i/>
          <w:szCs w:val="24"/>
          <w:u w:val="single"/>
        </w:rPr>
        <w:t>ého</w:t>
      </w:r>
      <w:r w:rsidRPr="00D33881">
        <w:rPr>
          <w:i/>
          <w:szCs w:val="24"/>
          <w:u w:val="single"/>
        </w:rPr>
        <w:t xml:space="preserve"> odvod</w:t>
      </w:r>
      <w:r>
        <w:rPr>
          <w:i/>
          <w:szCs w:val="24"/>
          <w:u w:val="single"/>
        </w:rPr>
        <w:t>u</w:t>
      </w:r>
      <w:r w:rsidRPr="00D33881">
        <w:rPr>
          <w:i/>
          <w:szCs w:val="24"/>
          <w:u w:val="single"/>
        </w:rPr>
        <w:t xml:space="preserve"> finančných inštitúcií</w:t>
      </w:r>
      <w:r w:rsidRPr="00DA0DA3">
        <w:rPr>
          <w:i/>
          <w:szCs w:val="24"/>
        </w:rPr>
        <w:t xml:space="preserve"> </w:t>
      </w:r>
      <w:r w:rsidRPr="00D33881">
        <w:rPr>
          <w:szCs w:val="24"/>
        </w:rPr>
        <w:t xml:space="preserve">sa </w:t>
      </w:r>
      <w:r>
        <w:rPr>
          <w:szCs w:val="24"/>
        </w:rPr>
        <w:t>prestali rozpočtovať príjmy, vzhľadom na </w:t>
      </w:r>
      <w:r w:rsidRPr="00D33881">
        <w:rPr>
          <w:szCs w:val="24"/>
        </w:rPr>
        <w:t xml:space="preserve">účinnosť </w:t>
      </w:r>
      <w:r>
        <w:rPr>
          <w:szCs w:val="24"/>
        </w:rPr>
        <w:t>zákona č. </w:t>
      </w:r>
      <w:r w:rsidRPr="00D33881">
        <w:rPr>
          <w:szCs w:val="24"/>
        </w:rPr>
        <w:t>353/2020</w:t>
      </w:r>
      <w:r>
        <w:rPr>
          <w:szCs w:val="24"/>
        </w:rPr>
        <w:t> </w:t>
      </w:r>
      <w:r w:rsidRPr="00D33881">
        <w:rPr>
          <w:szCs w:val="24"/>
        </w:rPr>
        <w:t>Z.</w:t>
      </w:r>
      <w:r>
        <w:rPr>
          <w:szCs w:val="24"/>
        </w:rPr>
        <w:t> </w:t>
      </w:r>
      <w:r w:rsidRPr="00D33881">
        <w:rPr>
          <w:szCs w:val="24"/>
        </w:rPr>
        <w:t>z.</w:t>
      </w:r>
      <w:r>
        <w:rPr>
          <w:szCs w:val="24"/>
        </w:rPr>
        <w:t xml:space="preserve"> o zrušení osobitného odvodu vybraných finančných inštitúcií a o niektorých opatrenia súvisiacich s jeho zrušením od </w:t>
      </w:r>
      <w:r w:rsidRPr="00D33881">
        <w:rPr>
          <w:szCs w:val="24"/>
        </w:rPr>
        <w:t xml:space="preserve">1.1.2021. </w:t>
      </w:r>
      <w:r>
        <w:rPr>
          <w:szCs w:val="24"/>
        </w:rPr>
        <w:t>Osobitný odvod z podnikania v regulovaných odvetviach, ktorý je súčasťou daňových príjmov, s účinnosťou od 1. januára 2024 zaviedol odvod aj pre regulované osoby, ktoré majú oprávnenie na výkon činnosti v oblasti vykonávanej na základe povolenia vydaného alebo udeleného Národnou bankou Slovenska podľa osobitných predpisov (poisťovne, zaisťovne, banky a podobne).</w:t>
      </w:r>
    </w:p>
    <w:p w14:paraId="45CA3271" w14:textId="77777777" w:rsidR="00456D59" w:rsidRDefault="00456D59" w:rsidP="007745DC">
      <w:pPr>
        <w:spacing w:line="240" w:lineRule="auto"/>
        <w:jc w:val="both"/>
        <w:rPr>
          <w:szCs w:val="24"/>
        </w:rPr>
      </w:pPr>
    </w:p>
    <w:p w14:paraId="28C8EFDC" w14:textId="503AB7AC" w:rsidR="00702069" w:rsidRDefault="00702069"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r w:rsidRPr="00D33881">
        <w:rPr>
          <w:szCs w:val="24"/>
        </w:rPr>
        <w:t>Použitie prostriedkov v roku 202</w:t>
      </w:r>
      <w:r>
        <w:rPr>
          <w:szCs w:val="24"/>
        </w:rPr>
        <w:t>5</w:t>
      </w:r>
      <w:r w:rsidRPr="00D33881">
        <w:rPr>
          <w:szCs w:val="24"/>
        </w:rPr>
        <w:t xml:space="preserve"> </w:t>
      </w:r>
      <w:r>
        <w:rPr>
          <w:szCs w:val="24"/>
        </w:rPr>
        <w:t>v celkovej sume 180</w:t>
      </w:r>
      <w:r w:rsidR="00AD17FD">
        <w:rPr>
          <w:szCs w:val="24"/>
        </w:rPr>
        <w:t> </w:t>
      </w:r>
      <w:r>
        <w:rPr>
          <w:szCs w:val="24"/>
        </w:rPr>
        <w:t>748 tis. eur bolo určené hlavne na zvýšenie vkladu do spoločnosti Valaliky Industrial Park, s. r. o.</w:t>
      </w:r>
      <w:r w:rsidR="00467F0B">
        <w:rPr>
          <w:szCs w:val="24"/>
        </w:rPr>
        <w:t>,</w:t>
      </w:r>
      <w:r>
        <w:rPr>
          <w:szCs w:val="24"/>
        </w:rPr>
        <w:t xml:space="preserve"> (177</w:t>
      </w:r>
      <w:r w:rsidR="00AD17FD">
        <w:rPr>
          <w:szCs w:val="24"/>
        </w:rPr>
        <w:t> </w:t>
      </w:r>
      <w:r>
        <w:rPr>
          <w:szCs w:val="24"/>
        </w:rPr>
        <w:t>910 tis. eur, v súlade s</w:t>
      </w:r>
      <w:r w:rsidR="00AD17FD">
        <w:rPr>
          <w:szCs w:val="24"/>
        </w:rPr>
        <w:t> </w:t>
      </w:r>
      <w:r>
        <w:rPr>
          <w:szCs w:val="24"/>
        </w:rPr>
        <w:t>rozpočtom) na financovanie významnej investície „Strategické územie Valaliky“ a</w:t>
      </w:r>
      <w:r w:rsidR="00AD17FD">
        <w:rPr>
          <w:szCs w:val="24"/>
        </w:rPr>
        <w:t> </w:t>
      </w:r>
      <w:r>
        <w:rPr>
          <w:szCs w:val="24"/>
        </w:rPr>
        <w:t>„Strategické územie Valaliky – rozvoj verejných služieb“. Nad rámec rozpočtu ŠFA boli z účtu osobitného odvodu finančných inštitúcií použité prostriedky na</w:t>
      </w:r>
      <w:r w:rsidR="00AD17FD">
        <w:rPr>
          <w:szCs w:val="24"/>
        </w:rPr>
        <w:t> </w:t>
      </w:r>
      <w:r>
        <w:rPr>
          <w:szCs w:val="24"/>
        </w:rPr>
        <w:t>zvýšenie vkladu v Univerzitnej nemocnici – Nemocnica sv.</w:t>
      </w:r>
      <w:r w:rsidR="00AD17FD">
        <w:rPr>
          <w:szCs w:val="24"/>
        </w:rPr>
        <w:t> </w:t>
      </w:r>
      <w:r>
        <w:rPr>
          <w:szCs w:val="24"/>
        </w:rPr>
        <w:t>Michala,</w:t>
      </w:r>
      <w:r w:rsidR="00AD17FD">
        <w:rPr>
          <w:szCs w:val="24"/>
        </w:rPr>
        <w:t> </w:t>
      </w:r>
      <w:r>
        <w:rPr>
          <w:szCs w:val="24"/>
        </w:rPr>
        <w:t>a.</w:t>
      </w:r>
      <w:r w:rsidR="00AD17FD">
        <w:rPr>
          <w:szCs w:val="24"/>
        </w:rPr>
        <w:t> </w:t>
      </w:r>
      <w:r>
        <w:rPr>
          <w:szCs w:val="24"/>
        </w:rPr>
        <w:t>s.</w:t>
      </w:r>
      <w:r w:rsidR="00467F0B">
        <w:rPr>
          <w:szCs w:val="24"/>
        </w:rPr>
        <w:t>,</w:t>
      </w:r>
      <w:r>
        <w:rPr>
          <w:szCs w:val="24"/>
        </w:rPr>
        <w:t xml:space="preserve"> vo výške 2</w:t>
      </w:r>
      <w:r w:rsidR="00AD17FD">
        <w:rPr>
          <w:szCs w:val="24"/>
        </w:rPr>
        <w:t> </w:t>
      </w:r>
      <w:r>
        <w:rPr>
          <w:szCs w:val="24"/>
        </w:rPr>
        <w:t>819</w:t>
      </w:r>
      <w:r w:rsidR="00AD17FD">
        <w:rPr>
          <w:szCs w:val="24"/>
        </w:rPr>
        <w:t> </w:t>
      </w:r>
      <w:r>
        <w:rPr>
          <w:szCs w:val="24"/>
        </w:rPr>
        <w:t>tis.</w:t>
      </w:r>
      <w:r w:rsidR="00AD17FD">
        <w:rPr>
          <w:szCs w:val="24"/>
        </w:rPr>
        <w:t> </w:t>
      </w:r>
      <w:r>
        <w:rPr>
          <w:szCs w:val="24"/>
        </w:rPr>
        <w:t>eur a v spoločnosti Letisko M.</w:t>
      </w:r>
      <w:r w:rsidR="00AD17FD">
        <w:rPr>
          <w:szCs w:val="24"/>
        </w:rPr>
        <w:t> </w:t>
      </w:r>
      <w:r>
        <w:rPr>
          <w:szCs w:val="24"/>
        </w:rPr>
        <w:t>R. Štefánika – Airport Bratislava,</w:t>
      </w:r>
      <w:r w:rsidR="00AD17FD">
        <w:rPr>
          <w:szCs w:val="24"/>
        </w:rPr>
        <w:t> </w:t>
      </w:r>
      <w:r>
        <w:rPr>
          <w:szCs w:val="24"/>
        </w:rPr>
        <w:t>a.</w:t>
      </w:r>
      <w:r w:rsidR="00AD17FD">
        <w:rPr>
          <w:szCs w:val="24"/>
        </w:rPr>
        <w:t> </w:t>
      </w:r>
      <w:r>
        <w:rPr>
          <w:szCs w:val="24"/>
        </w:rPr>
        <w:t>s.</w:t>
      </w:r>
      <w:r w:rsidR="00467F0B">
        <w:rPr>
          <w:szCs w:val="24"/>
        </w:rPr>
        <w:t>,</w:t>
      </w:r>
      <w:r>
        <w:rPr>
          <w:szCs w:val="24"/>
        </w:rPr>
        <w:t xml:space="preserve"> 18</w:t>
      </w:r>
      <w:r w:rsidR="00AD17FD">
        <w:rPr>
          <w:szCs w:val="24"/>
        </w:rPr>
        <w:t> </w:t>
      </w:r>
      <w:r>
        <w:rPr>
          <w:szCs w:val="24"/>
        </w:rPr>
        <w:t>tis.</w:t>
      </w:r>
      <w:r w:rsidR="00AD17FD">
        <w:rPr>
          <w:szCs w:val="24"/>
        </w:rPr>
        <w:t> </w:t>
      </w:r>
      <w:r>
        <w:rPr>
          <w:szCs w:val="24"/>
        </w:rPr>
        <w:t>eur.</w:t>
      </w:r>
    </w:p>
    <w:p w14:paraId="429DD804" w14:textId="77777777" w:rsidR="00456D59" w:rsidRDefault="00456D59" w:rsidP="007745D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both"/>
        <w:rPr>
          <w:szCs w:val="24"/>
        </w:rPr>
      </w:pPr>
    </w:p>
    <w:p w14:paraId="3FA6861E" w14:textId="5C0B33BE" w:rsidR="00702069" w:rsidRDefault="00702069" w:rsidP="007745DC">
      <w:pPr>
        <w:spacing w:line="240" w:lineRule="auto"/>
        <w:jc w:val="both"/>
        <w:rPr>
          <w:szCs w:val="24"/>
        </w:rPr>
      </w:pPr>
      <w:r w:rsidRPr="00D715AF">
        <w:rPr>
          <w:i/>
          <w:szCs w:val="24"/>
          <w:u w:val="single"/>
        </w:rPr>
        <w:t>Prostriedky osobitného odvodu z podnikania v regulovaných odvetviach</w:t>
      </w:r>
      <w:r w:rsidRPr="00D715AF">
        <w:rPr>
          <w:i/>
          <w:szCs w:val="24"/>
        </w:rPr>
        <w:t>,</w:t>
      </w:r>
      <w:r w:rsidRPr="00D715AF">
        <w:rPr>
          <w:szCs w:val="24"/>
        </w:rPr>
        <w:t xml:space="preserve"> </w:t>
      </w:r>
      <w:r>
        <w:rPr>
          <w:szCs w:val="24"/>
        </w:rPr>
        <w:t>podľa zákona č. 235/2012 Z. </w:t>
      </w:r>
      <w:r w:rsidRPr="00D715AF">
        <w:rPr>
          <w:szCs w:val="24"/>
        </w:rPr>
        <w:t>z.</w:t>
      </w:r>
      <w:r>
        <w:rPr>
          <w:szCs w:val="24"/>
        </w:rPr>
        <w:t>, s</w:t>
      </w:r>
      <w:r w:rsidRPr="00D715AF">
        <w:rPr>
          <w:szCs w:val="24"/>
        </w:rPr>
        <w:t xml:space="preserve">lúžia na perspektívne vytvorenie účelovo určenej osobitnej časti ŠFA, z ktorých sa budú financovať </w:t>
      </w:r>
      <w:r w:rsidRPr="00DE7F9A">
        <w:rPr>
          <w:szCs w:val="24"/>
        </w:rPr>
        <w:t>prioritné projekty vlády. Rozpočet na rok 202</w:t>
      </w:r>
      <w:r>
        <w:rPr>
          <w:szCs w:val="24"/>
        </w:rPr>
        <w:t>5 už nepredpokladal</w:t>
      </w:r>
      <w:r w:rsidRPr="00DE7F9A">
        <w:rPr>
          <w:szCs w:val="24"/>
        </w:rPr>
        <w:t xml:space="preserve"> príjem</w:t>
      </w:r>
      <w:r>
        <w:rPr>
          <w:szCs w:val="24"/>
        </w:rPr>
        <w:t xml:space="preserve"> z dôvodu inkasa tohto odvodu priamo do príjmov štátneho rozpočtu. V januári 2024 inkaso odvodu vo výške 6 990 tis. eur predstavoval už len dobeh tohto odvodu na samostatný účet ŠFA. V roku 2025 nedošlo k použitiu prostriedkov na tomto účte ŠFA.</w:t>
      </w:r>
    </w:p>
    <w:p w14:paraId="6C39F081" w14:textId="77777777" w:rsidR="00456D59" w:rsidRDefault="00456D59" w:rsidP="007745DC">
      <w:pPr>
        <w:spacing w:line="240" w:lineRule="auto"/>
        <w:jc w:val="both"/>
        <w:rPr>
          <w:szCs w:val="24"/>
        </w:rPr>
      </w:pPr>
    </w:p>
    <w:p w14:paraId="7273F367" w14:textId="77777777" w:rsidR="00702069" w:rsidRDefault="00702069" w:rsidP="007745DC">
      <w:pPr>
        <w:spacing w:line="240" w:lineRule="auto"/>
        <w:jc w:val="both"/>
        <w:rPr>
          <w:szCs w:val="24"/>
        </w:rPr>
      </w:pPr>
      <w:r w:rsidRPr="00DD1FCE">
        <w:rPr>
          <w:i/>
          <w:szCs w:val="24"/>
          <w:u w:val="single"/>
        </w:rPr>
        <w:t>Pokles stavu prostriedkov anonymných vkladov</w:t>
      </w:r>
      <w:r>
        <w:rPr>
          <w:szCs w:val="24"/>
        </w:rPr>
        <w:t xml:space="preserve"> </w:t>
      </w:r>
      <w:r w:rsidRPr="00DD1FCE">
        <w:rPr>
          <w:szCs w:val="24"/>
        </w:rPr>
        <w:t>o </w:t>
      </w:r>
      <w:r>
        <w:rPr>
          <w:szCs w:val="24"/>
        </w:rPr>
        <w:t>100</w:t>
      </w:r>
      <w:r w:rsidRPr="00DD1FCE">
        <w:rPr>
          <w:szCs w:val="24"/>
        </w:rPr>
        <w:t> tis. eur predstavovalo precenenie prostriedkov v cudzej mene ku koncu roka 202</w:t>
      </w:r>
      <w:r>
        <w:rPr>
          <w:szCs w:val="24"/>
        </w:rPr>
        <w:t>5</w:t>
      </w:r>
      <w:r w:rsidRPr="00DD1FCE">
        <w:rPr>
          <w:szCs w:val="24"/>
        </w:rPr>
        <w:t>.</w:t>
      </w:r>
    </w:p>
    <w:p w14:paraId="654DB3B2" w14:textId="2D1FE0C0" w:rsidR="00702069" w:rsidRDefault="00702069" w:rsidP="00A972FB">
      <w:pPr>
        <w:spacing w:line="240" w:lineRule="auto"/>
        <w:jc w:val="both"/>
        <w:rPr>
          <w:szCs w:val="24"/>
        </w:rPr>
      </w:pPr>
      <w:r>
        <w:rPr>
          <w:szCs w:val="24"/>
        </w:rPr>
        <w:t xml:space="preserve">V rámci </w:t>
      </w:r>
      <w:r w:rsidRPr="006F7527">
        <w:rPr>
          <w:i/>
          <w:iCs/>
          <w:szCs w:val="24"/>
          <w:u w:val="single"/>
        </w:rPr>
        <w:t>ostatných účtov</w:t>
      </w:r>
      <w:r>
        <w:rPr>
          <w:i/>
          <w:iCs/>
          <w:szCs w:val="24"/>
          <w:u w:val="single"/>
        </w:rPr>
        <w:t xml:space="preserve"> ŠFA</w:t>
      </w:r>
      <w:r>
        <w:rPr>
          <w:szCs w:val="24"/>
        </w:rPr>
        <w:t xml:space="preserve"> sa vykazujú najmä prostriedky zo splácania vládnych úverov</w:t>
      </w:r>
      <w:r w:rsidR="00AD17FD">
        <w:rPr>
          <w:szCs w:val="24"/>
        </w:rPr>
        <w:t xml:space="preserve"> </w:t>
      </w:r>
      <w:r>
        <w:rPr>
          <w:szCs w:val="24"/>
        </w:rPr>
        <w:t>20</w:t>
      </w:r>
      <w:r w:rsidR="00AD17FD">
        <w:rPr>
          <w:szCs w:val="24"/>
        </w:rPr>
        <w:t> </w:t>
      </w:r>
      <w:r>
        <w:rPr>
          <w:szCs w:val="24"/>
        </w:rPr>
        <w:t>998 tis. eur, kde došlo k prírastku zo splátky zahraničnej pohľadávky voči Alžír</w:t>
      </w:r>
      <w:r w:rsidR="00AD17FD">
        <w:rPr>
          <w:szCs w:val="24"/>
        </w:rPr>
        <w:t>sk</w:t>
      </w:r>
      <w:r>
        <w:rPr>
          <w:szCs w:val="24"/>
        </w:rPr>
        <w:t>u</w:t>
      </w:r>
      <w:r w:rsidR="00AD17FD">
        <w:rPr>
          <w:szCs w:val="24"/>
        </w:rPr>
        <w:t xml:space="preserve"> </w:t>
      </w:r>
      <w:r>
        <w:rPr>
          <w:szCs w:val="24"/>
        </w:rPr>
        <w:t>1</w:t>
      </w:r>
      <w:r w:rsidR="00AD17FD">
        <w:rPr>
          <w:szCs w:val="24"/>
        </w:rPr>
        <w:t> </w:t>
      </w:r>
      <w:r>
        <w:rPr>
          <w:szCs w:val="24"/>
        </w:rPr>
        <w:t>018 tis. eur a prostriedky z finančných náhrad 2</w:t>
      </w:r>
      <w:r w:rsidR="00AD17FD">
        <w:rPr>
          <w:szCs w:val="24"/>
        </w:rPr>
        <w:t> </w:t>
      </w:r>
      <w:r>
        <w:rPr>
          <w:szCs w:val="24"/>
        </w:rPr>
        <w:t>924</w:t>
      </w:r>
      <w:r w:rsidR="00AD17FD">
        <w:rPr>
          <w:szCs w:val="24"/>
        </w:rPr>
        <w:t> </w:t>
      </w:r>
      <w:r>
        <w:rPr>
          <w:szCs w:val="24"/>
        </w:rPr>
        <w:t>tis. eur.</w:t>
      </w:r>
    </w:p>
    <w:p w14:paraId="1C013EF3" w14:textId="77777777" w:rsidR="00017CFD" w:rsidRDefault="00017CFD" w:rsidP="00A972FB">
      <w:pPr>
        <w:spacing w:line="240" w:lineRule="auto"/>
        <w:jc w:val="both"/>
        <w:rPr>
          <w:szCs w:val="24"/>
        </w:rPr>
      </w:pPr>
    </w:p>
    <w:p w14:paraId="47FC15F0" w14:textId="36FE8C86" w:rsidR="004D69BF" w:rsidRPr="00DA100D" w:rsidRDefault="004D69BF" w:rsidP="00A972FB">
      <w:pPr>
        <w:pStyle w:val="Nadpis2"/>
        <w:spacing w:after="0"/>
      </w:pPr>
      <w:bookmarkStart w:id="145" w:name="_Toc6415652"/>
      <w:bookmarkStart w:id="146" w:name="_Toc227758912"/>
      <w:r w:rsidRPr="00DA100D">
        <w:lastRenderedPageBreak/>
        <w:t>Vzťahy štátneho rozpočtu k Európskej únii</w:t>
      </w:r>
      <w:bookmarkEnd w:id="145"/>
      <w:bookmarkEnd w:id="146"/>
    </w:p>
    <w:p w14:paraId="08DF36AE" w14:textId="77777777" w:rsidR="00D46A5E" w:rsidRPr="0050710A" w:rsidRDefault="00D46A5E" w:rsidP="00A972FB">
      <w:pPr>
        <w:tabs>
          <w:tab w:val="left" w:pos="284"/>
        </w:tabs>
        <w:spacing w:line="240" w:lineRule="auto"/>
        <w:jc w:val="both"/>
        <w:rPr>
          <w:b/>
          <w:szCs w:val="24"/>
          <w:highlight w:val="yellow"/>
        </w:rPr>
      </w:pPr>
      <w:bookmarkStart w:id="147" w:name="_Toc6415655"/>
    </w:p>
    <w:p w14:paraId="124ADA4D" w14:textId="6CDBA7B2" w:rsidR="00AF198B" w:rsidRDefault="00AF198B" w:rsidP="00A972FB">
      <w:pPr>
        <w:tabs>
          <w:tab w:val="left" w:pos="284"/>
        </w:tabs>
        <w:spacing w:line="240" w:lineRule="auto"/>
        <w:jc w:val="both"/>
        <w:rPr>
          <w:rFonts w:eastAsia="Times New Roman" w:cs="Times New Roman"/>
          <w:szCs w:val="24"/>
          <w:lang w:eastAsia="sk-SK"/>
        </w:rPr>
      </w:pPr>
      <w:bookmarkStart w:id="148" w:name="_Toc196313664"/>
      <w:r w:rsidRPr="00AF198B">
        <w:rPr>
          <w:rFonts w:eastAsia="Times New Roman" w:cs="Times New Roman"/>
          <w:b/>
          <w:i/>
          <w:iCs/>
          <w:szCs w:val="24"/>
          <w:lang w:eastAsia="sk-SK"/>
        </w:rPr>
        <w:t>Príjmy Slovenskej republiky z rozpočtu EÚ</w:t>
      </w:r>
      <w:r w:rsidRPr="00AF198B">
        <w:rPr>
          <w:rFonts w:eastAsia="Times New Roman" w:cs="Times New Roman"/>
          <w:b/>
          <w:szCs w:val="24"/>
          <w:lang w:eastAsia="sk-SK"/>
        </w:rPr>
        <w:t xml:space="preserve"> </w:t>
      </w:r>
      <w:r w:rsidRPr="00AF198B">
        <w:rPr>
          <w:rFonts w:eastAsia="Times New Roman" w:cs="Times New Roman"/>
          <w:szCs w:val="24"/>
          <w:lang w:eastAsia="sk-SK"/>
        </w:rPr>
        <w:t>tvoria zahraničné transfery za prostriedky EÚ a prostriedky z</w:t>
      </w:r>
      <w:r w:rsidR="00E50EF7">
        <w:rPr>
          <w:rFonts w:eastAsia="Times New Roman" w:cs="Times New Roman"/>
          <w:szCs w:val="24"/>
          <w:lang w:eastAsia="sk-SK"/>
        </w:rPr>
        <w:t> POO </w:t>
      </w:r>
      <w:r w:rsidRPr="00AF198B">
        <w:rPr>
          <w:rFonts w:eastAsia="Times New Roman" w:cs="Times New Roman"/>
          <w:szCs w:val="24"/>
          <w:lang w:eastAsia="sk-SK"/>
        </w:rPr>
        <w:t>SR</w:t>
      </w:r>
      <w:r w:rsidR="00952B49">
        <w:rPr>
          <w:rFonts w:eastAsia="Times New Roman" w:cs="Times New Roman"/>
          <w:szCs w:val="24"/>
          <w:lang w:eastAsia="sk-SK"/>
        </w:rPr>
        <w:t>.</w:t>
      </w:r>
      <w:r w:rsidRPr="00AF198B">
        <w:rPr>
          <w:rFonts w:eastAsia="Times New Roman" w:cs="Times New Roman"/>
          <w:szCs w:val="24"/>
          <w:vertAlign w:val="superscript"/>
          <w:lang w:eastAsia="sk-SK"/>
        </w:rPr>
        <w:footnoteReference w:id="30"/>
      </w:r>
      <w:r w:rsidRPr="00AF198B">
        <w:rPr>
          <w:rFonts w:eastAsia="Times New Roman" w:cs="Times New Roman"/>
          <w:szCs w:val="24"/>
          <w:lang w:eastAsia="sk-SK"/>
        </w:rPr>
        <w:t xml:space="preserve"> Prostriedky</w:t>
      </w:r>
      <w:r w:rsidRPr="00AF198B">
        <w:rPr>
          <w:rFonts w:eastAsia="Times New Roman" w:cs="Times New Roman"/>
          <w:b/>
          <w:szCs w:val="24"/>
          <w:lang w:eastAsia="sk-SK"/>
        </w:rPr>
        <w:t xml:space="preserve"> </w:t>
      </w:r>
      <w:r w:rsidRPr="00AF198B">
        <w:rPr>
          <w:rFonts w:eastAsia="Times New Roman" w:cs="Times New Roman"/>
          <w:szCs w:val="24"/>
          <w:lang w:eastAsia="sk-SK"/>
        </w:rPr>
        <w:t>boli rozpočtované v ŠR na</w:t>
      </w:r>
      <w:r>
        <w:rPr>
          <w:rFonts w:eastAsia="Times New Roman" w:cs="Times New Roman"/>
          <w:szCs w:val="24"/>
          <w:lang w:eastAsia="sk-SK"/>
        </w:rPr>
        <w:t> </w:t>
      </w:r>
      <w:r w:rsidRPr="00AF198B">
        <w:rPr>
          <w:rFonts w:eastAsia="Times New Roman" w:cs="Times New Roman"/>
          <w:szCs w:val="24"/>
          <w:lang w:eastAsia="sk-SK"/>
        </w:rPr>
        <w:t>rok 2025 vo výške 3 347 798 tis. eur, z toho príjmy za prostriedky EÚ boli rozpočtované vo</w:t>
      </w:r>
      <w:r>
        <w:rPr>
          <w:rFonts w:eastAsia="Times New Roman" w:cs="Times New Roman"/>
          <w:szCs w:val="24"/>
          <w:lang w:eastAsia="sk-SK"/>
        </w:rPr>
        <w:t> </w:t>
      </w:r>
      <w:r w:rsidRPr="00AF198B">
        <w:rPr>
          <w:rFonts w:eastAsia="Times New Roman" w:cs="Times New Roman"/>
          <w:szCs w:val="24"/>
          <w:lang w:eastAsia="sk-SK"/>
        </w:rPr>
        <w:t xml:space="preserve">výške 2 142 252 tis. eur a príjmy za </w:t>
      </w:r>
      <w:r w:rsidR="00E50EF7">
        <w:rPr>
          <w:rFonts w:eastAsia="Times New Roman" w:cs="Times New Roman"/>
          <w:szCs w:val="24"/>
          <w:lang w:eastAsia="sk-SK"/>
        </w:rPr>
        <w:t>POO </w:t>
      </w:r>
      <w:r w:rsidRPr="00AF198B">
        <w:rPr>
          <w:rFonts w:eastAsia="Times New Roman" w:cs="Times New Roman"/>
          <w:szCs w:val="24"/>
          <w:lang w:eastAsia="sk-SK"/>
        </w:rPr>
        <w:t>SR vo výške 1 205 546 tis. eur.</w:t>
      </w:r>
    </w:p>
    <w:p w14:paraId="0E44BE50" w14:textId="77777777" w:rsidR="002A6C35" w:rsidRPr="00AF198B" w:rsidRDefault="002A6C35" w:rsidP="00AF198B">
      <w:pPr>
        <w:tabs>
          <w:tab w:val="left" w:pos="284"/>
        </w:tabs>
        <w:spacing w:line="240" w:lineRule="auto"/>
        <w:jc w:val="both"/>
        <w:rPr>
          <w:rFonts w:eastAsia="Times New Roman" w:cs="Times New Roman"/>
          <w:szCs w:val="24"/>
          <w:lang w:eastAsia="sk-SK"/>
        </w:rPr>
      </w:pPr>
    </w:p>
    <w:p w14:paraId="5CA56F5F" w14:textId="2578B73B" w:rsidR="00AF198B" w:rsidRDefault="00AF198B" w:rsidP="00AF198B">
      <w:pPr>
        <w:tabs>
          <w:tab w:val="left" w:pos="284"/>
        </w:tabs>
        <w:spacing w:line="240" w:lineRule="auto"/>
        <w:jc w:val="both"/>
        <w:rPr>
          <w:rFonts w:eastAsia="Times New Roman" w:cs="Times New Roman"/>
          <w:szCs w:val="24"/>
          <w:lang w:eastAsia="sk-SK"/>
        </w:rPr>
      </w:pPr>
      <w:r w:rsidRPr="00AF198B">
        <w:rPr>
          <w:rFonts w:eastAsia="Times New Roman" w:cs="Times New Roman"/>
          <w:szCs w:val="24"/>
          <w:lang w:eastAsia="sk-SK"/>
        </w:rPr>
        <w:t xml:space="preserve">Rozpočet príjmov z rozpočtu EÚ bol v priebehu roka upravený na úroveň 4 855 741 tis. eur, z toho príjmy za prostriedky EÚ vo výške 2 885 960 tis. eur a za </w:t>
      </w:r>
      <w:r w:rsidR="00E50EF7">
        <w:rPr>
          <w:rFonts w:eastAsia="Times New Roman" w:cs="Times New Roman"/>
          <w:szCs w:val="24"/>
          <w:lang w:eastAsia="sk-SK"/>
        </w:rPr>
        <w:t>POO </w:t>
      </w:r>
      <w:r w:rsidRPr="00AF198B">
        <w:rPr>
          <w:rFonts w:eastAsia="Times New Roman" w:cs="Times New Roman"/>
          <w:szCs w:val="24"/>
          <w:lang w:eastAsia="sk-SK"/>
        </w:rPr>
        <w:t>SR vo výške 1 969 781 tis. eur. Skutočné plnenie príjmov SR z rozpočtu EÚ bolo vo</w:t>
      </w:r>
      <w:r>
        <w:rPr>
          <w:rFonts w:eastAsia="Times New Roman" w:cs="Times New Roman"/>
          <w:szCs w:val="24"/>
          <w:lang w:eastAsia="sk-SK"/>
        </w:rPr>
        <w:t> </w:t>
      </w:r>
      <w:r w:rsidRPr="00AF198B">
        <w:rPr>
          <w:rFonts w:eastAsia="Times New Roman" w:cs="Times New Roman"/>
          <w:szCs w:val="24"/>
          <w:lang w:eastAsia="sk-SK"/>
        </w:rPr>
        <w:t>výške 4 377 310 tis. eur, z toho príjmy za prostriedky EÚ vo výške 2 407 529 tis. eur a</w:t>
      </w:r>
      <w:r>
        <w:rPr>
          <w:rFonts w:eastAsia="Times New Roman" w:cs="Times New Roman"/>
          <w:szCs w:val="24"/>
          <w:lang w:eastAsia="sk-SK"/>
        </w:rPr>
        <w:t> </w:t>
      </w:r>
      <w:r w:rsidRPr="00AF198B">
        <w:rPr>
          <w:rFonts w:eastAsia="Times New Roman" w:cs="Times New Roman"/>
          <w:szCs w:val="24"/>
          <w:lang w:eastAsia="sk-SK"/>
        </w:rPr>
        <w:t>za</w:t>
      </w:r>
      <w:r>
        <w:rPr>
          <w:rFonts w:eastAsia="Times New Roman" w:cs="Times New Roman"/>
          <w:szCs w:val="24"/>
          <w:lang w:eastAsia="sk-SK"/>
        </w:rPr>
        <w:t> </w:t>
      </w:r>
      <w:r w:rsidR="00E50EF7">
        <w:rPr>
          <w:rFonts w:eastAsia="Times New Roman" w:cs="Times New Roman"/>
          <w:szCs w:val="24"/>
          <w:lang w:eastAsia="sk-SK"/>
        </w:rPr>
        <w:t>POO </w:t>
      </w:r>
      <w:r w:rsidRPr="00AF198B">
        <w:rPr>
          <w:rFonts w:eastAsia="Times New Roman" w:cs="Times New Roman"/>
          <w:szCs w:val="24"/>
          <w:lang w:eastAsia="sk-SK"/>
        </w:rPr>
        <w:t>SR vo výške 1 969 781 tis. eur.</w:t>
      </w:r>
    </w:p>
    <w:p w14:paraId="5E9ACA8F" w14:textId="77777777" w:rsidR="00AF198B" w:rsidRPr="00AF198B" w:rsidRDefault="00AF198B" w:rsidP="00AF198B">
      <w:pPr>
        <w:tabs>
          <w:tab w:val="left" w:pos="284"/>
        </w:tabs>
        <w:spacing w:line="240" w:lineRule="auto"/>
        <w:jc w:val="both"/>
        <w:rPr>
          <w:rFonts w:eastAsia="Times New Roman" w:cs="Times New Roman"/>
          <w:szCs w:val="24"/>
          <w:lang w:eastAsia="sk-SK"/>
        </w:rPr>
      </w:pPr>
    </w:p>
    <w:p w14:paraId="51AE8094" w14:textId="40E216DB" w:rsidR="00AF198B" w:rsidRDefault="00AF198B" w:rsidP="00AF198B">
      <w:pPr>
        <w:tabs>
          <w:tab w:val="left" w:pos="284"/>
        </w:tabs>
        <w:spacing w:line="240" w:lineRule="auto"/>
        <w:jc w:val="both"/>
        <w:rPr>
          <w:rFonts w:eastAsia="Times New Roman" w:cs="Times New Roman"/>
          <w:szCs w:val="24"/>
          <w:lang w:eastAsia="sk-SK"/>
        </w:rPr>
      </w:pPr>
      <w:r w:rsidRPr="00AF198B">
        <w:rPr>
          <w:rFonts w:eastAsia="Times New Roman" w:cs="Times New Roman"/>
          <w:b/>
          <w:i/>
          <w:szCs w:val="24"/>
          <w:lang w:eastAsia="sk-SK"/>
        </w:rPr>
        <w:t>Odvody a príspevky SR do všeobecného rozpočtu EÚ</w:t>
      </w:r>
      <w:r w:rsidRPr="00AF198B">
        <w:rPr>
          <w:rFonts w:eastAsia="Times New Roman" w:cs="Times New Roman"/>
          <w:szCs w:val="24"/>
          <w:lang w:eastAsia="sk-SK"/>
        </w:rPr>
        <w:t xml:space="preserve"> tvoria odvody SR vrátane tradičných vlastných zdrojov a príspevok SR do Európskeho rozvojového fondu. Odvody a príspevky SR do všeobecného rozpočtu EÚ boli rozpočtované na rok 2025 vo výške 1</w:t>
      </w:r>
      <w:r>
        <w:rPr>
          <w:rFonts w:eastAsia="Times New Roman" w:cs="Times New Roman"/>
          <w:szCs w:val="24"/>
          <w:lang w:eastAsia="sk-SK"/>
        </w:rPr>
        <w:t> </w:t>
      </w:r>
      <w:r w:rsidRPr="00AF198B">
        <w:rPr>
          <w:rFonts w:eastAsia="Times New Roman" w:cs="Times New Roman"/>
          <w:szCs w:val="24"/>
          <w:lang w:eastAsia="sk-SK"/>
        </w:rPr>
        <w:t>101</w:t>
      </w:r>
      <w:r>
        <w:rPr>
          <w:rFonts w:eastAsia="Times New Roman" w:cs="Times New Roman"/>
          <w:szCs w:val="24"/>
          <w:lang w:eastAsia="sk-SK"/>
        </w:rPr>
        <w:t> </w:t>
      </w:r>
      <w:r w:rsidRPr="00AF198B">
        <w:rPr>
          <w:rFonts w:eastAsia="Times New Roman" w:cs="Times New Roman"/>
          <w:szCs w:val="24"/>
          <w:lang w:eastAsia="sk-SK"/>
        </w:rPr>
        <w:t>800</w:t>
      </w:r>
      <w:r>
        <w:rPr>
          <w:rFonts w:eastAsia="Times New Roman" w:cs="Times New Roman"/>
          <w:szCs w:val="24"/>
          <w:lang w:eastAsia="sk-SK"/>
        </w:rPr>
        <w:t> </w:t>
      </w:r>
      <w:r w:rsidRPr="00AF198B">
        <w:rPr>
          <w:rFonts w:eastAsia="Times New Roman" w:cs="Times New Roman"/>
          <w:szCs w:val="24"/>
          <w:lang w:eastAsia="sk-SK"/>
        </w:rPr>
        <w:t>tis. eur, pričom skutočnosť bola vo výške 1</w:t>
      </w:r>
      <w:r>
        <w:rPr>
          <w:rFonts w:eastAsia="Times New Roman" w:cs="Times New Roman"/>
          <w:szCs w:val="24"/>
          <w:lang w:eastAsia="sk-SK"/>
        </w:rPr>
        <w:t> </w:t>
      </w:r>
      <w:r w:rsidRPr="00AF198B">
        <w:rPr>
          <w:rFonts w:eastAsia="Times New Roman" w:cs="Times New Roman"/>
          <w:szCs w:val="24"/>
          <w:lang w:eastAsia="sk-SK"/>
        </w:rPr>
        <w:t>132</w:t>
      </w:r>
      <w:r>
        <w:rPr>
          <w:rFonts w:eastAsia="Times New Roman" w:cs="Times New Roman"/>
          <w:szCs w:val="24"/>
          <w:lang w:eastAsia="sk-SK"/>
        </w:rPr>
        <w:t> </w:t>
      </w:r>
      <w:r w:rsidRPr="00AF198B">
        <w:rPr>
          <w:rFonts w:eastAsia="Times New Roman" w:cs="Times New Roman"/>
          <w:szCs w:val="24"/>
          <w:lang w:eastAsia="sk-SK"/>
        </w:rPr>
        <w:t>305</w:t>
      </w:r>
      <w:r>
        <w:rPr>
          <w:rFonts w:eastAsia="Times New Roman" w:cs="Times New Roman"/>
          <w:szCs w:val="24"/>
          <w:lang w:eastAsia="sk-SK"/>
        </w:rPr>
        <w:t> </w:t>
      </w:r>
      <w:r w:rsidRPr="00AF198B">
        <w:rPr>
          <w:rFonts w:eastAsia="Times New Roman" w:cs="Times New Roman"/>
          <w:szCs w:val="24"/>
          <w:lang w:eastAsia="sk-SK"/>
        </w:rPr>
        <w:t>tis.</w:t>
      </w:r>
      <w:r>
        <w:rPr>
          <w:rFonts w:eastAsia="Times New Roman" w:cs="Times New Roman"/>
          <w:szCs w:val="24"/>
          <w:lang w:eastAsia="sk-SK"/>
        </w:rPr>
        <w:t> </w:t>
      </w:r>
      <w:r w:rsidRPr="00AF198B">
        <w:rPr>
          <w:rFonts w:eastAsia="Times New Roman" w:cs="Times New Roman"/>
          <w:szCs w:val="24"/>
          <w:lang w:eastAsia="sk-SK"/>
        </w:rPr>
        <w:t>eur.</w:t>
      </w:r>
    </w:p>
    <w:p w14:paraId="04C8A2E8" w14:textId="77777777" w:rsidR="00AF198B" w:rsidRPr="00AF198B" w:rsidRDefault="00AF198B" w:rsidP="00AF198B">
      <w:pPr>
        <w:tabs>
          <w:tab w:val="left" w:pos="284"/>
        </w:tabs>
        <w:spacing w:line="240" w:lineRule="auto"/>
        <w:jc w:val="both"/>
        <w:rPr>
          <w:rFonts w:eastAsia="Times New Roman" w:cs="Times New Roman"/>
          <w:szCs w:val="24"/>
          <w:lang w:eastAsia="sk-SK"/>
        </w:rPr>
      </w:pPr>
    </w:p>
    <w:p w14:paraId="2E878B47" w14:textId="0B242661" w:rsidR="00AF198B" w:rsidRDefault="00AF198B" w:rsidP="00AF198B">
      <w:pPr>
        <w:tabs>
          <w:tab w:val="left" w:pos="-5103"/>
          <w:tab w:val="left" w:pos="-4962"/>
          <w:tab w:val="left" w:pos="-4820"/>
        </w:tabs>
        <w:spacing w:line="240" w:lineRule="auto"/>
        <w:jc w:val="both"/>
        <w:rPr>
          <w:rFonts w:eastAsia="Times New Roman" w:cs="Times New Roman"/>
          <w:szCs w:val="24"/>
          <w:lang w:eastAsia="sk-SK"/>
        </w:rPr>
      </w:pPr>
      <w:r w:rsidRPr="00AF198B">
        <w:rPr>
          <w:rFonts w:eastAsia="Times New Roman" w:cs="Times New Roman"/>
          <w:b/>
          <w:i/>
          <w:szCs w:val="24"/>
          <w:lang w:eastAsia="sk-SK"/>
        </w:rPr>
        <w:t>Odvody za tradičné vlastné zdroje</w:t>
      </w:r>
      <w:r w:rsidRPr="00AF198B">
        <w:rPr>
          <w:rFonts w:eastAsia="Times New Roman" w:cs="Times New Roman"/>
          <w:szCs w:val="24"/>
          <w:lang w:eastAsia="sk-SK"/>
        </w:rPr>
        <w:t xml:space="preserve"> (75</w:t>
      </w:r>
      <w:r>
        <w:rPr>
          <w:rFonts w:eastAsia="Times New Roman" w:cs="Times New Roman"/>
          <w:szCs w:val="24"/>
          <w:lang w:eastAsia="sk-SK"/>
        </w:rPr>
        <w:t> </w:t>
      </w:r>
      <w:r w:rsidRPr="00AF198B">
        <w:rPr>
          <w:rFonts w:eastAsia="Times New Roman" w:cs="Times New Roman"/>
          <w:szCs w:val="24"/>
          <w:lang w:eastAsia="sk-SK"/>
        </w:rPr>
        <w:t>% z výberu cla) boli rozpočtované vo</w:t>
      </w:r>
      <w:r>
        <w:rPr>
          <w:rFonts w:eastAsia="Times New Roman" w:cs="Times New Roman"/>
          <w:szCs w:val="24"/>
          <w:lang w:eastAsia="sk-SK"/>
        </w:rPr>
        <w:t> </w:t>
      </w:r>
      <w:r w:rsidRPr="00AF198B">
        <w:rPr>
          <w:rFonts w:eastAsia="Times New Roman" w:cs="Times New Roman"/>
          <w:szCs w:val="24"/>
          <w:lang w:eastAsia="sk-SK"/>
        </w:rPr>
        <w:t>výške 117</w:t>
      </w:r>
      <w:r>
        <w:rPr>
          <w:rFonts w:eastAsia="Times New Roman" w:cs="Times New Roman"/>
          <w:szCs w:val="24"/>
          <w:lang w:eastAsia="sk-SK"/>
        </w:rPr>
        <w:t> </w:t>
      </w:r>
      <w:r w:rsidRPr="00AF198B">
        <w:rPr>
          <w:lang w:eastAsia="sk-SK"/>
        </w:rPr>
        <w:t>737tis</w:t>
      </w:r>
      <w:r w:rsidRPr="00AF198B">
        <w:rPr>
          <w:rFonts w:eastAsia="Times New Roman" w:cs="Times New Roman"/>
          <w:szCs w:val="24"/>
          <w:lang w:eastAsia="sk-SK"/>
        </w:rPr>
        <w:t>.</w:t>
      </w:r>
      <w:r>
        <w:rPr>
          <w:rFonts w:eastAsia="Times New Roman" w:cs="Times New Roman"/>
          <w:szCs w:val="24"/>
          <w:lang w:eastAsia="sk-SK"/>
        </w:rPr>
        <w:t> </w:t>
      </w:r>
      <w:r w:rsidRPr="00AF198B">
        <w:rPr>
          <w:rFonts w:eastAsia="Times New Roman" w:cs="Times New Roman"/>
          <w:szCs w:val="24"/>
          <w:lang w:eastAsia="sk-SK"/>
        </w:rPr>
        <w:t>eur. Odhady určuje EK na základe odhadov importu tovaru a služieb do</w:t>
      </w:r>
      <w:r>
        <w:rPr>
          <w:rFonts w:eastAsia="Times New Roman" w:cs="Times New Roman"/>
          <w:szCs w:val="24"/>
          <w:lang w:eastAsia="sk-SK"/>
        </w:rPr>
        <w:t> </w:t>
      </w:r>
      <w:r w:rsidRPr="00AF198B">
        <w:rPr>
          <w:rFonts w:eastAsia="Times New Roman" w:cs="Times New Roman"/>
          <w:szCs w:val="24"/>
          <w:lang w:eastAsia="sk-SK"/>
        </w:rPr>
        <w:t>EÚ z</w:t>
      </w:r>
      <w:r>
        <w:rPr>
          <w:rFonts w:eastAsia="Times New Roman" w:cs="Times New Roman"/>
          <w:szCs w:val="24"/>
          <w:lang w:eastAsia="sk-SK"/>
        </w:rPr>
        <w:t> </w:t>
      </w:r>
      <w:r w:rsidRPr="00AF198B">
        <w:rPr>
          <w:rFonts w:eastAsia="Times New Roman" w:cs="Times New Roman"/>
          <w:szCs w:val="24"/>
          <w:lang w:eastAsia="sk-SK"/>
        </w:rPr>
        <w:t>tretích krajín, ekonomických prognóz a odhadovanej priemernej colnej sadzby v</w:t>
      </w:r>
      <w:r>
        <w:rPr>
          <w:rFonts w:eastAsia="Times New Roman" w:cs="Times New Roman"/>
          <w:szCs w:val="24"/>
          <w:lang w:eastAsia="sk-SK"/>
        </w:rPr>
        <w:t> </w:t>
      </w:r>
      <w:r w:rsidRPr="00AF198B">
        <w:rPr>
          <w:rFonts w:eastAsia="Times New Roman" w:cs="Times New Roman"/>
          <w:szCs w:val="24"/>
          <w:lang w:eastAsia="sk-SK"/>
        </w:rPr>
        <w:t>danom období. V</w:t>
      </w:r>
      <w:r>
        <w:rPr>
          <w:rFonts w:eastAsia="Times New Roman" w:cs="Times New Roman"/>
          <w:szCs w:val="24"/>
          <w:lang w:eastAsia="sk-SK"/>
        </w:rPr>
        <w:t> </w:t>
      </w:r>
      <w:r w:rsidRPr="00AF198B">
        <w:rPr>
          <w:rFonts w:eastAsia="Times New Roman" w:cs="Times New Roman"/>
          <w:szCs w:val="24"/>
          <w:lang w:eastAsia="sk-SK"/>
        </w:rPr>
        <w:t>priebehu roka 2025 colná správa FR SR vyzbierala clo vo výške 181</w:t>
      </w:r>
      <w:r>
        <w:rPr>
          <w:rFonts w:eastAsia="Times New Roman" w:cs="Times New Roman"/>
          <w:szCs w:val="24"/>
          <w:lang w:eastAsia="sk-SK"/>
        </w:rPr>
        <w:t> </w:t>
      </w:r>
      <w:r w:rsidRPr="00AF198B">
        <w:rPr>
          <w:rFonts w:eastAsia="Times New Roman" w:cs="Times New Roman"/>
          <w:szCs w:val="24"/>
          <w:lang w:eastAsia="sk-SK"/>
        </w:rPr>
        <w:t>489</w:t>
      </w:r>
      <w:r>
        <w:rPr>
          <w:rFonts w:eastAsia="Times New Roman" w:cs="Times New Roman"/>
          <w:szCs w:val="24"/>
          <w:lang w:eastAsia="sk-SK"/>
        </w:rPr>
        <w:t> </w:t>
      </w:r>
      <w:r w:rsidRPr="00AF198B">
        <w:rPr>
          <w:rFonts w:eastAsia="Times New Roman" w:cs="Times New Roman"/>
          <w:szCs w:val="24"/>
          <w:lang w:eastAsia="sk-SK"/>
        </w:rPr>
        <w:t>tis.</w:t>
      </w:r>
      <w:r>
        <w:rPr>
          <w:rFonts w:eastAsia="Times New Roman" w:cs="Times New Roman"/>
          <w:szCs w:val="24"/>
          <w:lang w:eastAsia="sk-SK"/>
        </w:rPr>
        <w:t> </w:t>
      </w:r>
      <w:r w:rsidRPr="00AF198B">
        <w:rPr>
          <w:rFonts w:eastAsia="Times New Roman" w:cs="Times New Roman"/>
          <w:szCs w:val="24"/>
          <w:lang w:eastAsia="sk-SK"/>
        </w:rPr>
        <w:t>eur (100</w:t>
      </w:r>
      <w:r>
        <w:rPr>
          <w:rFonts w:eastAsia="Times New Roman" w:cs="Times New Roman"/>
          <w:szCs w:val="24"/>
          <w:lang w:eastAsia="sk-SK"/>
        </w:rPr>
        <w:t> </w:t>
      </w:r>
      <w:r w:rsidRPr="00AF198B">
        <w:rPr>
          <w:rFonts w:eastAsia="Times New Roman" w:cs="Times New Roman"/>
          <w:szCs w:val="24"/>
          <w:lang w:eastAsia="sk-SK"/>
        </w:rPr>
        <w:t>%). Odvod do rozpočtu EÚ vo výške 75</w:t>
      </w:r>
      <w:r>
        <w:rPr>
          <w:rFonts w:eastAsia="Times New Roman" w:cs="Times New Roman"/>
          <w:szCs w:val="24"/>
          <w:lang w:eastAsia="sk-SK"/>
        </w:rPr>
        <w:t> </w:t>
      </w:r>
      <w:r w:rsidRPr="00AF198B">
        <w:rPr>
          <w:rFonts w:eastAsia="Times New Roman" w:cs="Times New Roman"/>
          <w:szCs w:val="24"/>
          <w:lang w:eastAsia="sk-SK"/>
        </w:rPr>
        <w:t>% vybratého cla a mimoriadnych odvodov vyplývajúcich z inšpekcií k tradičným vlastným zdrojom bol tak vo výške 136</w:t>
      </w:r>
      <w:r>
        <w:rPr>
          <w:rFonts w:eastAsia="Times New Roman" w:cs="Times New Roman"/>
          <w:szCs w:val="24"/>
          <w:lang w:eastAsia="sk-SK"/>
        </w:rPr>
        <w:t> </w:t>
      </w:r>
      <w:r w:rsidRPr="00AF198B">
        <w:rPr>
          <w:rFonts w:eastAsia="Times New Roman" w:cs="Times New Roman"/>
          <w:szCs w:val="24"/>
          <w:lang w:eastAsia="sk-SK"/>
        </w:rPr>
        <w:t>144</w:t>
      </w:r>
      <w:r>
        <w:rPr>
          <w:rFonts w:eastAsia="Times New Roman" w:cs="Times New Roman"/>
          <w:szCs w:val="24"/>
          <w:lang w:eastAsia="sk-SK"/>
        </w:rPr>
        <w:t> </w:t>
      </w:r>
      <w:r w:rsidRPr="00AF198B">
        <w:rPr>
          <w:rFonts w:eastAsia="Times New Roman" w:cs="Times New Roman"/>
          <w:szCs w:val="24"/>
          <w:lang w:eastAsia="sk-SK"/>
        </w:rPr>
        <w:t>tis.</w:t>
      </w:r>
      <w:r>
        <w:rPr>
          <w:rFonts w:eastAsia="Times New Roman" w:cs="Times New Roman"/>
          <w:szCs w:val="24"/>
          <w:lang w:eastAsia="sk-SK"/>
        </w:rPr>
        <w:t> </w:t>
      </w:r>
      <w:r w:rsidRPr="00AF198B">
        <w:rPr>
          <w:rFonts w:eastAsia="Times New Roman" w:cs="Times New Roman"/>
          <w:szCs w:val="24"/>
          <w:lang w:eastAsia="sk-SK"/>
        </w:rPr>
        <w:t>eur.</w:t>
      </w:r>
    </w:p>
    <w:p w14:paraId="4AD4A417" w14:textId="77777777" w:rsidR="00AF198B" w:rsidRPr="00AF198B" w:rsidRDefault="00AF198B" w:rsidP="00AF198B">
      <w:pPr>
        <w:tabs>
          <w:tab w:val="left" w:pos="-5103"/>
          <w:tab w:val="left" w:pos="-4962"/>
          <w:tab w:val="left" w:pos="-4820"/>
        </w:tabs>
        <w:spacing w:line="240" w:lineRule="auto"/>
        <w:jc w:val="both"/>
        <w:rPr>
          <w:rFonts w:eastAsia="Times New Roman" w:cs="Times New Roman"/>
          <w:szCs w:val="24"/>
          <w:lang w:eastAsia="sk-SK"/>
        </w:rPr>
      </w:pPr>
    </w:p>
    <w:p w14:paraId="20F6F0A5" w14:textId="10687677" w:rsidR="00AF198B" w:rsidRDefault="00AF198B" w:rsidP="00AF198B">
      <w:pPr>
        <w:tabs>
          <w:tab w:val="left" w:pos="-5103"/>
          <w:tab w:val="left" w:pos="-4962"/>
          <w:tab w:val="left" w:pos="-4820"/>
        </w:tabs>
        <w:spacing w:line="240" w:lineRule="auto"/>
        <w:jc w:val="both"/>
        <w:rPr>
          <w:rFonts w:eastAsia="Times New Roman" w:cs="Times New Roman"/>
          <w:szCs w:val="24"/>
          <w:lang w:eastAsia="sk-SK"/>
        </w:rPr>
      </w:pPr>
      <w:r w:rsidRPr="00AF198B">
        <w:rPr>
          <w:rFonts w:eastAsia="Times New Roman" w:cs="Times New Roman"/>
          <w:b/>
          <w:i/>
          <w:szCs w:val="24"/>
          <w:lang w:eastAsia="sk-SK"/>
        </w:rPr>
        <w:t xml:space="preserve">Odvody SR bez tradičných vlastných zdrojov – kapitola VPS </w:t>
      </w:r>
      <w:r w:rsidRPr="00AF198B">
        <w:rPr>
          <w:rFonts w:eastAsia="Times New Roman" w:cs="Times New Roman"/>
          <w:szCs w:val="24"/>
          <w:lang w:eastAsia="sk-SK"/>
        </w:rPr>
        <w:t>boli na rok 2025 rozpočtované vo výške 980</w:t>
      </w:r>
      <w:r>
        <w:rPr>
          <w:rFonts w:eastAsia="Times New Roman" w:cs="Times New Roman"/>
          <w:szCs w:val="24"/>
          <w:lang w:eastAsia="sk-SK"/>
        </w:rPr>
        <w:t> </w:t>
      </w:r>
      <w:r w:rsidRPr="00AF198B">
        <w:rPr>
          <w:rFonts w:eastAsia="Times New Roman" w:cs="Times New Roman"/>
          <w:szCs w:val="24"/>
          <w:lang w:eastAsia="sk-SK"/>
        </w:rPr>
        <w:t>963 tis. eur. Z toho odvody, ktoré boli rozpočtované na základe návrhu EK k rozpočtu EÚ na rok 2025 vo výške 975</w:t>
      </w:r>
      <w:r>
        <w:rPr>
          <w:rFonts w:eastAsia="Times New Roman" w:cs="Times New Roman"/>
          <w:szCs w:val="24"/>
          <w:lang w:eastAsia="sk-SK"/>
        </w:rPr>
        <w:t> </w:t>
      </w:r>
      <w:r w:rsidRPr="00AF198B">
        <w:rPr>
          <w:rFonts w:eastAsia="Times New Roman" w:cs="Times New Roman"/>
          <w:szCs w:val="24"/>
          <w:lang w:eastAsia="sk-SK"/>
        </w:rPr>
        <w:t>963 tis. eur a príspevok SR na náklady súvisiace so</w:t>
      </w:r>
      <w:r>
        <w:rPr>
          <w:rFonts w:eastAsia="Times New Roman" w:cs="Times New Roman"/>
          <w:szCs w:val="24"/>
          <w:lang w:eastAsia="sk-SK"/>
        </w:rPr>
        <w:t> </w:t>
      </w:r>
      <w:r w:rsidRPr="00AF198B">
        <w:rPr>
          <w:rFonts w:eastAsia="Times New Roman" w:cs="Times New Roman"/>
          <w:szCs w:val="24"/>
          <w:lang w:eastAsia="sk-SK"/>
        </w:rPr>
        <w:t>splácaním úrokov MFA+ (makrofinančná pomoc Ukrajine) vo výške 5 000 tis. eur. Skutočné čerpanie odvodov bez tradičných vlastných zdrojov bolo celkovo vo</w:t>
      </w:r>
      <w:r>
        <w:rPr>
          <w:rFonts w:eastAsia="Times New Roman" w:cs="Times New Roman"/>
          <w:szCs w:val="24"/>
          <w:lang w:eastAsia="sk-SK"/>
        </w:rPr>
        <w:t> </w:t>
      </w:r>
      <w:r w:rsidRPr="00AF198B">
        <w:rPr>
          <w:rFonts w:eastAsia="Times New Roman" w:cs="Times New Roman"/>
          <w:szCs w:val="24"/>
          <w:lang w:eastAsia="sk-SK"/>
        </w:rPr>
        <w:t>výške 993</w:t>
      </w:r>
      <w:r>
        <w:rPr>
          <w:rFonts w:eastAsia="Times New Roman" w:cs="Times New Roman"/>
          <w:szCs w:val="24"/>
          <w:lang w:eastAsia="sk-SK"/>
        </w:rPr>
        <w:t> </w:t>
      </w:r>
      <w:r w:rsidRPr="00AF198B">
        <w:rPr>
          <w:rFonts w:eastAsia="Times New Roman" w:cs="Times New Roman"/>
          <w:szCs w:val="24"/>
          <w:lang w:eastAsia="sk-SK"/>
        </w:rPr>
        <w:t>118 tis. eur, z toho 989</w:t>
      </w:r>
      <w:r>
        <w:rPr>
          <w:rFonts w:eastAsia="Times New Roman" w:cs="Times New Roman"/>
          <w:szCs w:val="24"/>
          <w:lang w:eastAsia="sk-SK"/>
        </w:rPr>
        <w:t> </w:t>
      </w:r>
      <w:r w:rsidRPr="00AF198B">
        <w:rPr>
          <w:rFonts w:eastAsia="Times New Roman" w:cs="Times New Roman"/>
          <w:szCs w:val="24"/>
          <w:lang w:eastAsia="sk-SK"/>
        </w:rPr>
        <w:t>120 tis. eur predstavovali odvody a</w:t>
      </w:r>
      <w:r>
        <w:rPr>
          <w:rFonts w:eastAsia="Times New Roman" w:cs="Times New Roman"/>
          <w:szCs w:val="24"/>
          <w:lang w:eastAsia="sk-SK"/>
        </w:rPr>
        <w:t> </w:t>
      </w:r>
      <w:r w:rsidRPr="00AF198B">
        <w:rPr>
          <w:rFonts w:eastAsia="Times New Roman" w:cs="Times New Roman"/>
          <w:szCs w:val="24"/>
          <w:lang w:eastAsia="sk-SK"/>
        </w:rPr>
        <w:t>3</w:t>
      </w:r>
      <w:r>
        <w:rPr>
          <w:rFonts w:eastAsia="Times New Roman" w:cs="Times New Roman"/>
          <w:szCs w:val="24"/>
          <w:lang w:eastAsia="sk-SK"/>
        </w:rPr>
        <w:t> </w:t>
      </w:r>
      <w:r w:rsidRPr="00AF198B">
        <w:rPr>
          <w:rFonts w:eastAsia="Times New Roman" w:cs="Times New Roman"/>
          <w:szCs w:val="24"/>
          <w:lang w:eastAsia="sk-SK"/>
        </w:rPr>
        <w:t>998 tis. eur predstavoval vyššie uvedené náklady súvisiace so splácaním úrokov MFA+.</w:t>
      </w:r>
    </w:p>
    <w:p w14:paraId="3AF8E129" w14:textId="77777777" w:rsidR="00AF198B" w:rsidRPr="00AF198B" w:rsidRDefault="00AF198B" w:rsidP="00AF198B">
      <w:pPr>
        <w:tabs>
          <w:tab w:val="left" w:pos="-5103"/>
          <w:tab w:val="left" w:pos="-4962"/>
          <w:tab w:val="left" w:pos="-4820"/>
        </w:tabs>
        <w:spacing w:line="240" w:lineRule="auto"/>
        <w:jc w:val="both"/>
        <w:rPr>
          <w:rFonts w:eastAsia="Times New Roman" w:cs="Times New Roman"/>
          <w:szCs w:val="24"/>
          <w:lang w:eastAsia="sk-SK"/>
        </w:rPr>
      </w:pPr>
    </w:p>
    <w:p w14:paraId="3C7AB937" w14:textId="761F915F" w:rsidR="00AF198B" w:rsidRDefault="00AF198B" w:rsidP="00AF198B">
      <w:pPr>
        <w:tabs>
          <w:tab w:val="left" w:pos="-5103"/>
          <w:tab w:val="left" w:pos="-4962"/>
          <w:tab w:val="left" w:pos="-4820"/>
        </w:tabs>
        <w:spacing w:line="240" w:lineRule="auto"/>
        <w:jc w:val="both"/>
        <w:rPr>
          <w:rFonts w:eastAsia="Times New Roman" w:cs="Times New Roman"/>
          <w:szCs w:val="24"/>
          <w:lang w:eastAsia="sk-SK"/>
        </w:rPr>
      </w:pPr>
      <w:r w:rsidRPr="00AF198B">
        <w:rPr>
          <w:rFonts w:eastAsia="Times New Roman" w:cs="Times New Roman"/>
          <w:szCs w:val="24"/>
          <w:lang w:eastAsia="sk-SK"/>
        </w:rPr>
        <w:t>Skutočný odvod SR z vlastných zdrojov rozpočtu EÚ za zdroj založený na DPH, zdroj založený na HND, zdroj založený na odpade z plastových obalov, ktorý nie je recyklovaný, podiel SR na korekciách pre Dánsko, Holandsko, Nemecko, Rakúsko a Švédsko predstavoval sumu 989</w:t>
      </w:r>
      <w:r>
        <w:rPr>
          <w:rFonts w:eastAsia="Times New Roman" w:cs="Times New Roman"/>
          <w:szCs w:val="24"/>
          <w:lang w:eastAsia="sk-SK"/>
        </w:rPr>
        <w:t> </w:t>
      </w:r>
      <w:r w:rsidRPr="00AF198B">
        <w:rPr>
          <w:rFonts w:eastAsia="Times New Roman" w:cs="Times New Roman"/>
          <w:szCs w:val="24"/>
          <w:lang w:eastAsia="sk-SK"/>
        </w:rPr>
        <w:t>120</w:t>
      </w:r>
      <w:r>
        <w:rPr>
          <w:rFonts w:eastAsia="Times New Roman" w:cs="Times New Roman"/>
          <w:szCs w:val="24"/>
          <w:lang w:eastAsia="sk-SK"/>
        </w:rPr>
        <w:t> </w:t>
      </w:r>
      <w:r w:rsidRPr="00AF198B">
        <w:rPr>
          <w:rFonts w:eastAsia="Times New Roman" w:cs="Times New Roman"/>
          <w:szCs w:val="24"/>
          <w:lang w:eastAsia="sk-SK"/>
        </w:rPr>
        <w:t>tis. eur a jeho zvýšenie bolo ovplyvnené najmä z dôvodu nárastu platieb v</w:t>
      </w:r>
      <w:r>
        <w:rPr>
          <w:rFonts w:eastAsia="Times New Roman" w:cs="Times New Roman"/>
          <w:szCs w:val="24"/>
          <w:lang w:eastAsia="sk-SK"/>
        </w:rPr>
        <w:t> </w:t>
      </w:r>
      <w:r w:rsidRPr="00AF198B">
        <w:rPr>
          <w:rFonts w:eastAsia="Times New Roman" w:cs="Times New Roman"/>
          <w:szCs w:val="24"/>
          <w:lang w:eastAsia="sk-SK"/>
        </w:rPr>
        <w:t>kohéznych fondoch. Tlak na národné príspevky, ktoré by museli členské štáty uhradiť zo zdroja založeného na HND však zmiernil neočakávaný vyšší výber tradičného vlastného zdroja (cla) a</w:t>
      </w:r>
      <w:r>
        <w:rPr>
          <w:rFonts w:eastAsia="Times New Roman" w:cs="Times New Roman"/>
          <w:szCs w:val="24"/>
          <w:lang w:eastAsia="sk-SK"/>
        </w:rPr>
        <w:t> </w:t>
      </w:r>
      <w:r w:rsidRPr="00AF198B">
        <w:rPr>
          <w:rFonts w:eastAsia="Times New Roman" w:cs="Times New Roman"/>
          <w:szCs w:val="24"/>
          <w:lang w:eastAsia="sk-SK"/>
        </w:rPr>
        <w:t>iných príjmov súvisiacich s pokutami a úrokmi z omeškania, ktoré vo</w:t>
      </w:r>
      <w:r>
        <w:rPr>
          <w:rFonts w:eastAsia="Times New Roman" w:cs="Times New Roman"/>
          <w:szCs w:val="24"/>
          <w:lang w:eastAsia="sk-SK"/>
        </w:rPr>
        <w:t> </w:t>
      </w:r>
      <w:r w:rsidRPr="00AF198B">
        <w:rPr>
          <w:rFonts w:eastAsia="Times New Roman" w:cs="Times New Roman"/>
          <w:szCs w:val="24"/>
          <w:lang w:eastAsia="sk-SK"/>
        </w:rPr>
        <w:t>veľkej miere pokrývajú požadovanú úroveň platieb.</w:t>
      </w:r>
    </w:p>
    <w:p w14:paraId="4B205390" w14:textId="33F9F856" w:rsidR="00AF198B" w:rsidRDefault="00AF198B" w:rsidP="00AF198B">
      <w:pPr>
        <w:tabs>
          <w:tab w:val="left" w:pos="-5103"/>
          <w:tab w:val="left" w:pos="-4962"/>
          <w:tab w:val="left" w:pos="-4820"/>
        </w:tabs>
        <w:spacing w:line="240" w:lineRule="auto"/>
        <w:jc w:val="both"/>
        <w:rPr>
          <w:rFonts w:eastAsia="Times New Roman" w:cs="Times New Roman"/>
          <w:szCs w:val="24"/>
          <w:lang w:eastAsia="sk-SK"/>
        </w:rPr>
      </w:pPr>
      <w:r w:rsidRPr="00AF198B">
        <w:rPr>
          <w:rFonts w:eastAsia="Times New Roman" w:cs="Times New Roman"/>
          <w:szCs w:val="24"/>
          <w:lang w:eastAsia="sk-SK"/>
        </w:rPr>
        <w:t xml:space="preserve">V rokoch 2024 - 2027 bude SR na základe dohody o príspevku medzi EK a SR prispievať na náklady spojené so splácaním úrokov MFA+ </w:t>
      </w:r>
      <w:hyperlink r:id="rId18" w:history="1"/>
      <w:r w:rsidRPr="00AF198B">
        <w:rPr>
          <w:rFonts w:eastAsia="Times New Roman" w:cs="Times New Roman"/>
          <w:szCs w:val="24"/>
          <w:lang w:eastAsia="sk-SK"/>
        </w:rPr>
        <w:t>a to vo výške 0,71 % podielu HND EU27, čo v roku 2025 predstavovalo 3</w:t>
      </w:r>
      <w:r>
        <w:rPr>
          <w:rFonts w:eastAsia="Times New Roman" w:cs="Times New Roman"/>
          <w:szCs w:val="24"/>
          <w:lang w:eastAsia="sk-SK"/>
        </w:rPr>
        <w:t> </w:t>
      </w:r>
      <w:r w:rsidRPr="00AF198B">
        <w:rPr>
          <w:rFonts w:eastAsia="Times New Roman" w:cs="Times New Roman"/>
          <w:szCs w:val="24"/>
          <w:lang w:eastAsia="sk-SK"/>
        </w:rPr>
        <w:t>998 tis. eur.</w:t>
      </w:r>
    </w:p>
    <w:p w14:paraId="42789D2A" w14:textId="77777777" w:rsidR="00AF198B" w:rsidRPr="00AF198B" w:rsidRDefault="00AF198B" w:rsidP="00AF198B">
      <w:pPr>
        <w:tabs>
          <w:tab w:val="left" w:pos="-5103"/>
          <w:tab w:val="left" w:pos="-4962"/>
          <w:tab w:val="left" w:pos="-4820"/>
        </w:tabs>
        <w:spacing w:line="240" w:lineRule="auto"/>
        <w:jc w:val="both"/>
        <w:rPr>
          <w:rFonts w:eastAsia="Times New Roman" w:cs="Times New Roman"/>
          <w:szCs w:val="24"/>
          <w:lang w:eastAsia="sk-SK"/>
        </w:rPr>
      </w:pPr>
    </w:p>
    <w:p w14:paraId="32329A53" w14:textId="52474CAD" w:rsidR="00AF198B" w:rsidRDefault="00AF198B" w:rsidP="00AF198B">
      <w:pPr>
        <w:spacing w:line="240" w:lineRule="auto"/>
        <w:jc w:val="both"/>
        <w:rPr>
          <w:rFonts w:eastAsia="Times New Roman" w:cs="Times New Roman"/>
          <w:szCs w:val="24"/>
          <w:lang w:eastAsia="sk-SK"/>
        </w:rPr>
      </w:pPr>
      <w:r w:rsidRPr="00AF198B">
        <w:rPr>
          <w:rFonts w:eastAsia="Times New Roman" w:cs="Times New Roman"/>
          <w:b/>
          <w:i/>
          <w:szCs w:val="24"/>
          <w:lang w:eastAsia="sk-SK"/>
        </w:rPr>
        <w:lastRenderedPageBreak/>
        <w:t>Príspevok SR do Európskeho rozvojového fondu</w:t>
      </w:r>
      <w:r w:rsidRPr="00AF198B">
        <w:rPr>
          <w:rFonts w:eastAsia="Times New Roman" w:cs="Times New Roman"/>
          <w:szCs w:val="24"/>
          <w:vertAlign w:val="superscript"/>
          <w:lang w:eastAsia="sk-SK"/>
        </w:rPr>
        <w:footnoteReference w:id="31"/>
      </w:r>
      <w:r w:rsidRPr="00AF198B">
        <w:rPr>
          <w:rFonts w:eastAsia="Times New Roman" w:cs="Times New Roman"/>
          <w:szCs w:val="24"/>
          <w:lang w:eastAsia="sk-SK"/>
        </w:rPr>
        <w:t xml:space="preserve"> bol rozpočtovaný vo výške 3</w:t>
      </w:r>
      <w:r>
        <w:rPr>
          <w:rFonts w:eastAsia="Times New Roman" w:cs="Times New Roman"/>
          <w:szCs w:val="24"/>
          <w:lang w:eastAsia="sk-SK"/>
        </w:rPr>
        <w:t> </w:t>
      </w:r>
      <w:r w:rsidRPr="00AF198B">
        <w:rPr>
          <w:rFonts w:eastAsia="Times New Roman" w:cs="Times New Roman"/>
          <w:szCs w:val="24"/>
          <w:lang w:eastAsia="sk-SK"/>
        </w:rPr>
        <w:t>100</w:t>
      </w:r>
      <w:r>
        <w:rPr>
          <w:rFonts w:eastAsia="Times New Roman" w:cs="Times New Roman"/>
          <w:szCs w:val="24"/>
          <w:lang w:eastAsia="sk-SK"/>
        </w:rPr>
        <w:t> </w:t>
      </w:r>
      <w:r w:rsidRPr="00AF198B">
        <w:rPr>
          <w:rFonts w:eastAsia="Times New Roman" w:cs="Times New Roman"/>
          <w:szCs w:val="24"/>
          <w:lang w:eastAsia="sk-SK"/>
        </w:rPr>
        <w:t>tis.</w:t>
      </w:r>
      <w:r>
        <w:rPr>
          <w:rFonts w:eastAsia="Times New Roman" w:cs="Times New Roman"/>
          <w:szCs w:val="24"/>
          <w:lang w:eastAsia="sk-SK"/>
        </w:rPr>
        <w:t> </w:t>
      </w:r>
      <w:r w:rsidRPr="00AF198B">
        <w:rPr>
          <w:rFonts w:eastAsia="Times New Roman" w:cs="Times New Roman"/>
          <w:szCs w:val="24"/>
          <w:lang w:eastAsia="sk-SK"/>
        </w:rPr>
        <w:t>eur podľa odhadov EK. Na základe troch rozhodnutí Rady o finančných príspevkoch, ktoré majú zmluvné strany Európskeho rozvojového fondu uhradiť v priebehu roku 2025, SR skutočne odviedla do fondu 3</w:t>
      </w:r>
      <w:r>
        <w:rPr>
          <w:rFonts w:eastAsia="Times New Roman" w:cs="Times New Roman"/>
          <w:szCs w:val="24"/>
          <w:lang w:eastAsia="sk-SK"/>
        </w:rPr>
        <w:t> </w:t>
      </w:r>
      <w:r w:rsidRPr="00AF198B">
        <w:rPr>
          <w:rFonts w:eastAsia="Times New Roman" w:cs="Times New Roman"/>
          <w:szCs w:val="24"/>
          <w:lang w:eastAsia="sk-SK"/>
        </w:rPr>
        <w:t>043</w:t>
      </w:r>
      <w:r>
        <w:rPr>
          <w:rFonts w:eastAsia="Times New Roman" w:cs="Times New Roman"/>
          <w:szCs w:val="24"/>
          <w:lang w:eastAsia="sk-SK"/>
        </w:rPr>
        <w:t> </w:t>
      </w:r>
      <w:r w:rsidRPr="00AF198B">
        <w:rPr>
          <w:rFonts w:eastAsia="Times New Roman" w:cs="Times New Roman"/>
          <w:szCs w:val="24"/>
          <w:lang w:eastAsia="sk-SK"/>
        </w:rPr>
        <w:t>tis.</w:t>
      </w:r>
      <w:r>
        <w:rPr>
          <w:rFonts w:eastAsia="Times New Roman" w:cs="Times New Roman"/>
          <w:szCs w:val="24"/>
          <w:lang w:eastAsia="sk-SK"/>
        </w:rPr>
        <w:t> </w:t>
      </w:r>
      <w:r w:rsidRPr="00AF198B">
        <w:rPr>
          <w:rFonts w:eastAsia="Times New Roman" w:cs="Times New Roman"/>
          <w:szCs w:val="24"/>
          <w:lang w:eastAsia="sk-SK"/>
        </w:rPr>
        <w:t>eur v troch splátkach.</w:t>
      </w:r>
    </w:p>
    <w:p w14:paraId="5E77640A" w14:textId="77777777" w:rsidR="008E1DB1" w:rsidRDefault="008E1DB1" w:rsidP="00AF198B">
      <w:pPr>
        <w:spacing w:line="240" w:lineRule="auto"/>
        <w:jc w:val="both"/>
        <w:rPr>
          <w:rFonts w:eastAsia="Times New Roman" w:cs="Times New Roman"/>
          <w:szCs w:val="24"/>
          <w:lang w:eastAsia="sk-SK"/>
        </w:rPr>
      </w:pPr>
    </w:p>
    <w:p w14:paraId="3330F734" w14:textId="1A7F04C4" w:rsidR="008E1DB1" w:rsidRPr="00DA100D" w:rsidRDefault="000868C2" w:rsidP="008E1DB1">
      <w:pPr>
        <w:pStyle w:val="Nadpis3"/>
        <w:spacing w:before="0"/>
        <w:jc w:val="both"/>
      </w:pPr>
      <w:bookmarkStart w:id="149" w:name="_Toc227758913"/>
      <w:r>
        <w:t>Čistá finančná pozícia</w:t>
      </w:r>
      <w:bookmarkEnd w:id="149"/>
    </w:p>
    <w:p w14:paraId="335EA954" w14:textId="77777777" w:rsidR="00AB67A2" w:rsidRDefault="00AB67A2" w:rsidP="00AB67A2">
      <w:pPr>
        <w:tabs>
          <w:tab w:val="left" w:pos="284"/>
        </w:tabs>
        <w:spacing w:line="240" w:lineRule="auto"/>
        <w:jc w:val="both"/>
        <w:rPr>
          <w:szCs w:val="24"/>
          <w:highlight w:val="yellow"/>
        </w:rPr>
      </w:pPr>
    </w:p>
    <w:p w14:paraId="08C6C839" w14:textId="0DADCA32" w:rsidR="000868C2" w:rsidRPr="000868C2" w:rsidRDefault="000868C2" w:rsidP="000868C2">
      <w:pPr>
        <w:tabs>
          <w:tab w:val="left" w:pos="284"/>
        </w:tabs>
        <w:spacing w:line="240" w:lineRule="auto"/>
        <w:jc w:val="both"/>
        <w:rPr>
          <w:szCs w:val="24"/>
        </w:rPr>
      </w:pPr>
      <w:r w:rsidRPr="000868C2">
        <w:rPr>
          <w:szCs w:val="24"/>
        </w:rPr>
        <w:t>Na základe realizovaných príjmov z rozpočtu EÚ v roku 2025 vo výške 4</w:t>
      </w:r>
      <w:r>
        <w:rPr>
          <w:szCs w:val="24"/>
        </w:rPr>
        <w:t> </w:t>
      </w:r>
      <w:r w:rsidRPr="000868C2">
        <w:rPr>
          <w:szCs w:val="24"/>
        </w:rPr>
        <w:t>377</w:t>
      </w:r>
      <w:r>
        <w:rPr>
          <w:szCs w:val="24"/>
        </w:rPr>
        <w:t> </w:t>
      </w:r>
      <w:r w:rsidRPr="000868C2">
        <w:rPr>
          <w:szCs w:val="24"/>
        </w:rPr>
        <w:t>310</w:t>
      </w:r>
      <w:r>
        <w:rPr>
          <w:szCs w:val="24"/>
        </w:rPr>
        <w:t> </w:t>
      </w:r>
      <w:r w:rsidRPr="000868C2">
        <w:rPr>
          <w:szCs w:val="24"/>
        </w:rPr>
        <w:t>tis. eur a</w:t>
      </w:r>
      <w:r>
        <w:rPr>
          <w:szCs w:val="24"/>
        </w:rPr>
        <w:t> </w:t>
      </w:r>
      <w:r w:rsidRPr="000868C2">
        <w:rPr>
          <w:szCs w:val="24"/>
        </w:rPr>
        <w:t>odvodov a príspevkov do všeobecného rozpočtu EÚ vo výške 1</w:t>
      </w:r>
      <w:r>
        <w:rPr>
          <w:szCs w:val="24"/>
        </w:rPr>
        <w:t> </w:t>
      </w:r>
      <w:r w:rsidRPr="000868C2">
        <w:rPr>
          <w:szCs w:val="24"/>
        </w:rPr>
        <w:t>132</w:t>
      </w:r>
      <w:r>
        <w:rPr>
          <w:szCs w:val="24"/>
        </w:rPr>
        <w:t> </w:t>
      </w:r>
      <w:r w:rsidRPr="000868C2">
        <w:rPr>
          <w:szCs w:val="24"/>
        </w:rPr>
        <w:t>305</w:t>
      </w:r>
      <w:r>
        <w:rPr>
          <w:szCs w:val="24"/>
        </w:rPr>
        <w:t> </w:t>
      </w:r>
      <w:r w:rsidRPr="000868C2">
        <w:rPr>
          <w:szCs w:val="24"/>
        </w:rPr>
        <w:t>tis.</w:t>
      </w:r>
      <w:r>
        <w:rPr>
          <w:szCs w:val="24"/>
        </w:rPr>
        <w:t> </w:t>
      </w:r>
      <w:r w:rsidRPr="000868C2">
        <w:rPr>
          <w:szCs w:val="24"/>
        </w:rPr>
        <w:t xml:space="preserve">eur predstavuje </w:t>
      </w:r>
      <w:r w:rsidRPr="000868C2">
        <w:rPr>
          <w:b/>
          <w:szCs w:val="24"/>
        </w:rPr>
        <w:t>čistá finančná pozícia Slovenskej republiky voči rozpočtu EÚ za rok 2025 sumu 3</w:t>
      </w:r>
      <w:r>
        <w:rPr>
          <w:b/>
          <w:szCs w:val="24"/>
        </w:rPr>
        <w:t> </w:t>
      </w:r>
      <w:r w:rsidRPr="000868C2">
        <w:rPr>
          <w:b/>
          <w:szCs w:val="24"/>
        </w:rPr>
        <w:t>245</w:t>
      </w:r>
      <w:r>
        <w:rPr>
          <w:b/>
          <w:szCs w:val="24"/>
        </w:rPr>
        <w:t> </w:t>
      </w:r>
      <w:r w:rsidRPr="000868C2">
        <w:rPr>
          <w:b/>
          <w:szCs w:val="24"/>
        </w:rPr>
        <w:t>005</w:t>
      </w:r>
      <w:r>
        <w:rPr>
          <w:b/>
          <w:szCs w:val="24"/>
        </w:rPr>
        <w:t> </w:t>
      </w:r>
      <w:r w:rsidRPr="000868C2">
        <w:rPr>
          <w:b/>
          <w:szCs w:val="24"/>
        </w:rPr>
        <w:t>tis.</w:t>
      </w:r>
      <w:r>
        <w:rPr>
          <w:b/>
          <w:szCs w:val="24"/>
        </w:rPr>
        <w:t> </w:t>
      </w:r>
      <w:r w:rsidRPr="000868C2">
        <w:rPr>
          <w:b/>
          <w:szCs w:val="24"/>
        </w:rPr>
        <w:t>eur</w:t>
      </w:r>
      <w:r w:rsidRPr="000868C2">
        <w:rPr>
          <w:szCs w:val="24"/>
        </w:rPr>
        <w:t>, čo predstavuje medziročný nárast o</w:t>
      </w:r>
      <w:r>
        <w:rPr>
          <w:szCs w:val="24"/>
        </w:rPr>
        <w:t> </w:t>
      </w:r>
      <w:r w:rsidRPr="000868C2">
        <w:rPr>
          <w:szCs w:val="24"/>
        </w:rPr>
        <w:t>54</w:t>
      </w:r>
      <w:r>
        <w:rPr>
          <w:szCs w:val="24"/>
        </w:rPr>
        <w:t> </w:t>
      </w:r>
      <w:r w:rsidRPr="000868C2">
        <w:rPr>
          <w:szCs w:val="24"/>
        </w:rPr>
        <w:t>009</w:t>
      </w:r>
      <w:r>
        <w:rPr>
          <w:szCs w:val="24"/>
        </w:rPr>
        <w:t> </w:t>
      </w:r>
      <w:r w:rsidRPr="000868C2">
        <w:rPr>
          <w:szCs w:val="24"/>
        </w:rPr>
        <w:t>tis. eur. V rámci celého obdobia čerpania prostriedkov z rozpočtu EÚ sa štvrtý krát od roku 2004 dosiahla hranica (z</w:t>
      </w:r>
      <w:r>
        <w:rPr>
          <w:szCs w:val="24"/>
        </w:rPr>
        <w:t> </w:t>
      </w:r>
      <w:r w:rsidRPr="000868C2">
        <w:rPr>
          <w:szCs w:val="24"/>
        </w:rPr>
        <w:t>toho tri</w:t>
      </w:r>
      <w:r w:rsidR="002A6C35">
        <w:rPr>
          <w:szCs w:val="24"/>
        </w:rPr>
        <w:t> </w:t>
      </w:r>
      <w:r w:rsidRPr="000868C2">
        <w:rPr>
          <w:szCs w:val="24"/>
        </w:rPr>
        <w:t>krát za posledné tri roky), kedy čistá finančná pozícia v prospech SR presiahla 3</w:t>
      </w:r>
      <w:r w:rsidR="002A6C35">
        <w:rPr>
          <w:szCs w:val="24"/>
        </w:rPr>
        <w:t> </w:t>
      </w:r>
      <w:r w:rsidRPr="000868C2">
        <w:rPr>
          <w:szCs w:val="24"/>
        </w:rPr>
        <w:t>miliardy eur.</w:t>
      </w:r>
    </w:p>
    <w:p w14:paraId="25F6FD34" w14:textId="77777777" w:rsidR="000868C2" w:rsidRDefault="000868C2" w:rsidP="00AB67A2">
      <w:pPr>
        <w:tabs>
          <w:tab w:val="left" w:pos="284"/>
        </w:tabs>
        <w:spacing w:line="240" w:lineRule="auto"/>
        <w:jc w:val="both"/>
        <w:rPr>
          <w:szCs w:val="24"/>
          <w:highlight w:val="yellow"/>
        </w:rPr>
      </w:pPr>
    </w:p>
    <w:p w14:paraId="388A0C5B" w14:textId="39A2A2A9" w:rsidR="00C86420" w:rsidRDefault="00C86420" w:rsidP="00AB67A2">
      <w:pPr>
        <w:tabs>
          <w:tab w:val="left" w:pos="284"/>
        </w:tabs>
        <w:spacing w:line="240" w:lineRule="auto"/>
        <w:jc w:val="both"/>
        <w:rPr>
          <w:b/>
          <w:bCs/>
          <w:color w:val="5B9CD6"/>
          <w:sz w:val="20"/>
          <w:szCs w:val="20"/>
        </w:rPr>
      </w:pPr>
      <w:bookmarkStart w:id="150" w:name="_Toc227670174"/>
      <w:r w:rsidRPr="000868C2">
        <w:rPr>
          <w:b/>
          <w:bCs/>
          <w:color w:val="5B9CD6"/>
          <w:sz w:val="20"/>
          <w:szCs w:val="20"/>
        </w:rPr>
        <w:t xml:space="preserve">Tabuľka </w:t>
      </w:r>
      <w:r w:rsidRPr="000868C2">
        <w:rPr>
          <w:b/>
          <w:bCs/>
          <w:i/>
          <w:iCs/>
          <w:color w:val="5B9CD6"/>
          <w:sz w:val="20"/>
          <w:szCs w:val="20"/>
        </w:rPr>
        <w:fldChar w:fldCharType="begin"/>
      </w:r>
      <w:r w:rsidRPr="000868C2">
        <w:rPr>
          <w:b/>
          <w:bCs/>
          <w:color w:val="5B9CD6"/>
          <w:sz w:val="20"/>
          <w:szCs w:val="20"/>
        </w:rPr>
        <w:instrText xml:space="preserve"> SEQ Tabuľka \* ARABIC </w:instrText>
      </w:r>
      <w:r w:rsidRPr="000868C2">
        <w:rPr>
          <w:b/>
          <w:bCs/>
          <w:i/>
          <w:iCs/>
          <w:color w:val="5B9CD6"/>
          <w:sz w:val="20"/>
          <w:szCs w:val="20"/>
        </w:rPr>
        <w:fldChar w:fldCharType="separate"/>
      </w:r>
      <w:r w:rsidR="00396BE8">
        <w:rPr>
          <w:b/>
          <w:bCs/>
          <w:noProof/>
          <w:color w:val="5B9CD6"/>
          <w:sz w:val="20"/>
          <w:szCs w:val="20"/>
        </w:rPr>
        <w:t>38</w:t>
      </w:r>
      <w:r w:rsidRPr="000868C2">
        <w:rPr>
          <w:b/>
          <w:bCs/>
          <w:i/>
          <w:iCs/>
          <w:color w:val="5B9CD6"/>
          <w:sz w:val="20"/>
          <w:szCs w:val="20"/>
        </w:rPr>
        <w:fldChar w:fldCharType="end"/>
      </w:r>
      <w:r w:rsidRPr="000868C2">
        <w:rPr>
          <w:b/>
          <w:bCs/>
          <w:color w:val="5B9CD6"/>
          <w:sz w:val="20"/>
          <w:szCs w:val="20"/>
        </w:rPr>
        <w:t xml:space="preserve"> - Príjmy z rozpočtu EÚ</w:t>
      </w:r>
      <w:r w:rsidR="00067698" w:rsidRPr="000868C2">
        <w:rPr>
          <w:b/>
          <w:bCs/>
          <w:color w:val="5B9CD6"/>
          <w:sz w:val="20"/>
          <w:szCs w:val="20"/>
        </w:rPr>
        <w:t>,</w:t>
      </w:r>
      <w:r w:rsidRPr="000868C2">
        <w:rPr>
          <w:b/>
          <w:bCs/>
          <w:color w:val="5B9CD6"/>
          <w:sz w:val="20"/>
          <w:szCs w:val="20"/>
        </w:rPr>
        <w:t xml:space="preserve"> odvody a príspevky do všeobecného rozpočtu EÚ</w:t>
      </w:r>
      <w:bookmarkEnd w:id="148"/>
      <w:bookmarkEnd w:id="150"/>
    </w:p>
    <w:tbl>
      <w:tblPr>
        <w:tblW w:w="5000" w:type="pct"/>
        <w:tblCellMar>
          <w:left w:w="70" w:type="dxa"/>
          <w:right w:w="70" w:type="dxa"/>
        </w:tblCellMar>
        <w:tblLook w:val="04A0" w:firstRow="1" w:lastRow="0" w:firstColumn="1" w:lastColumn="0" w:noHBand="0" w:noVBand="1"/>
      </w:tblPr>
      <w:tblGrid>
        <w:gridCol w:w="2976"/>
        <w:gridCol w:w="1014"/>
        <w:gridCol w:w="1016"/>
        <w:gridCol w:w="1016"/>
        <w:gridCol w:w="1016"/>
        <w:gridCol w:w="1016"/>
        <w:gridCol w:w="1016"/>
      </w:tblGrid>
      <w:tr w:rsidR="000868C2" w:rsidRPr="00776161" w14:paraId="27F6C848" w14:textId="77777777" w:rsidTr="00776161">
        <w:trPr>
          <w:trHeight w:val="330"/>
          <w:tblHeader/>
        </w:trPr>
        <w:tc>
          <w:tcPr>
            <w:tcW w:w="1641" w:type="pct"/>
            <w:vMerge w:val="restart"/>
            <w:tcBorders>
              <w:top w:val="single" w:sz="4" w:space="0" w:color="auto"/>
              <w:left w:val="nil"/>
              <w:bottom w:val="single" w:sz="8" w:space="0" w:color="000000"/>
              <w:right w:val="nil"/>
            </w:tcBorders>
            <w:vAlign w:val="center"/>
            <w:hideMark/>
          </w:tcPr>
          <w:p w14:paraId="42423F78" w14:textId="77777777" w:rsidR="000868C2" w:rsidRPr="00776161" w:rsidRDefault="000868C2" w:rsidP="00B6745A">
            <w:pPr>
              <w:rPr>
                <w:b/>
                <w:bCs/>
                <w:sz w:val="18"/>
                <w:szCs w:val="18"/>
              </w:rPr>
            </w:pPr>
            <w:r w:rsidRPr="00776161">
              <w:rPr>
                <w:b/>
                <w:bCs/>
                <w:sz w:val="18"/>
                <w:szCs w:val="18"/>
              </w:rPr>
              <w:t>v tis. eur</w:t>
            </w:r>
          </w:p>
        </w:tc>
        <w:tc>
          <w:tcPr>
            <w:tcW w:w="559" w:type="pct"/>
            <w:tcBorders>
              <w:top w:val="single" w:sz="4" w:space="0" w:color="auto"/>
              <w:left w:val="nil"/>
              <w:bottom w:val="nil"/>
              <w:right w:val="nil"/>
            </w:tcBorders>
            <w:vAlign w:val="center"/>
            <w:hideMark/>
          </w:tcPr>
          <w:p w14:paraId="0289A867" w14:textId="77777777" w:rsidR="000868C2" w:rsidRPr="00776161" w:rsidRDefault="000868C2" w:rsidP="00B6745A">
            <w:pPr>
              <w:jc w:val="center"/>
              <w:rPr>
                <w:b/>
                <w:bCs/>
                <w:color w:val="000000"/>
                <w:sz w:val="18"/>
                <w:szCs w:val="18"/>
              </w:rPr>
            </w:pPr>
            <w:r w:rsidRPr="00776161">
              <w:rPr>
                <w:b/>
                <w:bCs/>
                <w:color w:val="000000"/>
                <w:sz w:val="18"/>
                <w:szCs w:val="18"/>
              </w:rPr>
              <w:t>2023 S</w:t>
            </w:r>
          </w:p>
        </w:tc>
        <w:tc>
          <w:tcPr>
            <w:tcW w:w="560" w:type="pct"/>
            <w:tcBorders>
              <w:top w:val="single" w:sz="4" w:space="0" w:color="auto"/>
              <w:left w:val="nil"/>
              <w:bottom w:val="nil"/>
              <w:right w:val="nil"/>
            </w:tcBorders>
            <w:vAlign w:val="center"/>
            <w:hideMark/>
          </w:tcPr>
          <w:p w14:paraId="760E27AB" w14:textId="77777777" w:rsidR="000868C2" w:rsidRPr="00776161" w:rsidRDefault="000868C2" w:rsidP="00B6745A">
            <w:pPr>
              <w:jc w:val="center"/>
              <w:rPr>
                <w:b/>
                <w:bCs/>
                <w:color w:val="000000"/>
                <w:sz w:val="18"/>
                <w:szCs w:val="18"/>
              </w:rPr>
            </w:pPr>
            <w:r w:rsidRPr="00776161">
              <w:rPr>
                <w:b/>
                <w:bCs/>
                <w:color w:val="000000"/>
                <w:sz w:val="18"/>
                <w:szCs w:val="18"/>
              </w:rPr>
              <w:t>2024 S</w:t>
            </w:r>
          </w:p>
        </w:tc>
        <w:tc>
          <w:tcPr>
            <w:tcW w:w="560" w:type="pct"/>
            <w:tcBorders>
              <w:top w:val="single" w:sz="4" w:space="0" w:color="auto"/>
              <w:left w:val="nil"/>
              <w:bottom w:val="nil"/>
              <w:right w:val="nil"/>
            </w:tcBorders>
            <w:vAlign w:val="center"/>
            <w:hideMark/>
          </w:tcPr>
          <w:p w14:paraId="1814CA6E" w14:textId="77777777" w:rsidR="000868C2" w:rsidRPr="00776161" w:rsidRDefault="000868C2" w:rsidP="00B6745A">
            <w:pPr>
              <w:jc w:val="center"/>
              <w:rPr>
                <w:b/>
                <w:bCs/>
                <w:color w:val="000000"/>
                <w:sz w:val="18"/>
                <w:szCs w:val="18"/>
              </w:rPr>
            </w:pPr>
            <w:r w:rsidRPr="00776161">
              <w:rPr>
                <w:b/>
                <w:bCs/>
                <w:color w:val="000000"/>
                <w:sz w:val="18"/>
                <w:szCs w:val="18"/>
              </w:rPr>
              <w:t>2025 R</w:t>
            </w:r>
          </w:p>
        </w:tc>
        <w:tc>
          <w:tcPr>
            <w:tcW w:w="560" w:type="pct"/>
            <w:tcBorders>
              <w:top w:val="single" w:sz="4" w:space="0" w:color="auto"/>
              <w:left w:val="nil"/>
              <w:bottom w:val="nil"/>
              <w:right w:val="nil"/>
            </w:tcBorders>
            <w:vAlign w:val="center"/>
            <w:hideMark/>
          </w:tcPr>
          <w:p w14:paraId="70A69960" w14:textId="77777777" w:rsidR="000868C2" w:rsidRPr="00776161" w:rsidRDefault="000868C2" w:rsidP="00B6745A">
            <w:pPr>
              <w:jc w:val="center"/>
              <w:rPr>
                <w:b/>
                <w:bCs/>
                <w:color w:val="000000"/>
                <w:sz w:val="18"/>
                <w:szCs w:val="18"/>
              </w:rPr>
            </w:pPr>
            <w:r w:rsidRPr="00776161">
              <w:rPr>
                <w:b/>
                <w:bCs/>
                <w:color w:val="000000"/>
                <w:sz w:val="18"/>
                <w:szCs w:val="18"/>
              </w:rPr>
              <w:t>2025 S</w:t>
            </w:r>
          </w:p>
        </w:tc>
        <w:tc>
          <w:tcPr>
            <w:tcW w:w="560" w:type="pct"/>
            <w:tcBorders>
              <w:top w:val="single" w:sz="4" w:space="0" w:color="auto"/>
              <w:left w:val="nil"/>
              <w:bottom w:val="nil"/>
              <w:right w:val="nil"/>
            </w:tcBorders>
            <w:vAlign w:val="center"/>
            <w:hideMark/>
          </w:tcPr>
          <w:p w14:paraId="4256F9A7" w14:textId="77777777" w:rsidR="000868C2" w:rsidRPr="00776161" w:rsidRDefault="000868C2" w:rsidP="00B6745A">
            <w:pPr>
              <w:jc w:val="center"/>
              <w:rPr>
                <w:b/>
                <w:bCs/>
                <w:color w:val="000000"/>
                <w:sz w:val="18"/>
                <w:szCs w:val="18"/>
              </w:rPr>
            </w:pPr>
            <w:r w:rsidRPr="00776161">
              <w:rPr>
                <w:b/>
                <w:bCs/>
                <w:color w:val="000000"/>
                <w:sz w:val="18"/>
                <w:szCs w:val="18"/>
              </w:rPr>
              <w:t>Rozdiel</w:t>
            </w:r>
          </w:p>
        </w:tc>
        <w:tc>
          <w:tcPr>
            <w:tcW w:w="560" w:type="pct"/>
            <w:tcBorders>
              <w:top w:val="single" w:sz="4" w:space="0" w:color="auto"/>
              <w:left w:val="nil"/>
              <w:bottom w:val="nil"/>
              <w:right w:val="nil"/>
            </w:tcBorders>
            <w:vAlign w:val="center"/>
            <w:hideMark/>
          </w:tcPr>
          <w:p w14:paraId="1DB44639" w14:textId="77777777" w:rsidR="000868C2" w:rsidRPr="00776161" w:rsidRDefault="000868C2" w:rsidP="00B6745A">
            <w:pPr>
              <w:jc w:val="center"/>
              <w:rPr>
                <w:b/>
                <w:bCs/>
                <w:color w:val="000000"/>
                <w:sz w:val="18"/>
                <w:szCs w:val="18"/>
              </w:rPr>
            </w:pPr>
            <w:r w:rsidRPr="00776161">
              <w:rPr>
                <w:b/>
                <w:bCs/>
                <w:color w:val="000000"/>
                <w:sz w:val="18"/>
                <w:szCs w:val="18"/>
              </w:rPr>
              <w:t>v %</w:t>
            </w:r>
          </w:p>
        </w:tc>
      </w:tr>
      <w:tr w:rsidR="000868C2" w:rsidRPr="00776161" w14:paraId="6EE0542B" w14:textId="77777777" w:rsidTr="0008618C">
        <w:trPr>
          <w:trHeight w:val="124"/>
          <w:tblHeader/>
        </w:trPr>
        <w:tc>
          <w:tcPr>
            <w:tcW w:w="1641" w:type="pct"/>
            <w:vMerge/>
            <w:tcBorders>
              <w:top w:val="nil"/>
              <w:left w:val="nil"/>
              <w:bottom w:val="single" w:sz="4" w:space="0" w:color="auto"/>
              <w:right w:val="nil"/>
            </w:tcBorders>
            <w:vAlign w:val="center"/>
            <w:hideMark/>
          </w:tcPr>
          <w:p w14:paraId="416E4840" w14:textId="77777777" w:rsidR="000868C2" w:rsidRPr="00776161" w:rsidRDefault="000868C2" w:rsidP="00B6745A">
            <w:pPr>
              <w:rPr>
                <w:b/>
                <w:bCs/>
                <w:sz w:val="18"/>
                <w:szCs w:val="18"/>
              </w:rPr>
            </w:pPr>
          </w:p>
        </w:tc>
        <w:tc>
          <w:tcPr>
            <w:tcW w:w="559" w:type="pct"/>
            <w:tcBorders>
              <w:top w:val="nil"/>
              <w:left w:val="nil"/>
              <w:bottom w:val="single" w:sz="4" w:space="0" w:color="auto"/>
              <w:right w:val="nil"/>
            </w:tcBorders>
            <w:vAlign w:val="center"/>
            <w:hideMark/>
          </w:tcPr>
          <w:p w14:paraId="3ED68DC6" w14:textId="77777777" w:rsidR="000868C2" w:rsidRPr="00776161" w:rsidRDefault="000868C2" w:rsidP="00B6745A">
            <w:pPr>
              <w:jc w:val="center"/>
              <w:rPr>
                <w:b/>
                <w:bCs/>
                <w:sz w:val="18"/>
                <w:szCs w:val="18"/>
              </w:rPr>
            </w:pPr>
            <w:r w:rsidRPr="00776161">
              <w:rPr>
                <w:b/>
                <w:bCs/>
                <w:sz w:val="18"/>
                <w:szCs w:val="18"/>
              </w:rPr>
              <w:t>1</w:t>
            </w:r>
          </w:p>
        </w:tc>
        <w:tc>
          <w:tcPr>
            <w:tcW w:w="560" w:type="pct"/>
            <w:tcBorders>
              <w:top w:val="nil"/>
              <w:left w:val="nil"/>
              <w:bottom w:val="single" w:sz="4" w:space="0" w:color="auto"/>
              <w:right w:val="nil"/>
            </w:tcBorders>
            <w:vAlign w:val="center"/>
            <w:hideMark/>
          </w:tcPr>
          <w:p w14:paraId="4809CC8E" w14:textId="77777777" w:rsidR="000868C2" w:rsidRPr="00776161" w:rsidRDefault="000868C2" w:rsidP="00B6745A">
            <w:pPr>
              <w:jc w:val="center"/>
              <w:rPr>
                <w:b/>
                <w:bCs/>
                <w:sz w:val="18"/>
                <w:szCs w:val="18"/>
              </w:rPr>
            </w:pPr>
            <w:r w:rsidRPr="00776161">
              <w:rPr>
                <w:b/>
                <w:bCs/>
                <w:sz w:val="18"/>
                <w:szCs w:val="18"/>
              </w:rPr>
              <w:t>2</w:t>
            </w:r>
          </w:p>
        </w:tc>
        <w:tc>
          <w:tcPr>
            <w:tcW w:w="560" w:type="pct"/>
            <w:tcBorders>
              <w:top w:val="nil"/>
              <w:left w:val="nil"/>
              <w:bottom w:val="single" w:sz="4" w:space="0" w:color="auto"/>
              <w:right w:val="nil"/>
            </w:tcBorders>
            <w:vAlign w:val="center"/>
            <w:hideMark/>
          </w:tcPr>
          <w:p w14:paraId="3AF94571" w14:textId="77777777" w:rsidR="000868C2" w:rsidRPr="00776161" w:rsidRDefault="000868C2" w:rsidP="00B6745A">
            <w:pPr>
              <w:jc w:val="center"/>
              <w:rPr>
                <w:b/>
                <w:bCs/>
                <w:sz w:val="18"/>
                <w:szCs w:val="18"/>
              </w:rPr>
            </w:pPr>
            <w:r w:rsidRPr="00776161">
              <w:rPr>
                <w:b/>
                <w:bCs/>
                <w:sz w:val="18"/>
                <w:szCs w:val="18"/>
              </w:rPr>
              <w:t>3</w:t>
            </w:r>
          </w:p>
        </w:tc>
        <w:tc>
          <w:tcPr>
            <w:tcW w:w="560" w:type="pct"/>
            <w:tcBorders>
              <w:top w:val="nil"/>
              <w:left w:val="nil"/>
              <w:bottom w:val="single" w:sz="4" w:space="0" w:color="auto"/>
              <w:right w:val="nil"/>
            </w:tcBorders>
            <w:vAlign w:val="center"/>
            <w:hideMark/>
          </w:tcPr>
          <w:p w14:paraId="07E9E26F" w14:textId="77777777" w:rsidR="000868C2" w:rsidRPr="00776161" w:rsidRDefault="000868C2" w:rsidP="00B6745A">
            <w:pPr>
              <w:jc w:val="center"/>
              <w:rPr>
                <w:b/>
                <w:bCs/>
                <w:sz w:val="18"/>
                <w:szCs w:val="18"/>
              </w:rPr>
            </w:pPr>
            <w:r w:rsidRPr="00776161">
              <w:rPr>
                <w:b/>
                <w:bCs/>
                <w:sz w:val="18"/>
                <w:szCs w:val="18"/>
              </w:rPr>
              <w:t>4</w:t>
            </w:r>
          </w:p>
        </w:tc>
        <w:tc>
          <w:tcPr>
            <w:tcW w:w="560" w:type="pct"/>
            <w:tcBorders>
              <w:top w:val="nil"/>
              <w:left w:val="nil"/>
              <w:bottom w:val="single" w:sz="4" w:space="0" w:color="auto"/>
              <w:right w:val="nil"/>
            </w:tcBorders>
            <w:vAlign w:val="center"/>
            <w:hideMark/>
          </w:tcPr>
          <w:p w14:paraId="32A082C2" w14:textId="77777777" w:rsidR="000868C2" w:rsidRPr="00776161" w:rsidRDefault="000868C2" w:rsidP="00B6745A">
            <w:pPr>
              <w:jc w:val="center"/>
              <w:rPr>
                <w:b/>
                <w:bCs/>
                <w:sz w:val="18"/>
                <w:szCs w:val="18"/>
              </w:rPr>
            </w:pPr>
            <w:r w:rsidRPr="00776161">
              <w:rPr>
                <w:b/>
                <w:bCs/>
                <w:sz w:val="18"/>
                <w:szCs w:val="18"/>
              </w:rPr>
              <w:t>5=4-3</w:t>
            </w:r>
          </w:p>
        </w:tc>
        <w:tc>
          <w:tcPr>
            <w:tcW w:w="560" w:type="pct"/>
            <w:tcBorders>
              <w:top w:val="nil"/>
              <w:left w:val="nil"/>
              <w:bottom w:val="single" w:sz="4" w:space="0" w:color="auto"/>
              <w:right w:val="nil"/>
            </w:tcBorders>
            <w:vAlign w:val="center"/>
            <w:hideMark/>
          </w:tcPr>
          <w:p w14:paraId="52C51C6D" w14:textId="77777777" w:rsidR="000868C2" w:rsidRPr="00776161" w:rsidRDefault="000868C2" w:rsidP="00B6745A">
            <w:pPr>
              <w:jc w:val="center"/>
              <w:rPr>
                <w:b/>
                <w:bCs/>
                <w:sz w:val="18"/>
                <w:szCs w:val="18"/>
              </w:rPr>
            </w:pPr>
            <w:r w:rsidRPr="00776161">
              <w:rPr>
                <w:b/>
                <w:bCs/>
                <w:sz w:val="18"/>
                <w:szCs w:val="18"/>
              </w:rPr>
              <w:t>6=4-3</w:t>
            </w:r>
          </w:p>
        </w:tc>
      </w:tr>
      <w:tr w:rsidR="000868C2" w:rsidRPr="00776161" w14:paraId="6CAC275A" w14:textId="77777777" w:rsidTr="00776161">
        <w:trPr>
          <w:trHeight w:val="330"/>
        </w:trPr>
        <w:tc>
          <w:tcPr>
            <w:tcW w:w="1641" w:type="pct"/>
            <w:tcBorders>
              <w:top w:val="single" w:sz="4" w:space="0" w:color="auto"/>
              <w:left w:val="nil"/>
              <w:bottom w:val="nil"/>
              <w:right w:val="nil"/>
            </w:tcBorders>
            <w:shd w:val="clear" w:color="000000" w:fill="FFFFFF"/>
            <w:vAlign w:val="center"/>
            <w:hideMark/>
          </w:tcPr>
          <w:p w14:paraId="2F09D5E8" w14:textId="77777777" w:rsidR="000868C2" w:rsidRPr="00776161" w:rsidRDefault="000868C2" w:rsidP="00B6745A">
            <w:pPr>
              <w:rPr>
                <w:color w:val="000000"/>
                <w:sz w:val="18"/>
                <w:szCs w:val="18"/>
              </w:rPr>
            </w:pPr>
            <w:r w:rsidRPr="00776161">
              <w:rPr>
                <w:color w:val="000000"/>
                <w:sz w:val="18"/>
                <w:szCs w:val="18"/>
              </w:rPr>
              <w:t>Zahraničné transfery - prostriedky EÚ</w:t>
            </w:r>
          </w:p>
        </w:tc>
        <w:tc>
          <w:tcPr>
            <w:tcW w:w="559" w:type="pct"/>
            <w:tcBorders>
              <w:top w:val="single" w:sz="4" w:space="0" w:color="auto"/>
              <w:left w:val="nil"/>
              <w:bottom w:val="nil"/>
              <w:right w:val="nil"/>
            </w:tcBorders>
            <w:shd w:val="clear" w:color="000000" w:fill="FFFFFF"/>
            <w:noWrap/>
            <w:vAlign w:val="center"/>
          </w:tcPr>
          <w:p w14:paraId="275FE87E" w14:textId="77777777" w:rsidR="000868C2" w:rsidRPr="00776161" w:rsidRDefault="000868C2" w:rsidP="00134DEB">
            <w:pPr>
              <w:jc w:val="right"/>
              <w:rPr>
                <w:color w:val="000000"/>
                <w:sz w:val="18"/>
                <w:szCs w:val="18"/>
              </w:rPr>
            </w:pPr>
            <w:r w:rsidRPr="00776161">
              <w:rPr>
                <w:color w:val="000000"/>
                <w:sz w:val="18"/>
                <w:szCs w:val="18"/>
              </w:rPr>
              <w:t>4 141 996</w:t>
            </w:r>
          </w:p>
        </w:tc>
        <w:tc>
          <w:tcPr>
            <w:tcW w:w="560" w:type="pct"/>
            <w:tcBorders>
              <w:top w:val="single" w:sz="4" w:space="0" w:color="auto"/>
              <w:left w:val="nil"/>
              <w:bottom w:val="nil"/>
              <w:right w:val="nil"/>
            </w:tcBorders>
            <w:shd w:val="clear" w:color="000000" w:fill="FFFFFF"/>
            <w:noWrap/>
            <w:vAlign w:val="center"/>
          </w:tcPr>
          <w:p w14:paraId="256700FE" w14:textId="77777777" w:rsidR="000868C2" w:rsidRPr="00776161" w:rsidRDefault="000868C2" w:rsidP="00134DEB">
            <w:pPr>
              <w:jc w:val="right"/>
              <w:rPr>
                <w:color w:val="000000"/>
                <w:sz w:val="18"/>
                <w:szCs w:val="18"/>
              </w:rPr>
            </w:pPr>
            <w:r w:rsidRPr="00776161">
              <w:rPr>
                <w:color w:val="000000"/>
                <w:sz w:val="18"/>
                <w:szCs w:val="18"/>
              </w:rPr>
              <w:t>3 225 491</w:t>
            </w:r>
          </w:p>
        </w:tc>
        <w:tc>
          <w:tcPr>
            <w:tcW w:w="560" w:type="pct"/>
            <w:tcBorders>
              <w:top w:val="single" w:sz="4" w:space="0" w:color="auto"/>
              <w:left w:val="nil"/>
              <w:bottom w:val="nil"/>
              <w:right w:val="nil"/>
            </w:tcBorders>
            <w:shd w:val="clear" w:color="000000" w:fill="FFFFFF"/>
            <w:noWrap/>
            <w:vAlign w:val="center"/>
          </w:tcPr>
          <w:p w14:paraId="7B9DD43B" w14:textId="77777777" w:rsidR="000868C2" w:rsidRPr="00776161" w:rsidRDefault="000868C2" w:rsidP="00134DEB">
            <w:pPr>
              <w:jc w:val="right"/>
              <w:rPr>
                <w:color w:val="000000"/>
                <w:sz w:val="18"/>
                <w:szCs w:val="18"/>
              </w:rPr>
            </w:pPr>
            <w:r w:rsidRPr="00776161">
              <w:rPr>
                <w:color w:val="000000"/>
                <w:sz w:val="18"/>
                <w:szCs w:val="18"/>
              </w:rPr>
              <w:t>2 142 252</w:t>
            </w:r>
          </w:p>
        </w:tc>
        <w:tc>
          <w:tcPr>
            <w:tcW w:w="560" w:type="pct"/>
            <w:tcBorders>
              <w:top w:val="single" w:sz="4" w:space="0" w:color="auto"/>
              <w:left w:val="nil"/>
              <w:bottom w:val="nil"/>
              <w:right w:val="nil"/>
            </w:tcBorders>
            <w:shd w:val="clear" w:color="000000" w:fill="FFFFFF"/>
            <w:noWrap/>
            <w:vAlign w:val="center"/>
          </w:tcPr>
          <w:p w14:paraId="70E3D1F8" w14:textId="77777777" w:rsidR="000868C2" w:rsidRPr="00776161" w:rsidRDefault="000868C2" w:rsidP="00134DEB">
            <w:pPr>
              <w:jc w:val="right"/>
              <w:rPr>
                <w:color w:val="000000"/>
                <w:sz w:val="18"/>
                <w:szCs w:val="18"/>
              </w:rPr>
            </w:pPr>
            <w:r w:rsidRPr="00776161">
              <w:rPr>
                <w:color w:val="000000"/>
                <w:sz w:val="18"/>
                <w:szCs w:val="18"/>
              </w:rPr>
              <w:t>2 407 529</w:t>
            </w:r>
          </w:p>
        </w:tc>
        <w:tc>
          <w:tcPr>
            <w:tcW w:w="560" w:type="pct"/>
            <w:tcBorders>
              <w:top w:val="single" w:sz="4" w:space="0" w:color="auto"/>
              <w:left w:val="nil"/>
              <w:bottom w:val="nil"/>
              <w:right w:val="nil"/>
            </w:tcBorders>
            <w:shd w:val="clear" w:color="000000" w:fill="FFFFFF"/>
            <w:noWrap/>
            <w:vAlign w:val="center"/>
          </w:tcPr>
          <w:p w14:paraId="6EFAFEB8" w14:textId="77777777" w:rsidR="000868C2" w:rsidRPr="00776161" w:rsidRDefault="000868C2" w:rsidP="00134DEB">
            <w:pPr>
              <w:jc w:val="right"/>
              <w:rPr>
                <w:color w:val="000000"/>
                <w:sz w:val="18"/>
                <w:szCs w:val="18"/>
              </w:rPr>
            </w:pPr>
            <w:r w:rsidRPr="00776161">
              <w:rPr>
                <w:color w:val="000000"/>
                <w:sz w:val="18"/>
                <w:szCs w:val="18"/>
              </w:rPr>
              <w:t>265 277</w:t>
            </w:r>
          </w:p>
        </w:tc>
        <w:tc>
          <w:tcPr>
            <w:tcW w:w="560" w:type="pct"/>
            <w:tcBorders>
              <w:top w:val="single" w:sz="4" w:space="0" w:color="auto"/>
              <w:left w:val="nil"/>
              <w:bottom w:val="nil"/>
              <w:right w:val="nil"/>
            </w:tcBorders>
            <w:shd w:val="clear" w:color="000000" w:fill="FFFFFF"/>
            <w:vAlign w:val="center"/>
          </w:tcPr>
          <w:p w14:paraId="2E0ABAC7" w14:textId="77777777" w:rsidR="000868C2" w:rsidRPr="00776161" w:rsidRDefault="000868C2" w:rsidP="00134DEB">
            <w:pPr>
              <w:jc w:val="right"/>
              <w:rPr>
                <w:color w:val="000000"/>
                <w:sz w:val="18"/>
                <w:szCs w:val="18"/>
              </w:rPr>
            </w:pPr>
            <w:r w:rsidRPr="00776161">
              <w:rPr>
                <w:color w:val="000000"/>
                <w:sz w:val="18"/>
                <w:szCs w:val="18"/>
              </w:rPr>
              <w:t>12,4</w:t>
            </w:r>
          </w:p>
        </w:tc>
      </w:tr>
      <w:tr w:rsidR="000868C2" w:rsidRPr="00776161" w14:paraId="5A7525BA" w14:textId="77777777" w:rsidTr="00776161">
        <w:trPr>
          <w:trHeight w:val="510"/>
        </w:trPr>
        <w:tc>
          <w:tcPr>
            <w:tcW w:w="1641" w:type="pct"/>
            <w:tcBorders>
              <w:top w:val="nil"/>
              <w:left w:val="nil"/>
              <w:bottom w:val="nil"/>
              <w:right w:val="nil"/>
            </w:tcBorders>
            <w:shd w:val="clear" w:color="000000" w:fill="FFFFFF"/>
            <w:vAlign w:val="center"/>
            <w:hideMark/>
          </w:tcPr>
          <w:p w14:paraId="236E9757" w14:textId="02C65DFC" w:rsidR="000868C2" w:rsidRPr="00776161" w:rsidRDefault="000868C2" w:rsidP="00B6745A">
            <w:pPr>
              <w:rPr>
                <w:color w:val="000000"/>
                <w:sz w:val="18"/>
                <w:szCs w:val="18"/>
              </w:rPr>
            </w:pPr>
            <w:r w:rsidRPr="00776161">
              <w:rPr>
                <w:color w:val="000000"/>
                <w:sz w:val="18"/>
                <w:szCs w:val="18"/>
              </w:rPr>
              <w:t xml:space="preserve">Zahraničné transfery - </w:t>
            </w:r>
            <w:r w:rsidR="00E50EF7">
              <w:rPr>
                <w:color w:val="000000"/>
                <w:sz w:val="18"/>
                <w:szCs w:val="18"/>
              </w:rPr>
              <w:t>POO</w:t>
            </w:r>
            <w:r w:rsidRPr="00776161">
              <w:rPr>
                <w:color w:val="000000"/>
                <w:sz w:val="18"/>
                <w:szCs w:val="18"/>
              </w:rPr>
              <w:t xml:space="preserve"> SR</w:t>
            </w:r>
          </w:p>
        </w:tc>
        <w:tc>
          <w:tcPr>
            <w:tcW w:w="559" w:type="pct"/>
            <w:tcBorders>
              <w:top w:val="nil"/>
              <w:left w:val="nil"/>
              <w:bottom w:val="nil"/>
              <w:right w:val="nil"/>
            </w:tcBorders>
            <w:shd w:val="clear" w:color="000000" w:fill="FFFFFF"/>
            <w:noWrap/>
            <w:vAlign w:val="center"/>
          </w:tcPr>
          <w:p w14:paraId="64B0B0F5" w14:textId="77777777" w:rsidR="000868C2" w:rsidRPr="00776161" w:rsidRDefault="000868C2" w:rsidP="00134DEB">
            <w:pPr>
              <w:jc w:val="right"/>
              <w:rPr>
                <w:color w:val="000000"/>
                <w:sz w:val="18"/>
                <w:szCs w:val="18"/>
              </w:rPr>
            </w:pPr>
            <w:r w:rsidRPr="00776161">
              <w:rPr>
                <w:color w:val="000000"/>
                <w:sz w:val="18"/>
                <w:szCs w:val="18"/>
              </w:rPr>
              <w:t>367 278</w:t>
            </w:r>
          </w:p>
        </w:tc>
        <w:tc>
          <w:tcPr>
            <w:tcW w:w="560" w:type="pct"/>
            <w:tcBorders>
              <w:top w:val="nil"/>
              <w:left w:val="nil"/>
              <w:bottom w:val="nil"/>
              <w:right w:val="nil"/>
            </w:tcBorders>
            <w:noWrap/>
            <w:vAlign w:val="center"/>
          </w:tcPr>
          <w:p w14:paraId="6981845D" w14:textId="77777777" w:rsidR="000868C2" w:rsidRPr="00776161" w:rsidRDefault="000868C2" w:rsidP="00134DEB">
            <w:pPr>
              <w:jc w:val="right"/>
              <w:rPr>
                <w:color w:val="000000"/>
                <w:sz w:val="18"/>
                <w:szCs w:val="18"/>
              </w:rPr>
            </w:pPr>
            <w:r w:rsidRPr="00776161">
              <w:rPr>
                <w:color w:val="000000"/>
                <w:sz w:val="18"/>
                <w:szCs w:val="18"/>
              </w:rPr>
              <w:t>907 200</w:t>
            </w:r>
          </w:p>
        </w:tc>
        <w:tc>
          <w:tcPr>
            <w:tcW w:w="560" w:type="pct"/>
            <w:tcBorders>
              <w:top w:val="nil"/>
              <w:left w:val="nil"/>
              <w:bottom w:val="nil"/>
              <w:right w:val="nil"/>
            </w:tcBorders>
            <w:shd w:val="clear" w:color="000000" w:fill="FFFFFF"/>
            <w:noWrap/>
            <w:vAlign w:val="center"/>
          </w:tcPr>
          <w:p w14:paraId="28BFCA10" w14:textId="77777777" w:rsidR="000868C2" w:rsidRPr="00776161" w:rsidRDefault="000868C2" w:rsidP="00134DEB">
            <w:pPr>
              <w:jc w:val="right"/>
              <w:rPr>
                <w:color w:val="000000"/>
                <w:sz w:val="18"/>
                <w:szCs w:val="18"/>
              </w:rPr>
            </w:pPr>
            <w:r w:rsidRPr="00776161">
              <w:rPr>
                <w:color w:val="000000"/>
                <w:sz w:val="18"/>
                <w:szCs w:val="18"/>
              </w:rPr>
              <w:t>1 205 546</w:t>
            </w:r>
          </w:p>
        </w:tc>
        <w:tc>
          <w:tcPr>
            <w:tcW w:w="560" w:type="pct"/>
            <w:tcBorders>
              <w:top w:val="nil"/>
              <w:left w:val="nil"/>
              <w:bottom w:val="nil"/>
              <w:right w:val="nil"/>
            </w:tcBorders>
            <w:noWrap/>
            <w:vAlign w:val="center"/>
          </w:tcPr>
          <w:p w14:paraId="60B79F54" w14:textId="77777777" w:rsidR="000868C2" w:rsidRPr="00776161" w:rsidRDefault="000868C2" w:rsidP="00134DEB">
            <w:pPr>
              <w:jc w:val="right"/>
              <w:rPr>
                <w:color w:val="000000"/>
                <w:sz w:val="18"/>
                <w:szCs w:val="18"/>
              </w:rPr>
            </w:pPr>
            <w:r w:rsidRPr="00776161">
              <w:rPr>
                <w:color w:val="000000"/>
                <w:sz w:val="18"/>
                <w:szCs w:val="18"/>
              </w:rPr>
              <w:t>1 969 781</w:t>
            </w:r>
          </w:p>
        </w:tc>
        <w:tc>
          <w:tcPr>
            <w:tcW w:w="560" w:type="pct"/>
            <w:tcBorders>
              <w:top w:val="nil"/>
              <w:left w:val="nil"/>
              <w:bottom w:val="nil"/>
              <w:right w:val="nil"/>
            </w:tcBorders>
            <w:shd w:val="clear" w:color="000000" w:fill="FFFFFF"/>
            <w:vAlign w:val="center"/>
          </w:tcPr>
          <w:p w14:paraId="7F683958" w14:textId="77777777" w:rsidR="000868C2" w:rsidRPr="00776161" w:rsidRDefault="000868C2" w:rsidP="00134DEB">
            <w:pPr>
              <w:jc w:val="right"/>
              <w:rPr>
                <w:color w:val="000000"/>
                <w:sz w:val="18"/>
                <w:szCs w:val="18"/>
              </w:rPr>
            </w:pPr>
            <w:r w:rsidRPr="00776161">
              <w:rPr>
                <w:color w:val="000000"/>
                <w:sz w:val="18"/>
                <w:szCs w:val="18"/>
              </w:rPr>
              <w:t>764 235</w:t>
            </w:r>
          </w:p>
        </w:tc>
        <w:tc>
          <w:tcPr>
            <w:tcW w:w="560" w:type="pct"/>
            <w:tcBorders>
              <w:top w:val="nil"/>
              <w:left w:val="nil"/>
              <w:bottom w:val="nil"/>
              <w:right w:val="nil"/>
            </w:tcBorders>
            <w:shd w:val="clear" w:color="000000" w:fill="FFFFFF"/>
            <w:vAlign w:val="center"/>
          </w:tcPr>
          <w:p w14:paraId="5C6CF162" w14:textId="77777777" w:rsidR="000868C2" w:rsidRPr="00776161" w:rsidRDefault="000868C2" w:rsidP="00134DEB">
            <w:pPr>
              <w:jc w:val="right"/>
              <w:rPr>
                <w:color w:val="000000"/>
                <w:sz w:val="18"/>
                <w:szCs w:val="18"/>
              </w:rPr>
            </w:pPr>
            <w:r w:rsidRPr="00776161">
              <w:rPr>
                <w:color w:val="000000"/>
                <w:sz w:val="18"/>
                <w:szCs w:val="18"/>
              </w:rPr>
              <w:t>63,4</w:t>
            </w:r>
          </w:p>
        </w:tc>
      </w:tr>
      <w:tr w:rsidR="000868C2" w:rsidRPr="00776161" w14:paraId="7480127D" w14:textId="77777777" w:rsidTr="00E50EF7">
        <w:trPr>
          <w:trHeight w:val="87"/>
        </w:trPr>
        <w:tc>
          <w:tcPr>
            <w:tcW w:w="1641" w:type="pct"/>
            <w:tcBorders>
              <w:top w:val="nil"/>
              <w:left w:val="nil"/>
              <w:bottom w:val="single" w:sz="4" w:space="0" w:color="auto"/>
              <w:right w:val="nil"/>
            </w:tcBorders>
            <w:vAlign w:val="center"/>
            <w:hideMark/>
          </w:tcPr>
          <w:p w14:paraId="5B352457" w14:textId="77777777" w:rsidR="000868C2" w:rsidRPr="00776161" w:rsidRDefault="000868C2" w:rsidP="00B6745A">
            <w:pPr>
              <w:rPr>
                <w:b/>
                <w:bCs/>
                <w:color w:val="000000"/>
                <w:sz w:val="18"/>
                <w:szCs w:val="18"/>
              </w:rPr>
            </w:pPr>
            <w:r w:rsidRPr="00776161">
              <w:rPr>
                <w:b/>
                <w:bCs/>
                <w:color w:val="000000"/>
                <w:sz w:val="18"/>
                <w:szCs w:val="18"/>
              </w:rPr>
              <w:t>Spolu príjmy z rozpočtu EÚ</w:t>
            </w:r>
          </w:p>
        </w:tc>
        <w:tc>
          <w:tcPr>
            <w:tcW w:w="559" w:type="pct"/>
            <w:tcBorders>
              <w:top w:val="nil"/>
              <w:left w:val="nil"/>
              <w:bottom w:val="single" w:sz="4" w:space="0" w:color="auto"/>
              <w:right w:val="nil"/>
            </w:tcBorders>
            <w:shd w:val="clear" w:color="000000" w:fill="FFFFFF"/>
            <w:noWrap/>
            <w:vAlign w:val="center"/>
          </w:tcPr>
          <w:p w14:paraId="20BFFA4B" w14:textId="77777777" w:rsidR="000868C2" w:rsidRPr="00776161" w:rsidRDefault="000868C2" w:rsidP="00134DEB">
            <w:pPr>
              <w:jc w:val="right"/>
              <w:rPr>
                <w:b/>
                <w:bCs/>
                <w:color w:val="000000"/>
                <w:sz w:val="18"/>
                <w:szCs w:val="18"/>
              </w:rPr>
            </w:pPr>
            <w:r w:rsidRPr="00776161">
              <w:rPr>
                <w:b/>
                <w:bCs/>
                <w:color w:val="000000"/>
                <w:sz w:val="18"/>
                <w:szCs w:val="18"/>
              </w:rPr>
              <w:t>4 509 274</w:t>
            </w:r>
          </w:p>
        </w:tc>
        <w:tc>
          <w:tcPr>
            <w:tcW w:w="560" w:type="pct"/>
            <w:tcBorders>
              <w:top w:val="nil"/>
              <w:left w:val="nil"/>
              <w:bottom w:val="single" w:sz="4" w:space="0" w:color="auto"/>
              <w:right w:val="nil"/>
            </w:tcBorders>
            <w:shd w:val="clear" w:color="000000" w:fill="FFFFFF"/>
            <w:noWrap/>
            <w:vAlign w:val="center"/>
          </w:tcPr>
          <w:p w14:paraId="7FF1DD2B" w14:textId="77777777" w:rsidR="000868C2" w:rsidRPr="00776161" w:rsidRDefault="000868C2" w:rsidP="00134DEB">
            <w:pPr>
              <w:jc w:val="right"/>
              <w:rPr>
                <w:b/>
                <w:bCs/>
                <w:color w:val="000000"/>
                <w:sz w:val="18"/>
                <w:szCs w:val="18"/>
              </w:rPr>
            </w:pPr>
            <w:r w:rsidRPr="00776161">
              <w:rPr>
                <w:b/>
                <w:bCs/>
                <w:color w:val="000000"/>
                <w:sz w:val="18"/>
                <w:szCs w:val="18"/>
              </w:rPr>
              <w:t>4 132 691</w:t>
            </w:r>
          </w:p>
        </w:tc>
        <w:tc>
          <w:tcPr>
            <w:tcW w:w="560" w:type="pct"/>
            <w:tcBorders>
              <w:top w:val="nil"/>
              <w:left w:val="nil"/>
              <w:bottom w:val="single" w:sz="4" w:space="0" w:color="auto"/>
              <w:right w:val="nil"/>
            </w:tcBorders>
            <w:shd w:val="clear" w:color="000000" w:fill="FFFFFF"/>
            <w:noWrap/>
            <w:vAlign w:val="center"/>
          </w:tcPr>
          <w:p w14:paraId="7CBEB739" w14:textId="77777777" w:rsidR="000868C2" w:rsidRPr="00776161" w:rsidRDefault="000868C2" w:rsidP="00134DEB">
            <w:pPr>
              <w:jc w:val="right"/>
              <w:rPr>
                <w:b/>
                <w:bCs/>
                <w:color w:val="000000"/>
                <w:sz w:val="18"/>
                <w:szCs w:val="18"/>
              </w:rPr>
            </w:pPr>
            <w:r w:rsidRPr="00776161">
              <w:rPr>
                <w:b/>
                <w:bCs/>
                <w:color w:val="000000"/>
                <w:sz w:val="18"/>
                <w:szCs w:val="18"/>
              </w:rPr>
              <w:t>3 347 798</w:t>
            </w:r>
          </w:p>
        </w:tc>
        <w:tc>
          <w:tcPr>
            <w:tcW w:w="560" w:type="pct"/>
            <w:tcBorders>
              <w:top w:val="nil"/>
              <w:left w:val="nil"/>
              <w:bottom w:val="single" w:sz="4" w:space="0" w:color="auto"/>
              <w:right w:val="nil"/>
            </w:tcBorders>
            <w:shd w:val="clear" w:color="000000" w:fill="FFFFFF"/>
            <w:noWrap/>
            <w:vAlign w:val="center"/>
          </w:tcPr>
          <w:p w14:paraId="3B88089B" w14:textId="77777777" w:rsidR="000868C2" w:rsidRPr="00776161" w:rsidRDefault="000868C2" w:rsidP="00134DEB">
            <w:pPr>
              <w:jc w:val="right"/>
              <w:rPr>
                <w:b/>
                <w:bCs/>
                <w:color w:val="000000"/>
                <w:sz w:val="18"/>
                <w:szCs w:val="18"/>
              </w:rPr>
            </w:pPr>
            <w:r w:rsidRPr="00776161">
              <w:rPr>
                <w:b/>
                <w:bCs/>
                <w:color w:val="000000"/>
                <w:sz w:val="18"/>
                <w:szCs w:val="18"/>
              </w:rPr>
              <w:t>4 377 310</w:t>
            </w:r>
          </w:p>
        </w:tc>
        <w:tc>
          <w:tcPr>
            <w:tcW w:w="560" w:type="pct"/>
            <w:tcBorders>
              <w:top w:val="nil"/>
              <w:left w:val="nil"/>
              <w:bottom w:val="single" w:sz="4" w:space="0" w:color="auto"/>
              <w:right w:val="nil"/>
            </w:tcBorders>
            <w:shd w:val="clear" w:color="000000" w:fill="FFFFFF"/>
            <w:noWrap/>
            <w:vAlign w:val="center"/>
          </w:tcPr>
          <w:p w14:paraId="6CBF08BC" w14:textId="77777777" w:rsidR="000868C2" w:rsidRPr="00776161" w:rsidRDefault="000868C2" w:rsidP="00134DEB">
            <w:pPr>
              <w:jc w:val="right"/>
              <w:rPr>
                <w:b/>
                <w:bCs/>
                <w:color w:val="000000"/>
                <w:sz w:val="18"/>
                <w:szCs w:val="18"/>
              </w:rPr>
            </w:pPr>
            <w:r w:rsidRPr="00776161">
              <w:rPr>
                <w:b/>
                <w:bCs/>
                <w:color w:val="000000"/>
                <w:sz w:val="18"/>
                <w:szCs w:val="18"/>
              </w:rPr>
              <w:t>1 029 512</w:t>
            </w:r>
          </w:p>
        </w:tc>
        <w:tc>
          <w:tcPr>
            <w:tcW w:w="560" w:type="pct"/>
            <w:tcBorders>
              <w:top w:val="nil"/>
              <w:left w:val="nil"/>
              <w:bottom w:val="single" w:sz="4" w:space="0" w:color="auto"/>
              <w:right w:val="nil"/>
            </w:tcBorders>
            <w:shd w:val="clear" w:color="000000" w:fill="FFFFFF"/>
            <w:noWrap/>
            <w:vAlign w:val="center"/>
          </w:tcPr>
          <w:p w14:paraId="77BEF9BF" w14:textId="77777777" w:rsidR="000868C2" w:rsidRPr="00776161" w:rsidRDefault="000868C2" w:rsidP="00134DEB">
            <w:pPr>
              <w:jc w:val="right"/>
              <w:rPr>
                <w:b/>
                <w:bCs/>
                <w:color w:val="000000"/>
                <w:sz w:val="18"/>
                <w:szCs w:val="18"/>
              </w:rPr>
            </w:pPr>
            <w:r w:rsidRPr="00776161">
              <w:rPr>
                <w:b/>
                <w:bCs/>
                <w:color w:val="000000"/>
                <w:sz w:val="18"/>
                <w:szCs w:val="18"/>
              </w:rPr>
              <w:t>30,8</w:t>
            </w:r>
          </w:p>
        </w:tc>
      </w:tr>
      <w:tr w:rsidR="000868C2" w:rsidRPr="00776161" w14:paraId="19D7AD1D" w14:textId="77777777" w:rsidTr="00776161">
        <w:trPr>
          <w:trHeight w:val="330"/>
        </w:trPr>
        <w:tc>
          <w:tcPr>
            <w:tcW w:w="1641" w:type="pct"/>
            <w:tcBorders>
              <w:top w:val="nil"/>
              <w:left w:val="nil"/>
              <w:bottom w:val="nil"/>
              <w:right w:val="nil"/>
            </w:tcBorders>
            <w:shd w:val="clear" w:color="000000" w:fill="FFFFFF"/>
            <w:vAlign w:val="center"/>
            <w:hideMark/>
          </w:tcPr>
          <w:p w14:paraId="70523A39" w14:textId="77777777" w:rsidR="000868C2" w:rsidRPr="00776161" w:rsidRDefault="000868C2" w:rsidP="00B6745A">
            <w:pPr>
              <w:rPr>
                <w:color w:val="000000"/>
                <w:sz w:val="18"/>
                <w:szCs w:val="18"/>
              </w:rPr>
            </w:pPr>
            <w:r w:rsidRPr="00776161">
              <w:rPr>
                <w:color w:val="000000"/>
                <w:sz w:val="18"/>
                <w:szCs w:val="18"/>
              </w:rPr>
              <w:t>Tradičné vlastné zdroje</w:t>
            </w:r>
          </w:p>
        </w:tc>
        <w:tc>
          <w:tcPr>
            <w:tcW w:w="559" w:type="pct"/>
            <w:tcBorders>
              <w:top w:val="nil"/>
              <w:left w:val="nil"/>
              <w:bottom w:val="nil"/>
              <w:right w:val="nil"/>
            </w:tcBorders>
            <w:shd w:val="clear" w:color="000000" w:fill="FFFFFF"/>
            <w:noWrap/>
            <w:vAlign w:val="center"/>
          </w:tcPr>
          <w:p w14:paraId="1D907D71" w14:textId="77777777" w:rsidR="000868C2" w:rsidRPr="00776161" w:rsidRDefault="000868C2" w:rsidP="00134DEB">
            <w:pPr>
              <w:jc w:val="right"/>
              <w:rPr>
                <w:color w:val="000000"/>
                <w:sz w:val="18"/>
                <w:szCs w:val="18"/>
              </w:rPr>
            </w:pPr>
            <w:r w:rsidRPr="00776161">
              <w:rPr>
                <w:color w:val="000000"/>
                <w:sz w:val="18"/>
                <w:szCs w:val="18"/>
              </w:rPr>
              <w:t>113 712</w:t>
            </w:r>
          </w:p>
        </w:tc>
        <w:tc>
          <w:tcPr>
            <w:tcW w:w="560" w:type="pct"/>
            <w:tcBorders>
              <w:top w:val="nil"/>
              <w:left w:val="nil"/>
              <w:bottom w:val="nil"/>
              <w:right w:val="nil"/>
            </w:tcBorders>
            <w:shd w:val="clear" w:color="000000" w:fill="FFFFFF"/>
            <w:noWrap/>
            <w:vAlign w:val="center"/>
          </w:tcPr>
          <w:p w14:paraId="4B291EB5" w14:textId="77777777" w:rsidR="000868C2" w:rsidRPr="00776161" w:rsidRDefault="000868C2" w:rsidP="00134DEB">
            <w:pPr>
              <w:jc w:val="right"/>
              <w:rPr>
                <w:color w:val="000000"/>
                <w:sz w:val="18"/>
                <w:szCs w:val="18"/>
              </w:rPr>
            </w:pPr>
            <w:r w:rsidRPr="00776161">
              <w:rPr>
                <w:color w:val="000000"/>
                <w:sz w:val="18"/>
                <w:szCs w:val="18"/>
              </w:rPr>
              <w:t>109 934</w:t>
            </w:r>
          </w:p>
        </w:tc>
        <w:tc>
          <w:tcPr>
            <w:tcW w:w="560" w:type="pct"/>
            <w:tcBorders>
              <w:top w:val="nil"/>
              <w:left w:val="nil"/>
              <w:bottom w:val="nil"/>
              <w:right w:val="nil"/>
            </w:tcBorders>
            <w:shd w:val="clear" w:color="000000" w:fill="FFFFFF"/>
            <w:noWrap/>
            <w:vAlign w:val="center"/>
          </w:tcPr>
          <w:p w14:paraId="038BEA9D" w14:textId="77777777" w:rsidR="000868C2" w:rsidRPr="00776161" w:rsidRDefault="000868C2" w:rsidP="00134DEB">
            <w:pPr>
              <w:jc w:val="right"/>
              <w:rPr>
                <w:color w:val="000000"/>
                <w:sz w:val="18"/>
                <w:szCs w:val="18"/>
              </w:rPr>
            </w:pPr>
            <w:r w:rsidRPr="00776161">
              <w:rPr>
                <w:sz w:val="18"/>
                <w:szCs w:val="18"/>
              </w:rPr>
              <w:t>117 737</w:t>
            </w:r>
          </w:p>
        </w:tc>
        <w:tc>
          <w:tcPr>
            <w:tcW w:w="560" w:type="pct"/>
            <w:tcBorders>
              <w:top w:val="nil"/>
              <w:left w:val="nil"/>
              <w:bottom w:val="nil"/>
              <w:right w:val="nil"/>
            </w:tcBorders>
            <w:shd w:val="clear" w:color="000000" w:fill="FFFFFF"/>
            <w:noWrap/>
            <w:vAlign w:val="center"/>
          </w:tcPr>
          <w:p w14:paraId="29B428E2" w14:textId="77777777" w:rsidR="000868C2" w:rsidRPr="00776161" w:rsidRDefault="000868C2" w:rsidP="00134DEB">
            <w:pPr>
              <w:jc w:val="right"/>
              <w:rPr>
                <w:color w:val="000000"/>
                <w:sz w:val="18"/>
                <w:szCs w:val="18"/>
              </w:rPr>
            </w:pPr>
            <w:r w:rsidRPr="00776161">
              <w:rPr>
                <w:color w:val="000000"/>
                <w:sz w:val="18"/>
                <w:szCs w:val="18"/>
              </w:rPr>
              <w:t>136 144</w:t>
            </w:r>
          </w:p>
        </w:tc>
        <w:tc>
          <w:tcPr>
            <w:tcW w:w="560" w:type="pct"/>
            <w:tcBorders>
              <w:top w:val="nil"/>
              <w:left w:val="nil"/>
              <w:bottom w:val="nil"/>
              <w:right w:val="nil"/>
            </w:tcBorders>
            <w:shd w:val="clear" w:color="000000" w:fill="FFFFFF"/>
            <w:noWrap/>
            <w:vAlign w:val="center"/>
          </w:tcPr>
          <w:p w14:paraId="7F912124" w14:textId="77777777" w:rsidR="000868C2" w:rsidRPr="00776161" w:rsidRDefault="000868C2" w:rsidP="00134DEB">
            <w:pPr>
              <w:jc w:val="right"/>
              <w:rPr>
                <w:color w:val="000000"/>
                <w:sz w:val="18"/>
                <w:szCs w:val="18"/>
              </w:rPr>
            </w:pPr>
            <w:r w:rsidRPr="00776161">
              <w:rPr>
                <w:sz w:val="18"/>
                <w:szCs w:val="18"/>
              </w:rPr>
              <w:t>18 407</w:t>
            </w:r>
          </w:p>
        </w:tc>
        <w:tc>
          <w:tcPr>
            <w:tcW w:w="560" w:type="pct"/>
            <w:tcBorders>
              <w:top w:val="nil"/>
              <w:left w:val="nil"/>
              <w:bottom w:val="nil"/>
              <w:right w:val="nil"/>
            </w:tcBorders>
            <w:shd w:val="clear" w:color="000000" w:fill="FFFFFF"/>
            <w:vAlign w:val="center"/>
          </w:tcPr>
          <w:p w14:paraId="7DB1675F" w14:textId="77777777" w:rsidR="000868C2" w:rsidRPr="00776161" w:rsidRDefault="000868C2" w:rsidP="00134DEB">
            <w:pPr>
              <w:jc w:val="right"/>
              <w:rPr>
                <w:color w:val="000000"/>
                <w:sz w:val="18"/>
                <w:szCs w:val="18"/>
              </w:rPr>
            </w:pPr>
            <w:r w:rsidRPr="00776161">
              <w:rPr>
                <w:sz w:val="18"/>
                <w:szCs w:val="18"/>
              </w:rPr>
              <w:t xml:space="preserve">15,6  </w:t>
            </w:r>
          </w:p>
        </w:tc>
      </w:tr>
      <w:tr w:rsidR="000868C2" w:rsidRPr="00776161" w14:paraId="372B8B5E" w14:textId="77777777" w:rsidTr="00776161">
        <w:trPr>
          <w:trHeight w:val="510"/>
        </w:trPr>
        <w:tc>
          <w:tcPr>
            <w:tcW w:w="1641" w:type="pct"/>
            <w:tcBorders>
              <w:top w:val="nil"/>
              <w:left w:val="nil"/>
              <w:bottom w:val="nil"/>
              <w:right w:val="nil"/>
            </w:tcBorders>
            <w:shd w:val="clear" w:color="000000" w:fill="FFFFFF"/>
            <w:vAlign w:val="center"/>
            <w:hideMark/>
          </w:tcPr>
          <w:p w14:paraId="0218DFEB" w14:textId="77777777" w:rsidR="000868C2" w:rsidRPr="00776161" w:rsidRDefault="000868C2" w:rsidP="00B6745A">
            <w:pPr>
              <w:rPr>
                <w:color w:val="000000"/>
                <w:sz w:val="18"/>
                <w:szCs w:val="18"/>
              </w:rPr>
            </w:pPr>
            <w:r w:rsidRPr="00776161">
              <w:rPr>
                <w:color w:val="000000"/>
                <w:sz w:val="18"/>
                <w:szCs w:val="18"/>
              </w:rPr>
              <w:t>Odvody SR spolu bez tradičných vlastných zdrojov - kapitola VPS</w:t>
            </w:r>
          </w:p>
        </w:tc>
        <w:tc>
          <w:tcPr>
            <w:tcW w:w="559" w:type="pct"/>
            <w:tcBorders>
              <w:top w:val="nil"/>
              <w:left w:val="nil"/>
              <w:bottom w:val="nil"/>
              <w:right w:val="nil"/>
            </w:tcBorders>
            <w:shd w:val="clear" w:color="000000" w:fill="FFFFFF"/>
            <w:noWrap/>
            <w:vAlign w:val="center"/>
          </w:tcPr>
          <w:p w14:paraId="0F52FE8F" w14:textId="77777777" w:rsidR="000868C2" w:rsidRPr="00776161" w:rsidRDefault="000868C2" w:rsidP="00134DEB">
            <w:pPr>
              <w:jc w:val="right"/>
              <w:rPr>
                <w:color w:val="000000"/>
                <w:sz w:val="18"/>
                <w:szCs w:val="18"/>
              </w:rPr>
            </w:pPr>
            <w:r w:rsidRPr="00776161">
              <w:rPr>
                <w:color w:val="000000"/>
                <w:sz w:val="18"/>
                <w:szCs w:val="18"/>
              </w:rPr>
              <w:t>943 226</w:t>
            </w:r>
          </w:p>
        </w:tc>
        <w:tc>
          <w:tcPr>
            <w:tcW w:w="560" w:type="pct"/>
            <w:tcBorders>
              <w:top w:val="nil"/>
              <w:left w:val="nil"/>
              <w:bottom w:val="nil"/>
              <w:right w:val="nil"/>
            </w:tcBorders>
            <w:noWrap/>
            <w:vAlign w:val="center"/>
          </w:tcPr>
          <w:p w14:paraId="7DFC72AA" w14:textId="77777777" w:rsidR="000868C2" w:rsidRPr="00776161" w:rsidRDefault="000868C2" w:rsidP="00134DEB">
            <w:pPr>
              <w:jc w:val="right"/>
              <w:rPr>
                <w:color w:val="000000"/>
                <w:sz w:val="18"/>
                <w:szCs w:val="18"/>
              </w:rPr>
            </w:pPr>
            <w:r w:rsidRPr="00776161">
              <w:rPr>
                <w:color w:val="000000"/>
                <w:sz w:val="18"/>
                <w:szCs w:val="18"/>
              </w:rPr>
              <w:t>826 119</w:t>
            </w:r>
          </w:p>
        </w:tc>
        <w:tc>
          <w:tcPr>
            <w:tcW w:w="560" w:type="pct"/>
            <w:tcBorders>
              <w:top w:val="nil"/>
              <w:left w:val="nil"/>
              <w:bottom w:val="nil"/>
              <w:right w:val="nil"/>
            </w:tcBorders>
            <w:shd w:val="clear" w:color="000000" w:fill="FFFFFF"/>
            <w:noWrap/>
            <w:vAlign w:val="center"/>
          </w:tcPr>
          <w:p w14:paraId="58C7D5DF" w14:textId="77777777" w:rsidR="000868C2" w:rsidRPr="00776161" w:rsidRDefault="000868C2" w:rsidP="00134DEB">
            <w:pPr>
              <w:jc w:val="right"/>
              <w:rPr>
                <w:color w:val="000000"/>
                <w:sz w:val="18"/>
                <w:szCs w:val="18"/>
              </w:rPr>
            </w:pPr>
            <w:r w:rsidRPr="00776161">
              <w:rPr>
                <w:sz w:val="18"/>
                <w:szCs w:val="18"/>
              </w:rPr>
              <w:t>980 963</w:t>
            </w:r>
          </w:p>
        </w:tc>
        <w:tc>
          <w:tcPr>
            <w:tcW w:w="560" w:type="pct"/>
            <w:tcBorders>
              <w:top w:val="nil"/>
              <w:left w:val="nil"/>
              <w:bottom w:val="nil"/>
              <w:right w:val="nil"/>
            </w:tcBorders>
            <w:shd w:val="clear" w:color="000000" w:fill="FFFFFF"/>
            <w:noWrap/>
            <w:vAlign w:val="center"/>
          </w:tcPr>
          <w:p w14:paraId="0564BE6E" w14:textId="77777777" w:rsidR="000868C2" w:rsidRPr="00776161" w:rsidRDefault="000868C2" w:rsidP="00134DEB">
            <w:pPr>
              <w:jc w:val="right"/>
              <w:rPr>
                <w:color w:val="000000"/>
                <w:sz w:val="18"/>
                <w:szCs w:val="18"/>
              </w:rPr>
            </w:pPr>
            <w:r w:rsidRPr="00776161">
              <w:rPr>
                <w:color w:val="000000"/>
                <w:sz w:val="18"/>
                <w:szCs w:val="18"/>
              </w:rPr>
              <w:t>993 118</w:t>
            </w:r>
          </w:p>
        </w:tc>
        <w:tc>
          <w:tcPr>
            <w:tcW w:w="560" w:type="pct"/>
            <w:tcBorders>
              <w:top w:val="nil"/>
              <w:left w:val="nil"/>
              <w:bottom w:val="nil"/>
              <w:right w:val="nil"/>
            </w:tcBorders>
            <w:vAlign w:val="center"/>
          </w:tcPr>
          <w:p w14:paraId="04EA4374" w14:textId="77777777" w:rsidR="000868C2" w:rsidRPr="00776161" w:rsidRDefault="000868C2" w:rsidP="00134DEB">
            <w:pPr>
              <w:jc w:val="right"/>
              <w:rPr>
                <w:color w:val="000000"/>
                <w:sz w:val="18"/>
                <w:szCs w:val="18"/>
              </w:rPr>
            </w:pPr>
            <w:r w:rsidRPr="00776161">
              <w:rPr>
                <w:sz w:val="18"/>
                <w:szCs w:val="18"/>
              </w:rPr>
              <w:t>12 155</w:t>
            </w:r>
          </w:p>
        </w:tc>
        <w:tc>
          <w:tcPr>
            <w:tcW w:w="560" w:type="pct"/>
            <w:tcBorders>
              <w:top w:val="nil"/>
              <w:left w:val="nil"/>
              <w:bottom w:val="nil"/>
              <w:right w:val="nil"/>
            </w:tcBorders>
            <w:shd w:val="clear" w:color="000000" w:fill="FFFFFF"/>
            <w:vAlign w:val="center"/>
          </w:tcPr>
          <w:p w14:paraId="2A2A632D" w14:textId="77777777" w:rsidR="000868C2" w:rsidRPr="00776161" w:rsidRDefault="000868C2" w:rsidP="00134DEB">
            <w:pPr>
              <w:jc w:val="right"/>
              <w:rPr>
                <w:color w:val="000000"/>
                <w:sz w:val="18"/>
                <w:szCs w:val="18"/>
              </w:rPr>
            </w:pPr>
            <w:r w:rsidRPr="00776161">
              <w:rPr>
                <w:sz w:val="18"/>
                <w:szCs w:val="18"/>
              </w:rPr>
              <w:t xml:space="preserve">1,2  </w:t>
            </w:r>
          </w:p>
        </w:tc>
      </w:tr>
      <w:tr w:rsidR="000868C2" w:rsidRPr="00776161" w14:paraId="1E6E89ED" w14:textId="77777777" w:rsidTr="00776161">
        <w:trPr>
          <w:trHeight w:val="525"/>
        </w:trPr>
        <w:tc>
          <w:tcPr>
            <w:tcW w:w="1641" w:type="pct"/>
            <w:tcBorders>
              <w:top w:val="nil"/>
              <w:left w:val="nil"/>
              <w:bottom w:val="single" w:sz="4" w:space="0" w:color="auto"/>
              <w:right w:val="nil"/>
            </w:tcBorders>
            <w:vAlign w:val="center"/>
            <w:hideMark/>
          </w:tcPr>
          <w:p w14:paraId="1C8E5CB5" w14:textId="77777777" w:rsidR="000868C2" w:rsidRPr="00776161" w:rsidRDefault="000868C2" w:rsidP="00B6745A">
            <w:pPr>
              <w:rPr>
                <w:b/>
                <w:bCs/>
                <w:color w:val="000000"/>
                <w:sz w:val="18"/>
                <w:szCs w:val="18"/>
              </w:rPr>
            </w:pPr>
            <w:r w:rsidRPr="00776161">
              <w:rPr>
                <w:b/>
                <w:bCs/>
                <w:color w:val="000000"/>
                <w:sz w:val="18"/>
                <w:szCs w:val="18"/>
              </w:rPr>
              <w:t>Odvody SR spolu vrátane tradičných vlastných zdrojov</w:t>
            </w:r>
          </w:p>
        </w:tc>
        <w:tc>
          <w:tcPr>
            <w:tcW w:w="559" w:type="pct"/>
            <w:tcBorders>
              <w:top w:val="nil"/>
              <w:left w:val="nil"/>
              <w:bottom w:val="single" w:sz="4" w:space="0" w:color="auto"/>
              <w:right w:val="nil"/>
            </w:tcBorders>
            <w:shd w:val="clear" w:color="000000" w:fill="FFFFFF"/>
            <w:noWrap/>
            <w:vAlign w:val="center"/>
          </w:tcPr>
          <w:p w14:paraId="1C875124" w14:textId="77777777" w:rsidR="000868C2" w:rsidRPr="00776161" w:rsidRDefault="000868C2" w:rsidP="00134DEB">
            <w:pPr>
              <w:jc w:val="right"/>
              <w:rPr>
                <w:b/>
                <w:bCs/>
                <w:color w:val="000000"/>
                <w:sz w:val="18"/>
                <w:szCs w:val="18"/>
              </w:rPr>
            </w:pPr>
            <w:r w:rsidRPr="00776161">
              <w:rPr>
                <w:b/>
                <w:bCs/>
                <w:color w:val="000000"/>
                <w:sz w:val="18"/>
                <w:szCs w:val="18"/>
              </w:rPr>
              <w:t>1 056 938</w:t>
            </w:r>
          </w:p>
        </w:tc>
        <w:tc>
          <w:tcPr>
            <w:tcW w:w="560" w:type="pct"/>
            <w:tcBorders>
              <w:top w:val="nil"/>
              <w:left w:val="nil"/>
              <w:bottom w:val="single" w:sz="4" w:space="0" w:color="auto"/>
              <w:right w:val="nil"/>
            </w:tcBorders>
            <w:shd w:val="clear" w:color="000000" w:fill="FFFFFF"/>
            <w:noWrap/>
            <w:vAlign w:val="center"/>
          </w:tcPr>
          <w:p w14:paraId="0E408D33" w14:textId="77777777" w:rsidR="000868C2" w:rsidRPr="00776161" w:rsidRDefault="000868C2" w:rsidP="00134DEB">
            <w:pPr>
              <w:jc w:val="right"/>
              <w:rPr>
                <w:b/>
                <w:bCs/>
                <w:color w:val="000000"/>
                <w:sz w:val="18"/>
                <w:szCs w:val="18"/>
              </w:rPr>
            </w:pPr>
            <w:r w:rsidRPr="00776161">
              <w:rPr>
                <w:b/>
                <w:bCs/>
                <w:color w:val="000000"/>
                <w:sz w:val="18"/>
                <w:szCs w:val="18"/>
              </w:rPr>
              <w:t>936 053</w:t>
            </w:r>
          </w:p>
        </w:tc>
        <w:tc>
          <w:tcPr>
            <w:tcW w:w="560" w:type="pct"/>
            <w:tcBorders>
              <w:top w:val="nil"/>
              <w:left w:val="nil"/>
              <w:bottom w:val="single" w:sz="4" w:space="0" w:color="auto"/>
              <w:right w:val="nil"/>
            </w:tcBorders>
            <w:shd w:val="clear" w:color="000000" w:fill="FFFFFF"/>
            <w:noWrap/>
            <w:vAlign w:val="center"/>
          </w:tcPr>
          <w:p w14:paraId="5D759D11" w14:textId="77777777" w:rsidR="000868C2" w:rsidRPr="00776161" w:rsidRDefault="000868C2" w:rsidP="00134DEB">
            <w:pPr>
              <w:jc w:val="right"/>
              <w:rPr>
                <w:b/>
                <w:bCs/>
                <w:color w:val="000000"/>
                <w:sz w:val="18"/>
                <w:szCs w:val="18"/>
              </w:rPr>
            </w:pPr>
            <w:r w:rsidRPr="00776161">
              <w:rPr>
                <w:b/>
                <w:bCs/>
                <w:color w:val="000000"/>
                <w:sz w:val="18"/>
                <w:szCs w:val="18"/>
              </w:rPr>
              <w:t>1 098 700</w:t>
            </w:r>
          </w:p>
        </w:tc>
        <w:tc>
          <w:tcPr>
            <w:tcW w:w="560" w:type="pct"/>
            <w:tcBorders>
              <w:top w:val="nil"/>
              <w:left w:val="nil"/>
              <w:bottom w:val="single" w:sz="4" w:space="0" w:color="auto"/>
              <w:right w:val="nil"/>
            </w:tcBorders>
            <w:shd w:val="clear" w:color="000000" w:fill="FFFFFF"/>
            <w:noWrap/>
            <w:vAlign w:val="center"/>
          </w:tcPr>
          <w:p w14:paraId="04177038" w14:textId="77777777" w:rsidR="000868C2" w:rsidRPr="00776161" w:rsidRDefault="000868C2" w:rsidP="00134DEB">
            <w:pPr>
              <w:jc w:val="right"/>
              <w:rPr>
                <w:b/>
                <w:bCs/>
                <w:color w:val="000000"/>
                <w:sz w:val="18"/>
                <w:szCs w:val="18"/>
              </w:rPr>
            </w:pPr>
            <w:r w:rsidRPr="00776161">
              <w:rPr>
                <w:b/>
                <w:bCs/>
                <w:color w:val="000000"/>
                <w:sz w:val="18"/>
                <w:szCs w:val="18"/>
              </w:rPr>
              <w:t>1 129 262</w:t>
            </w:r>
          </w:p>
        </w:tc>
        <w:tc>
          <w:tcPr>
            <w:tcW w:w="560" w:type="pct"/>
            <w:tcBorders>
              <w:top w:val="nil"/>
              <w:left w:val="nil"/>
              <w:bottom w:val="single" w:sz="4" w:space="0" w:color="auto"/>
              <w:right w:val="nil"/>
            </w:tcBorders>
            <w:shd w:val="clear" w:color="000000" w:fill="FFFFFF"/>
            <w:noWrap/>
            <w:vAlign w:val="center"/>
          </w:tcPr>
          <w:p w14:paraId="1238BC0F" w14:textId="77777777" w:rsidR="000868C2" w:rsidRPr="00776161" w:rsidRDefault="000868C2" w:rsidP="00134DEB">
            <w:pPr>
              <w:jc w:val="right"/>
              <w:rPr>
                <w:b/>
                <w:bCs/>
                <w:color w:val="000000"/>
                <w:sz w:val="18"/>
                <w:szCs w:val="18"/>
              </w:rPr>
            </w:pPr>
            <w:r w:rsidRPr="00776161">
              <w:rPr>
                <w:b/>
                <w:bCs/>
                <w:color w:val="000000"/>
                <w:sz w:val="18"/>
                <w:szCs w:val="18"/>
              </w:rPr>
              <w:t>30 562</w:t>
            </w:r>
          </w:p>
        </w:tc>
        <w:tc>
          <w:tcPr>
            <w:tcW w:w="560" w:type="pct"/>
            <w:tcBorders>
              <w:top w:val="nil"/>
              <w:left w:val="nil"/>
              <w:bottom w:val="single" w:sz="4" w:space="0" w:color="auto"/>
              <w:right w:val="nil"/>
            </w:tcBorders>
            <w:vAlign w:val="center"/>
          </w:tcPr>
          <w:p w14:paraId="25934944" w14:textId="77777777" w:rsidR="000868C2" w:rsidRPr="00776161" w:rsidRDefault="000868C2" w:rsidP="00134DEB">
            <w:pPr>
              <w:jc w:val="right"/>
              <w:rPr>
                <w:b/>
                <w:bCs/>
                <w:color w:val="000000"/>
                <w:sz w:val="18"/>
                <w:szCs w:val="18"/>
              </w:rPr>
            </w:pPr>
            <w:r w:rsidRPr="00776161">
              <w:rPr>
                <w:b/>
                <w:bCs/>
                <w:color w:val="000000"/>
                <w:sz w:val="18"/>
                <w:szCs w:val="18"/>
              </w:rPr>
              <w:t>2,8</w:t>
            </w:r>
          </w:p>
        </w:tc>
      </w:tr>
      <w:tr w:rsidR="000868C2" w:rsidRPr="00776161" w14:paraId="73CC0001" w14:textId="77777777" w:rsidTr="00776161">
        <w:trPr>
          <w:trHeight w:val="510"/>
        </w:trPr>
        <w:tc>
          <w:tcPr>
            <w:tcW w:w="1641" w:type="pct"/>
            <w:tcBorders>
              <w:top w:val="nil"/>
              <w:left w:val="nil"/>
              <w:bottom w:val="nil"/>
              <w:right w:val="nil"/>
            </w:tcBorders>
            <w:shd w:val="clear" w:color="000000" w:fill="FFFFFF"/>
            <w:vAlign w:val="center"/>
            <w:hideMark/>
          </w:tcPr>
          <w:p w14:paraId="11AE02DF" w14:textId="77777777" w:rsidR="000868C2" w:rsidRPr="00776161" w:rsidRDefault="000868C2" w:rsidP="00B6745A">
            <w:pPr>
              <w:rPr>
                <w:color w:val="000000"/>
                <w:sz w:val="18"/>
                <w:szCs w:val="18"/>
              </w:rPr>
            </w:pPr>
            <w:r w:rsidRPr="00776161">
              <w:rPr>
                <w:color w:val="000000"/>
                <w:sz w:val="18"/>
                <w:szCs w:val="18"/>
              </w:rPr>
              <w:t>Príspevok SR do Európskeho rozvojového fondu (spoločne platba pre EK a pre EIB)</w:t>
            </w:r>
          </w:p>
        </w:tc>
        <w:tc>
          <w:tcPr>
            <w:tcW w:w="559" w:type="pct"/>
            <w:tcBorders>
              <w:top w:val="nil"/>
              <w:left w:val="nil"/>
              <w:bottom w:val="nil"/>
              <w:right w:val="nil"/>
            </w:tcBorders>
            <w:shd w:val="clear" w:color="000000" w:fill="FFFFFF"/>
            <w:noWrap/>
            <w:vAlign w:val="center"/>
          </w:tcPr>
          <w:p w14:paraId="5BB0DA36" w14:textId="77777777" w:rsidR="000868C2" w:rsidRPr="00776161" w:rsidRDefault="000868C2" w:rsidP="00134DEB">
            <w:pPr>
              <w:jc w:val="right"/>
              <w:rPr>
                <w:color w:val="000000"/>
                <w:sz w:val="18"/>
                <w:szCs w:val="18"/>
              </w:rPr>
            </w:pPr>
            <w:r w:rsidRPr="00776161">
              <w:rPr>
                <w:color w:val="000000"/>
                <w:sz w:val="18"/>
                <w:szCs w:val="18"/>
              </w:rPr>
              <w:t>7 899</w:t>
            </w:r>
          </w:p>
        </w:tc>
        <w:tc>
          <w:tcPr>
            <w:tcW w:w="560" w:type="pct"/>
            <w:tcBorders>
              <w:top w:val="nil"/>
              <w:left w:val="nil"/>
              <w:bottom w:val="nil"/>
              <w:right w:val="nil"/>
            </w:tcBorders>
            <w:shd w:val="clear" w:color="000000" w:fill="FFFFFF"/>
            <w:noWrap/>
            <w:vAlign w:val="center"/>
          </w:tcPr>
          <w:p w14:paraId="2AB0221C" w14:textId="77777777" w:rsidR="000868C2" w:rsidRPr="00776161" w:rsidRDefault="000868C2" w:rsidP="00134DEB">
            <w:pPr>
              <w:jc w:val="right"/>
              <w:rPr>
                <w:color w:val="000000"/>
                <w:sz w:val="18"/>
                <w:szCs w:val="18"/>
              </w:rPr>
            </w:pPr>
            <w:r w:rsidRPr="00776161">
              <w:rPr>
                <w:color w:val="000000"/>
                <w:sz w:val="18"/>
                <w:szCs w:val="18"/>
              </w:rPr>
              <w:t>5 642</w:t>
            </w:r>
          </w:p>
        </w:tc>
        <w:tc>
          <w:tcPr>
            <w:tcW w:w="560" w:type="pct"/>
            <w:tcBorders>
              <w:top w:val="nil"/>
              <w:left w:val="nil"/>
              <w:bottom w:val="nil"/>
              <w:right w:val="nil"/>
            </w:tcBorders>
            <w:shd w:val="clear" w:color="000000" w:fill="FFFFFF"/>
            <w:noWrap/>
            <w:vAlign w:val="center"/>
          </w:tcPr>
          <w:p w14:paraId="42195381" w14:textId="77777777" w:rsidR="000868C2" w:rsidRPr="00776161" w:rsidRDefault="000868C2" w:rsidP="00134DEB">
            <w:pPr>
              <w:jc w:val="right"/>
              <w:rPr>
                <w:color w:val="000000"/>
                <w:sz w:val="18"/>
                <w:szCs w:val="18"/>
              </w:rPr>
            </w:pPr>
            <w:r w:rsidRPr="00776161">
              <w:rPr>
                <w:sz w:val="18"/>
                <w:szCs w:val="18"/>
              </w:rPr>
              <w:t>3 100</w:t>
            </w:r>
          </w:p>
        </w:tc>
        <w:tc>
          <w:tcPr>
            <w:tcW w:w="560" w:type="pct"/>
            <w:tcBorders>
              <w:top w:val="nil"/>
              <w:left w:val="nil"/>
              <w:bottom w:val="nil"/>
              <w:right w:val="nil"/>
            </w:tcBorders>
            <w:shd w:val="clear" w:color="000000" w:fill="FFFFFF"/>
            <w:noWrap/>
            <w:vAlign w:val="center"/>
          </w:tcPr>
          <w:p w14:paraId="60A552B4" w14:textId="77777777" w:rsidR="000868C2" w:rsidRPr="00776161" w:rsidRDefault="000868C2" w:rsidP="00134DEB">
            <w:pPr>
              <w:jc w:val="right"/>
              <w:rPr>
                <w:color w:val="000000"/>
                <w:sz w:val="18"/>
                <w:szCs w:val="18"/>
              </w:rPr>
            </w:pPr>
            <w:r w:rsidRPr="00776161">
              <w:rPr>
                <w:color w:val="000000"/>
                <w:sz w:val="18"/>
                <w:szCs w:val="18"/>
              </w:rPr>
              <w:t>3 043</w:t>
            </w:r>
          </w:p>
        </w:tc>
        <w:tc>
          <w:tcPr>
            <w:tcW w:w="560" w:type="pct"/>
            <w:tcBorders>
              <w:top w:val="nil"/>
              <w:left w:val="nil"/>
              <w:bottom w:val="nil"/>
              <w:right w:val="nil"/>
            </w:tcBorders>
            <w:shd w:val="clear" w:color="000000" w:fill="FFFFFF"/>
            <w:vAlign w:val="center"/>
          </w:tcPr>
          <w:p w14:paraId="4162B13C" w14:textId="77777777" w:rsidR="000868C2" w:rsidRPr="00776161" w:rsidRDefault="000868C2" w:rsidP="00134DEB">
            <w:pPr>
              <w:jc w:val="right"/>
              <w:rPr>
                <w:color w:val="000000"/>
                <w:sz w:val="18"/>
                <w:szCs w:val="18"/>
              </w:rPr>
            </w:pPr>
            <w:r w:rsidRPr="00776161">
              <w:rPr>
                <w:sz w:val="18"/>
                <w:szCs w:val="18"/>
              </w:rPr>
              <w:t>-57</w:t>
            </w:r>
          </w:p>
        </w:tc>
        <w:tc>
          <w:tcPr>
            <w:tcW w:w="560" w:type="pct"/>
            <w:tcBorders>
              <w:top w:val="nil"/>
              <w:left w:val="nil"/>
              <w:bottom w:val="nil"/>
              <w:right w:val="nil"/>
            </w:tcBorders>
            <w:shd w:val="clear" w:color="000000" w:fill="FFFFFF"/>
            <w:vAlign w:val="center"/>
          </w:tcPr>
          <w:p w14:paraId="02362F94" w14:textId="77777777" w:rsidR="000868C2" w:rsidRPr="00776161" w:rsidRDefault="000868C2" w:rsidP="00134DEB">
            <w:pPr>
              <w:jc w:val="right"/>
              <w:rPr>
                <w:color w:val="000000"/>
                <w:sz w:val="18"/>
                <w:szCs w:val="18"/>
              </w:rPr>
            </w:pPr>
            <w:r w:rsidRPr="00776161">
              <w:rPr>
                <w:color w:val="000000"/>
                <w:sz w:val="18"/>
                <w:szCs w:val="18"/>
              </w:rPr>
              <w:t>-1,8</w:t>
            </w:r>
          </w:p>
        </w:tc>
      </w:tr>
      <w:tr w:rsidR="000868C2" w:rsidRPr="00776161" w14:paraId="0479BA0B" w14:textId="77777777" w:rsidTr="0008618C">
        <w:trPr>
          <w:trHeight w:val="525"/>
        </w:trPr>
        <w:tc>
          <w:tcPr>
            <w:tcW w:w="1641" w:type="pct"/>
            <w:tcBorders>
              <w:top w:val="nil"/>
              <w:left w:val="nil"/>
              <w:bottom w:val="single" w:sz="4" w:space="0" w:color="auto"/>
              <w:right w:val="nil"/>
            </w:tcBorders>
            <w:vAlign w:val="center"/>
            <w:hideMark/>
          </w:tcPr>
          <w:p w14:paraId="74290BE4" w14:textId="77777777" w:rsidR="000868C2" w:rsidRPr="00776161" w:rsidRDefault="000868C2" w:rsidP="00B6745A">
            <w:pPr>
              <w:rPr>
                <w:b/>
                <w:bCs/>
                <w:color w:val="000000"/>
                <w:sz w:val="18"/>
                <w:szCs w:val="18"/>
              </w:rPr>
            </w:pPr>
            <w:r w:rsidRPr="00776161">
              <w:rPr>
                <w:b/>
                <w:bCs/>
                <w:color w:val="000000"/>
                <w:sz w:val="18"/>
                <w:szCs w:val="18"/>
              </w:rPr>
              <w:t>Odvody a príspevky SR do všeobecného rozpočtu EÚ spolu</w:t>
            </w:r>
          </w:p>
        </w:tc>
        <w:tc>
          <w:tcPr>
            <w:tcW w:w="559" w:type="pct"/>
            <w:tcBorders>
              <w:top w:val="nil"/>
              <w:left w:val="nil"/>
              <w:bottom w:val="single" w:sz="4" w:space="0" w:color="auto"/>
              <w:right w:val="nil"/>
            </w:tcBorders>
            <w:shd w:val="clear" w:color="000000" w:fill="FFFFFF"/>
            <w:noWrap/>
            <w:vAlign w:val="center"/>
          </w:tcPr>
          <w:p w14:paraId="65BA1F63" w14:textId="77777777" w:rsidR="000868C2" w:rsidRPr="00776161" w:rsidRDefault="000868C2" w:rsidP="00134DEB">
            <w:pPr>
              <w:jc w:val="right"/>
              <w:rPr>
                <w:b/>
                <w:bCs/>
                <w:color w:val="000000"/>
                <w:sz w:val="18"/>
                <w:szCs w:val="18"/>
              </w:rPr>
            </w:pPr>
            <w:r w:rsidRPr="00776161">
              <w:rPr>
                <w:b/>
                <w:bCs/>
                <w:color w:val="000000"/>
                <w:sz w:val="18"/>
                <w:szCs w:val="18"/>
              </w:rPr>
              <w:t>1 064 837</w:t>
            </w:r>
          </w:p>
        </w:tc>
        <w:tc>
          <w:tcPr>
            <w:tcW w:w="560" w:type="pct"/>
            <w:tcBorders>
              <w:top w:val="nil"/>
              <w:left w:val="nil"/>
              <w:bottom w:val="single" w:sz="4" w:space="0" w:color="auto"/>
              <w:right w:val="nil"/>
            </w:tcBorders>
            <w:shd w:val="clear" w:color="000000" w:fill="FFFFFF"/>
            <w:noWrap/>
            <w:vAlign w:val="center"/>
          </w:tcPr>
          <w:p w14:paraId="30531905" w14:textId="77777777" w:rsidR="000868C2" w:rsidRPr="00776161" w:rsidRDefault="000868C2" w:rsidP="00134DEB">
            <w:pPr>
              <w:jc w:val="right"/>
              <w:rPr>
                <w:b/>
                <w:bCs/>
                <w:color w:val="000000"/>
                <w:sz w:val="18"/>
                <w:szCs w:val="18"/>
              </w:rPr>
            </w:pPr>
            <w:r w:rsidRPr="00776161">
              <w:rPr>
                <w:b/>
                <w:bCs/>
                <w:color w:val="000000"/>
                <w:sz w:val="18"/>
                <w:szCs w:val="18"/>
              </w:rPr>
              <w:t>941 695</w:t>
            </w:r>
          </w:p>
        </w:tc>
        <w:tc>
          <w:tcPr>
            <w:tcW w:w="560" w:type="pct"/>
            <w:tcBorders>
              <w:top w:val="nil"/>
              <w:left w:val="nil"/>
              <w:bottom w:val="single" w:sz="4" w:space="0" w:color="auto"/>
              <w:right w:val="nil"/>
            </w:tcBorders>
            <w:shd w:val="clear" w:color="000000" w:fill="FFFFFF"/>
            <w:noWrap/>
            <w:vAlign w:val="center"/>
          </w:tcPr>
          <w:p w14:paraId="7EF3988C" w14:textId="77777777" w:rsidR="000868C2" w:rsidRPr="00776161" w:rsidRDefault="000868C2" w:rsidP="00134DEB">
            <w:pPr>
              <w:jc w:val="right"/>
              <w:rPr>
                <w:b/>
                <w:bCs/>
                <w:color w:val="000000"/>
                <w:sz w:val="18"/>
                <w:szCs w:val="18"/>
              </w:rPr>
            </w:pPr>
            <w:r w:rsidRPr="00776161">
              <w:rPr>
                <w:b/>
                <w:bCs/>
                <w:color w:val="000000"/>
                <w:sz w:val="18"/>
                <w:szCs w:val="18"/>
              </w:rPr>
              <w:t>1 101 800</w:t>
            </w:r>
          </w:p>
        </w:tc>
        <w:tc>
          <w:tcPr>
            <w:tcW w:w="560" w:type="pct"/>
            <w:tcBorders>
              <w:top w:val="nil"/>
              <w:left w:val="nil"/>
              <w:bottom w:val="single" w:sz="4" w:space="0" w:color="auto"/>
              <w:right w:val="nil"/>
            </w:tcBorders>
            <w:shd w:val="clear" w:color="000000" w:fill="FFFFFF"/>
            <w:noWrap/>
            <w:vAlign w:val="center"/>
          </w:tcPr>
          <w:p w14:paraId="62303ADA" w14:textId="77777777" w:rsidR="000868C2" w:rsidRPr="00776161" w:rsidRDefault="000868C2" w:rsidP="00134DEB">
            <w:pPr>
              <w:jc w:val="right"/>
              <w:rPr>
                <w:b/>
                <w:bCs/>
                <w:color w:val="000000"/>
                <w:sz w:val="18"/>
                <w:szCs w:val="18"/>
              </w:rPr>
            </w:pPr>
            <w:r w:rsidRPr="00776161">
              <w:rPr>
                <w:b/>
                <w:bCs/>
                <w:color w:val="000000"/>
                <w:sz w:val="18"/>
                <w:szCs w:val="18"/>
              </w:rPr>
              <w:t>1 132 305</w:t>
            </w:r>
          </w:p>
        </w:tc>
        <w:tc>
          <w:tcPr>
            <w:tcW w:w="560" w:type="pct"/>
            <w:tcBorders>
              <w:top w:val="nil"/>
              <w:left w:val="nil"/>
              <w:bottom w:val="single" w:sz="4" w:space="0" w:color="auto"/>
              <w:right w:val="nil"/>
            </w:tcBorders>
            <w:shd w:val="clear" w:color="000000" w:fill="FFFFFF"/>
            <w:noWrap/>
            <w:vAlign w:val="center"/>
          </w:tcPr>
          <w:p w14:paraId="6F4EB11B" w14:textId="77777777" w:rsidR="000868C2" w:rsidRPr="00776161" w:rsidRDefault="000868C2" w:rsidP="00134DEB">
            <w:pPr>
              <w:jc w:val="right"/>
              <w:rPr>
                <w:b/>
                <w:bCs/>
                <w:color w:val="000000"/>
                <w:sz w:val="18"/>
                <w:szCs w:val="18"/>
              </w:rPr>
            </w:pPr>
            <w:r w:rsidRPr="00776161">
              <w:rPr>
                <w:b/>
                <w:bCs/>
                <w:color w:val="000000"/>
                <w:sz w:val="18"/>
                <w:szCs w:val="18"/>
              </w:rPr>
              <w:t>30 505</w:t>
            </w:r>
          </w:p>
        </w:tc>
        <w:tc>
          <w:tcPr>
            <w:tcW w:w="560" w:type="pct"/>
            <w:tcBorders>
              <w:top w:val="nil"/>
              <w:left w:val="nil"/>
              <w:bottom w:val="single" w:sz="4" w:space="0" w:color="auto"/>
              <w:right w:val="nil"/>
            </w:tcBorders>
            <w:vAlign w:val="center"/>
          </w:tcPr>
          <w:p w14:paraId="38ED58F0" w14:textId="77777777" w:rsidR="000868C2" w:rsidRPr="00776161" w:rsidRDefault="000868C2" w:rsidP="00134DEB">
            <w:pPr>
              <w:jc w:val="right"/>
              <w:rPr>
                <w:b/>
                <w:bCs/>
                <w:color w:val="000000"/>
                <w:sz w:val="18"/>
                <w:szCs w:val="18"/>
              </w:rPr>
            </w:pPr>
            <w:r w:rsidRPr="00776161">
              <w:rPr>
                <w:b/>
                <w:bCs/>
                <w:color w:val="000000"/>
                <w:sz w:val="18"/>
                <w:szCs w:val="18"/>
              </w:rPr>
              <w:t>2,8</w:t>
            </w:r>
          </w:p>
        </w:tc>
      </w:tr>
      <w:tr w:rsidR="000868C2" w:rsidRPr="00776161" w14:paraId="728C8EC4" w14:textId="77777777" w:rsidTr="0008618C">
        <w:trPr>
          <w:trHeight w:val="345"/>
        </w:trPr>
        <w:tc>
          <w:tcPr>
            <w:tcW w:w="1641" w:type="pct"/>
            <w:tcBorders>
              <w:top w:val="single" w:sz="4" w:space="0" w:color="auto"/>
              <w:left w:val="nil"/>
              <w:bottom w:val="single" w:sz="4" w:space="0" w:color="auto"/>
              <w:right w:val="nil"/>
            </w:tcBorders>
            <w:shd w:val="clear" w:color="000000" w:fill="FFFFFF"/>
            <w:vAlign w:val="center"/>
            <w:hideMark/>
          </w:tcPr>
          <w:p w14:paraId="4CE2FD14" w14:textId="77777777" w:rsidR="000868C2" w:rsidRPr="00776161" w:rsidRDefault="000868C2" w:rsidP="00B6745A">
            <w:pPr>
              <w:rPr>
                <w:b/>
                <w:bCs/>
                <w:color w:val="000000"/>
                <w:sz w:val="18"/>
                <w:szCs w:val="18"/>
              </w:rPr>
            </w:pPr>
            <w:r w:rsidRPr="00776161">
              <w:rPr>
                <w:b/>
                <w:bCs/>
                <w:color w:val="000000"/>
                <w:sz w:val="18"/>
                <w:szCs w:val="18"/>
              </w:rPr>
              <w:t>Čistá finančná pozícia</w:t>
            </w:r>
          </w:p>
        </w:tc>
        <w:tc>
          <w:tcPr>
            <w:tcW w:w="559" w:type="pct"/>
            <w:tcBorders>
              <w:top w:val="single" w:sz="4" w:space="0" w:color="auto"/>
              <w:left w:val="nil"/>
              <w:bottom w:val="single" w:sz="4" w:space="0" w:color="auto"/>
              <w:right w:val="nil"/>
            </w:tcBorders>
            <w:shd w:val="clear" w:color="000000" w:fill="FFFFFF"/>
            <w:noWrap/>
            <w:vAlign w:val="center"/>
          </w:tcPr>
          <w:p w14:paraId="3B13D43D" w14:textId="77777777" w:rsidR="000868C2" w:rsidRPr="00776161" w:rsidRDefault="000868C2" w:rsidP="00134DEB">
            <w:pPr>
              <w:jc w:val="right"/>
              <w:rPr>
                <w:b/>
                <w:bCs/>
                <w:color w:val="000000"/>
                <w:sz w:val="18"/>
                <w:szCs w:val="18"/>
              </w:rPr>
            </w:pPr>
            <w:r w:rsidRPr="00776161">
              <w:rPr>
                <w:b/>
                <w:bCs/>
                <w:color w:val="000000"/>
                <w:sz w:val="18"/>
                <w:szCs w:val="18"/>
              </w:rPr>
              <w:t>3 444 437</w:t>
            </w:r>
          </w:p>
        </w:tc>
        <w:tc>
          <w:tcPr>
            <w:tcW w:w="560" w:type="pct"/>
            <w:tcBorders>
              <w:top w:val="single" w:sz="4" w:space="0" w:color="auto"/>
              <w:left w:val="nil"/>
              <w:bottom w:val="single" w:sz="4" w:space="0" w:color="auto"/>
              <w:right w:val="nil"/>
            </w:tcBorders>
            <w:shd w:val="clear" w:color="000000" w:fill="FFFFFF"/>
            <w:noWrap/>
            <w:vAlign w:val="center"/>
          </w:tcPr>
          <w:p w14:paraId="02C1F830" w14:textId="77777777" w:rsidR="000868C2" w:rsidRPr="00776161" w:rsidRDefault="000868C2" w:rsidP="00134DEB">
            <w:pPr>
              <w:jc w:val="right"/>
              <w:rPr>
                <w:b/>
                <w:bCs/>
                <w:color w:val="000000"/>
                <w:sz w:val="18"/>
                <w:szCs w:val="18"/>
              </w:rPr>
            </w:pPr>
            <w:r w:rsidRPr="00776161">
              <w:rPr>
                <w:b/>
                <w:bCs/>
                <w:color w:val="000000"/>
                <w:sz w:val="18"/>
                <w:szCs w:val="18"/>
              </w:rPr>
              <w:t>3 190 996</w:t>
            </w:r>
          </w:p>
        </w:tc>
        <w:tc>
          <w:tcPr>
            <w:tcW w:w="560" w:type="pct"/>
            <w:tcBorders>
              <w:top w:val="single" w:sz="4" w:space="0" w:color="auto"/>
              <w:left w:val="nil"/>
              <w:bottom w:val="single" w:sz="4" w:space="0" w:color="auto"/>
              <w:right w:val="nil"/>
            </w:tcBorders>
            <w:shd w:val="clear" w:color="000000" w:fill="FFFFFF"/>
            <w:noWrap/>
            <w:vAlign w:val="center"/>
          </w:tcPr>
          <w:p w14:paraId="665AFC9D" w14:textId="77777777" w:rsidR="000868C2" w:rsidRPr="00776161" w:rsidRDefault="000868C2" w:rsidP="00134DEB">
            <w:pPr>
              <w:jc w:val="right"/>
              <w:rPr>
                <w:b/>
                <w:bCs/>
                <w:color w:val="000000"/>
                <w:sz w:val="18"/>
                <w:szCs w:val="18"/>
              </w:rPr>
            </w:pPr>
            <w:r w:rsidRPr="00776161">
              <w:rPr>
                <w:b/>
                <w:bCs/>
                <w:color w:val="000000"/>
                <w:sz w:val="18"/>
                <w:szCs w:val="18"/>
              </w:rPr>
              <w:t>2 245 998</w:t>
            </w:r>
          </w:p>
        </w:tc>
        <w:tc>
          <w:tcPr>
            <w:tcW w:w="560" w:type="pct"/>
            <w:tcBorders>
              <w:top w:val="single" w:sz="4" w:space="0" w:color="auto"/>
              <w:left w:val="nil"/>
              <w:bottom w:val="single" w:sz="4" w:space="0" w:color="auto"/>
              <w:right w:val="nil"/>
            </w:tcBorders>
            <w:shd w:val="clear" w:color="000000" w:fill="FFFFFF"/>
            <w:noWrap/>
            <w:vAlign w:val="center"/>
          </w:tcPr>
          <w:p w14:paraId="4B99EF33" w14:textId="77777777" w:rsidR="000868C2" w:rsidRPr="00776161" w:rsidRDefault="000868C2" w:rsidP="00134DEB">
            <w:pPr>
              <w:jc w:val="right"/>
              <w:rPr>
                <w:b/>
                <w:bCs/>
                <w:color w:val="000000"/>
                <w:sz w:val="18"/>
                <w:szCs w:val="18"/>
              </w:rPr>
            </w:pPr>
            <w:r w:rsidRPr="00776161">
              <w:rPr>
                <w:b/>
                <w:bCs/>
                <w:color w:val="000000"/>
                <w:sz w:val="18"/>
                <w:szCs w:val="18"/>
              </w:rPr>
              <w:t>3 245 005</w:t>
            </w:r>
          </w:p>
        </w:tc>
        <w:tc>
          <w:tcPr>
            <w:tcW w:w="560" w:type="pct"/>
            <w:tcBorders>
              <w:top w:val="single" w:sz="4" w:space="0" w:color="auto"/>
              <w:left w:val="nil"/>
              <w:bottom w:val="single" w:sz="4" w:space="0" w:color="auto"/>
              <w:right w:val="nil"/>
            </w:tcBorders>
            <w:shd w:val="clear" w:color="000000" w:fill="FFFFFF"/>
            <w:noWrap/>
            <w:vAlign w:val="center"/>
          </w:tcPr>
          <w:p w14:paraId="6B7A520A" w14:textId="77777777" w:rsidR="000868C2" w:rsidRPr="00776161" w:rsidRDefault="000868C2" w:rsidP="00134DEB">
            <w:pPr>
              <w:jc w:val="right"/>
              <w:rPr>
                <w:b/>
                <w:bCs/>
                <w:color w:val="000000"/>
                <w:sz w:val="18"/>
                <w:szCs w:val="18"/>
              </w:rPr>
            </w:pPr>
            <w:r w:rsidRPr="00776161">
              <w:rPr>
                <w:b/>
                <w:bCs/>
                <w:color w:val="000000"/>
                <w:sz w:val="18"/>
                <w:szCs w:val="18"/>
              </w:rPr>
              <w:t>999 007</w:t>
            </w:r>
          </w:p>
        </w:tc>
        <w:tc>
          <w:tcPr>
            <w:tcW w:w="560" w:type="pct"/>
            <w:tcBorders>
              <w:top w:val="single" w:sz="4" w:space="0" w:color="auto"/>
              <w:left w:val="nil"/>
              <w:bottom w:val="single" w:sz="4" w:space="0" w:color="auto"/>
              <w:right w:val="nil"/>
            </w:tcBorders>
            <w:shd w:val="clear" w:color="000000" w:fill="FFFFFF"/>
            <w:noWrap/>
            <w:vAlign w:val="center"/>
          </w:tcPr>
          <w:p w14:paraId="4EAA33A8" w14:textId="77777777" w:rsidR="000868C2" w:rsidRPr="00776161" w:rsidRDefault="000868C2" w:rsidP="00134DEB">
            <w:pPr>
              <w:jc w:val="right"/>
              <w:rPr>
                <w:b/>
                <w:bCs/>
                <w:color w:val="000000"/>
                <w:sz w:val="18"/>
                <w:szCs w:val="18"/>
              </w:rPr>
            </w:pPr>
            <w:r w:rsidRPr="00776161">
              <w:rPr>
                <w:b/>
                <w:bCs/>
                <w:color w:val="000000"/>
                <w:sz w:val="18"/>
                <w:szCs w:val="18"/>
              </w:rPr>
              <w:t>44,5</w:t>
            </w:r>
          </w:p>
        </w:tc>
      </w:tr>
    </w:tbl>
    <w:p w14:paraId="228327DD" w14:textId="106D80E6" w:rsidR="004D69BF" w:rsidRPr="000868C2" w:rsidRDefault="009A6D81" w:rsidP="009A6D81">
      <w:pPr>
        <w:tabs>
          <w:tab w:val="right" w:pos="9070"/>
        </w:tabs>
        <w:spacing w:line="240" w:lineRule="auto"/>
        <w:jc w:val="both"/>
        <w:rPr>
          <w:sz w:val="18"/>
          <w:szCs w:val="18"/>
        </w:rPr>
      </w:pPr>
      <w:r w:rsidRPr="000868C2">
        <w:rPr>
          <w:sz w:val="18"/>
          <w:szCs w:val="18"/>
        </w:rPr>
        <w:tab/>
      </w:r>
      <w:r w:rsidR="004D69BF" w:rsidRPr="000868C2">
        <w:rPr>
          <w:sz w:val="18"/>
          <w:szCs w:val="18"/>
        </w:rPr>
        <w:t>Zdroj: MF SR</w:t>
      </w:r>
    </w:p>
    <w:p w14:paraId="1E4077CC" w14:textId="77777777" w:rsidR="0008618C" w:rsidRPr="005E1D4F" w:rsidRDefault="0008618C" w:rsidP="00532D85">
      <w:pPr>
        <w:pStyle w:val="Popis"/>
        <w:jc w:val="both"/>
        <w:rPr>
          <w:sz w:val="24"/>
          <w:szCs w:val="24"/>
        </w:rPr>
      </w:pPr>
      <w:bookmarkStart w:id="151" w:name="_Toc196313665"/>
    </w:p>
    <w:p w14:paraId="24703541" w14:textId="0E0F50C1" w:rsidR="003F0717" w:rsidRDefault="003F0717" w:rsidP="00532D85">
      <w:pPr>
        <w:pStyle w:val="Popis"/>
        <w:jc w:val="both"/>
        <w:rPr>
          <w:bCs/>
          <w:iCs w:val="0"/>
          <w:color w:val="5B9CD6"/>
          <w:szCs w:val="20"/>
        </w:rPr>
      </w:pPr>
      <w:bookmarkStart w:id="152" w:name="_Toc227670175"/>
      <w:r w:rsidRPr="00134DEB">
        <w:t xml:space="preserve">Tabuľka </w:t>
      </w:r>
      <w:r w:rsidRPr="00134DEB">
        <w:rPr>
          <w:i/>
        </w:rPr>
        <w:fldChar w:fldCharType="begin"/>
      </w:r>
      <w:r w:rsidRPr="00134DEB">
        <w:instrText xml:space="preserve"> SEQ Tabuľka \* ARABIC </w:instrText>
      </w:r>
      <w:r w:rsidRPr="00134DEB">
        <w:rPr>
          <w:i/>
        </w:rPr>
        <w:fldChar w:fldCharType="separate"/>
      </w:r>
      <w:r w:rsidR="00396BE8">
        <w:rPr>
          <w:noProof/>
        </w:rPr>
        <w:t>39</w:t>
      </w:r>
      <w:r w:rsidRPr="00134DEB">
        <w:rPr>
          <w:i/>
        </w:rPr>
        <w:fldChar w:fldCharType="end"/>
      </w:r>
      <w:r w:rsidRPr="00134DEB">
        <w:t xml:space="preserve"> </w:t>
      </w:r>
      <w:r w:rsidR="00B47276" w:rsidRPr="00134DEB">
        <w:t>-</w:t>
      </w:r>
      <w:r w:rsidRPr="00134DEB">
        <w:t xml:space="preserve"> </w:t>
      </w:r>
      <w:bookmarkEnd w:id="151"/>
      <w:r w:rsidR="00134DEB" w:rsidRPr="00134DEB">
        <w:rPr>
          <w:bCs/>
          <w:iCs w:val="0"/>
          <w:color w:val="5B9CD6"/>
          <w:szCs w:val="20"/>
        </w:rPr>
        <w:t>Prehľad o</w:t>
      </w:r>
      <w:r w:rsidR="006D0CC5">
        <w:rPr>
          <w:bCs/>
          <w:iCs w:val="0"/>
          <w:color w:val="5B9CD6"/>
          <w:szCs w:val="20"/>
        </w:rPr>
        <w:t> </w:t>
      </w:r>
      <w:r w:rsidR="00134DEB" w:rsidRPr="00134DEB">
        <w:rPr>
          <w:bCs/>
          <w:iCs w:val="0"/>
          <w:color w:val="5B9CD6"/>
          <w:szCs w:val="20"/>
        </w:rPr>
        <w:t>roč</w:t>
      </w:r>
      <w:r w:rsidR="006D0CC5">
        <w:rPr>
          <w:bCs/>
          <w:iCs w:val="0"/>
          <w:color w:val="5B9CD6"/>
          <w:szCs w:val="20"/>
        </w:rPr>
        <w:t>.</w:t>
      </w:r>
      <w:r w:rsidR="00134DEB" w:rsidRPr="00134DEB">
        <w:rPr>
          <w:bCs/>
          <w:iCs w:val="0"/>
          <w:color w:val="5B9CD6"/>
          <w:szCs w:val="20"/>
        </w:rPr>
        <w:t xml:space="preserve"> príjmoch z</w:t>
      </w:r>
      <w:r w:rsidR="00C43776">
        <w:rPr>
          <w:bCs/>
          <w:iCs w:val="0"/>
          <w:color w:val="5B9CD6"/>
          <w:szCs w:val="20"/>
        </w:rPr>
        <w:t> </w:t>
      </w:r>
      <w:r w:rsidR="00134DEB" w:rsidRPr="00134DEB">
        <w:rPr>
          <w:bCs/>
          <w:iCs w:val="0"/>
          <w:color w:val="5B9CD6"/>
          <w:szCs w:val="20"/>
        </w:rPr>
        <w:t>rozp</w:t>
      </w:r>
      <w:r w:rsidR="00C43776">
        <w:rPr>
          <w:bCs/>
          <w:iCs w:val="0"/>
          <w:color w:val="5B9CD6"/>
          <w:szCs w:val="20"/>
        </w:rPr>
        <w:t>.</w:t>
      </w:r>
      <w:r w:rsidR="00134DEB" w:rsidRPr="00134DEB">
        <w:rPr>
          <w:bCs/>
          <w:iCs w:val="0"/>
          <w:color w:val="5B9CD6"/>
          <w:szCs w:val="20"/>
        </w:rPr>
        <w:t xml:space="preserve"> EÚ a odvodoch a príspevkoch SR do všeob</w:t>
      </w:r>
      <w:r w:rsidR="006D0CC5">
        <w:rPr>
          <w:bCs/>
          <w:iCs w:val="0"/>
          <w:color w:val="5B9CD6"/>
          <w:szCs w:val="20"/>
        </w:rPr>
        <w:t>.</w:t>
      </w:r>
      <w:r w:rsidR="00134DEB" w:rsidRPr="00134DEB">
        <w:rPr>
          <w:bCs/>
          <w:iCs w:val="0"/>
          <w:color w:val="5B9CD6"/>
          <w:szCs w:val="20"/>
        </w:rPr>
        <w:t xml:space="preserve"> rozp</w:t>
      </w:r>
      <w:r w:rsidR="00C43776">
        <w:rPr>
          <w:bCs/>
          <w:iCs w:val="0"/>
          <w:color w:val="5B9CD6"/>
          <w:szCs w:val="20"/>
        </w:rPr>
        <w:t>očtu</w:t>
      </w:r>
      <w:r w:rsidR="00134DEB" w:rsidRPr="00134DEB">
        <w:rPr>
          <w:bCs/>
          <w:iCs w:val="0"/>
          <w:color w:val="5B9CD6"/>
          <w:szCs w:val="20"/>
        </w:rPr>
        <w:t xml:space="preserve"> EÚ</w:t>
      </w:r>
      <w:bookmarkEnd w:id="152"/>
    </w:p>
    <w:tbl>
      <w:tblPr>
        <w:tblW w:w="5000" w:type="pct"/>
        <w:tblCellMar>
          <w:left w:w="70" w:type="dxa"/>
          <w:right w:w="70" w:type="dxa"/>
        </w:tblCellMar>
        <w:tblLook w:val="04A0" w:firstRow="1" w:lastRow="0" w:firstColumn="1" w:lastColumn="0" w:noHBand="0" w:noVBand="1"/>
      </w:tblPr>
      <w:tblGrid>
        <w:gridCol w:w="1843"/>
        <w:gridCol w:w="2409"/>
        <w:gridCol w:w="2409"/>
        <w:gridCol w:w="2409"/>
      </w:tblGrid>
      <w:tr w:rsidR="00134DEB" w:rsidRPr="00776161" w14:paraId="3BC85344" w14:textId="77777777" w:rsidTr="0008618C">
        <w:trPr>
          <w:trHeight w:val="343"/>
          <w:tblHeader/>
        </w:trPr>
        <w:tc>
          <w:tcPr>
            <w:tcW w:w="1016" w:type="pct"/>
            <w:tcBorders>
              <w:top w:val="single" w:sz="4" w:space="0" w:color="auto"/>
              <w:left w:val="nil"/>
              <w:bottom w:val="single" w:sz="4" w:space="0" w:color="auto"/>
              <w:right w:val="nil"/>
            </w:tcBorders>
            <w:vAlign w:val="center"/>
            <w:hideMark/>
          </w:tcPr>
          <w:p w14:paraId="73673601" w14:textId="77777777" w:rsidR="00134DEB" w:rsidRPr="00776161" w:rsidRDefault="00134DEB" w:rsidP="00B6745A">
            <w:pPr>
              <w:jc w:val="center"/>
              <w:rPr>
                <w:b/>
                <w:bCs/>
                <w:sz w:val="18"/>
                <w:szCs w:val="18"/>
              </w:rPr>
            </w:pPr>
            <w:r w:rsidRPr="00776161">
              <w:rPr>
                <w:b/>
                <w:bCs/>
                <w:sz w:val="18"/>
                <w:szCs w:val="18"/>
              </w:rPr>
              <w:t>Rok</w:t>
            </w:r>
          </w:p>
        </w:tc>
        <w:tc>
          <w:tcPr>
            <w:tcW w:w="1328" w:type="pct"/>
            <w:tcBorders>
              <w:top w:val="single" w:sz="4" w:space="0" w:color="auto"/>
              <w:left w:val="nil"/>
              <w:bottom w:val="single" w:sz="4" w:space="0" w:color="auto"/>
              <w:right w:val="nil"/>
            </w:tcBorders>
            <w:vAlign w:val="center"/>
            <w:hideMark/>
          </w:tcPr>
          <w:p w14:paraId="598FBBF3" w14:textId="77777777" w:rsidR="00134DEB" w:rsidRPr="00776161" w:rsidRDefault="00134DEB" w:rsidP="00B6745A">
            <w:pPr>
              <w:jc w:val="center"/>
              <w:rPr>
                <w:b/>
                <w:bCs/>
                <w:sz w:val="18"/>
                <w:szCs w:val="18"/>
              </w:rPr>
            </w:pPr>
            <w:r w:rsidRPr="00776161">
              <w:rPr>
                <w:b/>
                <w:bCs/>
                <w:sz w:val="18"/>
                <w:szCs w:val="18"/>
              </w:rPr>
              <w:t>Celkové príjmy</w:t>
            </w:r>
          </w:p>
        </w:tc>
        <w:tc>
          <w:tcPr>
            <w:tcW w:w="1328" w:type="pct"/>
            <w:tcBorders>
              <w:top w:val="single" w:sz="4" w:space="0" w:color="auto"/>
              <w:left w:val="nil"/>
              <w:bottom w:val="single" w:sz="4" w:space="0" w:color="auto"/>
              <w:right w:val="nil"/>
            </w:tcBorders>
            <w:vAlign w:val="center"/>
            <w:hideMark/>
          </w:tcPr>
          <w:p w14:paraId="7A2A2F38" w14:textId="77777777" w:rsidR="00134DEB" w:rsidRPr="00776161" w:rsidRDefault="00134DEB" w:rsidP="00B6745A">
            <w:pPr>
              <w:jc w:val="center"/>
              <w:rPr>
                <w:b/>
                <w:bCs/>
                <w:sz w:val="18"/>
                <w:szCs w:val="18"/>
              </w:rPr>
            </w:pPr>
            <w:r w:rsidRPr="00776161">
              <w:rPr>
                <w:b/>
                <w:bCs/>
                <w:sz w:val="18"/>
                <w:szCs w:val="18"/>
              </w:rPr>
              <w:t>Celkové odvody a príspevky</w:t>
            </w:r>
          </w:p>
        </w:tc>
        <w:tc>
          <w:tcPr>
            <w:tcW w:w="1328" w:type="pct"/>
            <w:tcBorders>
              <w:top w:val="single" w:sz="4" w:space="0" w:color="auto"/>
              <w:left w:val="nil"/>
              <w:bottom w:val="single" w:sz="4" w:space="0" w:color="auto"/>
              <w:right w:val="nil"/>
            </w:tcBorders>
            <w:vAlign w:val="center"/>
            <w:hideMark/>
          </w:tcPr>
          <w:p w14:paraId="3F625E4C" w14:textId="77777777" w:rsidR="00134DEB" w:rsidRPr="00776161" w:rsidRDefault="00134DEB" w:rsidP="00B6745A">
            <w:pPr>
              <w:jc w:val="center"/>
              <w:rPr>
                <w:b/>
                <w:bCs/>
                <w:sz w:val="18"/>
                <w:szCs w:val="18"/>
              </w:rPr>
            </w:pPr>
            <w:r w:rsidRPr="00776161">
              <w:rPr>
                <w:b/>
                <w:bCs/>
                <w:sz w:val="18"/>
                <w:szCs w:val="18"/>
              </w:rPr>
              <w:t>Čistá finančná pozícia</w:t>
            </w:r>
          </w:p>
        </w:tc>
      </w:tr>
      <w:tr w:rsidR="00134DEB" w:rsidRPr="00776161" w14:paraId="13CA06AE" w14:textId="77777777" w:rsidTr="0008618C">
        <w:trPr>
          <w:trHeight w:val="323"/>
        </w:trPr>
        <w:tc>
          <w:tcPr>
            <w:tcW w:w="1016" w:type="pct"/>
            <w:tcBorders>
              <w:top w:val="single" w:sz="4" w:space="0" w:color="auto"/>
              <w:left w:val="nil"/>
              <w:bottom w:val="nil"/>
              <w:right w:val="nil"/>
            </w:tcBorders>
            <w:shd w:val="clear" w:color="000000" w:fill="FFFFFF"/>
            <w:vAlign w:val="center"/>
            <w:hideMark/>
          </w:tcPr>
          <w:p w14:paraId="0F2F2063" w14:textId="77777777" w:rsidR="00134DEB" w:rsidRPr="00776161" w:rsidRDefault="00134DEB" w:rsidP="00B6745A">
            <w:pPr>
              <w:jc w:val="center"/>
              <w:rPr>
                <w:color w:val="000000"/>
                <w:sz w:val="18"/>
                <w:szCs w:val="18"/>
              </w:rPr>
            </w:pPr>
            <w:r w:rsidRPr="00776161">
              <w:rPr>
                <w:color w:val="000000"/>
                <w:sz w:val="18"/>
                <w:szCs w:val="18"/>
              </w:rPr>
              <w:t>2004</w:t>
            </w:r>
          </w:p>
        </w:tc>
        <w:tc>
          <w:tcPr>
            <w:tcW w:w="1328" w:type="pct"/>
            <w:tcBorders>
              <w:top w:val="single" w:sz="4" w:space="0" w:color="auto"/>
              <w:left w:val="nil"/>
              <w:bottom w:val="nil"/>
              <w:right w:val="nil"/>
            </w:tcBorders>
            <w:shd w:val="clear" w:color="000000" w:fill="FFFFFF"/>
            <w:noWrap/>
            <w:vAlign w:val="center"/>
            <w:hideMark/>
          </w:tcPr>
          <w:p w14:paraId="1DFA30C9" w14:textId="77777777" w:rsidR="00134DEB" w:rsidRPr="00776161" w:rsidRDefault="00134DEB" w:rsidP="00B6745A">
            <w:pPr>
              <w:jc w:val="center"/>
              <w:rPr>
                <w:color w:val="000000"/>
                <w:sz w:val="18"/>
                <w:szCs w:val="18"/>
              </w:rPr>
            </w:pPr>
            <w:r w:rsidRPr="00776161">
              <w:rPr>
                <w:color w:val="000000"/>
                <w:sz w:val="18"/>
                <w:szCs w:val="18"/>
              </w:rPr>
              <w:t>303 990</w:t>
            </w:r>
          </w:p>
        </w:tc>
        <w:tc>
          <w:tcPr>
            <w:tcW w:w="1328" w:type="pct"/>
            <w:tcBorders>
              <w:top w:val="single" w:sz="4" w:space="0" w:color="auto"/>
              <w:left w:val="nil"/>
              <w:bottom w:val="nil"/>
              <w:right w:val="nil"/>
            </w:tcBorders>
            <w:shd w:val="clear" w:color="000000" w:fill="FFFFFF"/>
            <w:noWrap/>
            <w:vAlign w:val="center"/>
            <w:hideMark/>
          </w:tcPr>
          <w:p w14:paraId="222E590D" w14:textId="77777777" w:rsidR="00134DEB" w:rsidRPr="00776161" w:rsidRDefault="00134DEB" w:rsidP="00B6745A">
            <w:pPr>
              <w:jc w:val="center"/>
              <w:rPr>
                <w:color w:val="000000"/>
                <w:sz w:val="18"/>
                <w:szCs w:val="18"/>
              </w:rPr>
            </w:pPr>
            <w:r w:rsidRPr="00776161">
              <w:rPr>
                <w:color w:val="000000"/>
                <w:sz w:val="18"/>
                <w:szCs w:val="18"/>
              </w:rPr>
              <w:t>290 689</w:t>
            </w:r>
          </w:p>
        </w:tc>
        <w:tc>
          <w:tcPr>
            <w:tcW w:w="1328" w:type="pct"/>
            <w:tcBorders>
              <w:top w:val="single" w:sz="4" w:space="0" w:color="auto"/>
              <w:left w:val="nil"/>
              <w:bottom w:val="nil"/>
              <w:right w:val="nil"/>
            </w:tcBorders>
            <w:shd w:val="clear" w:color="000000" w:fill="FFFFFF"/>
            <w:noWrap/>
            <w:vAlign w:val="center"/>
            <w:hideMark/>
          </w:tcPr>
          <w:p w14:paraId="671B0CE1" w14:textId="77777777" w:rsidR="00134DEB" w:rsidRPr="00776161" w:rsidRDefault="00134DEB" w:rsidP="00B6745A">
            <w:pPr>
              <w:jc w:val="center"/>
              <w:rPr>
                <w:color w:val="000000"/>
                <w:sz w:val="18"/>
                <w:szCs w:val="18"/>
              </w:rPr>
            </w:pPr>
            <w:r w:rsidRPr="00776161">
              <w:rPr>
                <w:color w:val="000000"/>
                <w:sz w:val="18"/>
                <w:szCs w:val="18"/>
              </w:rPr>
              <w:t>13 301</w:t>
            </w:r>
          </w:p>
        </w:tc>
      </w:tr>
      <w:tr w:rsidR="00134DEB" w:rsidRPr="00776161" w14:paraId="462F24AE" w14:textId="77777777" w:rsidTr="0008618C">
        <w:trPr>
          <w:trHeight w:val="323"/>
        </w:trPr>
        <w:tc>
          <w:tcPr>
            <w:tcW w:w="1016" w:type="pct"/>
            <w:tcBorders>
              <w:top w:val="nil"/>
              <w:left w:val="nil"/>
              <w:bottom w:val="nil"/>
              <w:right w:val="nil"/>
            </w:tcBorders>
            <w:shd w:val="clear" w:color="000000" w:fill="FFFFFF"/>
            <w:vAlign w:val="center"/>
            <w:hideMark/>
          </w:tcPr>
          <w:p w14:paraId="486F0D1D" w14:textId="77777777" w:rsidR="00134DEB" w:rsidRPr="00776161" w:rsidRDefault="00134DEB" w:rsidP="00B6745A">
            <w:pPr>
              <w:jc w:val="center"/>
              <w:rPr>
                <w:color w:val="000000"/>
                <w:sz w:val="18"/>
                <w:szCs w:val="18"/>
              </w:rPr>
            </w:pPr>
            <w:r w:rsidRPr="00776161">
              <w:rPr>
                <w:color w:val="000000"/>
                <w:sz w:val="18"/>
                <w:szCs w:val="18"/>
              </w:rPr>
              <w:t>2005</w:t>
            </w:r>
          </w:p>
        </w:tc>
        <w:tc>
          <w:tcPr>
            <w:tcW w:w="1328" w:type="pct"/>
            <w:tcBorders>
              <w:top w:val="nil"/>
              <w:left w:val="nil"/>
              <w:bottom w:val="nil"/>
              <w:right w:val="nil"/>
            </w:tcBorders>
            <w:shd w:val="clear" w:color="000000" w:fill="FFFFFF"/>
            <w:noWrap/>
            <w:vAlign w:val="center"/>
            <w:hideMark/>
          </w:tcPr>
          <w:p w14:paraId="6756EB72" w14:textId="77777777" w:rsidR="00134DEB" w:rsidRPr="00776161" w:rsidRDefault="00134DEB" w:rsidP="00B6745A">
            <w:pPr>
              <w:jc w:val="center"/>
              <w:rPr>
                <w:color w:val="000000"/>
                <w:sz w:val="18"/>
                <w:szCs w:val="18"/>
              </w:rPr>
            </w:pPr>
            <w:r w:rsidRPr="00776161">
              <w:rPr>
                <w:color w:val="000000"/>
                <w:sz w:val="18"/>
                <w:szCs w:val="18"/>
              </w:rPr>
              <w:t>704 993</w:t>
            </w:r>
          </w:p>
        </w:tc>
        <w:tc>
          <w:tcPr>
            <w:tcW w:w="1328" w:type="pct"/>
            <w:tcBorders>
              <w:top w:val="nil"/>
              <w:left w:val="nil"/>
              <w:bottom w:val="nil"/>
              <w:right w:val="nil"/>
            </w:tcBorders>
            <w:shd w:val="clear" w:color="000000" w:fill="FFFFFF"/>
            <w:noWrap/>
            <w:vAlign w:val="center"/>
            <w:hideMark/>
          </w:tcPr>
          <w:p w14:paraId="0C93736C" w14:textId="77777777" w:rsidR="00134DEB" w:rsidRPr="00776161" w:rsidRDefault="00134DEB" w:rsidP="00B6745A">
            <w:pPr>
              <w:jc w:val="center"/>
              <w:rPr>
                <w:color w:val="000000"/>
                <w:sz w:val="18"/>
                <w:szCs w:val="18"/>
              </w:rPr>
            </w:pPr>
            <w:r w:rsidRPr="00776161">
              <w:rPr>
                <w:color w:val="000000"/>
                <w:sz w:val="18"/>
                <w:szCs w:val="18"/>
              </w:rPr>
              <w:t>485 614</w:t>
            </w:r>
          </w:p>
        </w:tc>
        <w:tc>
          <w:tcPr>
            <w:tcW w:w="1328" w:type="pct"/>
            <w:tcBorders>
              <w:top w:val="nil"/>
              <w:left w:val="nil"/>
              <w:bottom w:val="nil"/>
              <w:right w:val="nil"/>
            </w:tcBorders>
            <w:shd w:val="clear" w:color="000000" w:fill="FFFFFF"/>
            <w:noWrap/>
            <w:vAlign w:val="center"/>
            <w:hideMark/>
          </w:tcPr>
          <w:p w14:paraId="0FBFA525" w14:textId="77777777" w:rsidR="00134DEB" w:rsidRPr="00776161" w:rsidRDefault="00134DEB" w:rsidP="00B6745A">
            <w:pPr>
              <w:jc w:val="center"/>
              <w:rPr>
                <w:color w:val="000000"/>
                <w:sz w:val="18"/>
                <w:szCs w:val="18"/>
              </w:rPr>
            </w:pPr>
            <w:r w:rsidRPr="00776161">
              <w:rPr>
                <w:color w:val="000000"/>
                <w:sz w:val="18"/>
                <w:szCs w:val="18"/>
              </w:rPr>
              <w:t>219 379</w:t>
            </w:r>
          </w:p>
        </w:tc>
      </w:tr>
      <w:tr w:rsidR="00134DEB" w:rsidRPr="00776161" w14:paraId="4F0ABD19" w14:textId="77777777" w:rsidTr="0008618C">
        <w:trPr>
          <w:trHeight w:val="323"/>
        </w:trPr>
        <w:tc>
          <w:tcPr>
            <w:tcW w:w="1016" w:type="pct"/>
            <w:tcBorders>
              <w:top w:val="nil"/>
              <w:left w:val="nil"/>
              <w:bottom w:val="nil"/>
              <w:right w:val="nil"/>
            </w:tcBorders>
            <w:shd w:val="clear" w:color="000000" w:fill="FFFFFF"/>
            <w:vAlign w:val="center"/>
            <w:hideMark/>
          </w:tcPr>
          <w:p w14:paraId="199EEF72" w14:textId="77777777" w:rsidR="00134DEB" w:rsidRPr="00776161" w:rsidRDefault="00134DEB" w:rsidP="00B6745A">
            <w:pPr>
              <w:jc w:val="center"/>
              <w:rPr>
                <w:color w:val="000000"/>
                <w:sz w:val="18"/>
                <w:szCs w:val="18"/>
              </w:rPr>
            </w:pPr>
            <w:r w:rsidRPr="00776161">
              <w:rPr>
                <w:color w:val="000000"/>
                <w:sz w:val="18"/>
                <w:szCs w:val="18"/>
              </w:rPr>
              <w:t>2006</w:t>
            </w:r>
          </w:p>
        </w:tc>
        <w:tc>
          <w:tcPr>
            <w:tcW w:w="1328" w:type="pct"/>
            <w:tcBorders>
              <w:top w:val="nil"/>
              <w:left w:val="nil"/>
              <w:bottom w:val="nil"/>
              <w:right w:val="nil"/>
            </w:tcBorders>
            <w:shd w:val="clear" w:color="000000" w:fill="FFFFFF"/>
            <w:noWrap/>
            <w:vAlign w:val="center"/>
            <w:hideMark/>
          </w:tcPr>
          <w:p w14:paraId="01549FCA" w14:textId="77777777" w:rsidR="00134DEB" w:rsidRPr="00776161" w:rsidRDefault="00134DEB" w:rsidP="00B6745A">
            <w:pPr>
              <w:jc w:val="center"/>
              <w:rPr>
                <w:color w:val="000000"/>
                <w:sz w:val="18"/>
                <w:szCs w:val="18"/>
              </w:rPr>
            </w:pPr>
            <w:r w:rsidRPr="00776161">
              <w:rPr>
                <w:color w:val="000000"/>
                <w:sz w:val="18"/>
                <w:szCs w:val="18"/>
              </w:rPr>
              <w:t>893 623</w:t>
            </w:r>
          </w:p>
        </w:tc>
        <w:tc>
          <w:tcPr>
            <w:tcW w:w="1328" w:type="pct"/>
            <w:tcBorders>
              <w:top w:val="nil"/>
              <w:left w:val="nil"/>
              <w:bottom w:val="nil"/>
              <w:right w:val="nil"/>
            </w:tcBorders>
            <w:shd w:val="clear" w:color="000000" w:fill="FFFFFF"/>
            <w:noWrap/>
            <w:vAlign w:val="center"/>
            <w:hideMark/>
          </w:tcPr>
          <w:p w14:paraId="2682C4C7" w14:textId="77777777" w:rsidR="00134DEB" w:rsidRPr="00776161" w:rsidRDefault="00134DEB" w:rsidP="00B6745A">
            <w:pPr>
              <w:jc w:val="center"/>
              <w:rPr>
                <w:color w:val="000000"/>
                <w:sz w:val="18"/>
                <w:szCs w:val="18"/>
              </w:rPr>
            </w:pPr>
            <w:r w:rsidRPr="00776161">
              <w:rPr>
                <w:color w:val="000000"/>
                <w:sz w:val="18"/>
                <w:szCs w:val="18"/>
              </w:rPr>
              <w:t>526 326</w:t>
            </w:r>
          </w:p>
        </w:tc>
        <w:tc>
          <w:tcPr>
            <w:tcW w:w="1328" w:type="pct"/>
            <w:tcBorders>
              <w:top w:val="nil"/>
              <w:left w:val="nil"/>
              <w:bottom w:val="nil"/>
              <w:right w:val="nil"/>
            </w:tcBorders>
            <w:shd w:val="clear" w:color="000000" w:fill="FFFFFF"/>
            <w:noWrap/>
            <w:vAlign w:val="center"/>
            <w:hideMark/>
          </w:tcPr>
          <w:p w14:paraId="01C3C936" w14:textId="77777777" w:rsidR="00134DEB" w:rsidRPr="00776161" w:rsidRDefault="00134DEB" w:rsidP="00B6745A">
            <w:pPr>
              <w:jc w:val="center"/>
              <w:rPr>
                <w:color w:val="000000"/>
                <w:sz w:val="18"/>
                <w:szCs w:val="18"/>
              </w:rPr>
            </w:pPr>
            <w:r w:rsidRPr="00776161">
              <w:rPr>
                <w:color w:val="000000"/>
                <w:sz w:val="18"/>
                <w:szCs w:val="18"/>
              </w:rPr>
              <w:t>367 297</w:t>
            </w:r>
          </w:p>
        </w:tc>
      </w:tr>
      <w:tr w:rsidR="00134DEB" w:rsidRPr="00776161" w14:paraId="051B0098" w14:textId="77777777" w:rsidTr="0008618C">
        <w:trPr>
          <w:trHeight w:val="323"/>
        </w:trPr>
        <w:tc>
          <w:tcPr>
            <w:tcW w:w="1016" w:type="pct"/>
            <w:tcBorders>
              <w:top w:val="nil"/>
              <w:left w:val="nil"/>
              <w:bottom w:val="nil"/>
              <w:right w:val="nil"/>
            </w:tcBorders>
            <w:shd w:val="clear" w:color="000000" w:fill="FFFFFF"/>
            <w:vAlign w:val="center"/>
            <w:hideMark/>
          </w:tcPr>
          <w:p w14:paraId="6A054B2D" w14:textId="77777777" w:rsidR="00134DEB" w:rsidRPr="00776161" w:rsidRDefault="00134DEB" w:rsidP="00B6745A">
            <w:pPr>
              <w:jc w:val="center"/>
              <w:rPr>
                <w:color w:val="000000"/>
                <w:sz w:val="18"/>
                <w:szCs w:val="18"/>
              </w:rPr>
            </w:pPr>
            <w:r w:rsidRPr="00776161">
              <w:rPr>
                <w:color w:val="000000"/>
                <w:sz w:val="18"/>
                <w:szCs w:val="18"/>
              </w:rPr>
              <w:t>2007</w:t>
            </w:r>
          </w:p>
        </w:tc>
        <w:tc>
          <w:tcPr>
            <w:tcW w:w="1328" w:type="pct"/>
            <w:tcBorders>
              <w:top w:val="nil"/>
              <w:left w:val="nil"/>
              <w:bottom w:val="nil"/>
              <w:right w:val="nil"/>
            </w:tcBorders>
            <w:shd w:val="clear" w:color="000000" w:fill="FFFFFF"/>
            <w:noWrap/>
            <w:vAlign w:val="center"/>
            <w:hideMark/>
          </w:tcPr>
          <w:p w14:paraId="6821E366" w14:textId="77777777" w:rsidR="00134DEB" w:rsidRPr="00776161" w:rsidRDefault="00134DEB" w:rsidP="00B6745A">
            <w:pPr>
              <w:jc w:val="center"/>
              <w:rPr>
                <w:color w:val="000000"/>
                <w:sz w:val="18"/>
                <w:szCs w:val="18"/>
              </w:rPr>
            </w:pPr>
            <w:r w:rsidRPr="00776161">
              <w:rPr>
                <w:color w:val="000000"/>
                <w:sz w:val="18"/>
                <w:szCs w:val="18"/>
              </w:rPr>
              <w:t>910 838</w:t>
            </w:r>
          </w:p>
        </w:tc>
        <w:tc>
          <w:tcPr>
            <w:tcW w:w="1328" w:type="pct"/>
            <w:tcBorders>
              <w:top w:val="nil"/>
              <w:left w:val="nil"/>
              <w:bottom w:val="nil"/>
              <w:right w:val="nil"/>
            </w:tcBorders>
            <w:shd w:val="clear" w:color="000000" w:fill="FFFFFF"/>
            <w:noWrap/>
            <w:vAlign w:val="center"/>
            <w:hideMark/>
          </w:tcPr>
          <w:p w14:paraId="771DA907" w14:textId="77777777" w:rsidR="00134DEB" w:rsidRPr="00776161" w:rsidRDefault="00134DEB" w:rsidP="00B6745A">
            <w:pPr>
              <w:jc w:val="center"/>
              <w:rPr>
                <w:color w:val="000000"/>
                <w:sz w:val="18"/>
                <w:szCs w:val="18"/>
              </w:rPr>
            </w:pPr>
            <w:r w:rsidRPr="00776161">
              <w:rPr>
                <w:color w:val="000000"/>
                <w:sz w:val="18"/>
                <w:szCs w:val="18"/>
              </w:rPr>
              <w:t>589 800</w:t>
            </w:r>
          </w:p>
        </w:tc>
        <w:tc>
          <w:tcPr>
            <w:tcW w:w="1328" w:type="pct"/>
            <w:tcBorders>
              <w:top w:val="nil"/>
              <w:left w:val="nil"/>
              <w:bottom w:val="nil"/>
              <w:right w:val="nil"/>
            </w:tcBorders>
            <w:shd w:val="clear" w:color="000000" w:fill="FFFFFF"/>
            <w:noWrap/>
            <w:vAlign w:val="center"/>
            <w:hideMark/>
          </w:tcPr>
          <w:p w14:paraId="47EA5DBD" w14:textId="77777777" w:rsidR="00134DEB" w:rsidRPr="00776161" w:rsidRDefault="00134DEB" w:rsidP="00B6745A">
            <w:pPr>
              <w:jc w:val="center"/>
              <w:rPr>
                <w:color w:val="000000"/>
                <w:sz w:val="18"/>
                <w:szCs w:val="18"/>
              </w:rPr>
            </w:pPr>
            <w:r w:rsidRPr="00776161">
              <w:rPr>
                <w:color w:val="000000"/>
                <w:sz w:val="18"/>
                <w:szCs w:val="18"/>
              </w:rPr>
              <w:t>321 038</w:t>
            </w:r>
          </w:p>
        </w:tc>
      </w:tr>
      <w:tr w:rsidR="00134DEB" w:rsidRPr="00776161" w14:paraId="0A00548D" w14:textId="77777777" w:rsidTr="0008618C">
        <w:trPr>
          <w:trHeight w:val="323"/>
        </w:trPr>
        <w:tc>
          <w:tcPr>
            <w:tcW w:w="1016" w:type="pct"/>
            <w:tcBorders>
              <w:top w:val="nil"/>
              <w:left w:val="nil"/>
              <w:bottom w:val="nil"/>
              <w:right w:val="nil"/>
            </w:tcBorders>
            <w:shd w:val="clear" w:color="000000" w:fill="FFFFFF"/>
            <w:vAlign w:val="center"/>
            <w:hideMark/>
          </w:tcPr>
          <w:p w14:paraId="77F26E07" w14:textId="77777777" w:rsidR="00134DEB" w:rsidRPr="00776161" w:rsidRDefault="00134DEB" w:rsidP="00B6745A">
            <w:pPr>
              <w:jc w:val="center"/>
              <w:rPr>
                <w:color w:val="000000"/>
                <w:sz w:val="18"/>
                <w:szCs w:val="18"/>
              </w:rPr>
            </w:pPr>
            <w:r w:rsidRPr="00776161">
              <w:rPr>
                <w:color w:val="000000"/>
                <w:sz w:val="18"/>
                <w:szCs w:val="18"/>
              </w:rPr>
              <w:t>2008</w:t>
            </w:r>
          </w:p>
        </w:tc>
        <w:tc>
          <w:tcPr>
            <w:tcW w:w="1328" w:type="pct"/>
            <w:tcBorders>
              <w:top w:val="nil"/>
              <w:left w:val="nil"/>
              <w:bottom w:val="nil"/>
              <w:right w:val="nil"/>
            </w:tcBorders>
            <w:shd w:val="clear" w:color="000000" w:fill="FFFFFF"/>
            <w:noWrap/>
            <w:vAlign w:val="center"/>
            <w:hideMark/>
          </w:tcPr>
          <w:p w14:paraId="2A740632" w14:textId="77777777" w:rsidR="00134DEB" w:rsidRPr="00776161" w:rsidRDefault="00134DEB" w:rsidP="00B6745A">
            <w:pPr>
              <w:jc w:val="center"/>
              <w:rPr>
                <w:color w:val="000000"/>
                <w:sz w:val="18"/>
                <w:szCs w:val="18"/>
              </w:rPr>
            </w:pPr>
            <w:r w:rsidRPr="00776161">
              <w:rPr>
                <w:color w:val="000000"/>
                <w:sz w:val="18"/>
                <w:szCs w:val="18"/>
              </w:rPr>
              <w:t>893 497</w:t>
            </w:r>
          </w:p>
        </w:tc>
        <w:tc>
          <w:tcPr>
            <w:tcW w:w="1328" w:type="pct"/>
            <w:tcBorders>
              <w:top w:val="nil"/>
              <w:left w:val="nil"/>
              <w:bottom w:val="nil"/>
              <w:right w:val="nil"/>
            </w:tcBorders>
            <w:shd w:val="clear" w:color="000000" w:fill="FFFFFF"/>
            <w:noWrap/>
            <w:vAlign w:val="center"/>
            <w:hideMark/>
          </w:tcPr>
          <w:p w14:paraId="401E652F" w14:textId="77777777" w:rsidR="00134DEB" w:rsidRPr="00776161" w:rsidRDefault="00134DEB" w:rsidP="00B6745A">
            <w:pPr>
              <w:jc w:val="center"/>
              <w:rPr>
                <w:color w:val="000000"/>
                <w:sz w:val="18"/>
                <w:szCs w:val="18"/>
              </w:rPr>
            </w:pPr>
            <w:r w:rsidRPr="00776161">
              <w:rPr>
                <w:color w:val="000000"/>
                <w:sz w:val="18"/>
                <w:szCs w:val="18"/>
              </w:rPr>
              <w:t>643 374</w:t>
            </w:r>
          </w:p>
        </w:tc>
        <w:tc>
          <w:tcPr>
            <w:tcW w:w="1328" w:type="pct"/>
            <w:tcBorders>
              <w:top w:val="nil"/>
              <w:left w:val="nil"/>
              <w:bottom w:val="nil"/>
              <w:right w:val="nil"/>
            </w:tcBorders>
            <w:shd w:val="clear" w:color="000000" w:fill="FFFFFF"/>
            <w:noWrap/>
            <w:vAlign w:val="center"/>
            <w:hideMark/>
          </w:tcPr>
          <w:p w14:paraId="691C9EAD" w14:textId="77777777" w:rsidR="00134DEB" w:rsidRPr="00776161" w:rsidRDefault="00134DEB" w:rsidP="00B6745A">
            <w:pPr>
              <w:jc w:val="center"/>
              <w:rPr>
                <w:color w:val="000000"/>
                <w:sz w:val="18"/>
                <w:szCs w:val="18"/>
              </w:rPr>
            </w:pPr>
            <w:r w:rsidRPr="00776161">
              <w:rPr>
                <w:color w:val="000000"/>
                <w:sz w:val="18"/>
                <w:szCs w:val="18"/>
              </w:rPr>
              <w:t>250 123</w:t>
            </w:r>
          </w:p>
        </w:tc>
      </w:tr>
      <w:tr w:rsidR="00134DEB" w:rsidRPr="00776161" w14:paraId="44799E2B" w14:textId="77777777" w:rsidTr="0008618C">
        <w:trPr>
          <w:trHeight w:val="323"/>
        </w:trPr>
        <w:tc>
          <w:tcPr>
            <w:tcW w:w="1016" w:type="pct"/>
            <w:tcBorders>
              <w:top w:val="nil"/>
              <w:left w:val="nil"/>
              <w:bottom w:val="nil"/>
              <w:right w:val="nil"/>
            </w:tcBorders>
            <w:shd w:val="clear" w:color="000000" w:fill="FFFFFF"/>
            <w:vAlign w:val="center"/>
            <w:hideMark/>
          </w:tcPr>
          <w:p w14:paraId="49B868CF" w14:textId="77777777" w:rsidR="00134DEB" w:rsidRPr="00776161" w:rsidRDefault="00134DEB" w:rsidP="00B6745A">
            <w:pPr>
              <w:jc w:val="center"/>
              <w:rPr>
                <w:color w:val="000000"/>
                <w:sz w:val="18"/>
                <w:szCs w:val="18"/>
              </w:rPr>
            </w:pPr>
            <w:r w:rsidRPr="00776161">
              <w:rPr>
                <w:color w:val="000000"/>
                <w:sz w:val="18"/>
                <w:szCs w:val="18"/>
              </w:rPr>
              <w:t>2009</w:t>
            </w:r>
          </w:p>
        </w:tc>
        <w:tc>
          <w:tcPr>
            <w:tcW w:w="1328" w:type="pct"/>
            <w:tcBorders>
              <w:top w:val="nil"/>
              <w:left w:val="nil"/>
              <w:bottom w:val="nil"/>
              <w:right w:val="nil"/>
            </w:tcBorders>
            <w:shd w:val="clear" w:color="000000" w:fill="FFFFFF"/>
            <w:noWrap/>
            <w:vAlign w:val="center"/>
            <w:hideMark/>
          </w:tcPr>
          <w:p w14:paraId="4299A0E5" w14:textId="77777777" w:rsidR="00134DEB" w:rsidRPr="00776161" w:rsidRDefault="00134DEB" w:rsidP="00B6745A">
            <w:pPr>
              <w:jc w:val="center"/>
              <w:rPr>
                <w:color w:val="000000"/>
                <w:sz w:val="18"/>
                <w:szCs w:val="18"/>
              </w:rPr>
            </w:pPr>
            <w:r w:rsidRPr="00776161">
              <w:rPr>
                <w:color w:val="000000"/>
                <w:sz w:val="18"/>
                <w:szCs w:val="18"/>
              </w:rPr>
              <w:t>1 119 659</w:t>
            </w:r>
          </w:p>
        </w:tc>
        <w:tc>
          <w:tcPr>
            <w:tcW w:w="1328" w:type="pct"/>
            <w:tcBorders>
              <w:top w:val="nil"/>
              <w:left w:val="nil"/>
              <w:bottom w:val="nil"/>
              <w:right w:val="nil"/>
            </w:tcBorders>
            <w:shd w:val="clear" w:color="000000" w:fill="FFFFFF"/>
            <w:noWrap/>
            <w:vAlign w:val="center"/>
            <w:hideMark/>
          </w:tcPr>
          <w:p w14:paraId="1ABE46E9" w14:textId="77777777" w:rsidR="00134DEB" w:rsidRPr="00776161" w:rsidRDefault="00134DEB" w:rsidP="00B6745A">
            <w:pPr>
              <w:jc w:val="center"/>
              <w:rPr>
                <w:color w:val="000000"/>
                <w:sz w:val="18"/>
                <w:szCs w:val="18"/>
              </w:rPr>
            </w:pPr>
            <w:r w:rsidRPr="00776161">
              <w:rPr>
                <w:color w:val="000000"/>
                <w:sz w:val="18"/>
                <w:szCs w:val="18"/>
              </w:rPr>
              <w:t>695 726</w:t>
            </w:r>
          </w:p>
        </w:tc>
        <w:tc>
          <w:tcPr>
            <w:tcW w:w="1328" w:type="pct"/>
            <w:tcBorders>
              <w:top w:val="nil"/>
              <w:left w:val="nil"/>
              <w:bottom w:val="nil"/>
              <w:right w:val="nil"/>
            </w:tcBorders>
            <w:shd w:val="clear" w:color="000000" w:fill="FFFFFF"/>
            <w:noWrap/>
            <w:vAlign w:val="center"/>
            <w:hideMark/>
          </w:tcPr>
          <w:p w14:paraId="10B32AB2" w14:textId="77777777" w:rsidR="00134DEB" w:rsidRPr="00776161" w:rsidRDefault="00134DEB" w:rsidP="00B6745A">
            <w:pPr>
              <w:jc w:val="center"/>
              <w:rPr>
                <w:color w:val="000000"/>
                <w:sz w:val="18"/>
                <w:szCs w:val="18"/>
              </w:rPr>
            </w:pPr>
            <w:r w:rsidRPr="00776161">
              <w:rPr>
                <w:color w:val="000000"/>
                <w:sz w:val="18"/>
                <w:szCs w:val="18"/>
              </w:rPr>
              <w:t>423 933</w:t>
            </w:r>
          </w:p>
        </w:tc>
      </w:tr>
      <w:tr w:rsidR="00134DEB" w:rsidRPr="00776161" w14:paraId="7055A64A" w14:textId="77777777" w:rsidTr="0008618C">
        <w:trPr>
          <w:trHeight w:val="323"/>
        </w:trPr>
        <w:tc>
          <w:tcPr>
            <w:tcW w:w="1016" w:type="pct"/>
            <w:tcBorders>
              <w:top w:val="nil"/>
              <w:left w:val="nil"/>
              <w:bottom w:val="nil"/>
              <w:right w:val="nil"/>
            </w:tcBorders>
            <w:shd w:val="clear" w:color="000000" w:fill="FFFFFF"/>
            <w:vAlign w:val="center"/>
            <w:hideMark/>
          </w:tcPr>
          <w:p w14:paraId="08B5B79C" w14:textId="77777777" w:rsidR="00134DEB" w:rsidRPr="00776161" w:rsidRDefault="00134DEB" w:rsidP="00B6745A">
            <w:pPr>
              <w:jc w:val="center"/>
              <w:rPr>
                <w:color w:val="000000"/>
                <w:sz w:val="18"/>
                <w:szCs w:val="18"/>
              </w:rPr>
            </w:pPr>
            <w:r w:rsidRPr="00776161">
              <w:rPr>
                <w:color w:val="000000"/>
                <w:sz w:val="18"/>
                <w:szCs w:val="18"/>
              </w:rPr>
              <w:t>2010</w:t>
            </w:r>
          </w:p>
        </w:tc>
        <w:tc>
          <w:tcPr>
            <w:tcW w:w="1328" w:type="pct"/>
            <w:tcBorders>
              <w:top w:val="nil"/>
              <w:left w:val="nil"/>
              <w:bottom w:val="nil"/>
              <w:right w:val="nil"/>
            </w:tcBorders>
            <w:shd w:val="clear" w:color="000000" w:fill="FFFFFF"/>
            <w:noWrap/>
            <w:vAlign w:val="center"/>
            <w:hideMark/>
          </w:tcPr>
          <w:p w14:paraId="3E5182EF" w14:textId="77777777" w:rsidR="00134DEB" w:rsidRPr="00776161" w:rsidRDefault="00134DEB" w:rsidP="00B6745A">
            <w:pPr>
              <w:jc w:val="center"/>
              <w:rPr>
                <w:color w:val="000000"/>
                <w:sz w:val="18"/>
                <w:szCs w:val="18"/>
              </w:rPr>
            </w:pPr>
            <w:r w:rsidRPr="00776161">
              <w:rPr>
                <w:color w:val="000000"/>
                <w:sz w:val="18"/>
                <w:szCs w:val="18"/>
              </w:rPr>
              <w:t>1 672 483</w:t>
            </w:r>
          </w:p>
        </w:tc>
        <w:tc>
          <w:tcPr>
            <w:tcW w:w="1328" w:type="pct"/>
            <w:tcBorders>
              <w:top w:val="nil"/>
              <w:left w:val="nil"/>
              <w:bottom w:val="nil"/>
              <w:right w:val="nil"/>
            </w:tcBorders>
            <w:shd w:val="clear" w:color="000000" w:fill="FFFFFF"/>
            <w:noWrap/>
            <w:vAlign w:val="center"/>
            <w:hideMark/>
          </w:tcPr>
          <w:p w14:paraId="5818EB8E" w14:textId="77777777" w:rsidR="00134DEB" w:rsidRPr="00776161" w:rsidRDefault="00134DEB" w:rsidP="00B6745A">
            <w:pPr>
              <w:jc w:val="center"/>
              <w:rPr>
                <w:color w:val="000000"/>
                <w:sz w:val="18"/>
                <w:szCs w:val="18"/>
              </w:rPr>
            </w:pPr>
            <w:r w:rsidRPr="00776161">
              <w:rPr>
                <w:color w:val="000000"/>
                <w:sz w:val="18"/>
                <w:szCs w:val="18"/>
              </w:rPr>
              <w:t>627 529</w:t>
            </w:r>
          </w:p>
        </w:tc>
        <w:tc>
          <w:tcPr>
            <w:tcW w:w="1328" w:type="pct"/>
            <w:tcBorders>
              <w:top w:val="nil"/>
              <w:left w:val="nil"/>
              <w:bottom w:val="nil"/>
              <w:right w:val="nil"/>
            </w:tcBorders>
            <w:shd w:val="clear" w:color="000000" w:fill="FFFFFF"/>
            <w:noWrap/>
            <w:vAlign w:val="center"/>
            <w:hideMark/>
          </w:tcPr>
          <w:p w14:paraId="4F119388" w14:textId="77777777" w:rsidR="00134DEB" w:rsidRPr="00776161" w:rsidRDefault="00134DEB" w:rsidP="00B6745A">
            <w:pPr>
              <w:jc w:val="center"/>
              <w:rPr>
                <w:color w:val="000000"/>
                <w:sz w:val="18"/>
                <w:szCs w:val="18"/>
              </w:rPr>
            </w:pPr>
            <w:r w:rsidRPr="00776161">
              <w:rPr>
                <w:color w:val="000000"/>
                <w:sz w:val="18"/>
                <w:szCs w:val="18"/>
              </w:rPr>
              <w:t>1 044 954</w:t>
            </w:r>
          </w:p>
        </w:tc>
      </w:tr>
      <w:tr w:rsidR="00134DEB" w:rsidRPr="00776161" w14:paraId="4B2D8A47" w14:textId="77777777" w:rsidTr="0008618C">
        <w:trPr>
          <w:trHeight w:val="323"/>
        </w:trPr>
        <w:tc>
          <w:tcPr>
            <w:tcW w:w="1016" w:type="pct"/>
            <w:tcBorders>
              <w:top w:val="nil"/>
              <w:left w:val="nil"/>
              <w:bottom w:val="nil"/>
              <w:right w:val="nil"/>
            </w:tcBorders>
            <w:shd w:val="clear" w:color="000000" w:fill="FFFFFF"/>
            <w:vAlign w:val="center"/>
            <w:hideMark/>
          </w:tcPr>
          <w:p w14:paraId="20D95594" w14:textId="77777777" w:rsidR="00134DEB" w:rsidRPr="00776161" w:rsidRDefault="00134DEB" w:rsidP="00B6745A">
            <w:pPr>
              <w:jc w:val="center"/>
              <w:rPr>
                <w:color w:val="000000"/>
                <w:sz w:val="18"/>
                <w:szCs w:val="18"/>
              </w:rPr>
            </w:pPr>
            <w:r w:rsidRPr="00776161">
              <w:rPr>
                <w:color w:val="000000"/>
                <w:sz w:val="18"/>
                <w:szCs w:val="18"/>
              </w:rPr>
              <w:t>2011</w:t>
            </w:r>
          </w:p>
        </w:tc>
        <w:tc>
          <w:tcPr>
            <w:tcW w:w="1328" w:type="pct"/>
            <w:tcBorders>
              <w:top w:val="nil"/>
              <w:left w:val="nil"/>
              <w:bottom w:val="nil"/>
              <w:right w:val="nil"/>
            </w:tcBorders>
            <w:shd w:val="clear" w:color="000000" w:fill="FFFFFF"/>
            <w:noWrap/>
            <w:vAlign w:val="center"/>
            <w:hideMark/>
          </w:tcPr>
          <w:p w14:paraId="4CB4C96F" w14:textId="77777777" w:rsidR="00134DEB" w:rsidRPr="00776161" w:rsidRDefault="00134DEB" w:rsidP="00B6745A">
            <w:pPr>
              <w:jc w:val="center"/>
              <w:rPr>
                <w:color w:val="000000"/>
                <w:sz w:val="18"/>
                <w:szCs w:val="18"/>
              </w:rPr>
            </w:pPr>
            <w:r w:rsidRPr="00776161">
              <w:rPr>
                <w:color w:val="000000"/>
                <w:sz w:val="18"/>
                <w:szCs w:val="18"/>
              </w:rPr>
              <w:t>2 041 093</w:t>
            </w:r>
          </w:p>
        </w:tc>
        <w:tc>
          <w:tcPr>
            <w:tcW w:w="1328" w:type="pct"/>
            <w:tcBorders>
              <w:top w:val="nil"/>
              <w:left w:val="nil"/>
              <w:bottom w:val="nil"/>
              <w:right w:val="nil"/>
            </w:tcBorders>
            <w:shd w:val="clear" w:color="000000" w:fill="FFFFFF"/>
            <w:noWrap/>
            <w:vAlign w:val="center"/>
            <w:hideMark/>
          </w:tcPr>
          <w:p w14:paraId="4EA089C8" w14:textId="77777777" w:rsidR="00134DEB" w:rsidRPr="00776161" w:rsidRDefault="00134DEB" w:rsidP="00B6745A">
            <w:pPr>
              <w:jc w:val="center"/>
              <w:rPr>
                <w:color w:val="000000"/>
                <w:sz w:val="18"/>
                <w:szCs w:val="18"/>
              </w:rPr>
            </w:pPr>
            <w:r w:rsidRPr="00776161">
              <w:rPr>
                <w:color w:val="000000"/>
                <w:sz w:val="18"/>
                <w:szCs w:val="18"/>
              </w:rPr>
              <w:t>704 656</w:t>
            </w:r>
          </w:p>
        </w:tc>
        <w:tc>
          <w:tcPr>
            <w:tcW w:w="1328" w:type="pct"/>
            <w:tcBorders>
              <w:top w:val="nil"/>
              <w:left w:val="nil"/>
              <w:bottom w:val="nil"/>
              <w:right w:val="nil"/>
            </w:tcBorders>
            <w:shd w:val="clear" w:color="000000" w:fill="FFFFFF"/>
            <w:noWrap/>
            <w:vAlign w:val="center"/>
            <w:hideMark/>
          </w:tcPr>
          <w:p w14:paraId="7FD28B0E" w14:textId="77777777" w:rsidR="00134DEB" w:rsidRPr="00776161" w:rsidRDefault="00134DEB" w:rsidP="00B6745A">
            <w:pPr>
              <w:jc w:val="center"/>
              <w:rPr>
                <w:color w:val="000000"/>
                <w:sz w:val="18"/>
                <w:szCs w:val="18"/>
              </w:rPr>
            </w:pPr>
            <w:r w:rsidRPr="00776161">
              <w:rPr>
                <w:color w:val="000000"/>
                <w:sz w:val="18"/>
                <w:szCs w:val="18"/>
              </w:rPr>
              <w:t>1 336 437</w:t>
            </w:r>
          </w:p>
        </w:tc>
      </w:tr>
      <w:tr w:rsidR="00134DEB" w:rsidRPr="00776161" w14:paraId="5C016A02" w14:textId="77777777" w:rsidTr="0008618C">
        <w:trPr>
          <w:trHeight w:val="323"/>
        </w:trPr>
        <w:tc>
          <w:tcPr>
            <w:tcW w:w="1016" w:type="pct"/>
            <w:tcBorders>
              <w:top w:val="nil"/>
              <w:left w:val="nil"/>
              <w:bottom w:val="nil"/>
              <w:right w:val="nil"/>
            </w:tcBorders>
            <w:shd w:val="clear" w:color="000000" w:fill="FFFFFF"/>
            <w:vAlign w:val="center"/>
            <w:hideMark/>
          </w:tcPr>
          <w:p w14:paraId="2D1E98BD" w14:textId="77777777" w:rsidR="00134DEB" w:rsidRPr="00776161" w:rsidRDefault="00134DEB" w:rsidP="00B6745A">
            <w:pPr>
              <w:jc w:val="center"/>
              <w:rPr>
                <w:color w:val="000000"/>
                <w:sz w:val="18"/>
                <w:szCs w:val="18"/>
              </w:rPr>
            </w:pPr>
            <w:r w:rsidRPr="00776161">
              <w:rPr>
                <w:color w:val="000000"/>
                <w:sz w:val="18"/>
                <w:szCs w:val="18"/>
              </w:rPr>
              <w:t>2012</w:t>
            </w:r>
          </w:p>
        </w:tc>
        <w:tc>
          <w:tcPr>
            <w:tcW w:w="1328" w:type="pct"/>
            <w:tcBorders>
              <w:top w:val="nil"/>
              <w:left w:val="nil"/>
              <w:bottom w:val="nil"/>
              <w:right w:val="nil"/>
            </w:tcBorders>
            <w:shd w:val="clear" w:color="000000" w:fill="FFFFFF"/>
            <w:noWrap/>
            <w:vAlign w:val="center"/>
            <w:hideMark/>
          </w:tcPr>
          <w:p w14:paraId="09D6676D" w14:textId="77777777" w:rsidR="00134DEB" w:rsidRPr="00776161" w:rsidRDefault="00134DEB" w:rsidP="00B6745A">
            <w:pPr>
              <w:jc w:val="center"/>
              <w:rPr>
                <w:color w:val="000000"/>
                <w:sz w:val="18"/>
                <w:szCs w:val="18"/>
              </w:rPr>
            </w:pPr>
            <w:r w:rsidRPr="00776161">
              <w:rPr>
                <w:color w:val="000000"/>
                <w:sz w:val="18"/>
                <w:szCs w:val="18"/>
              </w:rPr>
              <w:t>2 137 849</w:t>
            </w:r>
          </w:p>
        </w:tc>
        <w:tc>
          <w:tcPr>
            <w:tcW w:w="1328" w:type="pct"/>
            <w:tcBorders>
              <w:top w:val="nil"/>
              <w:left w:val="nil"/>
              <w:bottom w:val="nil"/>
              <w:right w:val="nil"/>
            </w:tcBorders>
            <w:shd w:val="clear" w:color="000000" w:fill="FFFFFF"/>
            <w:noWrap/>
            <w:vAlign w:val="center"/>
            <w:hideMark/>
          </w:tcPr>
          <w:p w14:paraId="014A6F22" w14:textId="77777777" w:rsidR="00134DEB" w:rsidRPr="00776161" w:rsidRDefault="00134DEB" w:rsidP="00B6745A">
            <w:pPr>
              <w:jc w:val="center"/>
              <w:rPr>
                <w:color w:val="000000"/>
                <w:sz w:val="18"/>
                <w:szCs w:val="18"/>
              </w:rPr>
            </w:pPr>
            <w:r w:rsidRPr="00776161">
              <w:rPr>
                <w:color w:val="000000"/>
                <w:sz w:val="18"/>
                <w:szCs w:val="18"/>
              </w:rPr>
              <w:t>722 831</w:t>
            </w:r>
          </w:p>
        </w:tc>
        <w:tc>
          <w:tcPr>
            <w:tcW w:w="1328" w:type="pct"/>
            <w:tcBorders>
              <w:top w:val="nil"/>
              <w:left w:val="nil"/>
              <w:bottom w:val="nil"/>
              <w:right w:val="nil"/>
            </w:tcBorders>
            <w:shd w:val="clear" w:color="000000" w:fill="FFFFFF"/>
            <w:noWrap/>
            <w:vAlign w:val="center"/>
            <w:hideMark/>
          </w:tcPr>
          <w:p w14:paraId="1F96171D" w14:textId="77777777" w:rsidR="00134DEB" w:rsidRPr="00776161" w:rsidRDefault="00134DEB" w:rsidP="00B6745A">
            <w:pPr>
              <w:jc w:val="center"/>
              <w:rPr>
                <w:color w:val="000000"/>
                <w:sz w:val="18"/>
                <w:szCs w:val="18"/>
              </w:rPr>
            </w:pPr>
            <w:r w:rsidRPr="00776161">
              <w:rPr>
                <w:color w:val="000000"/>
                <w:sz w:val="18"/>
                <w:szCs w:val="18"/>
              </w:rPr>
              <w:t>1 415 018</w:t>
            </w:r>
          </w:p>
        </w:tc>
      </w:tr>
      <w:tr w:rsidR="00134DEB" w:rsidRPr="00776161" w14:paraId="611DF614" w14:textId="77777777" w:rsidTr="0008618C">
        <w:trPr>
          <w:trHeight w:val="323"/>
        </w:trPr>
        <w:tc>
          <w:tcPr>
            <w:tcW w:w="1016" w:type="pct"/>
            <w:tcBorders>
              <w:top w:val="nil"/>
              <w:left w:val="nil"/>
              <w:bottom w:val="nil"/>
              <w:right w:val="nil"/>
            </w:tcBorders>
            <w:shd w:val="clear" w:color="000000" w:fill="FFFFFF"/>
            <w:vAlign w:val="center"/>
            <w:hideMark/>
          </w:tcPr>
          <w:p w14:paraId="3D4CB617" w14:textId="77777777" w:rsidR="00134DEB" w:rsidRPr="00776161" w:rsidRDefault="00134DEB" w:rsidP="00B6745A">
            <w:pPr>
              <w:jc w:val="center"/>
              <w:rPr>
                <w:color w:val="000000"/>
                <w:sz w:val="18"/>
                <w:szCs w:val="18"/>
              </w:rPr>
            </w:pPr>
            <w:r w:rsidRPr="00776161">
              <w:rPr>
                <w:color w:val="000000"/>
                <w:sz w:val="18"/>
                <w:szCs w:val="18"/>
              </w:rPr>
              <w:t>2013</w:t>
            </w:r>
          </w:p>
        </w:tc>
        <w:tc>
          <w:tcPr>
            <w:tcW w:w="1328" w:type="pct"/>
            <w:tcBorders>
              <w:top w:val="nil"/>
              <w:left w:val="nil"/>
              <w:bottom w:val="nil"/>
              <w:right w:val="nil"/>
            </w:tcBorders>
            <w:shd w:val="clear" w:color="000000" w:fill="FFFFFF"/>
            <w:noWrap/>
            <w:vAlign w:val="center"/>
            <w:hideMark/>
          </w:tcPr>
          <w:p w14:paraId="42F26CF8" w14:textId="77777777" w:rsidR="00134DEB" w:rsidRPr="00776161" w:rsidRDefault="00134DEB" w:rsidP="00B6745A">
            <w:pPr>
              <w:jc w:val="center"/>
              <w:rPr>
                <w:color w:val="000000"/>
                <w:sz w:val="18"/>
                <w:szCs w:val="18"/>
              </w:rPr>
            </w:pPr>
            <w:r w:rsidRPr="00776161">
              <w:rPr>
                <w:color w:val="000000"/>
                <w:sz w:val="18"/>
                <w:szCs w:val="18"/>
              </w:rPr>
              <w:t>2 185 358</w:t>
            </w:r>
          </w:p>
        </w:tc>
        <w:tc>
          <w:tcPr>
            <w:tcW w:w="1328" w:type="pct"/>
            <w:tcBorders>
              <w:top w:val="nil"/>
              <w:left w:val="nil"/>
              <w:bottom w:val="nil"/>
              <w:right w:val="nil"/>
            </w:tcBorders>
            <w:shd w:val="clear" w:color="000000" w:fill="FFFFFF"/>
            <w:noWrap/>
            <w:vAlign w:val="center"/>
            <w:hideMark/>
          </w:tcPr>
          <w:p w14:paraId="694B2D0C" w14:textId="77777777" w:rsidR="00134DEB" w:rsidRPr="00776161" w:rsidRDefault="00134DEB" w:rsidP="00B6745A">
            <w:pPr>
              <w:jc w:val="center"/>
              <w:rPr>
                <w:color w:val="000000"/>
                <w:sz w:val="18"/>
                <w:szCs w:val="18"/>
              </w:rPr>
            </w:pPr>
            <w:r w:rsidRPr="00776161">
              <w:rPr>
                <w:color w:val="000000"/>
                <w:sz w:val="18"/>
                <w:szCs w:val="18"/>
              </w:rPr>
              <w:t>825 098</w:t>
            </w:r>
          </w:p>
        </w:tc>
        <w:tc>
          <w:tcPr>
            <w:tcW w:w="1328" w:type="pct"/>
            <w:tcBorders>
              <w:top w:val="nil"/>
              <w:left w:val="nil"/>
              <w:bottom w:val="nil"/>
              <w:right w:val="nil"/>
            </w:tcBorders>
            <w:shd w:val="clear" w:color="000000" w:fill="FFFFFF"/>
            <w:noWrap/>
            <w:vAlign w:val="center"/>
            <w:hideMark/>
          </w:tcPr>
          <w:p w14:paraId="040C2617" w14:textId="77777777" w:rsidR="00134DEB" w:rsidRPr="00776161" w:rsidRDefault="00134DEB" w:rsidP="00B6745A">
            <w:pPr>
              <w:jc w:val="center"/>
              <w:rPr>
                <w:color w:val="000000"/>
                <w:sz w:val="18"/>
                <w:szCs w:val="18"/>
              </w:rPr>
            </w:pPr>
            <w:r w:rsidRPr="00776161">
              <w:rPr>
                <w:color w:val="000000"/>
                <w:sz w:val="18"/>
                <w:szCs w:val="18"/>
              </w:rPr>
              <w:t>1 360 260</w:t>
            </w:r>
          </w:p>
        </w:tc>
      </w:tr>
      <w:tr w:rsidR="00134DEB" w:rsidRPr="00776161" w14:paraId="10E8F478" w14:textId="77777777" w:rsidTr="0008618C">
        <w:trPr>
          <w:trHeight w:val="323"/>
        </w:trPr>
        <w:tc>
          <w:tcPr>
            <w:tcW w:w="1016" w:type="pct"/>
            <w:tcBorders>
              <w:top w:val="nil"/>
              <w:left w:val="nil"/>
              <w:bottom w:val="nil"/>
              <w:right w:val="nil"/>
            </w:tcBorders>
            <w:shd w:val="clear" w:color="000000" w:fill="FFFFFF"/>
            <w:vAlign w:val="center"/>
            <w:hideMark/>
          </w:tcPr>
          <w:p w14:paraId="5576402C" w14:textId="77777777" w:rsidR="00134DEB" w:rsidRPr="00776161" w:rsidRDefault="00134DEB" w:rsidP="00B6745A">
            <w:pPr>
              <w:jc w:val="center"/>
              <w:rPr>
                <w:color w:val="000000"/>
                <w:sz w:val="18"/>
                <w:szCs w:val="18"/>
              </w:rPr>
            </w:pPr>
            <w:r w:rsidRPr="00776161">
              <w:rPr>
                <w:color w:val="000000"/>
                <w:sz w:val="18"/>
                <w:szCs w:val="18"/>
              </w:rPr>
              <w:lastRenderedPageBreak/>
              <w:t>2014</w:t>
            </w:r>
          </w:p>
        </w:tc>
        <w:tc>
          <w:tcPr>
            <w:tcW w:w="1328" w:type="pct"/>
            <w:tcBorders>
              <w:top w:val="nil"/>
              <w:left w:val="nil"/>
              <w:bottom w:val="nil"/>
              <w:right w:val="nil"/>
            </w:tcBorders>
            <w:shd w:val="clear" w:color="000000" w:fill="FFFFFF"/>
            <w:noWrap/>
            <w:vAlign w:val="center"/>
            <w:hideMark/>
          </w:tcPr>
          <w:p w14:paraId="3488A8D5" w14:textId="77777777" w:rsidR="00134DEB" w:rsidRPr="00776161" w:rsidRDefault="00134DEB" w:rsidP="00B6745A">
            <w:pPr>
              <w:jc w:val="center"/>
              <w:rPr>
                <w:color w:val="000000"/>
                <w:sz w:val="18"/>
                <w:szCs w:val="18"/>
              </w:rPr>
            </w:pPr>
            <w:r w:rsidRPr="00776161">
              <w:rPr>
                <w:color w:val="000000"/>
                <w:sz w:val="18"/>
                <w:szCs w:val="18"/>
              </w:rPr>
              <w:t>1 265 091</w:t>
            </w:r>
          </w:p>
        </w:tc>
        <w:tc>
          <w:tcPr>
            <w:tcW w:w="1328" w:type="pct"/>
            <w:tcBorders>
              <w:top w:val="nil"/>
              <w:left w:val="nil"/>
              <w:bottom w:val="nil"/>
              <w:right w:val="nil"/>
            </w:tcBorders>
            <w:shd w:val="clear" w:color="000000" w:fill="FFFFFF"/>
            <w:noWrap/>
            <w:vAlign w:val="center"/>
            <w:hideMark/>
          </w:tcPr>
          <w:p w14:paraId="79C1CCD7" w14:textId="77777777" w:rsidR="00134DEB" w:rsidRPr="00776161" w:rsidRDefault="00134DEB" w:rsidP="00B6745A">
            <w:pPr>
              <w:jc w:val="center"/>
              <w:rPr>
                <w:color w:val="000000"/>
                <w:sz w:val="18"/>
                <w:szCs w:val="18"/>
              </w:rPr>
            </w:pPr>
            <w:r w:rsidRPr="00776161">
              <w:rPr>
                <w:color w:val="000000"/>
                <w:sz w:val="18"/>
                <w:szCs w:val="18"/>
              </w:rPr>
              <w:t>785 366</w:t>
            </w:r>
          </w:p>
        </w:tc>
        <w:tc>
          <w:tcPr>
            <w:tcW w:w="1328" w:type="pct"/>
            <w:tcBorders>
              <w:top w:val="nil"/>
              <w:left w:val="nil"/>
              <w:bottom w:val="nil"/>
              <w:right w:val="nil"/>
            </w:tcBorders>
            <w:shd w:val="clear" w:color="000000" w:fill="FFFFFF"/>
            <w:noWrap/>
            <w:vAlign w:val="center"/>
            <w:hideMark/>
          </w:tcPr>
          <w:p w14:paraId="1ADC4FAA" w14:textId="77777777" w:rsidR="00134DEB" w:rsidRPr="00776161" w:rsidRDefault="00134DEB" w:rsidP="00B6745A">
            <w:pPr>
              <w:jc w:val="center"/>
              <w:rPr>
                <w:color w:val="000000"/>
                <w:sz w:val="18"/>
                <w:szCs w:val="18"/>
              </w:rPr>
            </w:pPr>
            <w:r w:rsidRPr="00776161">
              <w:rPr>
                <w:color w:val="000000"/>
                <w:sz w:val="18"/>
                <w:szCs w:val="18"/>
              </w:rPr>
              <w:t>479 725</w:t>
            </w:r>
          </w:p>
        </w:tc>
      </w:tr>
      <w:tr w:rsidR="00134DEB" w:rsidRPr="00776161" w14:paraId="0A422D4B" w14:textId="77777777" w:rsidTr="0008618C">
        <w:trPr>
          <w:trHeight w:val="323"/>
        </w:trPr>
        <w:tc>
          <w:tcPr>
            <w:tcW w:w="1016" w:type="pct"/>
            <w:tcBorders>
              <w:top w:val="nil"/>
              <w:left w:val="nil"/>
              <w:bottom w:val="nil"/>
              <w:right w:val="nil"/>
            </w:tcBorders>
            <w:shd w:val="clear" w:color="000000" w:fill="FFFFFF"/>
            <w:vAlign w:val="center"/>
            <w:hideMark/>
          </w:tcPr>
          <w:p w14:paraId="53F74C8D" w14:textId="77777777" w:rsidR="00134DEB" w:rsidRPr="00776161" w:rsidRDefault="00134DEB" w:rsidP="00B6745A">
            <w:pPr>
              <w:jc w:val="center"/>
              <w:rPr>
                <w:color w:val="000000"/>
                <w:sz w:val="18"/>
                <w:szCs w:val="18"/>
              </w:rPr>
            </w:pPr>
            <w:r w:rsidRPr="00776161">
              <w:rPr>
                <w:color w:val="000000"/>
                <w:sz w:val="18"/>
                <w:szCs w:val="18"/>
              </w:rPr>
              <w:t>2015</w:t>
            </w:r>
          </w:p>
        </w:tc>
        <w:tc>
          <w:tcPr>
            <w:tcW w:w="1328" w:type="pct"/>
            <w:tcBorders>
              <w:top w:val="nil"/>
              <w:left w:val="nil"/>
              <w:bottom w:val="nil"/>
              <w:right w:val="nil"/>
            </w:tcBorders>
            <w:noWrap/>
            <w:vAlign w:val="center"/>
            <w:hideMark/>
          </w:tcPr>
          <w:p w14:paraId="51409676" w14:textId="77777777" w:rsidR="00134DEB" w:rsidRPr="00776161" w:rsidRDefault="00134DEB" w:rsidP="00B6745A">
            <w:pPr>
              <w:jc w:val="center"/>
              <w:rPr>
                <w:color w:val="000000"/>
                <w:sz w:val="18"/>
                <w:szCs w:val="18"/>
              </w:rPr>
            </w:pPr>
            <w:r w:rsidRPr="00776161">
              <w:rPr>
                <w:color w:val="000000"/>
                <w:sz w:val="18"/>
                <w:szCs w:val="18"/>
              </w:rPr>
              <w:t>4 288 873</w:t>
            </w:r>
          </w:p>
        </w:tc>
        <w:tc>
          <w:tcPr>
            <w:tcW w:w="1328" w:type="pct"/>
            <w:tcBorders>
              <w:top w:val="nil"/>
              <w:left w:val="nil"/>
              <w:bottom w:val="nil"/>
              <w:right w:val="nil"/>
            </w:tcBorders>
            <w:shd w:val="clear" w:color="000000" w:fill="FFFFFF"/>
            <w:noWrap/>
            <w:vAlign w:val="center"/>
            <w:hideMark/>
          </w:tcPr>
          <w:p w14:paraId="35D91385" w14:textId="77777777" w:rsidR="00134DEB" w:rsidRPr="00776161" w:rsidRDefault="00134DEB" w:rsidP="00B6745A">
            <w:pPr>
              <w:jc w:val="center"/>
              <w:rPr>
                <w:color w:val="000000"/>
                <w:sz w:val="18"/>
                <w:szCs w:val="18"/>
              </w:rPr>
            </w:pPr>
            <w:r w:rsidRPr="00776161">
              <w:rPr>
                <w:color w:val="000000"/>
                <w:sz w:val="18"/>
                <w:szCs w:val="18"/>
              </w:rPr>
              <w:t>695 508</w:t>
            </w:r>
          </w:p>
        </w:tc>
        <w:tc>
          <w:tcPr>
            <w:tcW w:w="1328" w:type="pct"/>
            <w:tcBorders>
              <w:top w:val="nil"/>
              <w:left w:val="nil"/>
              <w:bottom w:val="nil"/>
              <w:right w:val="nil"/>
            </w:tcBorders>
            <w:shd w:val="clear" w:color="000000" w:fill="FFFFFF"/>
            <w:noWrap/>
            <w:vAlign w:val="center"/>
            <w:hideMark/>
          </w:tcPr>
          <w:p w14:paraId="63CEA94F" w14:textId="77777777" w:rsidR="00134DEB" w:rsidRPr="00776161" w:rsidRDefault="00134DEB" w:rsidP="00B6745A">
            <w:pPr>
              <w:jc w:val="center"/>
              <w:rPr>
                <w:color w:val="000000"/>
                <w:sz w:val="18"/>
                <w:szCs w:val="18"/>
              </w:rPr>
            </w:pPr>
            <w:r w:rsidRPr="00776161">
              <w:rPr>
                <w:color w:val="000000"/>
                <w:sz w:val="18"/>
                <w:szCs w:val="18"/>
              </w:rPr>
              <w:t>3 593 365</w:t>
            </w:r>
          </w:p>
        </w:tc>
      </w:tr>
      <w:tr w:rsidR="00134DEB" w:rsidRPr="00776161" w14:paraId="38CAF70D" w14:textId="77777777" w:rsidTr="0008618C">
        <w:trPr>
          <w:trHeight w:val="323"/>
        </w:trPr>
        <w:tc>
          <w:tcPr>
            <w:tcW w:w="1016" w:type="pct"/>
            <w:tcBorders>
              <w:top w:val="nil"/>
              <w:left w:val="nil"/>
              <w:bottom w:val="nil"/>
              <w:right w:val="nil"/>
            </w:tcBorders>
            <w:shd w:val="clear" w:color="000000" w:fill="FFFFFF"/>
            <w:vAlign w:val="center"/>
            <w:hideMark/>
          </w:tcPr>
          <w:p w14:paraId="27D057CF" w14:textId="77777777" w:rsidR="00134DEB" w:rsidRPr="00776161" w:rsidRDefault="00134DEB" w:rsidP="00B6745A">
            <w:pPr>
              <w:jc w:val="center"/>
              <w:rPr>
                <w:color w:val="000000"/>
                <w:sz w:val="18"/>
                <w:szCs w:val="18"/>
              </w:rPr>
            </w:pPr>
            <w:r w:rsidRPr="00776161">
              <w:rPr>
                <w:color w:val="000000"/>
                <w:sz w:val="18"/>
                <w:szCs w:val="18"/>
              </w:rPr>
              <w:t>2016</w:t>
            </w:r>
          </w:p>
        </w:tc>
        <w:tc>
          <w:tcPr>
            <w:tcW w:w="1328" w:type="pct"/>
            <w:tcBorders>
              <w:top w:val="nil"/>
              <w:left w:val="nil"/>
              <w:bottom w:val="nil"/>
              <w:right w:val="nil"/>
            </w:tcBorders>
            <w:shd w:val="clear" w:color="000000" w:fill="FFFFFF"/>
            <w:noWrap/>
            <w:vAlign w:val="center"/>
            <w:hideMark/>
          </w:tcPr>
          <w:p w14:paraId="7EC57790" w14:textId="77777777" w:rsidR="00134DEB" w:rsidRPr="00776161" w:rsidRDefault="00134DEB" w:rsidP="00B6745A">
            <w:pPr>
              <w:jc w:val="center"/>
              <w:rPr>
                <w:color w:val="000000"/>
                <w:sz w:val="18"/>
                <w:szCs w:val="18"/>
              </w:rPr>
            </w:pPr>
            <w:r w:rsidRPr="00776161">
              <w:rPr>
                <w:color w:val="000000"/>
                <w:sz w:val="18"/>
                <w:szCs w:val="18"/>
              </w:rPr>
              <w:t>1 947 481</w:t>
            </w:r>
          </w:p>
        </w:tc>
        <w:tc>
          <w:tcPr>
            <w:tcW w:w="1328" w:type="pct"/>
            <w:tcBorders>
              <w:top w:val="nil"/>
              <w:left w:val="nil"/>
              <w:bottom w:val="nil"/>
              <w:right w:val="nil"/>
            </w:tcBorders>
            <w:noWrap/>
            <w:vAlign w:val="center"/>
            <w:hideMark/>
          </w:tcPr>
          <w:p w14:paraId="7888C792" w14:textId="77777777" w:rsidR="00134DEB" w:rsidRPr="00776161" w:rsidRDefault="00134DEB" w:rsidP="00B6745A">
            <w:pPr>
              <w:jc w:val="center"/>
              <w:rPr>
                <w:color w:val="000000"/>
                <w:sz w:val="18"/>
                <w:szCs w:val="18"/>
              </w:rPr>
            </w:pPr>
            <w:r w:rsidRPr="00776161">
              <w:rPr>
                <w:color w:val="000000"/>
                <w:sz w:val="18"/>
                <w:szCs w:val="18"/>
              </w:rPr>
              <w:t>739 903</w:t>
            </w:r>
          </w:p>
        </w:tc>
        <w:tc>
          <w:tcPr>
            <w:tcW w:w="1328" w:type="pct"/>
            <w:tcBorders>
              <w:top w:val="nil"/>
              <w:left w:val="nil"/>
              <w:bottom w:val="nil"/>
              <w:right w:val="nil"/>
            </w:tcBorders>
            <w:shd w:val="clear" w:color="000000" w:fill="FFFFFF"/>
            <w:noWrap/>
            <w:vAlign w:val="center"/>
            <w:hideMark/>
          </w:tcPr>
          <w:p w14:paraId="325D1A69" w14:textId="77777777" w:rsidR="00134DEB" w:rsidRPr="00776161" w:rsidRDefault="00134DEB" w:rsidP="00B6745A">
            <w:pPr>
              <w:jc w:val="center"/>
              <w:rPr>
                <w:color w:val="000000"/>
                <w:sz w:val="18"/>
                <w:szCs w:val="18"/>
              </w:rPr>
            </w:pPr>
            <w:r w:rsidRPr="00776161">
              <w:rPr>
                <w:color w:val="000000"/>
                <w:sz w:val="18"/>
                <w:szCs w:val="18"/>
              </w:rPr>
              <w:t>1 207 578</w:t>
            </w:r>
          </w:p>
        </w:tc>
      </w:tr>
      <w:tr w:rsidR="00134DEB" w:rsidRPr="00776161" w14:paraId="0A305873" w14:textId="77777777" w:rsidTr="0008618C">
        <w:trPr>
          <w:trHeight w:val="323"/>
        </w:trPr>
        <w:tc>
          <w:tcPr>
            <w:tcW w:w="1016" w:type="pct"/>
            <w:tcBorders>
              <w:top w:val="nil"/>
              <w:left w:val="nil"/>
              <w:bottom w:val="nil"/>
              <w:right w:val="nil"/>
            </w:tcBorders>
            <w:shd w:val="clear" w:color="000000" w:fill="FFFFFF"/>
            <w:vAlign w:val="center"/>
            <w:hideMark/>
          </w:tcPr>
          <w:p w14:paraId="5D747D72" w14:textId="77777777" w:rsidR="00134DEB" w:rsidRPr="00776161" w:rsidRDefault="00134DEB" w:rsidP="00B6745A">
            <w:pPr>
              <w:jc w:val="center"/>
              <w:rPr>
                <w:color w:val="000000"/>
                <w:sz w:val="18"/>
                <w:szCs w:val="18"/>
              </w:rPr>
            </w:pPr>
            <w:r w:rsidRPr="00776161">
              <w:rPr>
                <w:color w:val="000000"/>
                <w:sz w:val="18"/>
                <w:szCs w:val="18"/>
              </w:rPr>
              <w:t>2017</w:t>
            </w:r>
          </w:p>
        </w:tc>
        <w:tc>
          <w:tcPr>
            <w:tcW w:w="1328" w:type="pct"/>
            <w:tcBorders>
              <w:top w:val="nil"/>
              <w:left w:val="nil"/>
              <w:bottom w:val="nil"/>
              <w:right w:val="nil"/>
            </w:tcBorders>
            <w:shd w:val="clear" w:color="000000" w:fill="FFFFFF"/>
            <w:noWrap/>
            <w:vAlign w:val="center"/>
            <w:hideMark/>
          </w:tcPr>
          <w:p w14:paraId="58FD6271" w14:textId="77777777" w:rsidR="00134DEB" w:rsidRPr="00776161" w:rsidRDefault="00134DEB" w:rsidP="00B6745A">
            <w:pPr>
              <w:jc w:val="center"/>
              <w:rPr>
                <w:color w:val="000000"/>
                <w:sz w:val="18"/>
                <w:szCs w:val="18"/>
              </w:rPr>
            </w:pPr>
            <w:r w:rsidRPr="00776161">
              <w:rPr>
                <w:color w:val="000000"/>
                <w:sz w:val="18"/>
                <w:szCs w:val="18"/>
              </w:rPr>
              <w:t>1 425 572</w:t>
            </w:r>
          </w:p>
        </w:tc>
        <w:tc>
          <w:tcPr>
            <w:tcW w:w="1328" w:type="pct"/>
            <w:tcBorders>
              <w:top w:val="nil"/>
              <w:left w:val="nil"/>
              <w:bottom w:val="nil"/>
              <w:right w:val="nil"/>
            </w:tcBorders>
            <w:shd w:val="clear" w:color="000000" w:fill="FFFFFF"/>
            <w:noWrap/>
            <w:vAlign w:val="center"/>
            <w:hideMark/>
          </w:tcPr>
          <w:p w14:paraId="0BB675B3" w14:textId="77777777" w:rsidR="00134DEB" w:rsidRPr="00776161" w:rsidRDefault="00134DEB" w:rsidP="00B6745A">
            <w:pPr>
              <w:jc w:val="center"/>
              <w:rPr>
                <w:color w:val="000000"/>
                <w:sz w:val="18"/>
                <w:szCs w:val="18"/>
              </w:rPr>
            </w:pPr>
            <w:r w:rsidRPr="00776161">
              <w:rPr>
                <w:color w:val="000000"/>
                <w:sz w:val="18"/>
                <w:szCs w:val="18"/>
              </w:rPr>
              <w:t>738 045</w:t>
            </w:r>
          </w:p>
        </w:tc>
        <w:tc>
          <w:tcPr>
            <w:tcW w:w="1328" w:type="pct"/>
            <w:tcBorders>
              <w:top w:val="nil"/>
              <w:left w:val="nil"/>
              <w:bottom w:val="nil"/>
              <w:right w:val="nil"/>
            </w:tcBorders>
            <w:shd w:val="clear" w:color="000000" w:fill="FFFFFF"/>
            <w:noWrap/>
            <w:vAlign w:val="center"/>
            <w:hideMark/>
          </w:tcPr>
          <w:p w14:paraId="71CE1609" w14:textId="77777777" w:rsidR="00134DEB" w:rsidRPr="00776161" w:rsidRDefault="00134DEB" w:rsidP="00B6745A">
            <w:pPr>
              <w:jc w:val="center"/>
              <w:rPr>
                <w:color w:val="000000"/>
                <w:sz w:val="18"/>
                <w:szCs w:val="18"/>
              </w:rPr>
            </w:pPr>
            <w:r w:rsidRPr="00776161">
              <w:rPr>
                <w:color w:val="000000"/>
                <w:sz w:val="18"/>
                <w:szCs w:val="18"/>
              </w:rPr>
              <w:t>687 527</w:t>
            </w:r>
          </w:p>
        </w:tc>
      </w:tr>
      <w:tr w:rsidR="00134DEB" w:rsidRPr="00776161" w14:paraId="03560598" w14:textId="77777777" w:rsidTr="0008618C">
        <w:trPr>
          <w:trHeight w:val="323"/>
        </w:trPr>
        <w:tc>
          <w:tcPr>
            <w:tcW w:w="1016" w:type="pct"/>
            <w:tcBorders>
              <w:top w:val="nil"/>
              <w:left w:val="nil"/>
              <w:bottom w:val="nil"/>
              <w:right w:val="nil"/>
            </w:tcBorders>
            <w:shd w:val="clear" w:color="000000" w:fill="FFFFFF"/>
            <w:vAlign w:val="center"/>
            <w:hideMark/>
          </w:tcPr>
          <w:p w14:paraId="7BBDECF2" w14:textId="77777777" w:rsidR="00134DEB" w:rsidRPr="00776161" w:rsidRDefault="00134DEB" w:rsidP="00B6745A">
            <w:pPr>
              <w:jc w:val="center"/>
              <w:rPr>
                <w:color w:val="000000"/>
                <w:sz w:val="18"/>
                <w:szCs w:val="18"/>
              </w:rPr>
            </w:pPr>
            <w:r w:rsidRPr="00776161">
              <w:rPr>
                <w:color w:val="000000"/>
                <w:sz w:val="18"/>
                <w:szCs w:val="18"/>
              </w:rPr>
              <w:t>2018</w:t>
            </w:r>
          </w:p>
        </w:tc>
        <w:tc>
          <w:tcPr>
            <w:tcW w:w="1328" w:type="pct"/>
            <w:tcBorders>
              <w:top w:val="nil"/>
              <w:left w:val="nil"/>
              <w:bottom w:val="nil"/>
              <w:right w:val="nil"/>
            </w:tcBorders>
            <w:shd w:val="clear" w:color="000000" w:fill="FFFFFF"/>
            <w:noWrap/>
            <w:vAlign w:val="center"/>
            <w:hideMark/>
          </w:tcPr>
          <w:p w14:paraId="4037F075" w14:textId="77777777" w:rsidR="00134DEB" w:rsidRPr="00776161" w:rsidRDefault="00134DEB" w:rsidP="00B6745A">
            <w:pPr>
              <w:jc w:val="center"/>
              <w:rPr>
                <w:color w:val="000000"/>
                <w:sz w:val="18"/>
                <w:szCs w:val="18"/>
              </w:rPr>
            </w:pPr>
            <w:r w:rsidRPr="00776161">
              <w:rPr>
                <w:color w:val="000000"/>
                <w:sz w:val="18"/>
                <w:szCs w:val="18"/>
              </w:rPr>
              <w:t>2 169 732</w:t>
            </w:r>
          </w:p>
        </w:tc>
        <w:tc>
          <w:tcPr>
            <w:tcW w:w="1328" w:type="pct"/>
            <w:tcBorders>
              <w:top w:val="nil"/>
              <w:left w:val="nil"/>
              <w:bottom w:val="nil"/>
              <w:right w:val="nil"/>
            </w:tcBorders>
            <w:noWrap/>
            <w:vAlign w:val="center"/>
            <w:hideMark/>
          </w:tcPr>
          <w:p w14:paraId="3D108BC0" w14:textId="77777777" w:rsidR="00134DEB" w:rsidRPr="00776161" w:rsidRDefault="00134DEB" w:rsidP="00B6745A">
            <w:pPr>
              <w:jc w:val="center"/>
              <w:rPr>
                <w:color w:val="000000"/>
                <w:sz w:val="18"/>
                <w:szCs w:val="18"/>
              </w:rPr>
            </w:pPr>
            <w:r w:rsidRPr="00776161">
              <w:rPr>
                <w:color w:val="000000"/>
                <w:sz w:val="18"/>
                <w:szCs w:val="18"/>
              </w:rPr>
              <w:t>841 321</w:t>
            </w:r>
          </w:p>
        </w:tc>
        <w:tc>
          <w:tcPr>
            <w:tcW w:w="1328" w:type="pct"/>
            <w:tcBorders>
              <w:top w:val="nil"/>
              <w:left w:val="nil"/>
              <w:bottom w:val="nil"/>
              <w:right w:val="nil"/>
            </w:tcBorders>
            <w:shd w:val="clear" w:color="000000" w:fill="FFFFFF"/>
            <w:noWrap/>
            <w:vAlign w:val="center"/>
            <w:hideMark/>
          </w:tcPr>
          <w:p w14:paraId="3ECE1706" w14:textId="77777777" w:rsidR="00134DEB" w:rsidRPr="00776161" w:rsidRDefault="00134DEB" w:rsidP="00B6745A">
            <w:pPr>
              <w:jc w:val="center"/>
              <w:rPr>
                <w:color w:val="000000"/>
                <w:sz w:val="18"/>
                <w:szCs w:val="18"/>
              </w:rPr>
            </w:pPr>
            <w:r w:rsidRPr="00776161">
              <w:rPr>
                <w:color w:val="000000"/>
                <w:sz w:val="18"/>
                <w:szCs w:val="18"/>
              </w:rPr>
              <w:t>1 328 411</w:t>
            </w:r>
          </w:p>
        </w:tc>
      </w:tr>
      <w:tr w:rsidR="00134DEB" w:rsidRPr="00776161" w14:paraId="7011E577" w14:textId="77777777" w:rsidTr="0008618C">
        <w:trPr>
          <w:trHeight w:val="323"/>
        </w:trPr>
        <w:tc>
          <w:tcPr>
            <w:tcW w:w="1016" w:type="pct"/>
            <w:tcBorders>
              <w:top w:val="nil"/>
              <w:left w:val="nil"/>
              <w:bottom w:val="nil"/>
              <w:right w:val="nil"/>
            </w:tcBorders>
            <w:vAlign w:val="center"/>
            <w:hideMark/>
          </w:tcPr>
          <w:p w14:paraId="1621457A" w14:textId="77777777" w:rsidR="00134DEB" w:rsidRPr="00776161" w:rsidRDefault="00134DEB" w:rsidP="00B6745A">
            <w:pPr>
              <w:jc w:val="center"/>
              <w:rPr>
                <w:color w:val="000000"/>
                <w:sz w:val="18"/>
                <w:szCs w:val="18"/>
              </w:rPr>
            </w:pPr>
            <w:r w:rsidRPr="00776161">
              <w:rPr>
                <w:color w:val="000000"/>
                <w:sz w:val="18"/>
                <w:szCs w:val="18"/>
              </w:rPr>
              <w:t>2019</w:t>
            </w:r>
          </w:p>
        </w:tc>
        <w:tc>
          <w:tcPr>
            <w:tcW w:w="1328" w:type="pct"/>
            <w:tcBorders>
              <w:top w:val="nil"/>
              <w:left w:val="nil"/>
              <w:bottom w:val="nil"/>
              <w:right w:val="nil"/>
            </w:tcBorders>
            <w:noWrap/>
            <w:vAlign w:val="center"/>
            <w:hideMark/>
          </w:tcPr>
          <w:p w14:paraId="15732813" w14:textId="77777777" w:rsidR="00134DEB" w:rsidRPr="00776161" w:rsidRDefault="00134DEB" w:rsidP="00B6745A">
            <w:pPr>
              <w:jc w:val="center"/>
              <w:rPr>
                <w:color w:val="000000"/>
                <w:sz w:val="18"/>
                <w:szCs w:val="18"/>
              </w:rPr>
            </w:pPr>
            <w:r w:rsidRPr="00776161">
              <w:rPr>
                <w:color w:val="000000"/>
                <w:sz w:val="18"/>
                <w:szCs w:val="18"/>
              </w:rPr>
              <w:t>2 126 943</w:t>
            </w:r>
          </w:p>
        </w:tc>
        <w:tc>
          <w:tcPr>
            <w:tcW w:w="1328" w:type="pct"/>
            <w:tcBorders>
              <w:top w:val="nil"/>
              <w:left w:val="nil"/>
              <w:bottom w:val="nil"/>
              <w:right w:val="nil"/>
            </w:tcBorders>
            <w:noWrap/>
            <w:vAlign w:val="center"/>
            <w:hideMark/>
          </w:tcPr>
          <w:p w14:paraId="7DD510B4" w14:textId="77777777" w:rsidR="00134DEB" w:rsidRPr="00776161" w:rsidRDefault="00134DEB" w:rsidP="00B6745A">
            <w:pPr>
              <w:jc w:val="center"/>
              <w:rPr>
                <w:color w:val="000000"/>
                <w:sz w:val="18"/>
                <w:szCs w:val="18"/>
              </w:rPr>
            </w:pPr>
            <w:r w:rsidRPr="00776161">
              <w:rPr>
                <w:color w:val="000000"/>
                <w:sz w:val="18"/>
                <w:szCs w:val="18"/>
              </w:rPr>
              <w:t>851 733</w:t>
            </w:r>
          </w:p>
        </w:tc>
        <w:tc>
          <w:tcPr>
            <w:tcW w:w="1328" w:type="pct"/>
            <w:tcBorders>
              <w:top w:val="nil"/>
              <w:left w:val="nil"/>
              <w:bottom w:val="nil"/>
              <w:right w:val="nil"/>
            </w:tcBorders>
            <w:noWrap/>
            <w:vAlign w:val="center"/>
            <w:hideMark/>
          </w:tcPr>
          <w:p w14:paraId="71EEC53F" w14:textId="77777777" w:rsidR="00134DEB" w:rsidRPr="00776161" w:rsidRDefault="00134DEB" w:rsidP="00B6745A">
            <w:pPr>
              <w:jc w:val="center"/>
              <w:rPr>
                <w:color w:val="000000"/>
                <w:sz w:val="18"/>
                <w:szCs w:val="18"/>
              </w:rPr>
            </w:pPr>
            <w:r w:rsidRPr="00776161">
              <w:rPr>
                <w:color w:val="000000"/>
                <w:sz w:val="18"/>
                <w:szCs w:val="18"/>
              </w:rPr>
              <w:t>1 275 210</w:t>
            </w:r>
          </w:p>
        </w:tc>
      </w:tr>
      <w:tr w:rsidR="00134DEB" w:rsidRPr="00776161" w14:paraId="09CE8381" w14:textId="77777777" w:rsidTr="0008618C">
        <w:trPr>
          <w:trHeight w:val="323"/>
        </w:trPr>
        <w:tc>
          <w:tcPr>
            <w:tcW w:w="1016" w:type="pct"/>
            <w:tcBorders>
              <w:top w:val="nil"/>
              <w:left w:val="nil"/>
              <w:bottom w:val="nil"/>
              <w:right w:val="nil"/>
            </w:tcBorders>
            <w:vAlign w:val="center"/>
            <w:hideMark/>
          </w:tcPr>
          <w:p w14:paraId="799CEF80" w14:textId="77777777" w:rsidR="00134DEB" w:rsidRPr="00776161" w:rsidRDefault="00134DEB" w:rsidP="00B6745A">
            <w:pPr>
              <w:jc w:val="center"/>
              <w:rPr>
                <w:color w:val="000000"/>
                <w:sz w:val="18"/>
                <w:szCs w:val="18"/>
              </w:rPr>
            </w:pPr>
            <w:r w:rsidRPr="00776161">
              <w:rPr>
                <w:color w:val="000000"/>
                <w:sz w:val="18"/>
                <w:szCs w:val="18"/>
              </w:rPr>
              <w:t>2020</w:t>
            </w:r>
          </w:p>
        </w:tc>
        <w:tc>
          <w:tcPr>
            <w:tcW w:w="1328" w:type="pct"/>
            <w:tcBorders>
              <w:top w:val="nil"/>
              <w:left w:val="nil"/>
              <w:bottom w:val="nil"/>
              <w:right w:val="nil"/>
            </w:tcBorders>
            <w:noWrap/>
            <w:vAlign w:val="center"/>
            <w:hideMark/>
          </w:tcPr>
          <w:p w14:paraId="149D09A6" w14:textId="77777777" w:rsidR="00134DEB" w:rsidRPr="00776161" w:rsidRDefault="00134DEB" w:rsidP="00B6745A">
            <w:pPr>
              <w:jc w:val="center"/>
              <w:rPr>
                <w:color w:val="000000"/>
                <w:sz w:val="18"/>
                <w:szCs w:val="18"/>
              </w:rPr>
            </w:pPr>
            <w:r w:rsidRPr="00776161">
              <w:rPr>
                <w:color w:val="000000"/>
                <w:sz w:val="18"/>
                <w:szCs w:val="18"/>
              </w:rPr>
              <w:t>2 551 360</w:t>
            </w:r>
          </w:p>
        </w:tc>
        <w:tc>
          <w:tcPr>
            <w:tcW w:w="1328" w:type="pct"/>
            <w:tcBorders>
              <w:top w:val="nil"/>
              <w:left w:val="nil"/>
              <w:bottom w:val="nil"/>
              <w:right w:val="nil"/>
            </w:tcBorders>
            <w:noWrap/>
            <w:vAlign w:val="center"/>
            <w:hideMark/>
          </w:tcPr>
          <w:p w14:paraId="6787DA6D" w14:textId="77777777" w:rsidR="00134DEB" w:rsidRPr="00776161" w:rsidRDefault="00134DEB" w:rsidP="00B6745A">
            <w:pPr>
              <w:jc w:val="center"/>
              <w:rPr>
                <w:color w:val="000000"/>
                <w:sz w:val="18"/>
                <w:szCs w:val="18"/>
              </w:rPr>
            </w:pPr>
            <w:r w:rsidRPr="00776161">
              <w:rPr>
                <w:color w:val="000000"/>
                <w:sz w:val="18"/>
                <w:szCs w:val="18"/>
              </w:rPr>
              <w:t>974 126</w:t>
            </w:r>
          </w:p>
        </w:tc>
        <w:tc>
          <w:tcPr>
            <w:tcW w:w="1328" w:type="pct"/>
            <w:tcBorders>
              <w:top w:val="nil"/>
              <w:left w:val="nil"/>
              <w:bottom w:val="nil"/>
              <w:right w:val="nil"/>
            </w:tcBorders>
            <w:noWrap/>
            <w:vAlign w:val="center"/>
            <w:hideMark/>
          </w:tcPr>
          <w:p w14:paraId="61D37F7B" w14:textId="77777777" w:rsidR="00134DEB" w:rsidRPr="00776161" w:rsidRDefault="00134DEB" w:rsidP="00B6745A">
            <w:pPr>
              <w:jc w:val="center"/>
              <w:rPr>
                <w:color w:val="000000"/>
                <w:sz w:val="18"/>
                <w:szCs w:val="18"/>
              </w:rPr>
            </w:pPr>
            <w:r w:rsidRPr="00776161">
              <w:rPr>
                <w:color w:val="000000"/>
                <w:sz w:val="18"/>
                <w:szCs w:val="18"/>
              </w:rPr>
              <w:t>1 577 234</w:t>
            </w:r>
          </w:p>
        </w:tc>
      </w:tr>
      <w:tr w:rsidR="00134DEB" w:rsidRPr="00776161" w14:paraId="23538A1F" w14:textId="77777777" w:rsidTr="0008618C">
        <w:trPr>
          <w:trHeight w:val="323"/>
        </w:trPr>
        <w:tc>
          <w:tcPr>
            <w:tcW w:w="1016" w:type="pct"/>
            <w:tcBorders>
              <w:top w:val="nil"/>
              <w:left w:val="nil"/>
              <w:bottom w:val="nil"/>
              <w:right w:val="nil"/>
            </w:tcBorders>
            <w:vAlign w:val="center"/>
            <w:hideMark/>
          </w:tcPr>
          <w:p w14:paraId="52979BF7" w14:textId="77777777" w:rsidR="00134DEB" w:rsidRPr="00776161" w:rsidRDefault="00134DEB" w:rsidP="00B6745A">
            <w:pPr>
              <w:jc w:val="center"/>
              <w:rPr>
                <w:color w:val="000000"/>
                <w:sz w:val="18"/>
                <w:szCs w:val="18"/>
              </w:rPr>
            </w:pPr>
            <w:r w:rsidRPr="00776161">
              <w:rPr>
                <w:color w:val="000000"/>
                <w:sz w:val="18"/>
                <w:szCs w:val="18"/>
              </w:rPr>
              <w:t>2021</w:t>
            </w:r>
          </w:p>
        </w:tc>
        <w:tc>
          <w:tcPr>
            <w:tcW w:w="1328" w:type="pct"/>
            <w:tcBorders>
              <w:top w:val="nil"/>
              <w:left w:val="nil"/>
              <w:bottom w:val="nil"/>
              <w:right w:val="nil"/>
            </w:tcBorders>
            <w:noWrap/>
            <w:vAlign w:val="center"/>
            <w:hideMark/>
          </w:tcPr>
          <w:p w14:paraId="1D474419" w14:textId="77777777" w:rsidR="00134DEB" w:rsidRPr="00776161" w:rsidRDefault="00134DEB" w:rsidP="00B6745A">
            <w:pPr>
              <w:jc w:val="center"/>
              <w:rPr>
                <w:color w:val="000000"/>
                <w:sz w:val="18"/>
                <w:szCs w:val="18"/>
              </w:rPr>
            </w:pPr>
            <w:r w:rsidRPr="00776161">
              <w:rPr>
                <w:color w:val="000000"/>
                <w:sz w:val="18"/>
                <w:szCs w:val="18"/>
              </w:rPr>
              <w:t>2 273 990</w:t>
            </w:r>
          </w:p>
        </w:tc>
        <w:tc>
          <w:tcPr>
            <w:tcW w:w="1328" w:type="pct"/>
            <w:tcBorders>
              <w:top w:val="nil"/>
              <w:left w:val="nil"/>
              <w:bottom w:val="nil"/>
              <w:right w:val="nil"/>
            </w:tcBorders>
            <w:noWrap/>
            <w:vAlign w:val="center"/>
            <w:hideMark/>
          </w:tcPr>
          <w:p w14:paraId="520C461A" w14:textId="77777777" w:rsidR="00134DEB" w:rsidRPr="00776161" w:rsidRDefault="00134DEB" w:rsidP="00B6745A">
            <w:pPr>
              <w:jc w:val="center"/>
              <w:rPr>
                <w:color w:val="000000"/>
                <w:sz w:val="18"/>
                <w:szCs w:val="18"/>
              </w:rPr>
            </w:pPr>
            <w:r w:rsidRPr="00776161">
              <w:rPr>
                <w:color w:val="000000"/>
                <w:sz w:val="18"/>
                <w:szCs w:val="18"/>
              </w:rPr>
              <w:t>1 354 647</w:t>
            </w:r>
          </w:p>
        </w:tc>
        <w:tc>
          <w:tcPr>
            <w:tcW w:w="1328" w:type="pct"/>
            <w:tcBorders>
              <w:top w:val="nil"/>
              <w:left w:val="nil"/>
              <w:bottom w:val="nil"/>
              <w:right w:val="nil"/>
            </w:tcBorders>
            <w:noWrap/>
            <w:vAlign w:val="center"/>
            <w:hideMark/>
          </w:tcPr>
          <w:p w14:paraId="3BEA372D" w14:textId="77777777" w:rsidR="00134DEB" w:rsidRPr="00776161" w:rsidRDefault="00134DEB" w:rsidP="00B6745A">
            <w:pPr>
              <w:jc w:val="center"/>
              <w:rPr>
                <w:color w:val="000000"/>
                <w:sz w:val="18"/>
                <w:szCs w:val="18"/>
              </w:rPr>
            </w:pPr>
            <w:r w:rsidRPr="00776161">
              <w:rPr>
                <w:color w:val="000000"/>
                <w:sz w:val="18"/>
                <w:szCs w:val="18"/>
              </w:rPr>
              <w:t>919 343</w:t>
            </w:r>
          </w:p>
        </w:tc>
      </w:tr>
      <w:tr w:rsidR="00134DEB" w:rsidRPr="00776161" w14:paraId="741CD8C3" w14:textId="77777777" w:rsidTr="0008618C">
        <w:trPr>
          <w:trHeight w:val="323"/>
        </w:trPr>
        <w:tc>
          <w:tcPr>
            <w:tcW w:w="1016" w:type="pct"/>
            <w:tcBorders>
              <w:top w:val="nil"/>
              <w:left w:val="nil"/>
              <w:bottom w:val="nil"/>
              <w:right w:val="nil"/>
            </w:tcBorders>
            <w:vAlign w:val="center"/>
            <w:hideMark/>
          </w:tcPr>
          <w:p w14:paraId="56E699C2" w14:textId="77777777" w:rsidR="00134DEB" w:rsidRPr="00776161" w:rsidRDefault="00134DEB" w:rsidP="00B6745A">
            <w:pPr>
              <w:jc w:val="center"/>
              <w:rPr>
                <w:color w:val="000000"/>
                <w:sz w:val="18"/>
                <w:szCs w:val="18"/>
              </w:rPr>
            </w:pPr>
            <w:r w:rsidRPr="00776161">
              <w:rPr>
                <w:color w:val="000000"/>
                <w:sz w:val="18"/>
                <w:szCs w:val="18"/>
              </w:rPr>
              <w:t>2022</w:t>
            </w:r>
          </w:p>
        </w:tc>
        <w:tc>
          <w:tcPr>
            <w:tcW w:w="1328" w:type="pct"/>
            <w:tcBorders>
              <w:top w:val="nil"/>
              <w:left w:val="nil"/>
              <w:bottom w:val="nil"/>
              <w:right w:val="nil"/>
            </w:tcBorders>
            <w:noWrap/>
            <w:vAlign w:val="center"/>
            <w:hideMark/>
          </w:tcPr>
          <w:p w14:paraId="67A580CA" w14:textId="77777777" w:rsidR="00134DEB" w:rsidRPr="00776161" w:rsidRDefault="00134DEB" w:rsidP="00B6745A">
            <w:pPr>
              <w:jc w:val="center"/>
              <w:rPr>
                <w:color w:val="000000"/>
                <w:sz w:val="18"/>
                <w:szCs w:val="18"/>
              </w:rPr>
            </w:pPr>
            <w:r w:rsidRPr="00776161">
              <w:rPr>
                <w:color w:val="000000"/>
                <w:sz w:val="18"/>
                <w:szCs w:val="18"/>
              </w:rPr>
              <w:t>2 187 702</w:t>
            </w:r>
          </w:p>
        </w:tc>
        <w:tc>
          <w:tcPr>
            <w:tcW w:w="1328" w:type="pct"/>
            <w:tcBorders>
              <w:top w:val="nil"/>
              <w:left w:val="nil"/>
              <w:bottom w:val="nil"/>
              <w:right w:val="nil"/>
            </w:tcBorders>
            <w:noWrap/>
            <w:vAlign w:val="center"/>
            <w:hideMark/>
          </w:tcPr>
          <w:p w14:paraId="534AB301" w14:textId="77777777" w:rsidR="00134DEB" w:rsidRPr="00776161" w:rsidRDefault="00134DEB" w:rsidP="00B6745A">
            <w:pPr>
              <w:jc w:val="center"/>
              <w:rPr>
                <w:color w:val="000000"/>
                <w:sz w:val="18"/>
                <w:szCs w:val="18"/>
              </w:rPr>
            </w:pPr>
            <w:r w:rsidRPr="00776161">
              <w:rPr>
                <w:color w:val="000000"/>
                <w:sz w:val="18"/>
                <w:szCs w:val="18"/>
              </w:rPr>
              <w:t>1 070 208</w:t>
            </w:r>
          </w:p>
        </w:tc>
        <w:tc>
          <w:tcPr>
            <w:tcW w:w="1328" w:type="pct"/>
            <w:tcBorders>
              <w:top w:val="nil"/>
              <w:left w:val="nil"/>
              <w:bottom w:val="nil"/>
              <w:right w:val="nil"/>
            </w:tcBorders>
            <w:noWrap/>
            <w:vAlign w:val="center"/>
            <w:hideMark/>
          </w:tcPr>
          <w:p w14:paraId="73C1FD3C" w14:textId="77777777" w:rsidR="00134DEB" w:rsidRPr="00776161" w:rsidRDefault="00134DEB" w:rsidP="00B6745A">
            <w:pPr>
              <w:jc w:val="center"/>
              <w:rPr>
                <w:color w:val="000000"/>
                <w:sz w:val="18"/>
                <w:szCs w:val="18"/>
              </w:rPr>
            </w:pPr>
            <w:r w:rsidRPr="00776161">
              <w:rPr>
                <w:color w:val="000000"/>
                <w:sz w:val="18"/>
                <w:szCs w:val="18"/>
              </w:rPr>
              <w:t>1 117 494</w:t>
            </w:r>
          </w:p>
        </w:tc>
      </w:tr>
      <w:tr w:rsidR="00134DEB" w:rsidRPr="00776161" w14:paraId="65C94F5A" w14:textId="77777777" w:rsidTr="0008618C">
        <w:trPr>
          <w:trHeight w:val="323"/>
        </w:trPr>
        <w:tc>
          <w:tcPr>
            <w:tcW w:w="1016" w:type="pct"/>
            <w:tcBorders>
              <w:top w:val="nil"/>
              <w:left w:val="nil"/>
              <w:bottom w:val="nil"/>
              <w:right w:val="nil"/>
            </w:tcBorders>
            <w:vAlign w:val="center"/>
            <w:hideMark/>
          </w:tcPr>
          <w:p w14:paraId="11B49552" w14:textId="77777777" w:rsidR="00134DEB" w:rsidRPr="00776161" w:rsidRDefault="00134DEB" w:rsidP="00B6745A">
            <w:pPr>
              <w:jc w:val="center"/>
              <w:rPr>
                <w:color w:val="000000"/>
                <w:sz w:val="18"/>
                <w:szCs w:val="18"/>
              </w:rPr>
            </w:pPr>
            <w:r w:rsidRPr="00776161">
              <w:rPr>
                <w:color w:val="000000"/>
                <w:sz w:val="18"/>
                <w:szCs w:val="18"/>
              </w:rPr>
              <w:t>2023</w:t>
            </w:r>
          </w:p>
        </w:tc>
        <w:tc>
          <w:tcPr>
            <w:tcW w:w="1328" w:type="pct"/>
            <w:tcBorders>
              <w:top w:val="nil"/>
              <w:left w:val="nil"/>
              <w:bottom w:val="nil"/>
              <w:right w:val="nil"/>
            </w:tcBorders>
            <w:noWrap/>
            <w:vAlign w:val="center"/>
            <w:hideMark/>
          </w:tcPr>
          <w:p w14:paraId="57D13498" w14:textId="77777777" w:rsidR="00134DEB" w:rsidRPr="00776161" w:rsidRDefault="00134DEB" w:rsidP="00B6745A">
            <w:pPr>
              <w:jc w:val="center"/>
              <w:rPr>
                <w:color w:val="000000"/>
                <w:sz w:val="18"/>
                <w:szCs w:val="18"/>
              </w:rPr>
            </w:pPr>
            <w:r w:rsidRPr="00776161">
              <w:rPr>
                <w:color w:val="000000"/>
                <w:sz w:val="18"/>
                <w:szCs w:val="18"/>
              </w:rPr>
              <w:t>4 509 274</w:t>
            </w:r>
          </w:p>
        </w:tc>
        <w:tc>
          <w:tcPr>
            <w:tcW w:w="1328" w:type="pct"/>
            <w:tcBorders>
              <w:top w:val="nil"/>
              <w:left w:val="nil"/>
              <w:bottom w:val="nil"/>
              <w:right w:val="nil"/>
            </w:tcBorders>
            <w:noWrap/>
            <w:vAlign w:val="center"/>
            <w:hideMark/>
          </w:tcPr>
          <w:p w14:paraId="0FDB81D7" w14:textId="77777777" w:rsidR="00134DEB" w:rsidRPr="00776161" w:rsidRDefault="00134DEB" w:rsidP="00B6745A">
            <w:pPr>
              <w:jc w:val="center"/>
              <w:rPr>
                <w:color w:val="000000"/>
                <w:sz w:val="18"/>
                <w:szCs w:val="18"/>
              </w:rPr>
            </w:pPr>
            <w:r w:rsidRPr="00776161">
              <w:rPr>
                <w:color w:val="000000"/>
                <w:sz w:val="18"/>
                <w:szCs w:val="18"/>
              </w:rPr>
              <w:t>1 064 838</w:t>
            </w:r>
          </w:p>
        </w:tc>
        <w:tc>
          <w:tcPr>
            <w:tcW w:w="1328" w:type="pct"/>
            <w:tcBorders>
              <w:top w:val="nil"/>
              <w:left w:val="nil"/>
              <w:bottom w:val="nil"/>
              <w:right w:val="nil"/>
            </w:tcBorders>
            <w:noWrap/>
            <w:vAlign w:val="center"/>
            <w:hideMark/>
          </w:tcPr>
          <w:p w14:paraId="7310C7AE" w14:textId="77777777" w:rsidR="00134DEB" w:rsidRPr="00776161" w:rsidRDefault="00134DEB" w:rsidP="00B6745A">
            <w:pPr>
              <w:jc w:val="center"/>
              <w:rPr>
                <w:color w:val="000000"/>
                <w:sz w:val="18"/>
                <w:szCs w:val="18"/>
              </w:rPr>
            </w:pPr>
            <w:r w:rsidRPr="00776161">
              <w:rPr>
                <w:color w:val="000000"/>
                <w:sz w:val="18"/>
                <w:szCs w:val="18"/>
              </w:rPr>
              <w:t>3 444 436</w:t>
            </w:r>
          </w:p>
        </w:tc>
      </w:tr>
      <w:tr w:rsidR="00134DEB" w:rsidRPr="00776161" w14:paraId="21AE2F77" w14:textId="77777777" w:rsidTr="0008618C">
        <w:trPr>
          <w:trHeight w:val="323"/>
        </w:trPr>
        <w:tc>
          <w:tcPr>
            <w:tcW w:w="1016" w:type="pct"/>
            <w:tcBorders>
              <w:top w:val="nil"/>
              <w:left w:val="nil"/>
              <w:bottom w:val="nil"/>
              <w:right w:val="nil"/>
            </w:tcBorders>
            <w:vAlign w:val="center"/>
            <w:hideMark/>
          </w:tcPr>
          <w:p w14:paraId="76F61452" w14:textId="77777777" w:rsidR="00134DEB" w:rsidRPr="00776161" w:rsidRDefault="00134DEB" w:rsidP="00B6745A">
            <w:pPr>
              <w:jc w:val="center"/>
              <w:rPr>
                <w:color w:val="000000"/>
                <w:sz w:val="18"/>
                <w:szCs w:val="18"/>
              </w:rPr>
            </w:pPr>
            <w:r w:rsidRPr="00776161">
              <w:rPr>
                <w:color w:val="000000"/>
                <w:sz w:val="18"/>
                <w:szCs w:val="18"/>
              </w:rPr>
              <w:t>2024</w:t>
            </w:r>
          </w:p>
        </w:tc>
        <w:tc>
          <w:tcPr>
            <w:tcW w:w="1328" w:type="pct"/>
            <w:tcBorders>
              <w:top w:val="nil"/>
              <w:left w:val="nil"/>
              <w:bottom w:val="nil"/>
              <w:right w:val="nil"/>
            </w:tcBorders>
            <w:noWrap/>
            <w:vAlign w:val="center"/>
            <w:hideMark/>
          </w:tcPr>
          <w:p w14:paraId="59768BD1" w14:textId="77777777" w:rsidR="00134DEB" w:rsidRPr="00776161" w:rsidRDefault="00134DEB" w:rsidP="00B6745A">
            <w:pPr>
              <w:jc w:val="center"/>
              <w:rPr>
                <w:color w:val="000000"/>
                <w:sz w:val="18"/>
                <w:szCs w:val="18"/>
              </w:rPr>
            </w:pPr>
            <w:r w:rsidRPr="00776161">
              <w:rPr>
                <w:color w:val="000000"/>
                <w:sz w:val="18"/>
                <w:szCs w:val="18"/>
              </w:rPr>
              <w:t>4 132 691</w:t>
            </w:r>
          </w:p>
        </w:tc>
        <w:tc>
          <w:tcPr>
            <w:tcW w:w="1328" w:type="pct"/>
            <w:tcBorders>
              <w:top w:val="nil"/>
              <w:left w:val="nil"/>
              <w:bottom w:val="nil"/>
              <w:right w:val="nil"/>
            </w:tcBorders>
            <w:noWrap/>
            <w:vAlign w:val="center"/>
            <w:hideMark/>
          </w:tcPr>
          <w:p w14:paraId="33DEBED9" w14:textId="77777777" w:rsidR="00134DEB" w:rsidRPr="00776161" w:rsidRDefault="00134DEB" w:rsidP="00B6745A">
            <w:pPr>
              <w:jc w:val="center"/>
              <w:rPr>
                <w:color w:val="000000"/>
                <w:sz w:val="18"/>
                <w:szCs w:val="18"/>
              </w:rPr>
            </w:pPr>
            <w:r w:rsidRPr="00776161">
              <w:rPr>
                <w:color w:val="000000"/>
                <w:sz w:val="18"/>
                <w:szCs w:val="18"/>
              </w:rPr>
              <w:t>941 695</w:t>
            </w:r>
          </w:p>
        </w:tc>
        <w:tc>
          <w:tcPr>
            <w:tcW w:w="1328" w:type="pct"/>
            <w:tcBorders>
              <w:top w:val="nil"/>
              <w:left w:val="nil"/>
              <w:bottom w:val="nil"/>
              <w:right w:val="nil"/>
            </w:tcBorders>
            <w:noWrap/>
            <w:vAlign w:val="center"/>
            <w:hideMark/>
          </w:tcPr>
          <w:p w14:paraId="034C5038" w14:textId="77777777" w:rsidR="00134DEB" w:rsidRPr="00776161" w:rsidRDefault="00134DEB" w:rsidP="00B6745A">
            <w:pPr>
              <w:jc w:val="center"/>
              <w:rPr>
                <w:color w:val="000000"/>
                <w:sz w:val="18"/>
                <w:szCs w:val="18"/>
              </w:rPr>
            </w:pPr>
            <w:r w:rsidRPr="00776161">
              <w:rPr>
                <w:color w:val="000000"/>
                <w:sz w:val="18"/>
                <w:szCs w:val="18"/>
              </w:rPr>
              <w:t>3 190 996</w:t>
            </w:r>
          </w:p>
        </w:tc>
      </w:tr>
      <w:tr w:rsidR="00134DEB" w:rsidRPr="00776161" w14:paraId="20D3E121" w14:textId="77777777" w:rsidTr="0008618C">
        <w:trPr>
          <w:trHeight w:val="323"/>
        </w:trPr>
        <w:tc>
          <w:tcPr>
            <w:tcW w:w="1016" w:type="pct"/>
            <w:tcBorders>
              <w:top w:val="nil"/>
              <w:left w:val="nil"/>
              <w:bottom w:val="single" w:sz="4" w:space="0" w:color="auto"/>
              <w:right w:val="nil"/>
            </w:tcBorders>
            <w:vAlign w:val="center"/>
          </w:tcPr>
          <w:p w14:paraId="325FA7C6" w14:textId="77777777" w:rsidR="00134DEB" w:rsidRPr="00776161" w:rsidRDefault="00134DEB" w:rsidP="00B6745A">
            <w:pPr>
              <w:jc w:val="center"/>
              <w:rPr>
                <w:color w:val="000000"/>
                <w:sz w:val="18"/>
                <w:szCs w:val="18"/>
              </w:rPr>
            </w:pPr>
            <w:r w:rsidRPr="00776161">
              <w:rPr>
                <w:color w:val="000000"/>
                <w:sz w:val="18"/>
                <w:szCs w:val="18"/>
              </w:rPr>
              <w:t>2025</w:t>
            </w:r>
          </w:p>
        </w:tc>
        <w:tc>
          <w:tcPr>
            <w:tcW w:w="1328" w:type="pct"/>
            <w:tcBorders>
              <w:top w:val="nil"/>
              <w:left w:val="nil"/>
              <w:bottom w:val="single" w:sz="4" w:space="0" w:color="auto"/>
              <w:right w:val="nil"/>
            </w:tcBorders>
            <w:noWrap/>
            <w:vAlign w:val="center"/>
          </w:tcPr>
          <w:p w14:paraId="1AB4229C" w14:textId="77777777" w:rsidR="00134DEB" w:rsidRPr="00776161" w:rsidRDefault="00134DEB" w:rsidP="00B6745A">
            <w:pPr>
              <w:jc w:val="center"/>
              <w:rPr>
                <w:color w:val="000000"/>
                <w:sz w:val="18"/>
                <w:szCs w:val="18"/>
              </w:rPr>
            </w:pPr>
            <w:r w:rsidRPr="00776161">
              <w:rPr>
                <w:color w:val="000000"/>
                <w:sz w:val="18"/>
                <w:szCs w:val="18"/>
              </w:rPr>
              <w:t>4 377 310</w:t>
            </w:r>
          </w:p>
        </w:tc>
        <w:tc>
          <w:tcPr>
            <w:tcW w:w="1328" w:type="pct"/>
            <w:tcBorders>
              <w:top w:val="nil"/>
              <w:left w:val="nil"/>
              <w:bottom w:val="single" w:sz="4" w:space="0" w:color="auto"/>
              <w:right w:val="nil"/>
            </w:tcBorders>
            <w:noWrap/>
            <w:vAlign w:val="center"/>
          </w:tcPr>
          <w:p w14:paraId="0BA07FAF" w14:textId="77777777" w:rsidR="00134DEB" w:rsidRPr="00776161" w:rsidRDefault="00134DEB" w:rsidP="00B6745A">
            <w:pPr>
              <w:jc w:val="center"/>
              <w:rPr>
                <w:color w:val="000000"/>
                <w:sz w:val="18"/>
                <w:szCs w:val="18"/>
              </w:rPr>
            </w:pPr>
            <w:r w:rsidRPr="00776161">
              <w:rPr>
                <w:color w:val="000000"/>
                <w:sz w:val="18"/>
                <w:szCs w:val="18"/>
              </w:rPr>
              <w:t>1 132 305</w:t>
            </w:r>
          </w:p>
        </w:tc>
        <w:tc>
          <w:tcPr>
            <w:tcW w:w="1328" w:type="pct"/>
            <w:tcBorders>
              <w:top w:val="nil"/>
              <w:left w:val="nil"/>
              <w:bottom w:val="single" w:sz="4" w:space="0" w:color="auto"/>
              <w:right w:val="nil"/>
            </w:tcBorders>
            <w:noWrap/>
            <w:vAlign w:val="center"/>
          </w:tcPr>
          <w:p w14:paraId="274F1B37" w14:textId="77777777" w:rsidR="00134DEB" w:rsidRPr="00776161" w:rsidRDefault="00134DEB" w:rsidP="00B6745A">
            <w:pPr>
              <w:jc w:val="center"/>
              <w:rPr>
                <w:color w:val="000000"/>
                <w:sz w:val="18"/>
                <w:szCs w:val="18"/>
              </w:rPr>
            </w:pPr>
            <w:r w:rsidRPr="00776161">
              <w:rPr>
                <w:color w:val="000000"/>
                <w:sz w:val="18"/>
                <w:szCs w:val="18"/>
              </w:rPr>
              <w:t>3 245 005</w:t>
            </w:r>
          </w:p>
        </w:tc>
      </w:tr>
      <w:tr w:rsidR="00134DEB" w:rsidRPr="00776161" w14:paraId="03B16A6D" w14:textId="77777777" w:rsidTr="0008618C">
        <w:trPr>
          <w:trHeight w:val="338"/>
        </w:trPr>
        <w:tc>
          <w:tcPr>
            <w:tcW w:w="1016" w:type="pct"/>
            <w:tcBorders>
              <w:top w:val="single" w:sz="4" w:space="0" w:color="auto"/>
              <w:left w:val="nil"/>
              <w:bottom w:val="single" w:sz="4" w:space="0" w:color="auto"/>
              <w:right w:val="nil"/>
            </w:tcBorders>
            <w:vAlign w:val="center"/>
            <w:hideMark/>
          </w:tcPr>
          <w:p w14:paraId="7B7061C9" w14:textId="77777777" w:rsidR="00134DEB" w:rsidRPr="00776161" w:rsidRDefault="00134DEB" w:rsidP="00B6745A">
            <w:pPr>
              <w:jc w:val="center"/>
              <w:rPr>
                <w:b/>
                <w:bCs/>
                <w:color w:val="000000"/>
                <w:sz w:val="18"/>
                <w:szCs w:val="18"/>
              </w:rPr>
            </w:pPr>
            <w:r w:rsidRPr="00776161">
              <w:rPr>
                <w:b/>
                <w:bCs/>
                <w:color w:val="000000"/>
                <w:sz w:val="18"/>
                <w:szCs w:val="18"/>
              </w:rPr>
              <w:t>Spolu</w:t>
            </w:r>
          </w:p>
        </w:tc>
        <w:tc>
          <w:tcPr>
            <w:tcW w:w="1328" w:type="pct"/>
            <w:tcBorders>
              <w:top w:val="single" w:sz="4" w:space="0" w:color="auto"/>
              <w:left w:val="nil"/>
              <w:bottom w:val="single" w:sz="4" w:space="0" w:color="auto"/>
              <w:right w:val="nil"/>
            </w:tcBorders>
            <w:noWrap/>
            <w:vAlign w:val="center"/>
          </w:tcPr>
          <w:p w14:paraId="21646212" w14:textId="77777777" w:rsidR="00134DEB" w:rsidRPr="00776161" w:rsidRDefault="00134DEB" w:rsidP="00B6745A">
            <w:pPr>
              <w:jc w:val="center"/>
              <w:rPr>
                <w:b/>
                <w:bCs/>
                <w:color w:val="000000"/>
                <w:sz w:val="18"/>
                <w:szCs w:val="18"/>
              </w:rPr>
            </w:pPr>
            <w:r w:rsidRPr="00776161">
              <w:rPr>
                <w:b/>
                <w:bCs/>
                <w:color w:val="000000"/>
                <w:sz w:val="18"/>
                <w:szCs w:val="18"/>
              </w:rPr>
              <w:t>46 119 402</w:t>
            </w:r>
          </w:p>
        </w:tc>
        <w:tc>
          <w:tcPr>
            <w:tcW w:w="1328" w:type="pct"/>
            <w:tcBorders>
              <w:top w:val="single" w:sz="4" w:space="0" w:color="auto"/>
              <w:left w:val="nil"/>
              <w:bottom w:val="single" w:sz="4" w:space="0" w:color="auto"/>
              <w:right w:val="nil"/>
            </w:tcBorders>
            <w:noWrap/>
            <w:vAlign w:val="center"/>
          </w:tcPr>
          <w:p w14:paraId="2312FE5E" w14:textId="77777777" w:rsidR="00134DEB" w:rsidRPr="00776161" w:rsidRDefault="00134DEB" w:rsidP="00B6745A">
            <w:pPr>
              <w:jc w:val="center"/>
              <w:rPr>
                <w:b/>
                <w:bCs/>
                <w:color w:val="000000"/>
                <w:sz w:val="18"/>
                <w:szCs w:val="18"/>
              </w:rPr>
            </w:pPr>
            <w:r w:rsidRPr="00776161">
              <w:rPr>
                <w:b/>
                <w:bCs/>
                <w:color w:val="000000"/>
                <w:sz w:val="18"/>
                <w:szCs w:val="18"/>
              </w:rPr>
              <w:t>17 301 338</w:t>
            </w:r>
          </w:p>
        </w:tc>
        <w:tc>
          <w:tcPr>
            <w:tcW w:w="1328" w:type="pct"/>
            <w:tcBorders>
              <w:top w:val="single" w:sz="4" w:space="0" w:color="auto"/>
              <w:left w:val="nil"/>
              <w:bottom w:val="single" w:sz="4" w:space="0" w:color="auto"/>
              <w:right w:val="nil"/>
            </w:tcBorders>
            <w:noWrap/>
            <w:vAlign w:val="center"/>
          </w:tcPr>
          <w:p w14:paraId="2AB52DF9" w14:textId="77777777" w:rsidR="00134DEB" w:rsidRPr="00776161" w:rsidRDefault="00134DEB" w:rsidP="00B6745A">
            <w:pPr>
              <w:jc w:val="center"/>
              <w:rPr>
                <w:b/>
                <w:bCs/>
                <w:color w:val="000000"/>
                <w:sz w:val="18"/>
                <w:szCs w:val="18"/>
              </w:rPr>
            </w:pPr>
            <w:r w:rsidRPr="00776161">
              <w:rPr>
                <w:b/>
                <w:bCs/>
                <w:color w:val="000000"/>
                <w:sz w:val="18"/>
                <w:szCs w:val="18"/>
              </w:rPr>
              <w:t>28 818 064</w:t>
            </w:r>
          </w:p>
        </w:tc>
      </w:tr>
    </w:tbl>
    <w:p w14:paraId="0E346BC1" w14:textId="4A1756B2" w:rsidR="00D0395E" w:rsidRPr="00134DEB" w:rsidRDefault="009A6D81" w:rsidP="009A6D81">
      <w:pPr>
        <w:tabs>
          <w:tab w:val="right" w:pos="9070"/>
        </w:tabs>
        <w:spacing w:line="240" w:lineRule="auto"/>
        <w:jc w:val="both"/>
        <w:rPr>
          <w:sz w:val="18"/>
          <w:szCs w:val="18"/>
        </w:rPr>
      </w:pPr>
      <w:r w:rsidRPr="00134DEB">
        <w:rPr>
          <w:sz w:val="18"/>
          <w:szCs w:val="18"/>
        </w:rPr>
        <w:tab/>
      </w:r>
      <w:r w:rsidR="00D0395E" w:rsidRPr="00134DEB">
        <w:rPr>
          <w:sz w:val="18"/>
          <w:szCs w:val="18"/>
        </w:rPr>
        <w:t>Zdroj: MF SR</w:t>
      </w:r>
    </w:p>
    <w:p w14:paraId="2A4123C0" w14:textId="77777777" w:rsidR="00B00EB7" w:rsidRDefault="00B00EB7" w:rsidP="00134DEB">
      <w:pPr>
        <w:spacing w:line="240" w:lineRule="auto"/>
        <w:jc w:val="both"/>
        <w:rPr>
          <w:szCs w:val="24"/>
        </w:rPr>
      </w:pPr>
      <w:bookmarkStart w:id="153" w:name="_Toc386461121"/>
    </w:p>
    <w:p w14:paraId="5EC89D71" w14:textId="3457E035" w:rsidR="00134DEB" w:rsidRPr="00134DEB" w:rsidRDefault="00134DEB" w:rsidP="00134DEB">
      <w:pPr>
        <w:spacing w:line="240" w:lineRule="auto"/>
        <w:jc w:val="both"/>
        <w:rPr>
          <w:szCs w:val="24"/>
        </w:rPr>
      </w:pPr>
      <w:r w:rsidRPr="00134DEB">
        <w:rPr>
          <w:szCs w:val="24"/>
        </w:rPr>
        <w:t>Za obdobie od</w:t>
      </w:r>
      <w:r w:rsidRPr="00134DEB">
        <w:rPr>
          <w:b/>
          <w:szCs w:val="24"/>
        </w:rPr>
        <w:t xml:space="preserve"> </w:t>
      </w:r>
      <w:r w:rsidRPr="00134DEB">
        <w:rPr>
          <w:szCs w:val="24"/>
        </w:rPr>
        <w:t>vstupu Slovenskej republiky do EÚ</w:t>
      </w:r>
      <w:r w:rsidRPr="00134DEB">
        <w:rPr>
          <w:b/>
          <w:szCs w:val="24"/>
        </w:rPr>
        <w:t xml:space="preserve"> </w:t>
      </w:r>
      <w:r w:rsidRPr="00134DEB">
        <w:rPr>
          <w:szCs w:val="24"/>
        </w:rPr>
        <w:t>boli celkovo</w:t>
      </w:r>
      <w:r w:rsidRPr="00134DEB">
        <w:rPr>
          <w:b/>
          <w:szCs w:val="24"/>
        </w:rPr>
        <w:t xml:space="preserve"> </w:t>
      </w:r>
      <w:r w:rsidRPr="00134DEB">
        <w:rPr>
          <w:szCs w:val="24"/>
        </w:rPr>
        <w:t>do</w:t>
      </w:r>
      <w:r>
        <w:rPr>
          <w:szCs w:val="24"/>
        </w:rPr>
        <w:t> </w:t>
      </w:r>
      <w:r w:rsidRPr="00134DEB">
        <w:rPr>
          <w:szCs w:val="24"/>
        </w:rPr>
        <w:t xml:space="preserve">rozpočtu Slovenskej republiky prijaté príjmy z EÚ vo výške </w:t>
      </w:r>
      <w:r w:rsidRPr="00134DEB">
        <w:rPr>
          <w:b/>
          <w:bCs/>
          <w:szCs w:val="24"/>
        </w:rPr>
        <w:t>46</w:t>
      </w:r>
      <w:r>
        <w:rPr>
          <w:b/>
          <w:bCs/>
          <w:szCs w:val="24"/>
        </w:rPr>
        <w:t> </w:t>
      </w:r>
      <w:r w:rsidRPr="00134DEB">
        <w:rPr>
          <w:b/>
          <w:bCs/>
          <w:szCs w:val="24"/>
        </w:rPr>
        <w:t>119</w:t>
      </w:r>
      <w:r>
        <w:rPr>
          <w:b/>
          <w:bCs/>
          <w:szCs w:val="24"/>
        </w:rPr>
        <w:t> </w:t>
      </w:r>
      <w:r w:rsidRPr="00134DEB">
        <w:rPr>
          <w:b/>
          <w:bCs/>
          <w:szCs w:val="24"/>
        </w:rPr>
        <w:t>402</w:t>
      </w:r>
      <w:r>
        <w:rPr>
          <w:b/>
          <w:bCs/>
          <w:szCs w:val="24"/>
        </w:rPr>
        <w:t> </w:t>
      </w:r>
      <w:r w:rsidRPr="00134DEB">
        <w:rPr>
          <w:b/>
          <w:bCs/>
          <w:szCs w:val="24"/>
        </w:rPr>
        <w:t>tis.</w:t>
      </w:r>
      <w:r>
        <w:rPr>
          <w:b/>
          <w:bCs/>
          <w:szCs w:val="24"/>
        </w:rPr>
        <w:t> </w:t>
      </w:r>
      <w:r w:rsidRPr="00134DEB">
        <w:rPr>
          <w:b/>
          <w:bCs/>
          <w:szCs w:val="24"/>
        </w:rPr>
        <w:t>eur</w:t>
      </w:r>
      <w:r w:rsidRPr="00134DEB">
        <w:rPr>
          <w:szCs w:val="24"/>
        </w:rPr>
        <w:t xml:space="preserve"> a Slovenská republika odviedla do</w:t>
      </w:r>
      <w:r>
        <w:rPr>
          <w:szCs w:val="24"/>
        </w:rPr>
        <w:t> </w:t>
      </w:r>
      <w:r w:rsidRPr="00134DEB">
        <w:rPr>
          <w:szCs w:val="24"/>
        </w:rPr>
        <w:t xml:space="preserve">všeobecného rozpočtu EÚ sumu vo výške </w:t>
      </w:r>
      <w:r w:rsidRPr="00134DEB">
        <w:rPr>
          <w:b/>
          <w:bCs/>
          <w:szCs w:val="24"/>
        </w:rPr>
        <w:t>17</w:t>
      </w:r>
      <w:r>
        <w:rPr>
          <w:b/>
          <w:bCs/>
          <w:szCs w:val="24"/>
        </w:rPr>
        <w:t> </w:t>
      </w:r>
      <w:r w:rsidRPr="00134DEB">
        <w:rPr>
          <w:b/>
          <w:bCs/>
          <w:szCs w:val="24"/>
        </w:rPr>
        <w:t>301</w:t>
      </w:r>
      <w:r>
        <w:rPr>
          <w:b/>
          <w:bCs/>
          <w:szCs w:val="24"/>
        </w:rPr>
        <w:t> </w:t>
      </w:r>
      <w:r w:rsidRPr="00134DEB">
        <w:rPr>
          <w:b/>
          <w:bCs/>
          <w:szCs w:val="24"/>
        </w:rPr>
        <w:t>338</w:t>
      </w:r>
      <w:r>
        <w:rPr>
          <w:b/>
          <w:bCs/>
          <w:szCs w:val="24"/>
        </w:rPr>
        <w:t> </w:t>
      </w:r>
      <w:r w:rsidRPr="00134DEB">
        <w:rPr>
          <w:b/>
          <w:bCs/>
          <w:szCs w:val="24"/>
        </w:rPr>
        <w:t>tis.</w:t>
      </w:r>
      <w:r>
        <w:rPr>
          <w:b/>
          <w:bCs/>
          <w:szCs w:val="24"/>
        </w:rPr>
        <w:t> </w:t>
      </w:r>
      <w:r w:rsidRPr="00134DEB">
        <w:rPr>
          <w:b/>
          <w:bCs/>
          <w:szCs w:val="24"/>
        </w:rPr>
        <w:t>eur</w:t>
      </w:r>
      <w:r w:rsidRPr="00134DEB">
        <w:rPr>
          <w:szCs w:val="24"/>
        </w:rPr>
        <w:t xml:space="preserve">, na základe čoho </w:t>
      </w:r>
      <w:r w:rsidRPr="00134DEB">
        <w:rPr>
          <w:b/>
          <w:szCs w:val="24"/>
        </w:rPr>
        <w:t>čistá finančná pozícia voči EÚ dosiahla 28</w:t>
      </w:r>
      <w:r>
        <w:rPr>
          <w:b/>
          <w:szCs w:val="24"/>
        </w:rPr>
        <w:t> </w:t>
      </w:r>
      <w:r w:rsidRPr="00134DEB">
        <w:rPr>
          <w:b/>
          <w:szCs w:val="24"/>
        </w:rPr>
        <w:t>818</w:t>
      </w:r>
      <w:r>
        <w:rPr>
          <w:b/>
          <w:szCs w:val="24"/>
        </w:rPr>
        <w:t> </w:t>
      </w:r>
      <w:r w:rsidRPr="00134DEB">
        <w:rPr>
          <w:b/>
          <w:szCs w:val="24"/>
        </w:rPr>
        <w:t>064</w:t>
      </w:r>
      <w:r>
        <w:rPr>
          <w:b/>
          <w:szCs w:val="24"/>
        </w:rPr>
        <w:t> </w:t>
      </w:r>
      <w:r w:rsidRPr="00134DEB">
        <w:rPr>
          <w:b/>
          <w:szCs w:val="24"/>
        </w:rPr>
        <w:t>tis.</w:t>
      </w:r>
      <w:r>
        <w:rPr>
          <w:b/>
          <w:szCs w:val="24"/>
        </w:rPr>
        <w:t> </w:t>
      </w:r>
      <w:r w:rsidRPr="00134DEB">
        <w:rPr>
          <w:b/>
          <w:szCs w:val="24"/>
        </w:rPr>
        <w:t>eur</w:t>
      </w:r>
      <w:r w:rsidRPr="00134DEB">
        <w:rPr>
          <w:szCs w:val="24"/>
        </w:rPr>
        <w:t>.</w:t>
      </w:r>
      <w:r w:rsidRPr="00134DEB">
        <w:rPr>
          <w:b/>
          <w:szCs w:val="24"/>
        </w:rPr>
        <w:t xml:space="preserve"> </w:t>
      </w:r>
      <w:r w:rsidRPr="00134DEB">
        <w:rPr>
          <w:szCs w:val="24"/>
        </w:rPr>
        <w:t>Od roku 2004 Slovenská republika prijala z rozpočtu EÚ 2,7 násobok prostriedkov, ktoré do rozpočtu EÚ odviedla.</w:t>
      </w:r>
    </w:p>
    <w:p w14:paraId="1A798346" w14:textId="77777777" w:rsidR="00D46A5E" w:rsidRPr="0050710A" w:rsidRDefault="00D46A5E" w:rsidP="00532D85">
      <w:pPr>
        <w:spacing w:line="240" w:lineRule="auto"/>
        <w:jc w:val="both"/>
        <w:rPr>
          <w:rFonts w:eastAsiaTheme="majorEastAsia" w:cstheme="majorBidi"/>
          <w:b/>
          <w:szCs w:val="26"/>
          <w:highlight w:val="yellow"/>
        </w:rPr>
      </w:pPr>
    </w:p>
    <w:p w14:paraId="21ACC221" w14:textId="71823F0F" w:rsidR="004D69BF" w:rsidRPr="00DA100D" w:rsidRDefault="004D69BF" w:rsidP="00532D85">
      <w:pPr>
        <w:pStyle w:val="Nadpis3"/>
        <w:spacing w:before="0"/>
        <w:jc w:val="both"/>
      </w:pPr>
      <w:bookmarkStart w:id="154" w:name="_Toc227758914"/>
      <w:r w:rsidRPr="00DA100D">
        <w:t>Príjmy z rozpočtu Európskej únie</w:t>
      </w:r>
      <w:bookmarkEnd w:id="153"/>
      <w:r w:rsidRPr="00DA100D">
        <w:t xml:space="preserve"> – prostriedky EÚ</w:t>
      </w:r>
      <w:bookmarkEnd w:id="154"/>
    </w:p>
    <w:p w14:paraId="051F72D2" w14:textId="77777777" w:rsidR="00D46A5E" w:rsidRPr="0050710A" w:rsidRDefault="00D46A5E" w:rsidP="00532D85">
      <w:pPr>
        <w:spacing w:line="240" w:lineRule="auto"/>
        <w:jc w:val="both"/>
        <w:rPr>
          <w:szCs w:val="24"/>
          <w:highlight w:val="yellow"/>
        </w:rPr>
      </w:pPr>
    </w:p>
    <w:p w14:paraId="1DA0FE4D" w14:textId="2DDEFAE7" w:rsidR="005422C7" w:rsidRDefault="005422C7" w:rsidP="005422C7">
      <w:pPr>
        <w:spacing w:line="240" w:lineRule="auto"/>
        <w:jc w:val="both"/>
        <w:rPr>
          <w:szCs w:val="24"/>
        </w:rPr>
      </w:pPr>
      <w:r w:rsidRPr="005422C7">
        <w:rPr>
          <w:szCs w:val="24"/>
        </w:rPr>
        <w:t>Príjmy z rozpočtu EÚ sa rozpočtujú za programy EÚ (štrukturálne operácie), ktoré sa v</w:t>
      </w:r>
      <w:r>
        <w:rPr>
          <w:szCs w:val="24"/>
        </w:rPr>
        <w:t> </w:t>
      </w:r>
      <w:r w:rsidRPr="005422C7">
        <w:rPr>
          <w:szCs w:val="24"/>
        </w:rPr>
        <w:t>Slovenskej republike poskytujú prostredníctvom certifikačného orgánu (MF SR a</w:t>
      </w:r>
      <w:r>
        <w:rPr>
          <w:szCs w:val="24"/>
        </w:rPr>
        <w:t> </w:t>
      </w:r>
      <w:r w:rsidRPr="005422C7">
        <w:rPr>
          <w:szCs w:val="24"/>
        </w:rPr>
        <w:t>MPSVR SR), platobného orgánu (MF SR a MV SR) alebo MPRV SR.</w:t>
      </w:r>
    </w:p>
    <w:p w14:paraId="6984031E" w14:textId="77777777" w:rsidR="005422C7" w:rsidRPr="005422C7" w:rsidRDefault="005422C7" w:rsidP="005422C7">
      <w:pPr>
        <w:spacing w:line="240" w:lineRule="auto"/>
        <w:jc w:val="both"/>
        <w:rPr>
          <w:szCs w:val="24"/>
        </w:rPr>
      </w:pPr>
    </w:p>
    <w:p w14:paraId="4448804D" w14:textId="207F11F0" w:rsidR="005422C7" w:rsidRDefault="005422C7" w:rsidP="005422C7">
      <w:pPr>
        <w:spacing w:line="240" w:lineRule="auto"/>
        <w:jc w:val="both"/>
        <w:rPr>
          <w:szCs w:val="24"/>
        </w:rPr>
      </w:pPr>
      <w:r w:rsidRPr="005422C7">
        <w:rPr>
          <w:b/>
          <w:szCs w:val="24"/>
        </w:rPr>
        <w:t>Príjmy z rozpočtu EÚ</w:t>
      </w:r>
      <w:r w:rsidRPr="005422C7">
        <w:rPr>
          <w:szCs w:val="24"/>
        </w:rPr>
        <w:t xml:space="preserve"> sa rozpočtujú v rámci jednotlivých kapitol na</w:t>
      </w:r>
      <w:r w:rsidR="008C4EA3">
        <w:rPr>
          <w:szCs w:val="24"/>
        </w:rPr>
        <w:t> </w:t>
      </w:r>
      <w:r w:rsidRPr="005422C7">
        <w:rPr>
          <w:szCs w:val="24"/>
        </w:rPr>
        <w:t>úrovni riadiacich/sprostredkovateľských orgánov s platobnou funkciou a Pôdohospodárskej platobnej agentúry.</w:t>
      </w:r>
    </w:p>
    <w:p w14:paraId="3ADF5E36" w14:textId="77777777" w:rsidR="008C4EA3" w:rsidRPr="005422C7" w:rsidRDefault="008C4EA3" w:rsidP="005422C7">
      <w:pPr>
        <w:spacing w:line="240" w:lineRule="auto"/>
        <w:jc w:val="both"/>
        <w:rPr>
          <w:szCs w:val="24"/>
        </w:rPr>
      </w:pPr>
    </w:p>
    <w:p w14:paraId="2C6EE9E2" w14:textId="69858E0A" w:rsidR="005422C7" w:rsidRDefault="005422C7" w:rsidP="005422C7">
      <w:pPr>
        <w:spacing w:line="240" w:lineRule="auto"/>
        <w:jc w:val="both"/>
        <w:rPr>
          <w:szCs w:val="24"/>
        </w:rPr>
      </w:pPr>
      <w:r w:rsidRPr="005422C7">
        <w:rPr>
          <w:szCs w:val="24"/>
        </w:rPr>
        <w:t xml:space="preserve">Schválený rozpočet príjmov za prostriedky EÚ na rok 2025 bol vo výške </w:t>
      </w:r>
      <w:r w:rsidRPr="005422C7">
        <w:rPr>
          <w:b/>
          <w:bCs/>
          <w:szCs w:val="24"/>
        </w:rPr>
        <w:t>2</w:t>
      </w:r>
      <w:r w:rsidR="008C4EA3">
        <w:rPr>
          <w:b/>
          <w:bCs/>
          <w:szCs w:val="24"/>
        </w:rPr>
        <w:t> </w:t>
      </w:r>
      <w:r w:rsidRPr="005422C7">
        <w:rPr>
          <w:b/>
          <w:bCs/>
          <w:szCs w:val="24"/>
        </w:rPr>
        <w:t>142</w:t>
      </w:r>
      <w:r w:rsidR="008C4EA3">
        <w:rPr>
          <w:b/>
          <w:bCs/>
          <w:szCs w:val="24"/>
        </w:rPr>
        <w:t> </w:t>
      </w:r>
      <w:r w:rsidRPr="005422C7">
        <w:rPr>
          <w:b/>
          <w:bCs/>
          <w:szCs w:val="24"/>
        </w:rPr>
        <w:t>252</w:t>
      </w:r>
      <w:r w:rsidR="008C4EA3">
        <w:rPr>
          <w:b/>
          <w:bCs/>
          <w:szCs w:val="24"/>
        </w:rPr>
        <w:t> </w:t>
      </w:r>
      <w:r w:rsidRPr="005422C7">
        <w:rPr>
          <w:b/>
          <w:bCs/>
          <w:szCs w:val="24"/>
        </w:rPr>
        <w:t>tis.</w:t>
      </w:r>
      <w:r w:rsidR="008C4EA3">
        <w:rPr>
          <w:b/>
          <w:bCs/>
          <w:szCs w:val="24"/>
        </w:rPr>
        <w:t> </w:t>
      </w:r>
      <w:r w:rsidRPr="005422C7">
        <w:rPr>
          <w:b/>
          <w:bCs/>
          <w:szCs w:val="24"/>
        </w:rPr>
        <w:t>eur</w:t>
      </w:r>
      <w:r w:rsidRPr="005422C7">
        <w:rPr>
          <w:szCs w:val="24"/>
        </w:rPr>
        <w:t xml:space="preserve"> (z</w:t>
      </w:r>
      <w:r w:rsidR="008C4EA3">
        <w:rPr>
          <w:szCs w:val="24"/>
        </w:rPr>
        <w:t> </w:t>
      </w:r>
      <w:r w:rsidRPr="005422C7">
        <w:rPr>
          <w:szCs w:val="24"/>
        </w:rPr>
        <w:t>toho štrukturálne operácie MF SR vo výške 1</w:t>
      </w:r>
      <w:r w:rsidR="008C4EA3">
        <w:rPr>
          <w:szCs w:val="24"/>
        </w:rPr>
        <w:t> </w:t>
      </w:r>
      <w:r w:rsidRPr="005422C7">
        <w:rPr>
          <w:szCs w:val="24"/>
        </w:rPr>
        <w:t>546</w:t>
      </w:r>
      <w:r w:rsidR="008C4EA3">
        <w:rPr>
          <w:szCs w:val="24"/>
        </w:rPr>
        <w:t> </w:t>
      </w:r>
      <w:r w:rsidRPr="005422C7">
        <w:rPr>
          <w:szCs w:val="24"/>
        </w:rPr>
        <w:t>950</w:t>
      </w:r>
      <w:r w:rsidR="008C4EA3">
        <w:rPr>
          <w:szCs w:val="24"/>
        </w:rPr>
        <w:t> </w:t>
      </w:r>
      <w:r w:rsidRPr="005422C7">
        <w:rPr>
          <w:szCs w:val="24"/>
        </w:rPr>
        <w:t>tis.</w:t>
      </w:r>
      <w:r w:rsidR="008C4EA3">
        <w:rPr>
          <w:szCs w:val="24"/>
        </w:rPr>
        <w:t> </w:t>
      </w:r>
      <w:r w:rsidRPr="005422C7">
        <w:rPr>
          <w:szCs w:val="24"/>
        </w:rPr>
        <w:t>eur, štrukturálne operácie MV SR vo výške 16</w:t>
      </w:r>
      <w:r w:rsidR="008C4EA3">
        <w:rPr>
          <w:szCs w:val="24"/>
        </w:rPr>
        <w:t> </w:t>
      </w:r>
      <w:r w:rsidRPr="005422C7">
        <w:rPr>
          <w:szCs w:val="24"/>
        </w:rPr>
        <w:t>391</w:t>
      </w:r>
      <w:r w:rsidR="008C4EA3">
        <w:rPr>
          <w:szCs w:val="24"/>
        </w:rPr>
        <w:t> </w:t>
      </w:r>
      <w:r w:rsidRPr="005422C7">
        <w:rPr>
          <w:szCs w:val="24"/>
        </w:rPr>
        <w:t>tis.</w:t>
      </w:r>
      <w:r w:rsidR="008C4EA3">
        <w:rPr>
          <w:szCs w:val="24"/>
        </w:rPr>
        <w:t> </w:t>
      </w:r>
      <w:r w:rsidRPr="005422C7">
        <w:rPr>
          <w:szCs w:val="24"/>
        </w:rPr>
        <w:t>eur a poľnohospodárske fondy vo výške 578</w:t>
      </w:r>
      <w:r w:rsidR="008C4EA3">
        <w:rPr>
          <w:szCs w:val="24"/>
        </w:rPr>
        <w:t> </w:t>
      </w:r>
      <w:r w:rsidRPr="005422C7">
        <w:rPr>
          <w:szCs w:val="24"/>
        </w:rPr>
        <w:t>911</w:t>
      </w:r>
      <w:r w:rsidR="008C4EA3">
        <w:rPr>
          <w:szCs w:val="24"/>
        </w:rPr>
        <w:t> </w:t>
      </w:r>
      <w:r w:rsidRPr="005422C7">
        <w:rPr>
          <w:szCs w:val="24"/>
        </w:rPr>
        <w:t>tis.</w:t>
      </w:r>
      <w:r w:rsidR="008C4EA3">
        <w:rPr>
          <w:szCs w:val="24"/>
        </w:rPr>
        <w:t> </w:t>
      </w:r>
      <w:r w:rsidRPr="005422C7">
        <w:rPr>
          <w:szCs w:val="24"/>
        </w:rPr>
        <w:t>eur).</w:t>
      </w:r>
    </w:p>
    <w:p w14:paraId="7A5CB72A" w14:textId="77777777" w:rsidR="008C4EA3" w:rsidRPr="005422C7" w:rsidRDefault="008C4EA3" w:rsidP="005422C7">
      <w:pPr>
        <w:spacing w:line="240" w:lineRule="auto"/>
        <w:jc w:val="both"/>
        <w:rPr>
          <w:szCs w:val="24"/>
        </w:rPr>
      </w:pPr>
    </w:p>
    <w:p w14:paraId="360F49C3" w14:textId="2DD6BFBB" w:rsidR="005422C7" w:rsidRDefault="005422C7" w:rsidP="005422C7">
      <w:pPr>
        <w:spacing w:line="240" w:lineRule="auto"/>
        <w:jc w:val="both"/>
        <w:rPr>
          <w:szCs w:val="24"/>
        </w:rPr>
      </w:pPr>
      <w:r w:rsidRPr="005422C7">
        <w:rPr>
          <w:szCs w:val="24"/>
        </w:rPr>
        <w:t>Rozpočet príjmov za prostriedky EÚ bol v roku 2025 upravený predovšetkým o nenaplnené príjmy z predchádzajúcich rokov v zmysle §</w:t>
      </w:r>
      <w:r w:rsidR="008C4EA3">
        <w:rPr>
          <w:szCs w:val="24"/>
        </w:rPr>
        <w:t> </w:t>
      </w:r>
      <w:r w:rsidRPr="005422C7">
        <w:rPr>
          <w:szCs w:val="24"/>
        </w:rPr>
        <w:t>8 zákona o rozpočtových pravidlách na</w:t>
      </w:r>
      <w:r w:rsidR="008C4EA3">
        <w:rPr>
          <w:szCs w:val="24"/>
        </w:rPr>
        <w:t> </w:t>
      </w:r>
      <w:r w:rsidRPr="005422C7">
        <w:rPr>
          <w:szCs w:val="24"/>
        </w:rPr>
        <w:t xml:space="preserve">úroveň </w:t>
      </w:r>
      <w:r w:rsidRPr="005422C7">
        <w:rPr>
          <w:b/>
          <w:bCs/>
          <w:szCs w:val="24"/>
        </w:rPr>
        <w:t>2</w:t>
      </w:r>
      <w:r w:rsidR="008C4EA3">
        <w:rPr>
          <w:b/>
          <w:bCs/>
          <w:szCs w:val="24"/>
        </w:rPr>
        <w:t> </w:t>
      </w:r>
      <w:r w:rsidRPr="005422C7">
        <w:rPr>
          <w:b/>
          <w:bCs/>
          <w:szCs w:val="24"/>
        </w:rPr>
        <w:t>885</w:t>
      </w:r>
      <w:r w:rsidR="008C4EA3">
        <w:rPr>
          <w:b/>
          <w:bCs/>
          <w:szCs w:val="24"/>
        </w:rPr>
        <w:t> </w:t>
      </w:r>
      <w:r w:rsidRPr="005422C7">
        <w:rPr>
          <w:b/>
          <w:bCs/>
          <w:szCs w:val="24"/>
        </w:rPr>
        <w:t>960</w:t>
      </w:r>
      <w:r w:rsidR="008C4EA3">
        <w:rPr>
          <w:b/>
          <w:bCs/>
          <w:szCs w:val="24"/>
        </w:rPr>
        <w:t> </w:t>
      </w:r>
      <w:r w:rsidRPr="005422C7">
        <w:rPr>
          <w:b/>
          <w:bCs/>
          <w:szCs w:val="24"/>
        </w:rPr>
        <w:t>tis.</w:t>
      </w:r>
      <w:r w:rsidR="008C4EA3">
        <w:rPr>
          <w:b/>
          <w:bCs/>
          <w:szCs w:val="24"/>
        </w:rPr>
        <w:t> </w:t>
      </w:r>
      <w:r w:rsidRPr="005422C7">
        <w:rPr>
          <w:b/>
          <w:bCs/>
          <w:szCs w:val="24"/>
        </w:rPr>
        <w:t xml:space="preserve">eur </w:t>
      </w:r>
      <w:r w:rsidRPr="005422C7">
        <w:rPr>
          <w:szCs w:val="24"/>
        </w:rPr>
        <w:t>(z toho štrukturálne operácie MF SR vo výške 1</w:t>
      </w:r>
      <w:r w:rsidR="008C4EA3">
        <w:rPr>
          <w:szCs w:val="24"/>
        </w:rPr>
        <w:t> </w:t>
      </w:r>
      <w:r w:rsidRPr="005422C7">
        <w:rPr>
          <w:szCs w:val="24"/>
        </w:rPr>
        <w:t>584</w:t>
      </w:r>
      <w:r w:rsidR="008C4EA3">
        <w:rPr>
          <w:szCs w:val="24"/>
        </w:rPr>
        <w:t> </w:t>
      </w:r>
      <w:r w:rsidRPr="005422C7">
        <w:rPr>
          <w:szCs w:val="24"/>
        </w:rPr>
        <w:t>302</w:t>
      </w:r>
      <w:r w:rsidR="008C4EA3">
        <w:rPr>
          <w:szCs w:val="24"/>
        </w:rPr>
        <w:t> </w:t>
      </w:r>
      <w:r w:rsidRPr="005422C7">
        <w:rPr>
          <w:szCs w:val="24"/>
        </w:rPr>
        <w:t>tis.</w:t>
      </w:r>
      <w:r w:rsidR="008C4EA3">
        <w:rPr>
          <w:szCs w:val="24"/>
        </w:rPr>
        <w:t> </w:t>
      </w:r>
      <w:r w:rsidRPr="005422C7">
        <w:rPr>
          <w:szCs w:val="24"/>
        </w:rPr>
        <w:t>eur, štrukturálne operácie MV SR vo výške 5</w:t>
      </w:r>
      <w:r w:rsidR="008C4EA3">
        <w:rPr>
          <w:szCs w:val="24"/>
        </w:rPr>
        <w:t> </w:t>
      </w:r>
      <w:r w:rsidRPr="005422C7">
        <w:rPr>
          <w:szCs w:val="24"/>
        </w:rPr>
        <w:t>780</w:t>
      </w:r>
      <w:r w:rsidR="008C4EA3">
        <w:rPr>
          <w:szCs w:val="24"/>
        </w:rPr>
        <w:t> </w:t>
      </w:r>
      <w:r w:rsidRPr="005422C7">
        <w:rPr>
          <w:szCs w:val="24"/>
        </w:rPr>
        <w:t>tis.</w:t>
      </w:r>
      <w:r w:rsidR="008C4EA3">
        <w:rPr>
          <w:szCs w:val="24"/>
        </w:rPr>
        <w:t> </w:t>
      </w:r>
      <w:r w:rsidRPr="005422C7">
        <w:rPr>
          <w:szCs w:val="24"/>
        </w:rPr>
        <w:t>eur a poľnohospodárske fondy vo</w:t>
      </w:r>
      <w:r w:rsidR="008C4EA3">
        <w:rPr>
          <w:szCs w:val="24"/>
        </w:rPr>
        <w:t> </w:t>
      </w:r>
      <w:r w:rsidRPr="005422C7">
        <w:rPr>
          <w:szCs w:val="24"/>
        </w:rPr>
        <w:t>výške 1</w:t>
      </w:r>
      <w:r w:rsidR="008C4EA3">
        <w:rPr>
          <w:szCs w:val="24"/>
        </w:rPr>
        <w:t> </w:t>
      </w:r>
      <w:r w:rsidRPr="005422C7">
        <w:rPr>
          <w:szCs w:val="24"/>
        </w:rPr>
        <w:t>295</w:t>
      </w:r>
      <w:r w:rsidR="008C4EA3">
        <w:rPr>
          <w:szCs w:val="24"/>
        </w:rPr>
        <w:t> </w:t>
      </w:r>
      <w:r w:rsidRPr="005422C7">
        <w:rPr>
          <w:szCs w:val="24"/>
        </w:rPr>
        <w:t>878</w:t>
      </w:r>
      <w:r w:rsidR="008C4EA3">
        <w:rPr>
          <w:szCs w:val="24"/>
        </w:rPr>
        <w:t> </w:t>
      </w:r>
      <w:r w:rsidRPr="005422C7">
        <w:rPr>
          <w:szCs w:val="24"/>
        </w:rPr>
        <w:t>tis.</w:t>
      </w:r>
      <w:r w:rsidR="008C4EA3">
        <w:rPr>
          <w:szCs w:val="24"/>
        </w:rPr>
        <w:t> </w:t>
      </w:r>
      <w:r w:rsidRPr="005422C7">
        <w:rPr>
          <w:szCs w:val="24"/>
        </w:rPr>
        <w:t>eur). Výšku upraveného rozpočtu tak priamo ovplyvňuje výška skutočného plnenia príjmov EÚ v predchádzajúcom roku.</w:t>
      </w:r>
    </w:p>
    <w:p w14:paraId="1201CB85" w14:textId="77777777" w:rsidR="008C4EA3" w:rsidRPr="005422C7" w:rsidRDefault="008C4EA3" w:rsidP="005422C7">
      <w:pPr>
        <w:spacing w:line="240" w:lineRule="auto"/>
        <w:jc w:val="both"/>
        <w:rPr>
          <w:szCs w:val="24"/>
        </w:rPr>
      </w:pPr>
    </w:p>
    <w:p w14:paraId="038D7C56" w14:textId="08573408" w:rsidR="005422C7" w:rsidRDefault="005422C7" w:rsidP="005422C7">
      <w:pPr>
        <w:spacing w:line="240" w:lineRule="auto"/>
        <w:jc w:val="both"/>
        <w:rPr>
          <w:szCs w:val="24"/>
        </w:rPr>
      </w:pPr>
      <w:r w:rsidRPr="005422C7">
        <w:rPr>
          <w:szCs w:val="24"/>
        </w:rPr>
        <w:t xml:space="preserve">Skutočné plnenie príjmov za prostriedky EÚ bolo vo výške </w:t>
      </w:r>
      <w:r w:rsidRPr="005422C7">
        <w:rPr>
          <w:b/>
          <w:bCs/>
          <w:szCs w:val="24"/>
        </w:rPr>
        <w:t>2</w:t>
      </w:r>
      <w:r w:rsidR="008C4EA3">
        <w:rPr>
          <w:b/>
          <w:bCs/>
          <w:szCs w:val="24"/>
        </w:rPr>
        <w:t> </w:t>
      </w:r>
      <w:r w:rsidRPr="005422C7">
        <w:rPr>
          <w:b/>
          <w:bCs/>
          <w:szCs w:val="24"/>
        </w:rPr>
        <w:t>407</w:t>
      </w:r>
      <w:r w:rsidR="008C4EA3">
        <w:rPr>
          <w:b/>
          <w:bCs/>
          <w:szCs w:val="24"/>
        </w:rPr>
        <w:t> </w:t>
      </w:r>
      <w:r w:rsidRPr="005422C7">
        <w:rPr>
          <w:b/>
          <w:bCs/>
          <w:szCs w:val="24"/>
        </w:rPr>
        <w:t>529</w:t>
      </w:r>
      <w:r w:rsidR="008C4EA3">
        <w:rPr>
          <w:b/>
          <w:bCs/>
          <w:szCs w:val="24"/>
        </w:rPr>
        <w:t> </w:t>
      </w:r>
      <w:r w:rsidRPr="005422C7">
        <w:rPr>
          <w:b/>
          <w:bCs/>
          <w:szCs w:val="24"/>
        </w:rPr>
        <w:t>tis.</w:t>
      </w:r>
      <w:r w:rsidR="008C4EA3">
        <w:rPr>
          <w:b/>
          <w:bCs/>
          <w:szCs w:val="24"/>
        </w:rPr>
        <w:t> </w:t>
      </w:r>
      <w:r w:rsidRPr="005422C7">
        <w:rPr>
          <w:b/>
          <w:bCs/>
          <w:szCs w:val="24"/>
        </w:rPr>
        <w:t>eur</w:t>
      </w:r>
      <w:r w:rsidRPr="005422C7">
        <w:rPr>
          <w:szCs w:val="24"/>
        </w:rPr>
        <w:t xml:space="preserve"> (z</w:t>
      </w:r>
      <w:r w:rsidR="008C4EA3">
        <w:rPr>
          <w:szCs w:val="24"/>
        </w:rPr>
        <w:t> </w:t>
      </w:r>
      <w:r w:rsidRPr="005422C7">
        <w:rPr>
          <w:szCs w:val="24"/>
        </w:rPr>
        <w:t>toho štrukturálne operácie MF SR vo výške 1</w:t>
      </w:r>
      <w:r w:rsidR="008C4EA3">
        <w:rPr>
          <w:szCs w:val="24"/>
        </w:rPr>
        <w:t> </w:t>
      </w:r>
      <w:r w:rsidRPr="005422C7">
        <w:rPr>
          <w:szCs w:val="24"/>
        </w:rPr>
        <w:t>385</w:t>
      </w:r>
      <w:r w:rsidR="008C4EA3">
        <w:rPr>
          <w:szCs w:val="24"/>
        </w:rPr>
        <w:t> </w:t>
      </w:r>
      <w:r w:rsidRPr="005422C7">
        <w:rPr>
          <w:szCs w:val="24"/>
        </w:rPr>
        <w:t>652</w:t>
      </w:r>
      <w:r w:rsidR="008C4EA3">
        <w:rPr>
          <w:szCs w:val="24"/>
        </w:rPr>
        <w:t> </w:t>
      </w:r>
      <w:r w:rsidRPr="005422C7">
        <w:rPr>
          <w:szCs w:val="24"/>
        </w:rPr>
        <w:t>tis.</w:t>
      </w:r>
      <w:r w:rsidR="008C4EA3">
        <w:rPr>
          <w:szCs w:val="24"/>
        </w:rPr>
        <w:t> </w:t>
      </w:r>
      <w:r w:rsidRPr="005422C7">
        <w:rPr>
          <w:szCs w:val="24"/>
        </w:rPr>
        <w:t>eur, štrukturálne operácie MV SR vo</w:t>
      </w:r>
      <w:r w:rsidR="008C4EA3">
        <w:rPr>
          <w:szCs w:val="24"/>
        </w:rPr>
        <w:t> </w:t>
      </w:r>
      <w:r w:rsidRPr="005422C7">
        <w:rPr>
          <w:szCs w:val="24"/>
        </w:rPr>
        <w:t>výške 5</w:t>
      </w:r>
      <w:r w:rsidR="008C4EA3">
        <w:rPr>
          <w:szCs w:val="24"/>
        </w:rPr>
        <w:t> </w:t>
      </w:r>
      <w:r w:rsidRPr="005422C7">
        <w:rPr>
          <w:szCs w:val="24"/>
        </w:rPr>
        <w:t>780</w:t>
      </w:r>
      <w:r w:rsidR="008C4EA3">
        <w:rPr>
          <w:szCs w:val="24"/>
        </w:rPr>
        <w:t> </w:t>
      </w:r>
      <w:r w:rsidRPr="005422C7">
        <w:rPr>
          <w:szCs w:val="24"/>
        </w:rPr>
        <w:t>tis.</w:t>
      </w:r>
      <w:r w:rsidR="008C4EA3">
        <w:rPr>
          <w:szCs w:val="24"/>
        </w:rPr>
        <w:t> </w:t>
      </w:r>
      <w:r w:rsidRPr="005422C7">
        <w:rPr>
          <w:szCs w:val="24"/>
        </w:rPr>
        <w:t>eur a poľnohospodárske fondy vo výške 1</w:t>
      </w:r>
      <w:r w:rsidR="008C4EA3">
        <w:rPr>
          <w:szCs w:val="24"/>
        </w:rPr>
        <w:t> </w:t>
      </w:r>
      <w:r w:rsidRPr="005422C7">
        <w:rPr>
          <w:szCs w:val="24"/>
        </w:rPr>
        <w:t>016</w:t>
      </w:r>
      <w:r w:rsidR="008C4EA3">
        <w:rPr>
          <w:szCs w:val="24"/>
        </w:rPr>
        <w:t> </w:t>
      </w:r>
      <w:r w:rsidRPr="005422C7">
        <w:rPr>
          <w:szCs w:val="24"/>
        </w:rPr>
        <w:t>097</w:t>
      </w:r>
      <w:r w:rsidR="008C4EA3">
        <w:rPr>
          <w:szCs w:val="24"/>
        </w:rPr>
        <w:t> </w:t>
      </w:r>
      <w:r w:rsidRPr="005422C7">
        <w:rPr>
          <w:szCs w:val="24"/>
        </w:rPr>
        <w:t>tis.</w:t>
      </w:r>
      <w:r w:rsidR="008C4EA3">
        <w:rPr>
          <w:szCs w:val="24"/>
        </w:rPr>
        <w:t> </w:t>
      </w:r>
      <w:r w:rsidRPr="005422C7">
        <w:rPr>
          <w:szCs w:val="24"/>
        </w:rPr>
        <w:t>eur).</w:t>
      </w:r>
    </w:p>
    <w:p w14:paraId="7EBCC04A" w14:textId="77777777" w:rsidR="005E1D4F" w:rsidRPr="005422C7" w:rsidRDefault="005E1D4F" w:rsidP="005422C7">
      <w:pPr>
        <w:spacing w:line="240" w:lineRule="auto"/>
        <w:jc w:val="both"/>
        <w:rPr>
          <w:szCs w:val="24"/>
        </w:rPr>
      </w:pPr>
    </w:p>
    <w:p w14:paraId="6298674B" w14:textId="03A3CFF8" w:rsidR="00291B58" w:rsidRPr="008C4EA3" w:rsidRDefault="00291B58" w:rsidP="00532D85">
      <w:pPr>
        <w:pStyle w:val="Popis"/>
        <w:jc w:val="both"/>
      </w:pPr>
      <w:bookmarkStart w:id="155" w:name="_Toc196313666"/>
      <w:bookmarkStart w:id="156" w:name="_Toc227670176"/>
      <w:r w:rsidRPr="008C4EA3">
        <w:lastRenderedPageBreak/>
        <w:t xml:space="preserve">Tabuľka </w:t>
      </w:r>
      <w:r w:rsidRPr="008C4EA3">
        <w:rPr>
          <w:i/>
        </w:rPr>
        <w:fldChar w:fldCharType="begin"/>
      </w:r>
      <w:r w:rsidRPr="008C4EA3">
        <w:instrText xml:space="preserve"> SEQ Tabuľka \* ARABIC </w:instrText>
      </w:r>
      <w:r w:rsidRPr="008C4EA3">
        <w:rPr>
          <w:i/>
        </w:rPr>
        <w:fldChar w:fldCharType="separate"/>
      </w:r>
      <w:r w:rsidR="00396BE8">
        <w:rPr>
          <w:noProof/>
        </w:rPr>
        <w:t>40</w:t>
      </w:r>
      <w:r w:rsidRPr="008C4EA3">
        <w:rPr>
          <w:i/>
        </w:rPr>
        <w:fldChar w:fldCharType="end"/>
      </w:r>
      <w:r w:rsidRPr="008C4EA3">
        <w:t xml:space="preserve"> - Plnenie príjmov z rozpočtu EÚ </w:t>
      </w:r>
      <w:r w:rsidR="00503F12" w:rsidRPr="008C4EA3">
        <w:t>(</w:t>
      </w:r>
      <w:r w:rsidRPr="008C4EA3">
        <w:t>prostriedky EÚ</w:t>
      </w:r>
      <w:r w:rsidR="00503F12" w:rsidRPr="008C4EA3">
        <w:t>,</w:t>
      </w:r>
      <w:r w:rsidRPr="008C4EA3">
        <w:t xml:space="preserve"> zahraničné grant</w:t>
      </w:r>
      <w:bookmarkEnd w:id="155"/>
      <w:r w:rsidR="00503F12" w:rsidRPr="008C4EA3">
        <w:t>y</w:t>
      </w:r>
      <w:r w:rsidR="008C4EA3" w:rsidRPr="008C4EA3">
        <w:rPr>
          <w:rStyle w:val="Odkaznapoznmkupodiarou"/>
          <w:rFonts w:ascii="Times-Bold" w:hAnsi="Times-Bold"/>
          <w:bCs/>
          <w:color w:val="5B9CD6"/>
          <w:szCs w:val="20"/>
        </w:rPr>
        <w:footnoteReference w:id="32"/>
      </w:r>
      <w:r w:rsidR="00503F12" w:rsidRPr="008C4EA3">
        <w:t>)</w:t>
      </w:r>
      <w:bookmarkEnd w:id="156"/>
    </w:p>
    <w:tbl>
      <w:tblPr>
        <w:tblW w:w="5000" w:type="pct"/>
        <w:tblCellMar>
          <w:left w:w="70" w:type="dxa"/>
          <w:right w:w="70" w:type="dxa"/>
        </w:tblCellMar>
        <w:tblLook w:val="04A0" w:firstRow="1" w:lastRow="0" w:firstColumn="1" w:lastColumn="0" w:noHBand="0" w:noVBand="1"/>
      </w:tblPr>
      <w:tblGrid>
        <w:gridCol w:w="3546"/>
        <w:gridCol w:w="964"/>
        <w:gridCol w:w="964"/>
        <w:gridCol w:w="963"/>
        <w:gridCol w:w="963"/>
        <w:gridCol w:w="963"/>
        <w:gridCol w:w="707"/>
      </w:tblGrid>
      <w:tr w:rsidR="008C4EA3" w:rsidRPr="00920A2D" w14:paraId="647D91FD" w14:textId="77777777" w:rsidTr="008C4EA3">
        <w:trPr>
          <w:trHeight w:val="330"/>
          <w:tblHeader/>
        </w:trPr>
        <w:tc>
          <w:tcPr>
            <w:tcW w:w="1953" w:type="pct"/>
            <w:vMerge w:val="restart"/>
            <w:tcBorders>
              <w:top w:val="single" w:sz="4" w:space="0" w:color="auto"/>
              <w:left w:val="nil"/>
              <w:bottom w:val="single" w:sz="8" w:space="0" w:color="000000"/>
              <w:right w:val="nil"/>
            </w:tcBorders>
            <w:vAlign w:val="center"/>
            <w:hideMark/>
          </w:tcPr>
          <w:p w14:paraId="2668CF45" w14:textId="77777777" w:rsidR="008C4EA3" w:rsidRPr="00920A2D" w:rsidRDefault="008C4EA3" w:rsidP="00B6745A">
            <w:pPr>
              <w:rPr>
                <w:b/>
                <w:bCs/>
                <w:sz w:val="18"/>
                <w:szCs w:val="18"/>
              </w:rPr>
            </w:pPr>
            <w:r w:rsidRPr="00920A2D">
              <w:rPr>
                <w:b/>
                <w:bCs/>
                <w:sz w:val="18"/>
                <w:szCs w:val="18"/>
              </w:rPr>
              <w:t>v tis. eur</w:t>
            </w:r>
          </w:p>
        </w:tc>
        <w:tc>
          <w:tcPr>
            <w:tcW w:w="531" w:type="pct"/>
            <w:tcBorders>
              <w:top w:val="single" w:sz="4" w:space="0" w:color="auto"/>
              <w:left w:val="nil"/>
              <w:bottom w:val="nil"/>
              <w:right w:val="nil"/>
            </w:tcBorders>
            <w:vAlign w:val="center"/>
            <w:hideMark/>
          </w:tcPr>
          <w:p w14:paraId="1DE448C9" w14:textId="77777777" w:rsidR="008C4EA3" w:rsidRPr="00920A2D" w:rsidRDefault="008C4EA3" w:rsidP="00B6745A">
            <w:pPr>
              <w:jc w:val="center"/>
              <w:rPr>
                <w:b/>
                <w:bCs/>
                <w:color w:val="000000"/>
                <w:sz w:val="18"/>
                <w:szCs w:val="18"/>
              </w:rPr>
            </w:pPr>
            <w:r w:rsidRPr="00920A2D">
              <w:rPr>
                <w:b/>
                <w:bCs/>
                <w:color w:val="000000"/>
                <w:sz w:val="18"/>
                <w:szCs w:val="18"/>
              </w:rPr>
              <w:t>2023 S</w:t>
            </w:r>
          </w:p>
        </w:tc>
        <w:tc>
          <w:tcPr>
            <w:tcW w:w="531" w:type="pct"/>
            <w:tcBorders>
              <w:top w:val="single" w:sz="4" w:space="0" w:color="auto"/>
              <w:left w:val="nil"/>
              <w:bottom w:val="nil"/>
              <w:right w:val="nil"/>
            </w:tcBorders>
            <w:vAlign w:val="center"/>
            <w:hideMark/>
          </w:tcPr>
          <w:p w14:paraId="59C8FBC5" w14:textId="77777777" w:rsidR="008C4EA3" w:rsidRPr="00920A2D" w:rsidRDefault="008C4EA3" w:rsidP="00B6745A">
            <w:pPr>
              <w:jc w:val="center"/>
              <w:rPr>
                <w:b/>
                <w:bCs/>
                <w:color w:val="000000"/>
                <w:sz w:val="18"/>
                <w:szCs w:val="18"/>
              </w:rPr>
            </w:pPr>
            <w:r w:rsidRPr="00920A2D">
              <w:rPr>
                <w:b/>
                <w:bCs/>
                <w:color w:val="000000"/>
                <w:sz w:val="18"/>
                <w:szCs w:val="18"/>
              </w:rPr>
              <w:t>2024 S</w:t>
            </w:r>
          </w:p>
        </w:tc>
        <w:tc>
          <w:tcPr>
            <w:tcW w:w="531" w:type="pct"/>
            <w:tcBorders>
              <w:top w:val="single" w:sz="4" w:space="0" w:color="auto"/>
              <w:left w:val="nil"/>
              <w:bottom w:val="nil"/>
              <w:right w:val="nil"/>
            </w:tcBorders>
            <w:vAlign w:val="center"/>
            <w:hideMark/>
          </w:tcPr>
          <w:p w14:paraId="0E6F899D" w14:textId="77777777" w:rsidR="008C4EA3" w:rsidRPr="00920A2D" w:rsidRDefault="008C4EA3" w:rsidP="00B6745A">
            <w:pPr>
              <w:jc w:val="center"/>
              <w:rPr>
                <w:b/>
                <w:bCs/>
                <w:color w:val="000000"/>
                <w:sz w:val="18"/>
                <w:szCs w:val="18"/>
              </w:rPr>
            </w:pPr>
            <w:r w:rsidRPr="00920A2D">
              <w:rPr>
                <w:b/>
                <w:bCs/>
                <w:color w:val="000000"/>
                <w:sz w:val="18"/>
                <w:szCs w:val="18"/>
              </w:rPr>
              <w:t>2025 R</w:t>
            </w:r>
          </w:p>
        </w:tc>
        <w:tc>
          <w:tcPr>
            <w:tcW w:w="531" w:type="pct"/>
            <w:tcBorders>
              <w:top w:val="single" w:sz="4" w:space="0" w:color="auto"/>
              <w:left w:val="nil"/>
              <w:bottom w:val="nil"/>
              <w:right w:val="nil"/>
            </w:tcBorders>
            <w:vAlign w:val="center"/>
            <w:hideMark/>
          </w:tcPr>
          <w:p w14:paraId="67FF05BA" w14:textId="77777777" w:rsidR="008C4EA3" w:rsidRPr="00920A2D" w:rsidRDefault="008C4EA3" w:rsidP="00B6745A">
            <w:pPr>
              <w:jc w:val="center"/>
              <w:rPr>
                <w:b/>
                <w:bCs/>
                <w:color w:val="000000"/>
                <w:sz w:val="18"/>
                <w:szCs w:val="18"/>
              </w:rPr>
            </w:pPr>
            <w:r w:rsidRPr="00920A2D">
              <w:rPr>
                <w:b/>
                <w:bCs/>
                <w:color w:val="000000"/>
                <w:sz w:val="18"/>
                <w:szCs w:val="18"/>
              </w:rPr>
              <w:t>2025 S</w:t>
            </w:r>
          </w:p>
        </w:tc>
        <w:tc>
          <w:tcPr>
            <w:tcW w:w="531" w:type="pct"/>
            <w:tcBorders>
              <w:top w:val="single" w:sz="4" w:space="0" w:color="auto"/>
              <w:left w:val="nil"/>
              <w:bottom w:val="nil"/>
              <w:right w:val="nil"/>
            </w:tcBorders>
            <w:vAlign w:val="center"/>
            <w:hideMark/>
          </w:tcPr>
          <w:p w14:paraId="3D8BAB87" w14:textId="77777777" w:rsidR="008C4EA3" w:rsidRPr="00920A2D" w:rsidRDefault="008C4EA3" w:rsidP="00B6745A">
            <w:pPr>
              <w:jc w:val="center"/>
              <w:rPr>
                <w:b/>
                <w:bCs/>
                <w:color w:val="000000"/>
                <w:sz w:val="18"/>
                <w:szCs w:val="18"/>
              </w:rPr>
            </w:pPr>
            <w:r w:rsidRPr="00920A2D">
              <w:rPr>
                <w:b/>
                <w:bCs/>
                <w:color w:val="000000"/>
                <w:sz w:val="18"/>
                <w:szCs w:val="18"/>
              </w:rPr>
              <w:t>Rozdiel</w:t>
            </w:r>
          </w:p>
        </w:tc>
        <w:tc>
          <w:tcPr>
            <w:tcW w:w="390" w:type="pct"/>
            <w:tcBorders>
              <w:top w:val="single" w:sz="4" w:space="0" w:color="auto"/>
              <w:left w:val="nil"/>
              <w:bottom w:val="nil"/>
              <w:right w:val="nil"/>
            </w:tcBorders>
            <w:vAlign w:val="center"/>
            <w:hideMark/>
          </w:tcPr>
          <w:p w14:paraId="324036A8" w14:textId="77777777" w:rsidR="008C4EA3" w:rsidRPr="00920A2D" w:rsidRDefault="008C4EA3" w:rsidP="00B6745A">
            <w:pPr>
              <w:jc w:val="center"/>
              <w:rPr>
                <w:b/>
                <w:bCs/>
                <w:color w:val="000000"/>
                <w:sz w:val="18"/>
                <w:szCs w:val="18"/>
              </w:rPr>
            </w:pPr>
            <w:r w:rsidRPr="00920A2D">
              <w:rPr>
                <w:b/>
                <w:bCs/>
                <w:color w:val="000000"/>
                <w:sz w:val="18"/>
                <w:szCs w:val="18"/>
              </w:rPr>
              <w:t>v %</w:t>
            </w:r>
          </w:p>
        </w:tc>
      </w:tr>
      <w:tr w:rsidR="008C4EA3" w:rsidRPr="00920A2D" w14:paraId="7B40679D" w14:textId="77777777" w:rsidTr="008C4EA3">
        <w:trPr>
          <w:trHeight w:val="345"/>
          <w:tblHeader/>
        </w:trPr>
        <w:tc>
          <w:tcPr>
            <w:tcW w:w="1953" w:type="pct"/>
            <w:vMerge/>
            <w:tcBorders>
              <w:top w:val="nil"/>
              <w:left w:val="nil"/>
              <w:bottom w:val="single" w:sz="4" w:space="0" w:color="auto"/>
              <w:right w:val="nil"/>
            </w:tcBorders>
            <w:vAlign w:val="center"/>
            <w:hideMark/>
          </w:tcPr>
          <w:p w14:paraId="40567146" w14:textId="77777777" w:rsidR="008C4EA3" w:rsidRPr="00920A2D" w:rsidRDefault="008C4EA3" w:rsidP="00B6745A">
            <w:pPr>
              <w:rPr>
                <w:b/>
                <w:bCs/>
                <w:sz w:val="18"/>
                <w:szCs w:val="18"/>
              </w:rPr>
            </w:pPr>
          </w:p>
        </w:tc>
        <w:tc>
          <w:tcPr>
            <w:tcW w:w="531" w:type="pct"/>
            <w:tcBorders>
              <w:top w:val="nil"/>
              <w:left w:val="nil"/>
              <w:bottom w:val="single" w:sz="4" w:space="0" w:color="auto"/>
              <w:right w:val="nil"/>
            </w:tcBorders>
            <w:vAlign w:val="center"/>
            <w:hideMark/>
          </w:tcPr>
          <w:p w14:paraId="4F446684" w14:textId="77777777" w:rsidR="008C4EA3" w:rsidRPr="00920A2D" w:rsidRDefault="008C4EA3" w:rsidP="00B6745A">
            <w:pPr>
              <w:jc w:val="center"/>
              <w:rPr>
                <w:b/>
                <w:bCs/>
                <w:sz w:val="18"/>
                <w:szCs w:val="18"/>
              </w:rPr>
            </w:pPr>
            <w:r w:rsidRPr="00920A2D">
              <w:rPr>
                <w:b/>
                <w:bCs/>
                <w:sz w:val="18"/>
                <w:szCs w:val="18"/>
              </w:rPr>
              <w:t>1</w:t>
            </w:r>
          </w:p>
        </w:tc>
        <w:tc>
          <w:tcPr>
            <w:tcW w:w="531" w:type="pct"/>
            <w:tcBorders>
              <w:top w:val="nil"/>
              <w:left w:val="nil"/>
              <w:bottom w:val="single" w:sz="4" w:space="0" w:color="auto"/>
              <w:right w:val="nil"/>
            </w:tcBorders>
            <w:vAlign w:val="center"/>
            <w:hideMark/>
          </w:tcPr>
          <w:p w14:paraId="0E1DB8DD" w14:textId="77777777" w:rsidR="008C4EA3" w:rsidRPr="00920A2D" w:rsidRDefault="008C4EA3" w:rsidP="00B6745A">
            <w:pPr>
              <w:jc w:val="center"/>
              <w:rPr>
                <w:b/>
                <w:bCs/>
                <w:sz w:val="18"/>
                <w:szCs w:val="18"/>
              </w:rPr>
            </w:pPr>
            <w:r w:rsidRPr="00920A2D">
              <w:rPr>
                <w:b/>
                <w:bCs/>
                <w:sz w:val="18"/>
                <w:szCs w:val="18"/>
              </w:rPr>
              <w:t>2</w:t>
            </w:r>
          </w:p>
        </w:tc>
        <w:tc>
          <w:tcPr>
            <w:tcW w:w="531" w:type="pct"/>
            <w:tcBorders>
              <w:top w:val="nil"/>
              <w:left w:val="nil"/>
              <w:bottom w:val="single" w:sz="4" w:space="0" w:color="auto"/>
              <w:right w:val="nil"/>
            </w:tcBorders>
            <w:vAlign w:val="center"/>
            <w:hideMark/>
          </w:tcPr>
          <w:p w14:paraId="2549A0C5" w14:textId="77777777" w:rsidR="008C4EA3" w:rsidRPr="00920A2D" w:rsidRDefault="008C4EA3" w:rsidP="00B6745A">
            <w:pPr>
              <w:jc w:val="center"/>
              <w:rPr>
                <w:b/>
                <w:bCs/>
                <w:sz w:val="18"/>
                <w:szCs w:val="18"/>
              </w:rPr>
            </w:pPr>
            <w:r w:rsidRPr="00920A2D">
              <w:rPr>
                <w:b/>
                <w:bCs/>
                <w:sz w:val="18"/>
                <w:szCs w:val="18"/>
              </w:rPr>
              <w:t>3</w:t>
            </w:r>
          </w:p>
        </w:tc>
        <w:tc>
          <w:tcPr>
            <w:tcW w:w="531" w:type="pct"/>
            <w:tcBorders>
              <w:top w:val="nil"/>
              <w:left w:val="nil"/>
              <w:bottom w:val="single" w:sz="4" w:space="0" w:color="auto"/>
              <w:right w:val="nil"/>
            </w:tcBorders>
            <w:vAlign w:val="center"/>
            <w:hideMark/>
          </w:tcPr>
          <w:p w14:paraId="14A97F09" w14:textId="77777777" w:rsidR="008C4EA3" w:rsidRPr="00920A2D" w:rsidRDefault="008C4EA3" w:rsidP="00B6745A">
            <w:pPr>
              <w:jc w:val="center"/>
              <w:rPr>
                <w:b/>
                <w:bCs/>
                <w:sz w:val="18"/>
                <w:szCs w:val="18"/>
              </w:rPr>
            </w:pPr>
            <w:r w:rsidRPr="00920A2D">
              <w:rPr>
                <w:b/>
                <w:bCs/>
                <w:sz w:val="18"/>
                <w:szCs w:val="18"/>
              </w:rPr>
              <w:t>4</w:t>
            </w:r>
          </w:p>
        </w:tc>
        <w:tc>
          <w:tcPr>
            <w:tcW w:w="531" w:type="pct"/>
            <w:tcBorders>
              <w:top w:val="nil"/>
              <w:left w:val="nil"/>
              <w:bottom w:val="single" w:sz="4" w:space="0" w:color="auto"/>
              <w:right w:val="nil"/>
            </w:tcBorders>
            <w:vAlign w:val="center"/>
            <w:hideMark/>
          </w:tcPr>
          <w:p w14:paraId="457B2B1A" w14:textId="77777777" w:rsidR="008C4EA3" w:rsidRPr="00920A2D" w:rsidRDefault="008C4EA3" w:rsidP="00B6745A">
            <w:pPr>
              <w:jc w:val="center"/>
              <w:rPr>
                <w:b/>
                <w:bCs/>
                <w:sz w:val="18"/>
                <w:szCs w:val="18"/>
              </w:rPr>
            </w:pPr>
            <w:r w:rsidRPr="00920A2D">
              <w:rPr>
                <w:b/>
                <w:bCs/>
                <w:sz w:val="18"/>
                <w:szCs w:val="18"/>
              </w:rPr>
              <w:t>5=4-3</w:t>
            </w:r>
          </w:p>
        </w:tc>
        <w:tc>
          <w:tcPr>
            <w:tcW w:w="390" w:type="pct"/>
            <w:tcBorders>
              <w:top w:val="nil"/>
              <w:left w:val="nil"/>
              <w:bottom w:val="single" w:sz="4" w:space="0" w:color="auto"/>
              <w:right w:val="nil"/>
            </w:tcBorders>
            <w:vAlign w:val="center"/>
            <w:hideMark/>
          </w:tcPr>
          <w:p w14:paraId="21314C14" w14:textId="77777777" w:rsidR="008C4EA3" w:rsidRPr="00920A2D" w:rsidRDefault="008C4EA3" w:rsidP="00B6745A">
            <w:pPr>
              <w:jc w:val="center"/>
              <w:rPr>
                <w:b/>
                <w:bCs/>
                <w:sz w:val="18"/>
                <w:szCs w:val="18"/>
              </w:rPr>
            </w:pPr>
            <w:r w:rsidRPr="00920A2D">
              <w:rPr>
                <w:b/>
                <w:bCs/>
                <w:sz w:val="18"/>
                <w:szCs w:val="18"/>
              </w:rPr>
              <w:t>6=4-3</w:t>
            </w:r>
          </w:p>
        </w:tc>
      </w:tr>
      <w:tr w:rsidR="008C4EA3" w:rsidRPr="00920A2D" w14:paraId="6D046215" w14:textId="77777777" w:rsidTr="008C4EA3">
        <w:trPr>
          <w:trHeight w:val="330"/>
        </w:trPr>
        <w:tc>
          <w:tcPr>
            <w:tcW w:w="1953" w:type="pct"/>
            <w:tcBorders>
              <w:top w:val="single" w:sz="4" w:space="0" w:color="auto"/>
              <w:left w:val="nil"/>
              <w:bottom w:val="nil"/>
              <w:right w:val="nil"/>
            </w:tcBorders>
            <w:vAlign w:val="center"/>
            <w:hideMark/>
          </w:tcPr>
          <w:p w14:paraId="70D3F5C2" w14:textId="77777777" w:rsidR="008C4EA3" w:rsidRPr="00920A2D" w:rsidRDefault="008C4EA3" w:rsidP="00B6745A">
            <w:pPr>
              <w:rPr>
                <w:color w:val="000000"/>
                <w:sz w:val="18"/>
                <w:szCs w:val="18"/>
              </w:rPr>
            </w:pPr>
            <w:r w:rsidRPr="00920A2D">
              <w:rPr>
                <w:color w:val="000000"/>
                <w:sz w:val="18"/>
                <w:szCs w:val="18"/>
              </w:rPr>
              <w:t>Poľnohospodárske fondy 3. programové obdobie</w:t>
            </w:r>
          </w:p>
        </w:tc>
        <w:tc>
          <w:tcPr>
            <w:tcW w:w="531" w:type="pct"/>
            <w:tcBorders>
              <w:top w:val="single" w:sz="4" w:space="0" w:color="auto"/>
              <w:left w:val="nil"/>
              <w:bottom w:val="nil"/>
              <w:right w:val="nil"/>
            </w:tcBorders>
            <w:noWrap/>
            <w:vAlign w:val="center"/>
            <w:hideMark/>
          </w:tcPr>
          <w:p w14:paraId="0E87F9E8" w14:textId="77777777" w:rsidR="008C4EA3" w:rsidRPr="00920A2D" w:rsidRDefault="008C4EA3" w:rsidP="00B6745A">
            <w:pPr>
              <w:jc w:val="right"/>
              <w:rPr>
                <w:color w:val="000000"/>
                <w:sz w:val="18"/>
                <w:szCs w:val="18"/>
              </w:rPr>
            </w:pPr>
            <w:r w:rsidRPr="00920A2D">
              <w:rPr>
                <w:color w:val="000000"/>
                <w:sz w:val="18"/>
                <w:szCs w:val="18"/>
              </w:rPr>
              <w:t>369 382</w:t>
            </w:r>
          </w:p>
        </w:tc>
        <w:tc>
          <w:tcPr>
            <w:tcW w:w="531" w:type="pct"/>
            <w:tcBorders>
              <w:top w:val="single" w:sz="4" w:space="0" w:color="auto"/>
              <w:left w:val="nil"/>
              <w:bottom w:val="nil"/>
              <w:right w:val="nil"/>
            </w:tcBorders>
            <w:noWrap/>
            <w:vAlign w:val="center"/>
            <w:hideMark/>
          </w:tcPr>
          <w:p w14:paraId="118AF873" w14:textId="77777777" w:rsidR="008C4EA3" w:rsidRPr="00920A2D" w:rsidRDefault="008C4EA3" w:rsidP="00B6745A">
            <w:pPr>
              <w:jc w:val="right"/>
              <w:rPr>
                <w:color w:val="000000"/>
                <w:sz w:val="18"/>
                <w:szCs w:val="18"/>
              </w:rPr>
            </w:pPr>
            <w:r w:rsidRPr="00920A2D">
              <w:rPr>
                <w:color w:val="000000"/>
                <w:sz w:val="18"/>
                <w:szCs w:val="18"/>
              </w:rPr>
              <w:t>147 693</w:t>
            </w:r>
          </w:p>
        </w:tc>
        <w:tc>
          <w:tcPr>
            <w:tcW w:w="531" w:type="pct"/>
            <w:tcBorders>
              <w:top w:val="single" w:sz="4" w:space="0" w:color="auto"/>
              <w:left w:val="nil"/>
              <w:bottom w:val="nil"/>
              <w:right w:val="nil"/>
            </w:tcBorders>
            <w:noWrap/>
            <w:vAlign w:val="center"/>
            <w:hideMark/>
          </w:tcPr>
          <w:p w14:paraId="1B6A0BFA"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single" w:sz="4" w:space="0" w:color="auto"/>
              <w:left w:val="nil"/>
              <w:bottom w:val="nil"/>
              <w:right w:val="nil"/>
            </w:tcBorders>
            <w:noWrap/>
            <w:vAlign w:val="center"/>
            <w:hideMark/>
          </w:tcPr>
          <w:p w14:paraId="4E5A3223" w14:textId="77777777" w:rsidR="008C4EA3" w:rsidRPr="00920A2D" w:rsidRDefault="008C4EA3" w:rsidP="00B6745A">
            <w:pPr>
              <w:jc w:val="right"/>
              <w:rPr>
                <w:color w:val="000000"/>
                <w:sz w:val="18"/>
                <w:szCs w:val="18"/>
              </w:rPr>
            </w:pPr>
            <w:r w:rsidRPr="00920A2D">
              <w:rPr>
                <w:color w:val="000000"/>
                <w:sz w:val="18"/>
                <w:szCs w:val="18"/>
              </w:rPr>
              <w:t>458 652</w:t>
            </w:r>
          </w:p>
        </w:tc>
        <w:tc>
          <w:tcPr>
            <w:tcW w:w="531" w:type="pct"/>
            <w:tcBorders>
              <w:top w:val="single" w:sz="4" w:space="0" w:color="auto"/>
              <w:left w:val="nil"/>
              <w:bottom w:val="nil"/>
              <w:right w:val="nil"/>
            </w:tcBorders>
            <w:noWrap/>
            <w:vAlign w:val="center"/>
            <w:hideMark/>
          </w:tcPr>
          <w:p w14:paraId="75424B05" w14:textId="77777777" w:rsidR="008C4EA3" w:rsidRPr="00920A2D" w:rsidRDefault="008C4EA3" w:rsidP="00B6745A">
            <w:pPr>
              <w:jc w:val="right"/>
              <w:rPr>
                <w:color w:val="000000"/>
                <w:sz w:val="18"/>
                <w:szCs w:val="18"/>
              </w:rPr>
            </w:pPr>
            <w:r w:rsidRPr="00920A2D">
              <w:rPr>
                <w:color w:val="000000"/>
                <w:sz w:val="18"/>
                <w:szCs w:val="18"/>
              </w:rPr>
              <w:t>458 652</w:t>
            </w:r>
          </w:p>
        </w:tc>
        <w:tc>
          <w:tcPr>
            <w:tcW w:w="390" w:type="pct"/>
            <w:tcBorders>
              <w:top w:val="single" w:sz="4" w:space="0" w:color="auto"/>
              <w:left w:val="nil"/>
              <w:bottom w:val="nil"/>
              <w:right w:val="nil"/>
            </w:tcBorders>
            <w:noWrap/>
            <w:vAlign w:val="center"/>
            <w:hideMark/>
          </w:tcPr>
          <w:p w14:paraId="0B44E4A6" w14:textId="77777777" w:rsidR="008C4EA3" w:rsidRPr="00920A2D" w:rsidRDefault="008C4EA3" w:rsidP="00B6745A">
            <w:pPr>
              <w:jc w:val="right"/>
              <w:rPr>
                <w:color w:val="000000"/>
                <w:sz w:val="18"/>
                <w:szCs w:val="18"/>
              </w:rPr>
            </w:pPr>
            <w:r w:rsidRPr="00920A2D">
              <w:rPr>
                <w:color w:val="000000"/>
                <w:sz w:val="18"/>
                <w:szCs w:val="18"/>
              </w:rPr>
              <w:t>-</w:t>
            </w:r>
          </w:p>
        </w:tc>
      </w:tr>
      <w:tr w:rsidR="008C4EA3" w:rsidRPr="00920A2D" w14:paraId="3C7E10E1" w14:textId="77777777" w:rsidTr="008C4EA3">
        <w:trPr>
          <w:trHeight w:val="330"/>
        </w:trPr>
        <w:tc>
          <w:tcPr>
            <w:tcW w:w="1953" w:type="pct"/>
            <w:tcBorders>
              <w:top w:val="nil"/>
              <w:left w:val="nil"/>
              <w:bottom w:val="nil"/>
              <w:right w:val="nil"/>
            </w:tcBorders>
            <w:vAlign w:val="center"/>
            <w:hideMark/>
          </w:tcPr>
          <w:p w14:paraId="5C33BF28" w14:textId="77777777" w:rsidR="008C4EA3" w:rsidRPr="00920A2D" w:rsidRDefault="008C4EA3" w:rsidP="00B6745A">
            <w:pPr>
              <w:rPr>
                <w:color w:val="000000"/>
                <w:sz w:val="18"/>
                <w:szCs w:val="18"/>
              </w:rPr>
            </w:pPr>
            <w:r w:rsidRPr="00920A2D">
              <w:rPr>
                <w:color w:val="000000"/>
                <w:sz w:val="18"/>
                <w:szCs w:val="18"/>
              </w:rPr>
              <w:t>Poľnohospodárske fondy 4. programové obdobie</w:t>
            </w:r>
          </w:p>
        </w:tc>
        <w:tc>
          <w:tcPr>
            <w:tcW w:w="531" w:type="pct"/>
            <w:tcBorders>
              <w:top w:val="nil"/>
              <w:left w:val="nil"/>
              <w:bottom w:val="nil"/>
              <w:right w:val="nil"/>
            </w:tcBorders>
            <w:noWrap/>
            <w:vAlign w:val="center"/>
            <w:hideMark/>
          </w:tcPr>
          <w:p w14:paraId="4839415D" w14:textId="77777777" w:rsidR="008C4EA3" w:rsidRPr="00920A2D" w:rsidRDefault="008C4EA3" w:rsidP="00B6745A">
            <w:pPr>
              <w:jc w:val="right"/>
              <w:rPr>
                <w:color w:val="000000"/>
                <w:sz w:val="18"/>
                <w:szCs w:val="18"/>
              </w:rPr>
            </w:pPr>
            <w:r w:rsidRPr="00920A2D">
              <w:rPr>
                <w:color w:val="000000"/>
                <w:sz w:val="18"/>
                <w:szCs w:val="18"/>
              </w:rPr>
              <w:t>124 883</w:t>
            </w:r>
          </w:p>
        </w:tc>
        <w:tc>
          <w:tcPr>
            <w:tcW w:w="531" w:type="pct"/>
            <w:tcBorders>
              <w:top w:val="nil"/>
              <w:left w:val="nil"/>
              <w:bottom w:val="nil"/>
              <w:right w:val="nil"/>
            </w:tcBorders>
            <w:noWrap/>
            <w:vAlign w:val="center"/>
            <w:hideMark/>
          </w:tcPr>
          <w:p w14:paraId="578D72D6" w14:textId="77777777" w:rsidR="008C4EA3" w:rsidRPr="00920A2D" w:rsidRDefault="008C4EA3" w:rsidP="00B6745A">
            <w:pPr>
              <w:jc w:val="right"/>
              <w:rPr>
                <w:color w:val="000000"/>
                <w:sz w:val="18"/>
                <w:szCs w:val="18"/>
              </w:rPr>
            </w:pPr>
            <w:r w:rsidRPr="00920A2D">
              <w:rPr>
                <w:color w:val="000000"/>
                <w:sz w:val="18"/>
                <w:szCs w:val="18"/>
              </w:rPr>
              <w:t>770 310</w:t>
            </w:r>
          </w:p>
        </w:tc>
        <w:tc>
          <w:tcPr>
            <w:tcW w:w="531" w:type="pct"/>
            <w:tcBorders>
              <w:top w:val="nil"/>
              <w:left w:val="nil"/>
              <w:bottom w:val="nil"/>
              <w:right w:val="nil"/>
            </w:tcBorders>
            <w:noWrap/>
            <w:vAlign w:val="center"/>
            <w:hideMark/>
          </w:tcPr>
          <w:p w14:paraId="687B64B7" w14:textId="77777777" w:rsidR="008C4EA3" w:rsidRPr="00920A2D" w:rsidRDefault="008C4EA3" w:rsidP="00B6745A">
            <w:pPr>
              <w:jc w:val="right"/>
              <w:rPr>
                <w:color w:val="000000"/>
                <w:sz w:val="18"/>
                <w:szCs w:val="18"/>
              </w:rPr>
            </w:pPr>
            <w:r w:rsidRPr="00920A2D">
              <w:rPr>
                <w:color w:val="000000"/>
                <w:sz w:val="18"/>
                <w:szCs w:val="18"/>
              </w:rPr>
              <w:t>578 911</w:t>
            </w:r>
          </w:p>
        </w:tc>
        <w:tc>
          <w:tcPr>
            <w:tcW w:w="531" w:type="pct"/>
            <w:tcBorders>
              <w:top w:val="nil"/>
              <w:left w:val="nil"/>
              <w:bottom w:val="nil"/>
              <w:right w:val="nil"/>
            </w:tcBorders>
            <w:noWrap/>
            <w:vAlign w:val="center"/>
            <w:hideMark/>
          </w:tcPr>
          <w:p w14:paraId="60D3ACAD" w14:textId="77777777" w:rsidR="008C4EA3" w:rsidRPr="00920A2D" w:rsidRDefault="008C4EA3" w:rsidP="00B6745A">
            <w:pPr>
              <w:jc w:val="right"/>
              <w:rPr>
                <w:color w:val="000000"/>
                <w:sz w:val="18"/>
                <w:szCs w:val="18"/>
              </w:rPr>
            </w:pPr>
            <w:r w:rsidRPr="00920A2D">
              <w:rPr>
                <w:color w:val="000000"/>
                <w:sz w:val="18"/>
                <w:szCs w:val="18"/>
              </w:rPr>
              <w:t>557 445</w:t>
            </w:r>
          </w:p>
        </w:tc>
        <w:tc>
          <w:tcPr>
            <w:tcW w:w="531" w:type="pct"/>
            <w:tcBorders>
              <w:top w:val="nil"/>
              <w:left w:val="nil"/>
              <w:bottom w:val="nil"/>
              <w:right w:val="nil"/>
            </w:tcBorders>
            <w:noWrap/>
            <w:vAlign w:val="center"/>
            <w:hideMark/>
          </w:tcPr>
          <w:p w14:paraId="33944DC7" w14:textId="77777777" w:rsidR="008C4EA3" w:rsidRPr="00920A2D" w:rsidRDefault="008C4EA3" w:rsidP="00B6745A">
            <w:pPr>
              <w:jc w:val="right"/>
              <w:rPr>
                <w:color w:val="000000"/>
                <w:sz w:val="18"/>
                <w:szCs w:val="18"/>
              </w:rPr>
            </w:pPr>
            <w:r w:rsidRPr="00920A2D">
              <w:rPr>
                <w:color w:val="000000"/>
                <w:sz w:val="18"/>
                <w:szCs w:val="18"/>
              </w:rPr>
              <w:t>-21 466</w:t>
            </w:r>
          </w:p>
        </w:tc>
        <w:tc>
          <w:tcPr>
            <w:tcW w:w="390" w:type="pct"/>
            <w:tcBorders>
              <w:top w:val="nil"/>
              <w:left w:val="nil"/>
              <w:bottom w:val="nil"/>
              <w:right w:val="nil"/>
            </w:tcBorders>
            <w:noWrap/>
            <w:vAlign w:val="center"/>
            <w:hideMark/>
          </w:tcPr>
          <w:p w14:paraId="5B789878" w14:textId="77777777" w:rsidR="008C4EA3" w:rsidRPr="00920A2D" w:rsidRDefault="008C4EA3" w:rsidP="00B6745A">
            <w:pPr>
              <w:jc w:val="right"/>
              <w:rPr>
                <w:color w:val="000000"/>
                <w:sz w:val="18"/>
                <w:szCs w:val="18"/>
              </w:rPr>
            </w:pPr>
            <w:r w:rsidRPr="00920A2D">
              <w:rPr>
                <w:color w:val="000000"/>
                <w:sz w:val="18"/>
                <w:szCs w:val="18"/>
              </w:rPr>
              <w:t>-3,7</w:t>
            </w:r>
          </w:p>
        </w:tc>
      </w:tr>
      <w:tr w:rsidR="008C4EA3" w:rsidRPr="00920A2D" w14:paraId="51EF29EF" w14:textId="77777777" w:rsidTr="008C4EA3">
        <w:trPr>
          <w:trHeight w:val="330"/>
        </w:trPr>
        <w:tc>
          <w:tcPr>
            <w:tcW w:w="1953" w:type="pct"/>
            <w:tcBorders>
              <w:top w:val="nil"/>
              <w:left w:val="nil"/>
              <w:bottom w:val="nil"/>
              <w:right w:val="nil"/>
            </w:tcBorders>
            <w:vAlign w:val="center"/>
            <w:hideMark/>
          </w:tcPr>
          <w:p w14:paraId="4B5A670C" w14:textId="77777777" w:rsidR="008C4EA3" w:rsidRPr="00920A2D" w:rsidRDefault="008C4EA3" w:rsidP="00B6745A">
            <w:pPr>
              <w:rPr>
                <w:b/>
                <w:bCs/>
                <w:color w:val="000000"/>
                <w:sz w:val="18"/>
                <w:szCs w:val="18"/>
              </w:rPr>
            </w:pPr>
            <w:r w:rsidRPr="00920A2D">
              <w:rPr>
                <w:b/>
                <w:bCs/>
                <w:color w:val="000000"/>
                <w:sz w:val="18"/>
                <w:szCs w:val="18"/>
              </w:rPr>
              <w:t>Poľnohospodárske fondy spolu - MPRV SR</w:t>
            </w:r>
          </w:p>
        </w:tc>
        <w:tc>
          <w:tcPr>
            <w:tcW w:w="531" w:type="pct"/>
            <w:tcBorders>
              <w:top w:val="nil"/>
              <w:left w:val="nil"/>
              <w:bottom w:val="nil"/>
              <w:right w:val="nil"/>
            </w:tcBorders>
            <w:noWrap/>
            <w:vAlign w:val="center"/>
            <w:hideMark/>
          </w:tcPr>
          <w:p w14:paraId="663012FF" w14:textId="77777777" w:rsidR="008C4EA3" w:rsidRPr="00920A2D" w:rsidRDefault="008C4EA3" w:rsidP="00B6745A">
            <w:pPr>
              <w:jc w:val="right"/>
              <w:rPr>
                <w:b/>
                <w:bCs/>
                <w:color w:val="000000"/>
                <w:sz w:val="18"/>
                <w:szCs w:val="18"/>
              </w:rPr>
            </w:pPr>
            <w:r w:rsidRPr="00920A2D">
              <w:rPr>
                <w:b/>
                <w:bCs/>
                <w:color w:val="000000"/>
                <w:sz w:val="18"/>
                <w:szCs w:val="18"/>
              </w:rPr>
              <w:t>494 265</w:t>
            </w:r>
          </w:p>
        </w:tc>
        <w:tc>
          <w:tcPr>
            <w:tcW w:w="531" w:type="pct"/>
            <w:tcBorders>
              <w:top w:val="nil"/>
              <w:left w:val="nil"/>
              <w:bottom w:val="nil"/>
              <w:right w:val="nil"/>
            </w:tcBorders>
            <w:noWrap/>
            <w:vAlign w:val="center"/>
            <w:hideMark/>
          </w:tcPr>
          <w:p w14:paraId="5D55A018" w14:textId="77777777" w:rsidR="008C4EA3" w:rsidRPr="00920A2D" w:rsidRDefault="008C4EA3" w:rsidP="00B6745A">
            <w:pPr>
              <w:jc w:val="right"/>
              <w:rPr>
                <w:b/>
                <w:bCs/>
                <w:color w:val="000000"/>
                <w:sz w:val="18"/>
                <w:szCs w:val="18"/>
              </w:rPr>
            </w:pPr>
            <w:r w:rsidRPr="00920A2D">
              <w:rPr>
                <w:b/>
                <w:bCs/>
                <w:color w:val="000000"/>
                <w:sz w:val="18"/>
                <w:szCs w:val="18"/>
              </w:rPr>
              <w:t>918 003</w:t>
            </w:r>
          </w:p>
        </w:tc>
        <w:tc>
          <w:tcPr>
            <w:tcW w:w="531" w:type="pct"/>
            <w:tcBorders>
              <w:top w:val="nil"/>
              <w:left w:val="nil"/>
              <w:bottom w:val="nil"/>
              <w:right w:val="nil"/>
            </w:tcBorders>
            <w:noWrap/>
            <w:vAlign w:val="center"/>
            <w:hideMark/>
          </w:tcPr>
          <w:p w14:paraId="38EBA24B" w14:textId="77777777" w:rsidR="008C4EA3" w:rsidRPr="00920A2D" w:rsidRDefault="008C4EA3" w:rsidP="00B6745A">
            <w:pPr>
              <w:jc w:val="right"/>
              <w:rPr>
                <w:b/>
                <w:bCs/>
                <w:color w:val="000000"/>
                <w:sz w:val="18"/>
                <w:szCs w:val="18"/>
              </w:rPr>
            </w:pPr>
            <w:r w:rsidRPr="00920A2D">
              <w:rPr>
                <w:b/>
                <w:bCs/>
                <w:color w:val="000000"/>
                <w:sz w:val="18"/>
                <w:szCs w:val="18"/>
              </w:rPr>
              <w:t>578 911</w:t>
            </w:r>
          </w:p>
        </w:tc>
        <w:tc>
          <w:tcPr>
            <w:tcW w:w="531" w:type="pct"/>
            <w:tcBorders>
              <w:top w:val="nil"/>
              <w:left w:val="nil"/>
              <w:bottom w:val="nil"/>
              <w:right w:val="nil"/>
            </w:tcBorders>
            <w:noWrap/>
            <w:vAlign w:val="center"/>
            <w:hideMark/>
          </w:tcPr>
          <w:p w14:paraId="42BDEE76" w14:textId="77777777" w:rsidR="008C4EA3" w:rsidRPr="00920A2D" w:rsidRDefault="008C4EA3" w:rsidP="00B6745A">
            <w:pPr>
              <w:jc w:val="right"/>
              <w:rPr>
                <w:b/>
                <w:bCs/>
                <w:color w:val="000000"/>
                <w:sz w:val="18"/>
                <w:szCs w:val="18"/>
              </w:rPr>
            </w:pPr>
            <w:r w:rsidRPr="00920A2D">
              <w:rPr>
                <w:b/>
                <w:bCs/>
                <w:color w:val="000000"/>
                <w:sz w:val="18"/>
                <w:szCs w:val="18"/>
              </w:rPr>
              <w:t>1 016 097</w:t>
            </w:r>
          </w:p>
        </w:tc>
        <w:tc>
          <w:tcPr>
            <w:tcW w:w="531" w:type="pct"/>
            <w:tcBorders>
              <w:top w:val="nil"/>
              <w:left w:val="nil"/>
              <w:bottom w:val="nil"/>
              <w:right w:val="nil"/>
            </w:tcBorders>
            <w:noWrap/>
            <w:vAlign w:val="center"/>
            <w:hideMark/>
          </w:tcPr>
          <w:p w14:paraId="0B720F32" w14:textId="77777777" w:rsidR="008C4EA3" w:rsidRPr="00920A2D" w:rsidRDefault="008C4EA3" w:rsidP="00B6745A">
            <w:pPr>
              <w:jc w:val="right"/>
              <w:rPr>
                <w:b/>
                <w:bCs/>
                <w:color w:val="000000"/>
                <w:sz w:val="18"/>
                <w:szCs w:val="18"/>
              </w:rPr>
            </w:pPr>
            <w:r w:rsidRPr="00920A2D">
              <w:rPr>
                <w:b/>
                <w:bCs/>
                <w:color w:val="000000"/>
                <w:sz w:val="18"/>
                <w:szCs w:val="18"/>
              </w:rPr>
              <w:t>437 186</w:t>
            </w:r>
          </w:p>
        </w:tc>
        <w:tc>
          <w:tcPr>
            <w:tcW w:w="390" w:type="pct"/>
            <w:tcBorders>
              <w:top w:val="nil"/>
              <w:left w:val="nil"/>
              <w:bottom w:val="nil"/>
              <w:right w:val="nil"/>
            </w:tcBorders>
            <w:noWrap/>
            <w:vAlign w:val="center"/>
            <w:hideMark/>
          </w:tcPr>
          <w:p w14:paraId="31BD9AFA" w14:textId="77777777" w:rsidR="008C4EA3" w:rsidRPr="00920A2D" w:rsidRDefault="008C4EA3" w:rsidP="00B6745A">
            <w:pPr>
              <w:jc w:val="right"/>
              <w:rPr>
                <w:b/>
                <w:bCs/>
                <w:color w:val="000000"/>
                <w:sz w:val="18"/>
                <w:szCs w:val="18"/>
              </w:rPr>
            </w:pPr>
            <w:r w:rsidRPr="00920A2D">
              <w:rPr>
                <w:b/>
                <w:bCs/>
                <w:color w:val="000000"/>
                <w:sz w:val="18"/>
                <w:szCs w:val="18"/>
              </w:rPr>
              <w:t>75,5</w:t>
            </w:r>
          </w:p>
        </w:tc>
      </w:tr>
      <w:tr w:rsidR="008C4EA3" w:rsidRPr="00920A2D" w14:paraId="150F5FA2" w14:textId="77777777" w:rsidTr="008C4EA3">
        <w:trPr>
          <w:trHeight w:val="329"/>
        </w:trPr>
        <w:tc>
          <w:tcPr>
            <w:tcW w:w="1953" w:type="pct"/>
            <w:tcBorders>
              <w:top w:val="nil"/>
              <w:left w:val="nil"/>
              <w:bottom w:val="nil"/>
              <w:right w:val="nil"/>
            </w:tcBorders>
            <w:vAlign w:val="center"/>
            <w:hideMark/>
          </w:tcPr>
          <w:p w14:paraId="5F2889BE" w14:textId="77777777" w:rsidR="008C4EA3" w:rsidRPr="00920A2D" w:rsidRDefault="008C4EA3" w:rsidP="00B6745A">
            <w:pPr>
              <w:rPr>
                <w:color w:val="000000"/>
                <w:sz w:val="18"/>
                <w:szCs w:val="18"/>
              </w:rPr>
            </w:pPr>
            <w:r w:rsidRPr="00920A2D">
              <w:rPr>
                <w:color w:val="000000"/>
                <w:sz w:val="18"/>
                <w:szCs w:val="18"/>
              </w:rPr>
              <w:t>Programy 2. programové obdobie</w:t>
            </w:r>
          </w:p>
        </w:tc>
        <w:tc>
          <w:tcPr>
            <w:tcW w:w="531" w:type="pct"/>
            <w:tcBorders>
              <w:top w:val="nil"/>
              <w:left w:val="nil"/>
              <w:bottom w:val="nil"/>
              <w:right w:val="nil"/>
            </w:tcBorders>
            <w:noWrap/>
            <w:vAlign w:val="center"/>
            <w:hideMark/>
          </w:tcPr>
          <w:p w14:paraId="313928A6" w14:textId="77777777" w:rsidR="008C4EA3" w:rsidRPr="00920A2D" w:rsidRDefault="008C4EA3" w:rsidP="00B6745A">
            <w:pPr>
              <w:jc w:val="right"/>
              <w:rPr>
                <w:color w:val="000000"/>
                <w:sz w:val="18"/>
                <w:szCs w:val="18"/>
              </w:rPr>
            </w:pPr>
            <w:r w:rsidRPr="00920A2D">
              <w:rPr>
                <w:color w:val="000000"/>
                <w:sz w:val="18"/>
                <w:szCs w:val="18"/>
              </w:rPr>
              <w:t>11 365</w:t>
            </w:r>
          </w:p>
        </w:tc>
        <w:tc>
          <w:tcPr>
            <w:tcW w:w="531" w:type="pct"/>
            <w:tcBorders>
              <w:top w:val="nil"/>
              <w:left w:val="nil"/>
              <w:bottom w:val="nil"/>
              <w:right w:val="nil"/>
            </w:tcBorders>
            <w:noWrap/>
            <w:vAlign w:val="center"/>
            <w:hideMark/>
          </w:tcPr>
          <w:p w14:paraId="78D92DFC" w14:textId="77777777" w:rsidR="008C4EA3" w:rsidRPr="00920A2D" w:rsidRDefault="008C4EA3" w:rsidP="00B6745A">
            <w:pPr>
              <w:jc w:val="right"/>
              <w:rPr>
                <w:color w:val="000000"/>
                <w:sz w:val="18"/>
                <w:szCs w:val="18"/>
              </w:rPr>
            </w:pPr>
            <w:r w:rsidRPr="00920A2D">
              <w:rPr>
                <w:color w:val="000000"/>
                <w:sz w:val="18"/>
                <w:szCs w:val="18"/>
              </w:rPr>
              <w:t>12 053</w:t>
            </w:r>
          </w:p>
        </w:tc>
        <w:tc>
          <w:tcPr>
            <w:tcW w:w="531" w:type="pct"/>
            <w:tcBorders>
              <w:top w:val="nil"/>
              <w:left w:val="nil"/>
              <w:bottom w:val="nil"/>
              <w:right w:val="nil"/>
            </w:tcBorders>
            <w:noWrap/>
            <w:vAlign w:val="center"/>
            <w:hideMark/>
          </w:tcPr>
          <w:p w14:paraId="3EC619E7"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nil"/>
              <w:left w:val="nil"/>
              <w:bottom w:val="nil"/>
              <w:right w:val="nil"/>
            </w:tcBorders>
            <w:noWrap/>
            <w:vAlign w:val="center"/>
            <w:hideMark/>
          </w:tcPr>
          <w:p w14:paraId="50DC8869" w14:textId="77777777" w:rsidR="008C4EA3" w:rsidRPr="00920A2D" w:rsidRDefault="008C4EA3" w:rsidP="00B6745A">
            <w:pPr>
              <w:jc w:val="right"/>
              <w:rPr>
                <w:color w:val="000000"/>
                <w:sz w:val="18"/>
                <w:szCs w:val="18"/>
              </w:rPr>
            </w:pPr>
            <w:r w:rsidRPr="00920A2D">
              <w:rPr>
                <w:color w:val="000000"/>
                <w:sz w:val="18"/>
                <w:szCs w:val="18"/>
              </w:rPr>
              <w:t>22 390</w:t>
            </w:r>
          </w:p>
        </w:tc>
        <w:tc>
          <w:tcPr>
            <w:tcW w:w="531" w:type="pct"/>
            <w:tcBorders>
              <w:top w:val="nil"/>
              <w:left w:val="nil"/>
              <w:bottom w:val="nil"/>
              <w:right w:val="nil"/>
            </w:tcBorders>
            <w:noWrap/>
            <w:vAlign w:val="center"/>
            <w:hideMark/>
          </w:tcPr>
          <w:p w14:paraId="376A07A6" w14:textId="77777777" w:rsidR="008C4EA3" w:rsidRPr="00920A2D" w:rsidRDefault="008C4EA3" w:rsidP="00B6745A">
            <w:pPr>
              <w:jc w:val="right"/>
              <w:rPr>
                <w:color w:val="000000"/>
                <w:sz w:val="18"/>
                <w:szCs w:val="18"/>
              </w:rPr>
            </w:pPr>
            <w:r w:rsidRPr="00920A2D">
              <w:rPr>
                <w:color w:val="000000"/>
                <w:sz w:val="18"/>
                <w:szCs w:val="18"/>
              </w:rPr>
              <w:t>22 390</w:t>
            </w:r>
          </w:p>
        </w:tc>
        <w:tc>
          <w:tcPr>
            <w:tcW w:w="390" w:type="pct"/>
            <w:tcBorders>
              <w:top w:val="nil"/>
              <w:left w:val="nil"/>
              <w:bottom w:val="nil"/>
              <w:right w:val="nil"/>
            </w:tcBorders>
            <w:noWrap/>
            <w:vAlign w:val="center"/>
            <w:hideMark/>
          </w:tcPr>
          <w:p w14:paraId="79B44D88" w14:textId="77777777" w:rsidR="008C4EA3" w:rsidRPr="00920A2D" w:rsidRDefault="008C4EA3" w:rsidP="00B6745A">
            <w:pPr>
              <w:jc w:val="right"/>
              <w:rPr>
                <w:b/>
                <w:bCs/>
                <w:color w:val="000000"/>
                <w:sz w:val="18"/>
                <w:szCs w:val="18"/>
              </w:rPr>
            </w:pPr>
            <w:r w:rsidRPr="00920A2D">
              <w:rPr>
                <w:b/>
                <w:bCs/>
                <w:color w:val="000000"/>
                <w:sz w:val="18"/>
                <w:szCs w:val="18"/>
              </w:rPr>
              <w:t>-</w:t>
            </w:r>
          </w:p>
        </w:tc>
      </w:tr>
      <w:tr w:rsidR="008C4EA3" w:rsidRPr="00920A2D" w14:paraId="7BD1DED5" w14:textId="77777777" w:rsidTr="008C4EA3">
        <w:trPr>
          <w:trHeight w:val="329"/>
        </w:trPr>
        <w:tc>
          <w:tcPr>
            <w:tcW w:w="1953" w:type="pct"/>
            <w:tcBorders>
              <w:top w:val="nil"/>
              <w:left w:val="nil"/>
              <w:bottom w:val="nil"/>
              <w:right w:val="nil"/>
            </w:tcBorders>
            <w:vAlign w:val="center"/>
            <w:hideMark/>
          </w:tcPr>
          <w:p w14:paraId="09D47BD5" w14:textId="77777777" w:rsidR="008C4EA3" w:rsidRPr="00920A2D" w:rsidRDefault="008C4EA3" w:rsidP="00B6745A">
            <w:pPr>
              <w:rPr>
                <w:color w:val="000000"/>
                <w:sz w:val="18"/>
                <w:szCs w:val="18"/>
              </w:rPr>
            </w:pPr>
            <w:r w:rsidRPr="00920A2D">
              <w:rPr>
                <w:color w:val="000000"/>
                <w:sz w:val="18"/>
                <w:szCs w:val="18"/>
              </w:rPr>
              <w:t>Programy 3. programové obdobie</w:t>
            </w:r>
          </w:p>
        </w:tc>
        <w:tc>
          <w:tcPr>
            <w:tcW w:w="531" w:type="pct"/>
            <w:tcBorders>
              <w:top w:val="nil"/>
              <w:left w:val="nil"/>
              <w:bottom w:val="nil"/>
              <w:right w:val="nil"/>
            </w:tcBorders>
            <w:noWrap/>
            <w:vAlign w:val="center"/>
            <w:hideMark/>
          </w:tcPr>
          <w:p w14:paraId="379F53C6" w14:textId="77777777" w:rsidR="008C4EA3" w:rsidRPr="00920A2D" w:rsidRDefault="008C4EA3" w:rsidP="00B6745A">
            <w:pPr>
              <w:jc w:val="right"/>
              <w:rPr>
                <w:color w:val="000000"/>
                <w:sz w:val="18"/>
                <w:szCs w:val="18"/>
              </w:rPr>
            </w:pPr>
            <w:r w:rsidRPr="00920A2D">
              <w:rPr>
                <w:color w:val="000000"/>
                <w:sz w:val="18"/>
                <w:szCs w:val="18"/>
              </w:rPr>
              <w:t>3 629 033</w:t>
            </w:r>
          </w:p>
        </w:tc>
        <w:tc>
          <w:tcPr>
            <w:tcW w:w="531" w:type="pct"/>
            <w:tcBorders>
              <w:top w:val="nil"/>
              <w:left w:val="nil"/>
              <w:bottom w:val="nil"/>
              <w:right w:val="nil"/>
            </w:tcBorders>
            <w:noWrap/>
            <w:vAlign w:val="center"/>
            <w:hideMark/>
          </w:tcPr>
          <w:p w14:paraId="765DB203" w14:textId="77777777" w:rsidR="008C4EA3" w:rsidRPr="00920A2D" w:rsidRDefault="008C4EA3" w:rsidP="00B6745A">
            <w:pPr>
              <w:jc w:val="right"/>
              <w:rPr>
                <w:color w:val="000000"/>
                <w:sz w:val="18"/>
                <w:szCs w:val="18"/>
              </w:rPr>
            </w:pPr>
            <w:r w:rsidRPr="00920A2D">
              <w:rPr>
                <w:color w:val="000000"/>
                <w:sz w:val="18"/>
                <w:szCs w:val="18"/>
              </w:rPr>
              <w:t>1 893 646</w:t>
            </w:r>
          </w:p>
        </w:tc>
        <w:tc>
          <w:tcPr>
            <w:tcW w:w="531" w:type="pct"/>
            <w:tcBorders>
              <w:top w:val="nil"/>
              <w:left w:val="nil"/>
              <w:bottom w:val="nil"/>
              <w:right w:val="nil"/>
            </w:tcBorders>
            <w:noWrap/>
            <w:vAlign w:val="center"/>
            <w:hideMark/>
          </w:tcPr>
          <w:p w14:paraId="03830A30"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nil"/>
              <w:left w:val="nil"/>
              <w:bottom w:val="nil"/>
              <w:right w:val="nil"/>
            </w:tcBorders>
            <w:noWrap/>
            <w:vAlign w:val="center"/>
            <w:hideMark/>
          </w:tcPr>
          <w:p w14:paraId="552A98E5" w14:textId="77777777" w:rsidR="008C4EA3" w:rsidRPr="00920A2D" w:rsidRDefault="008C4EA3" w:rsidP="00B6745A">
            <w:pPr>
              <w:jc w:val="right"/>
              <w:rPr>
                <w:color w:val="000000"/>
                <w:sz w:val="18"/>
                <w:szCs w:val="18"/>
              </w:rPr>
            </w:pPr>
            <w:r w:rsidRPr="00920A2D">
              <w:rPr>
                <w:color w:val="000000"/>
                <w:sz w:val="18"/>
                <w:szCs w:val="18"/>
              </w:rPr>
              <w:t>117 913</w:t>
            </w:r>
          </w:p>
        </w:tc>
        <w:tc>
          <w:tcPr>
            <w:tcW w:w="531" w:type="pct"/>
            <w:tcBorders>
              <w:top w:val="nil"/>
              <w:left w:val="nil"/>
              <w:bottom w:val="nil"/>
              <w:right w:val="nil"/>
            </w:tcBorders>
            <w:noWrap/>
            <w:vAlign w:val="center"/>
            <w:hideMark/>
          </w:tcPr>
          <w:p w14:paraId="5E3871A4" w14:textId="77777777" w:rsidR="008C4EA3" w:rsidRPr="00920A2D" w:rsidRDefault="008C4EA3" w:rsidP="00B6745A">
            <w:pPr>
              <w:jc w:val="right"/>
              <w:rPr>
                <w:color w:val="000000"/>
                <w:sz w:val="18"/>
                <w:szCs w:val="18"/>
              </w:rPr>
            </w:pPr>
            <w:r w:rsidRPr="00920A2D">
              <w:rPr>
                <w:color w:val="000000"/>
                <w:sz w:val="18"/>
                <w:szCs w:val="18"/>
              </w:rPr>
              <w:t>117 913</w:t>
            </w:r>
          </w:p>
        </w:tc>
        <w:tc>
          <w:tcPr>
            <w:tcW w:w="390" w:type="pct"/>
            <w:tcBorders>
              <w:top w:val="nil"/>
              <w:left w:val="nil"/>
              <w:bottom w:val="nil"/>
              <w:right w:val="nil"/>
            </w:tcBorders>
            <w:noWrap/>
            <w:vAlign w:val="center"/>
            <w:hideMark/>
          </w:tcPr>
          <w:p w14:paraId="366C825C" w14:textId="77777777" w:rsidR="008C4EA3" w:rsidRPr="00920A2D" w:rsidRDefault="008C4EA3" w:rsidP="00B6745A">
            <w:pPr>
              <w:jc w:val="right"/>
              <w:rPr>
                <w:b/>
                <w:bCs/>
                <w:color w:val="000000"/>
                <w:sz w:val="18"/>
                <w:szCs w:val="18"/>
              </w:rPr>
            </w:pPr>
            <w:r w:rsidRPr="00920A2D">
              <w:rPr>
                <w:b/>
                <w:bCs/>
                <w:color w:val="000000"/>
                <w:sz w:val="18"/>
                <w:szCs w:val="18"/>
              </w:rPr>
              <w:t>-</w:t>
            </w:r>
          </w:p>
        </w:tc>
      </w:tr>
      <w:tr w:rsidR="008C4EA3" w:rsidRPr="00920A2D" w14:paraId="7449CC26" w14:textId="77777777" w:rsidTr="008C4EA3">
        <w:trPr>
          <w:trHeight w:val="329"/>
        </w:trPr>
        <w:tc>
          <w:tcPr>
            <w:tcW w:w="1953" w:type="pct"/>
            <w:tcBorders>
              <w:top w:val="nil"/>
              <w:left w:val="nil"/>
              <w:bottom w:val="nil"/>
              <w:right w:val="nil"/>
            </w:tcBorders>
            <w:vAlign w:val="center"/>
            <w:hideMark/>
          </w:tcPr>
          <w:p w14:paraId="3D5E824C" w14:textId="77777777" w:rsidR="008C4EA3" w:rsidRPr="00920A2D" w:rsidRDefault="008C4EA3" w:rsidP="00B6745A">
            <w:pPr>
              <w:rPr>
                <w:color w:val="000000"/>
                <w:sz w:val="18"/>
                <w:szCs w:val="18"/>
              </w:rPr>
            </w:pPr>
            <w:r w:rsidRPr="00920A2D">
              <w:rPr>
                <w:color w:val="000000"/>
                <w:sz w:val="18"/>
                <w:szCs w:val="18"/>
              </w:rPr>
              <w:t>Programy 4. programové obdobie</w:t>
            </w:r>
          </w:p>
        </w:tc>
        <w:tc>
          <w:tcPr>
            <w:tcW w:w="531" w:type="pct"/>
            <w:tcBorders>
              <w:top w:val="nil"/>
              <w:left w:val="nil"/>
              <w:bottom w:val="nil"/>
              <w:right w:val="nil"/>
            </w:tcBorders>
            <w:noWrap/>
            <w:vAlign w:val="center"/>
            <w:hideMark/>
          </w:tcPr>
          <w:p w14:paraId="6DB96D41"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nil"/>
              <w:left w:val="nil"/>
              <w:bottom w:val="nil"/>
              <w:right w:val="nil"/>
            </w:tcBorders>
            <w:noWrap/>
            <w:vAlign w:val="center"/>
            <w:hideMark/>
          </w:tcPr>
          <w:p w14:paraId="7DA15A09" w14:textId="77777777" w:rsidR="008C4EA3" w:rsidRPr="00920A2D" w:rsidRDefault="008C4EA3" w:rsidP="00B6745A">
            <w:pPr>
              <w:jc w:val="right"/>
              <w:rPr>
                <w:color w:val="000000"/>
                <w:sz w:val="18"/>
                <w:szCs w:val="18"/>
              </w:rPr>
            </w:pPr>
            <w:r w:rsidRPr="00920A2D">
              <w:rPr>
                <w:color w:val="000000"/>
                <w:sz w:val="18"/>
                <w:szCs w:val="18"/>
              </w:rPr>
              <w:t>382 259</w:t>
            </w:r>
          </w:p>
        </w:tc>
        <w:tc>
          <w:tcPr>
            <w:tcW w:w="531" w:type="pct"/>
            <w:tcBorders>
              <w:top w:val="nil"/>
              <w:left w:val="nil"/>
              <w:bottom w:val="nil"/>
              <w:right w:val="nil"/>
            </w:tcBorders>
            <w:noWrap/>
            <w:vAlign w:val="center"/>
            <w:hideMark/>
          </w:tcPr>
          <w:p w14:paraId="3207FC30" w14:textId="77777777" w:rsidR="008C4EA3" w:rsidRPr="00920A2D" w:rsidRDefault="008C4EA3" w:rsidP="00B6745A">
            <w:pPr>
              <w:jc w:val="right"/>
              <w:rPr>
                <w:color w:val="000000"/>
                <w:sz w:val="18"/>
                <w:szCs w:val="18"/>
              </w:rPr>
            </w:pPr>
            <w:r w:rsidRPr="00920A2D">
              <w:rPr>
                <w:color w:val="000000"/>
                <w:sz w:val="18"/>
                <w:szCs w:val="18"/>
              </w:rPr>
              <w:t>1 546 950</w:t>
            </w:r>
          </w:p>
        </w:tc>
        <w:tc>
          <w:tcPr>
            <w:tcW w:w="531" w:type="pct"/>
            <w:tcBorders>
              <w:top w:val="nil"/>
              <w:left w:val="nil"/>
              <w:bottom w:val="nil"/>
              <w:right w:val="nil"/>
            </w:tcBorders>
            <w:noWrap/>
            <w:vAlign w:val="center"/>
            <w:hideMark/>
          </w:tcPr>
          <w:p w14:paraId="77628D15" w14:textId="77777777" w:rsidR="008C4EA3" w:rsidRPr="00920A2D" w:rsidRDefault="008C4EA3" w:rsidP="00B6745A">
            <w:pPr>
              <w:jc w:val="right"/>
              <w:rPr>
                <w:color w:val="000000"/>
                <w:sz w:val="18"/>
                <w:szCs w:val="18"/>
              </w:rPr>
            </w:pPr>
            <w:r w:rsidRPr="00920A2D">
              <w:rPr>
                <w:color w:val="000000"/>
                <w:sz w:val="18"/>
                <w:szCs w:val="18"/>
              </w:rPr>
              <w:t>1 245 349</w:t>
            </w:r>
          </w:p>
        </w:tc>
        <w:tc>
          <w:tcPr>
            <w:tcW w:w="531" w:type="pct"/>
            <w:tcBorders>
              <w:top w:val="nil"/>
              <w:left w:val="nil"/>
              <w:bottom w:val="nil"/>
              <w:right w:val="nil"/>
            </w:tcBorders>
            <w:noWrap/>
            <w:vAlign w:val="center"/>
            <w:hideMark/>
          </w:tcPr>
          <w:p w14:paraId="1ACB620E" w14:textId="77777777" w:rsidR="008C4EA3" w:rsidRPr="00920A2D" w:rsidRDefault="008C4EA3" w:rsidP="00B6745A">
            <w:pPr>
              <w:jc w:val="right"/>
              <w:rPr>
                <w:color w:val="000000"/>
                <w:sz w:val="18"/>
                <w:szCs w:val="18"/>
              </w:rPr>
            </w:pPr>
            <w:r w:rsidRPr="00920A2D">
              <w:rPr>
                <w:color w:val="000000"/>
                <w:sz w:val="18"/>
                <w:szCs w:val="18"/>
              </w:rPr>
              <w:t>-301 601</w:t>
            </w:r>
          </w:p>
        </w:tc>
        <w:tc>
          <w:tcPr>
            <w:tcW w:w="390" w:type="pct"/>
            <w:tcBorders>
              <w:top w:val="nil"/>
              <w:left w:val="nil"/>
              <w:bottom w:val="nil"/>
              <w:right w:val="nil"/>
            </w:tcBorders>
            <w:noWrap/>
            <w:vAlign w:val="center"/>
            <w:hideMark/>
          </w:tcPr>
          <w:p w14:paraId="077D7DA5" w14:textId="77777777" w:rsidR="008C4EA3" w:rsidRPr="00920A2D" w:rsidRDefault="008C4EA3" w:rsidP="00B6745A">
            <w:pPr>
              <w:jc w:val="right"/>
              <w:rPr>
                <w:color w:val="000000"/>
                <w:sz w:val="18"/>
                <w:szCs w:val="18"/>
              </w:rPr>
            </w:pPr>
            <w:r w:rsidRPr="00920A2D">
              <w:rPr>
                <w:color w:val="000000"/>
                <w:sz w:val="18"/>
                <w:szCs w:val="18"/>
              </w:rPr>
              <w:t>-19,5</w:t>
            </w:r>
          </w:p>
        </w:tc>
      </w:tr>
      <w:tr w:rsidR="008C4EA3" w:rsidRPr="00920A2D" w14:paraId="4EF88B70" w14:textId="77777777" w:rsidTr="008C4EA3">
        <w:trPr>
          <w:trHeight w:val="330"/>
        </w:trPr>
        <w:tc>
          <w:tcPr>
            <w:tcW w:w="1953" w:type="pct"/>
            <w:tcBorders>
              <w:top w:val="nil"/>
              <w:left w:val="nil"/>
              <w:bottom w:val="nil"/>
              <w:right w:val="nil"/>
            </w:tcBorders>
            <w:vAlign w:val="center"/>
            <w:hideMark/>
          </w:tcPr>
          <w:p w14:paraId="4E29CA43" w14:textId="77777777" w:rsidR="008C4EA3" w:rsidRPr="00920A2D" w:rsidRDefault="008C4EA3" w:rsidP="00B6745A">
            <w:pPr>
              <w:rPr>
                <w:b/>
                <w:bCs/>
                <w:color w:val="000000"/>
                <w:sz w:val="18"/>
                <w:szCs w:val="18"/>
              </w:rPr>
            </w:pPr>
            <w:r w:rsidRPr="00920A2D">
              <w:rPr>
                <w:b/>
                <w:bCs/>
                <w:color w:val="000000"/>
                <w:sz w:val="18"/>
                <w:szCs w:val="18"/>
              </w:rPr>
              <w:t>Štrukturálne operácie - MF SR</w:t>
            </w:r>
          </w:p>
        </w:tc>
        <w:tc>
          <w:tcPr>
            <w:tcW w:w="531" w:type="pct"/>
            <w:tcBorders>
              <w:top w:val="nil"/>
              <w:left w:val="nil"/>
              <w:bottom w:val="nil"/>
              <w:right w:val="nil"/>
            </w:tcBorders>
            <w:noWrap/>
            <w:vAlign w:val="center"/>
            <w:hideMark/>
          </w:tcPr>
          <w:p w14:paraId="34413AF1" w14:textId="77777777" w:rsidR="008C4EA3" w:rsidRPr="00920A2D" w:rsidRDefault="008C4EA3" w:rsidP="00B6745A">
            <w:pPr>
              <w:jc w:val="right"/>
              <w:rPr>
                <w:b/>
                <w:bCs/>
                <w:color w:val="000000"/>
                <w:sz w:val="18"/>
                <w:szCs w:val="18"/>
              </w:rPr>
            </w:pPr>
            <w:r w:rsidRPr="00920A2D">
              <w:rPr>
                <w:b/>
                <w:bCs/>
                <w:color w:val="000000"/>
                <w:sz w:val="18"/>
                <w:szCs w:val="18"/>
              </w:rPr>
              <w:t>3 640 398</w:t>
            </w:r>
          </w:p>
        </w:tc>
        <w:tc>
          <w:tcPr>
            <w:tcW w:w="531" w:type="pct"/>
            <w:tcBorders>
              <w:top w:val="nil"/>
              <w:left w:val="nil"/>
              <w:bottom w:val="nil"/>
              <w:right w:val="nil"/>
            </w:tcBorders>
            <w:noWrap/>
            <w:vAlign w:val="center"/>
            <w:hideMark/>
          </w:tcPr>
          <w:p w14:paraId="457EF7C8" w14:textId="77777777" w:rsidR="008C4EA3" w:rsidRPr="00920A2D" w:rsidRDefault="008C4EA3" w:rsidP="00B6745A">
            <w:pPr>
              <w:jc w:val="right"/>
              <w:rPr>
                <w:b/>
                <w:bCs/>
                <w:color w:val="000000"/>
                <w:sz w:val="18"/>
                <w:szCs w:val="18"/>
              </w:rPr>
            </w:pPr>
            <w:r w:rsidRPr="00920A2D">
              <w:rPr>
                <w:b/>
                <w:bCs/>
                <w:color w:val="000000"/>
                <w:sz w:val="18"/>
                <w:szCs w:val="18"/>
              </w:rPr>
              <w:t>2 287 958</w:t>
            </w:r>
          </w:p>
        </w:tc>
        <w:tc>
          <w:tcPr>
            <w:tcW w:w="531" w:type="pct"/>
            <w:tcBorders>
              <w:top w:val="nil"/>
              <w:left w:val="nil"/>
              <w:bottom w:val="nil"/>
              <w:right w:val="nil"/>
            </w:tcBorders>
            <w:noWrap/>
            <w:vAlign w:val="center"/>
            <w:hideMark/>
          </w:tcPr>
          <w:p w14:paraId="32F49165" w14:textId="77777777" w:rsidR="008C4EA3" w:rsidRPr="00920A2D" w:rsidRDefault="008C4EA3" w:rsidP="00B6745A">
            <w:pPr>
              <w:jc w:val="right"/>
              <w:rPr>
                <w:b/>
                <w:bCs/>
                <w:color w:val="000000"/>
                <w:sz w:val="18"/>
                <w:szCs w:val="18"/>
              </w:rPr>
            </w:pPr>
            <w:r w:rsidRPr="00920A2D">
              <w:rPr>
                <w:b/>
                <w:bCs/>
                <w:color w:val="000000"/>
                <w:sz w:val="18"/>
                <w:szCs w:val="18"/>
              </w:rPr>
              <w:t>1 546 950</w:t>
            </w:r>
          </w:p>
        </w:tc>
        <w:tc>
          <w:tcPr>
            <w:tcW w:w="531" w:type="pct"/>
            <w:tcBorders>
              <w:top w:val="nil"/>
              <w:left w:val="nil"/>
              <w:bottom w:val="nil"/>
              <w:right w:val="nil"/>
            </w:tcBorders>
            <w:noWrap/>
            <w:vAlign w:val="center"/>
            <w:hideMark/>
          </w:tcPr>
          <w:p w14:paraId="6B7A8C15" w14:textId="77777777" w:rsidR="008C4EA3" w:rsidRPr="00920A2D" w:rsidRDefault="008C4EA3" w:rsidP="00B6745A">
            <w:pPr>
              <w:jc w:val="right"/>
              <w:rPr>
                <w:b/>
                <w:bCs/>
                <w:color w:val="000000"/>
                <w:sz w:val="18"/>
                <w:szCs w:val="18"/>
              </w:rPr>
            </w:pPr>
            <w:r w:rsidRPr="00920A2D">
              <w:rPr>
                <w:b/>
                <w:bCs/>
                <w:color w:val="000000"/>
                <w:sz w:val="18"/>
                <w:szCs w:val="18"/>
              </w:rPr>
              <w:t>1 385 652</w:t>
            </w:r>
          </w:p>
        </w:tc>
        <w:tc>
          <w:tcPr>
            <w:tcW w:w="531" w:type="pct"/>
            <w:tcBorders>
              <w:top w:val="nil"/>
              <w:left w:val="nil"/>
              <w:bottom w:val="nil"/>
              <w:right w:val="nil"/>
            </w:tcBorders>
            <w:noWrap/>
            <w:vAlign w:val="center"/>
            <w:hideMark/>
          </w:tcPr>
          <w:p w14:paraId="575CEAE7" w14:textId="77777777" w:rsidR="008C4EA3" w:rsidRPr="00920A2D" w:rsidRDefault="008C4EA3" w:rsidP="00B6745A">
            <w:pPr>
              <w:jc w:val="right"/>
              <w:rPr>
                <w:b/>
                <w:bCs/>
                <w:color w:val="000000"/>
                <w:sz w:val="18"/>
                <w:szCs w:val="18"/>
              </w:rPr>
            </w:pPr>
            <w:r w:rsidRPr="00920A2D">
              <w:rPr>
                <w:b/>
                <w:bCs/>
                <w:color w:val="000000"/>
                <w:sz w:val="18"/>
                <w:szCs w:val="18"/>
              </w:rPr>
              <w:t>-161 298</w:t>
            </w:r>
          </w:p>
        </w:tc>
        <w:tc>
          <w:tcPr>
            <w:tcW w:w="390" w:type="pct"/>
            <w:tcBorders>
              <w:top w:val="nil"/>
              <w:left w:val="nil"/>
              <w:bottom w:val="nil"/>
              <w:right w:val="nil"/>
            </w:tcBorders>
            <w:noWrap/>
            <w:vAlign w:val="center"/>
            <w:hideMark/>
          </w:tcPr>
          <w:p w14:paraId="22AC81B4" w14:textId="77777777" w:rsidR="008C4EA3" w:rsidRPr="00920A2D" w:rsidRDefault="008C4EA3" w:rsidP="00B6745A">
            <w:pPr>
              <w:jc w:val="right"/>
              <w:rPr>
                <w:b/>
                <w:bCs/>
                <w:color w:val="000000"/>
                <w:sz w:val="18"/>
                <w:szCs w:val="18"/>
              </w:rPr>
            </w:pPr>
            <w:r w:rsidRPr="00920A2D">
              <w:rPr>
                <w:b/>
                <w:bCs/>
                <w:color w:val="000000"/>
                <w:sz w:val="18"/>
                <w:szCs w:val="18"/>
              </w:rPr>
              <w:t>-10,4</w:t>
            </w:r>
          </w:p>
        </w:tc>
      </w:tr>
      <w:tr w:rsidR="008C4EA3" w:rsidRPr="00920A2D" w14:paraId="1C79B9CD" w14:textId="77777777" w:rsidTr="008C4EA3">
        <w:trPr>
          <w:trHeight w:val="329"/>
        </w:trPr>
        <w:tc>
          <w:tcPr>
            <w:tcW w:w="1953" w:type="pct"/>
            <w:tcBorders>
              <w:top w:val="nil"/>
              <w:left w:val="nil"/>
              <w:bottom w:val="nil"/>
              <w:right w:val="nil"/>
            </w:tcBorders>
            <w:vAlign w:val="center"/>
            <w:hideMark/>
          </w:tcPr>
          <w:p w14:paraId="300A389B" w14:textId="77777777" w:rsidR="008C4EA3" w:rsidRPr="00920A2D" w:rsidRDefault="008C4EA3" w:rsidP="00B6745A">
            <w:pPr>
              <w:rPr>
                <w:color w:val="000000"/>
                <w:sz w:val="18"/>
                <w:szCs w:val="18"/>
              </w:rPr>
            </w:pPr>
            <w:r w:rsidRPr="00920A2D">
              <w:rPr>
                <w:color w:val="000000"/>
                <w:sz w:val="18"/>
                <w:szCs w:val="18"/>
              </w:rPr>
              <w:t>OP Sociálneho začlenenia najodkázanejších osôb     3. programové obdobie</w:t>
            </w:r>
          </w:p>
        </w:tc>
        <w:tc>
          <w:tcPr>
            <w:tcW w:w="531" w:type="pct"/>
            <w:tcBorders>
              <w:top w:val="nil"/>
              <w:left w:val="nil"/>
              <w:bottom w:val="nil"/>
              <w:right w:val="nil"/>
            </w:tcBorders>
            <w:noWrap/>
            <w:vAlign w:val="center"/>
            <w:hideMark/>
          </w:tcPr>
          <w:p w14:paraId="132A61E3" w14:textId="77777777" w:rsidR="008C4EA3" w:rsidRPr="00920A2D" w:rsidRDefault="008C4EA3" w:rsidP="00B6745A">
            <w:pPr>
              <w:jc w:val="right"/>
              <w:rPr>
                <w:color w:val="000000"/>
                <w:sz w:val="18"/>
                <w:szCs w:val="18"/>
              </w:rPr>
            </w:pPr>
            <w:r w:rsidRPr="00920A2D">
              <w:rPr>
                <w:color w:val="000000"/>
                <w:sz w:val="18"/>
                <w:szCs w:val="18"/>
              </w:rPr>
              <w:t>7 333</w:t>
            </w:r>
          </w:p>
        </w:tc>
        <w:tc>
          <w:tcPr>
            <w:tcW w:w="531" w:type="pct"/>
            <w:tcBorders>
              <w:top w:val="nil"/>
              <w:left w:val="nil"/>
              <w:bottom w:val="nil"/>
              <w:right w:val="nil"/>
            </w:tcBorders>
            <w:noWrap/>
            <w:vAlign w:val="center"/>
            <w:hideMark/>
          </w:tcPr>
          <w:p w14:paraId="5BF9F131" w14:textId="77777777" w:rsidR="008C4EA3" w:rsidRPr="00920A2D" w:rsidRDefault="008C4EA3" w:rsidP="00B6745A">
            <w:pPr>
              <w:jc w:val="right"/>
              <w:rPr>
                <w:color w:val="000000"/>
                <w:sz w:val="18"/>
                <w:szCs w:val="18"/>
              </w:rPr>
            </w:pPr>
            <w:r w:rsidRPr="00920A2D">
              <w:rPr>
                <w:color w:val="000000"/>
                <w:sz w:val="18"/>
                <w:szCs w:val="18"/>
              </w:rPr>
              <w:t>19 530</w:t>
            </w:r>
          </w:p>
        </w:tc>
        <w:tc>
          <w:tcPr>
            <w:tcW w:w="531" w:type="pct"/>
            <w:tcBorders>
              <w:top w:val="nil"/>
              <w:left w:val="nil"/>
              <w:bottom w:val="nil"/>
              <w:right w:val="nil"/>
            </w:tcBorders>
            <w:noWrap/>
            <w:vAlign w:val="center"/>
            <w:hideMark/>
          </w:tcPr>
          <w:p w14:paraId="1EA6D9B1"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nil"/>
              <w:left w:val="nil"/>
              <w:bottom w:val="nil"/>
              <w:right w:val="nil"/>
            </w:tcBorders>
            <w:noWrap/>
            <w:vAlign w:val="center"/>
            <w:hideMark/>
          </w:tcPr>
          <w:p w14:paraId="01FA1C91"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nil"/>
              <w:left w:val="nil"/>
              <w:bottom w:val="nil"/>
              <w:right w:val="nil"/>
            </w:tcBorders>
            <w:noWrap/>
            <w:vAlign w:val="center"/>
            <w:hideMark/>
          </w:tcPr>
          <w:p w14:paraId="7326A22B" w14:textId="77777777" w:rsidR="008C4EA3" w:rsidRPr="00920A2D" w:rsidRDefault="008C4EA3" w:rsidP="00B6745A">
            <w:pPr>
              <w:jc w:val="right"/>
              <w:rPr>
                <w:color w:val="000000"/>
                <w:sz w:val="18"/>
                <w:szCs w:val="18"/>
              </w:rPr>
            </w:pPr>
            <w:r w:rsidRPr="00920A2D">
              <w:rPr>
                <w:color w:val="000000"/>
                <w:sz w:val="18"/>
                <w:szCs w:val="18"/>
              </w:rPr>
              <w:t>0</w:t>
            </w:r>
          </w:p>
        </w:tc>
        <w:tc>
          <w:tcPr>
            <w:tcW w:w="390" w:type="pct"/>
            <w:tcBorders>
              <w:top w:val="nil"/>
              <w:left w:val="nil"/>
              <w:bottom w:val="nil"/>
              <w:right w:val="nil"/>
            </w:tcBorders>
            <w:noWrap/>
            <w:vAlign w:val="center"/>
            <w:hideMark/>
          </w:tcPr>
          <w:p w14:paraId="2C282E01" w14:textId="77777777" w:rsidR="008C4EA3" w:rsidRPr="00920A2D" w:rsidRDefault="008C4EA3" w:rsidP="00B6745A">
            <w:pPr>
              <w:jc w:val="right"/>
              <w:rPr>
                <w:b/>
                <w:bCs/>
                <w:color w:val="000000"/>
                <w:sz w:val="18"/>
                <w:szCs w:val="18"/>
              </w:rPr>
            </w:pPr>
            <w:r w:rsidRPr="00920A2D">
              <w:rPr>
                <w:b/>
                <w:bCs/>
                <w:color w:val="000000"/>
                <w:sz w:val="18"/>
                <w:szCs w:val="18"/>
              </w:rPr>
              <w:t>-</w:t>
            </w:r>
          </w:p>
        </w:tc>
      </w:tr>
      <w:tr w:rsidR="008C4EA3" w:rsidRPr="00920A2D" w14:paraId="3DD1516C" w14:textId="77777777" w:rsidTr="008C4EA3">
        <w:trPr>
          <w:trHeight w:val="330"/>
        </w:trPr>
        <w:tc>
          <w:tcPr>
            <w:tcW w:w="1953" w:type="pct"/>
            <w:tcBorders>
              <w:top w:val="nil"/>
              <w:left w:val="nil"/>
              <w:bottom w:val="nil"/>
              <w:right w:val="nil"/>
            </w:tcBorders>
            <w:vAlign w:val="center"/>
            <w:hideMark/>
          </w:tcPr>
          <w:p w14:paraId="04D9B45C" w14:textId="77777777" w:rsidR="008C4EA3" w:rsidRPr="00920A2D" w:rsidRDefault="008C4EA3" w:rsidP="00B6745A">
            <w:pPr>
              <w:rPr>
                <w:b/>
                <w:bCs/>
                <w:color w:val="000000"/>
                <w:sz w:val="18"/>
                <w:szCs w:val="18"/>
              </w:rPr>
            </w:pPr>
            <w:r w:rsidRPr="00920A2D">
              <w:rPr>
                <w:b/>
                <w:bCs/>
                <w:color w:val="000000"/>
                <w:sz w:val="18"/>
                <w:szCs w:val="18"/>
              </w:rPr>
              <w:t>Štrukturálne operácie - MPSVR SR</w:t>
            </w:r>
          </w:p>
        </w:tc>
        <w:tc>
          <w:tcPr>
            <w:tcW w:w="531" w:type="pct"/>
            <w:tcBorders>
              <w:top w:val="nil"/>
              <w:left w:val="nil"/>
              <w:bottom w:val="nil"/>
              <w:right w:val="nil"/>
            </w:tcBorders>
            <w:noWrap/>
            <w:vAlign w:val="center"/>
            <w:hideMark/>
          </w:tcPr>
          <w:p w14:paraId="2EE8DA75" w14:textId="77777777" w:rsidR="008C4EA3" w:rsidRPr="00920A2D" w:rsidRDefault="008C4EA3" w:rsidP="00B6745A">
            <w:pPr>
              <w:jc w:val="right"/>
              <w:rPr>
                <w:b/>
                <w:bCs/>
                <w:color w:val="000000"/>
                <w:sz w:val="18"/>
                <w:szCs w:val="18"/>
              </w:rPr>
            </w:pPr>
            <w:r w:rsidRPr="00920A2D">
              <w:rPr>
                <w:b/>
                <w:bCs/>
                <w:color w:val="000000"/>
                <w:sz w:val="18"/>
                <w:szCs w:val="18"/>
              </w:rPr>
              <w:t>7 333</w:t>
            </w:r>
          </w:p>
        </w:tc>
        <w:tc>
          <w:tcPr>
            <w:tcW w:w="531" w:type="pct"/>
            <w:tcBorders>
              <w:top w:val="nil"/>
              <w:left w:val="nil"/>
              <w:bottom w:val="nil"/>
              <w:right w:val="nil"/>
            </w:tcBorders>
            <w:noWrap/>
            <w:vAlign w:val="center"/>
            <w:hideMark/>
          </w:tcPr>
          <w:p w14:paraId="36117459" w14:textId="77777777" w:rsidR="008C4EA3" w:rsidRPr="00920A2D" w:rsidRDefault="008C4EA3" w:rsidP="00B6745A">
            <w:pPr>
              <w:jc w:val="right"/>
              <w:rPr>
                <w:b/>
                <w:bCs/>
                <w:color w:val="000000"/>
                <w:sz w:val="18"/>
                <w:szCs w:val="18"/>
              </w:rPr>
            </w:pPr>
            <w:r w:rsidRPr="00920A2D">
              <w:rPr>
                <w:b/>
                <w:bCs/>
                <w:color w:val="000000"/>
                <w:sz w:val="18"/>
                <w:szCs w:val="18"/>
              </w:rPr>
              <w:t>19 530</w:t>
            </w:r>
          </w:p>
        </w:tc>
        <w:tc>
          <w:tcPr>
            <w:tcW w:w="531" w:type="pct"/>
            <w:tcBorders>
              <w:top w:val="nil"/>
              <w:left w:val="nil"/>
              <w:bottom w:val="nil"/>
              <w:right w:val="nil"/>
            </w:tcBorders>
            <w:noWrap/>
            <w:vAlign w:val="center"/>
            <w:hideMark/>
          </w:tcPr>
          <w:p w14:paraId="56A95CDD" w14:textId="77777777" w:rsidR="008C4EA3" w:rsidRPr="00920A2D" w:rsidRDefault="008C4EA3" w:rsidP="00B6745A">
            <w:pPr>
              <w:jc w:val="right"/>
              <w:rPr>
                <w:b/>
                <w:bCs/>
                <w:color w:val="000000"/>
                <w:sz w:val="18"/>
                <w:szCs w:val="18"/>
              </w:rPr>
            </w:pPr>
            <w:r w:rsidRPr="00920A2D">
              <w:rPr>
                <w:b/>
                <w:bCs/>
                <w:color w:val="000000"/>
                <w:sz w:val="18"/>
                <w:szCs w:val="18"/>
              </w:rPr>
              <w:t>0</w:t>
            </w:r>
          </w:p>
        </w:tc>
        <w:tc>
          <w:tcPr>
            <w:tcW w:w="531" w:type="pct"/>
            <w:tcBorders>
              <w:top w:val="nil"/>
              <w:left w:val="nil"/>
              <w:bottom w:val="nil"/>
              <w:right w:val="nil"/>
            </w:tcBorders>
            <w:noWrap/>
            <w:vAlign w:val="center"/>
            <w:hideMark/>
          </w:tcPr>
          <w:p w14:paraId="3A5C5EA8" w14:textId="77777777" w:rsidR="008C4EA3" w:rsidRPr="00920A2D" w:rsidRDefault="008C4EA3" w:rsidP="00B6745A">
            <w:pPr>
              <w:jc w:val="right"/>
              <w:rPr>
                <w:b/>
                <w:bCs/>
                <w:color w:val="000000"/>
                <w:sz w:val="18"/>
                <w:szCs w:val="18"/>
              </w:rPr>
            </w:pPr>
            <w:r w:rsidRPr="00920A2D">
              <w:rPr>
                <w:b/>
                <w:bCs/>
                <w:color w:val="000000"/>
                <w:sz w:val="18"/>
                <w:szCs w:val="18"/>
              </w:rPr>
              <w:t>0</w:t>
            </w:r>
          </w:p>
        </w:tc>
        <w:tc>
          <w:tcPr>
            <w:tcW w:w="531" w:type="pct"/>
            <w:tcBorders>
              <w:top w:val="nil"/>
              <w:left w:val="nil"/>
              <w:bottom w:val="nil"/>
              <w:right w:val="nil"/>
            </w:tcBorders>
            <w:noWrap/>
            <w:vAlign w:val="center"/>
            <w:hideMark/>
          </w:tcPr>
          <w:p w14:paraId="04A81ABE" w14:textId="77777777" w:rsidR="008C4EA3" w:rsidRPr="00920A2D" w:rsidRDefault="008C4EA3" w:rsidP="00B6745A">
            <w:pPr>
              <w:jc w:val="right"/>
              <w:rPr>
                <w:b/>
                <w:bCs/>
                <w:color w:val="000000"/>
                <w:sz w:val="18"/>
                <w:szCs w:val="18"/>
              </w:rPr>
            </w:pPr>
            <w:r w:rsidRPr="00920A2D">
              <w:rPr>
                <w:b/>
                <w:bCs/>
                <w:color w:val="000000"/>
                <w:sz w:val="18"/>
                <w:szCs w:val="18"/>
              </w:rPr>
              <w:t>0</w:t>
            </w:r>
          </w:p>
        </w:tc>
        <w:tc>
          <w:tcPr>
            <w:tcW w:w="390" w:type="pct"/>
            <w:tcBorders>
              <w:top w:val="nil"/>
              <w:left w:val="nil"/>
              <w:bottom w:val="nil"/>
              <w:right w:val="nil"/>
            </w:tcBorders>
            <w:noWrap/>
            <w:vAlign w:val="center"/>
            <w:hideMark/>
          </w:tcPr>
          <w:p w14:paraId="401697FB" w14:textId="77777777" w:rsidR="008C4EA3" w:rsidRPr="00920A2D" w:rsidRDefault="008C4EA3" w:rsidP="00B6745A">
            <w:pPr>
              <w:jc w:val="right"/>
              <w:rPr>
                <w:color w:val="000000"/>
                <w:sz w:val="18"/>
                <w:szCs w:val="18"/>
              </w:rPr>
            </w:pPr>
            <w:r w:rsidRPr="00920A2D">
              <w:rPr>
                <w:color w:val="000000"/>
                <w:sz w:val="18"/>
                <w:szCs w:val="18"/>
              </w:rPr>
              <w:t>-</w:t>
            </w:r>
          </w:p>
        </w:tc>
      </w:tr>
      <w:tr w:rsidR="008C4EA3" w:rsidRPr="00920A2D" w14:paraId="43A00F99" w14:textId="77777777" w:rsidTr="008C4EA3">
        <w:trPr>
          <w:trHeight w:val="330"/>
        </w:trPr>
        <w:tc>
          <w:tcPr>
            <w:tcW w:w="1953" w:type="pct"/>
            <w:tcBorders>
              <w:top w:val="nil"/>
              <w:left w:val="nil"/>
              <w:bottom w:val="nil"/>
              <w:right w:val="nil"/>
            </w:tcBorders>
            <w:vAlign w:val="center"/>
            <w:hideMark/>
          </w:tcPr>
          <w:p w14:paraId="222D82E3" w14:textId="77777777" w:rsidR="008C4EA3" w:rsidRPr="00920A2D" w:rsidRDefault="008C4EA3" w:rsidP="00B6745A">
            <w:pPr>
              <w:rPr>
                <w:color w:val="000000"/>
                <w:sz w:val="18"/>
                <w:szCs w:val="18"/>
              </w:rPr>
            </w:pPr>
            <w:r w:rsidRPr="00920A2D">
              <w:rPr>
                <w:color w:val="000000"/>
                <w:sz w:val="18"/>
                <w:szCs w:val="18"/>
              </w:rPr>
              <w:t xml:space="preserve">Fondy pre oblasť vnútorných záležitostí </w:t>
            </w:r>
            <w:r w:rsidRPr="00920A2D">
              <w:rPr>
                <w:color w:val="000000"/>
                <w:sz w:val="18"/>
                <w:szCs w:val="18"/>
              </w:rPr>
              <w:br/>
              <w:t>4. programové obdobie</w:t>
            </w:r>
          </w:p>
        </w:tc>
        <w:tc>
          <w:tcPr>
            <w:tcW w:w="531" w:type="pct"/>
            <w:tcBorders>
              <w:top w:val="nil"/>
              <w:left w:val="nil"/>
              <w:bottom w:val="nil"/>
              <w:right w:val="nil"/>
            </w:tcBorders>
            <w:noWrap/>
            <w:vAlign w:val="center"/>
            <w:hideMark/>
          </w:tcPr>
          <w:p w14:paraId="47031276"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nil"/>
              <w:left w:val="nil"/>
              <w:bottom w:val="nil"/>
              <w:right w:val="nil"/>
            </w:tcBorders>
            <w:noWrap/>
            <w:vAlign w:val="center"/>
            <w:hideMark/>
          </w:tcPr>
          <w:p w14:paraId="5BE80418" w14:textId="77777777" w:rsidR="008C4EA3" w:rsidRPr="00920A2D" w:rsidRDefault="008C4EA3" w:rsidP="00B6745A">
            <w:pPr>
              <w:jc w:val="right"/>
              <w:rPr>
                <w:color w:val="000000"/>
                <w:sz w:val="18"/>
                <w:szCs w:val="18"/>
              </w:rPr>
            </w:pPr>
            <w:r w:rsidRPr="00920A2D">
              <w:rPr>
                <w:color w:val="000000"/>
                <w:sz w:val="18"/>
                <w:szCs w:val="18"/>
              </w:rPr>
              <w:t>0</w:t>
            </w:r>
          </w:p>
        </w:tc>
        <w:tc>
          <w:tcPr>
            <w:tcW w:w="531" w:type="pct"/>
            <w:tcBorders>
              <w:top w:val="nil"/>
              <w:left w:val="nil"/>
              <w:bottom w:val="nil"/>
              <w:right w:val="nil"/>
            </w:tcBorders>
            <w:noWrap/>
            <w:vAlign w:val="center"/>
            <w:hideMark/>
          </w:tcPr>
          <w:p w14:paraId="6EF1F4A4" w14:textId="77777777" w:rsidR="008C4EA3" w:rsidRPr="00920A2D" w:rsidRDefault="008C4EA3" w:rsidP="00B6745A">
            <w:pPr>
              <w:jc w:val="right"/>
              <w:rPr>
                <w:color w:val="000000"/>
                <w:sz w:val="18"/>
                <w:szCs w:val="18"/>
              </w:rPr>
            </w:pPr>
            <w:r w:rsidRPr="00920A2D">
              <w:rPr>
                <w:color w:val="000000"/>
                <w:sz w:val="18"/>
                <w:szCs w:val="18"/>
              </w:rPr>
              <w:t>16 391</w:t>
            </w:r>
          </w:p>
        </w:tc>
        <w:tc>
          <w:tcPr>
            <w:tcW w:w="531" w:type="pct"/>
            <w:tcBorders>
              <w:top w:val="nil"/>
              <w:left w:val="nil"/>
              <w:bottom w:val="nil"/>
              <w:right w:val="nil"/>
            </w:tcBorders>
            <w:noWrap/>
            <w:vAlign w:val="center"/>
            <w:hideMark/>
          </w:tcPr>
          <w:p w14:paraId="5343354F" w14:textId="77777777" w:rsidR="008C4EA3" w:rsidRPr="00920A2D" w:rsidRDefault="008C4EA3" w:rsidP="00B6745A">
            <w:pPr>
              <w:jc w:val="right"/>
              <w:rPr>
                <w:color w:val="000000"/>
                <w:sz w:val="18"/>
                <w:szCs w:val="18"/>
              </w:rPr>
            </w:pPr>
            <w:r w:rsidRPr="00920A2D">
              <w:rPr>
                <w:color w:val="000000"/>
                <w:sz w:val="18"/>
                <w:szCs w:val="18"/>
              </w:rPr>
              <w:t>5 780</w:t>
            </w:r>
          </w:p>
        </w:tc>
        <w:tc>
          <w:tcPr>
            <w:tcW w:w="531" w:type="pct"/>
            <w:tcBorders>
              <w:top w:val="nil"/>
              <w:left w:val="nil"/>
              <w:bottom w:val="nil"/>
              <w:right w:val="nil"/>
            </w:tcBorders>
            <w:noWrap/>
            <w:vAlign w:val="center"/>
            <w:hideMark/>
          </w:tcPr>
          <w:p w14:paraId="5460E9BF" w14:textId="77777777" w:rsidR="008C4EA3" w:rsidRPr="00920A2D" w:rsidRDefault="008C4EA3" w:rsidP="00B6745A">
            <w:pPr>
              <w:jc w:val="right"/>
              <w:rPr>
                <w:color w:val="000000"/>
                <w:sz w:val="18"/>
                <w:szCs w:val="18"/>
              </w:rPr>
            </w:pPr>
            <w:r w:rsidRPr="00920A2D">
              <w:rPr>
                <w:color w:val="000000"/>
                <w:sz w:val="18"/>
                <w:szCs w:val="18"/>
              </w:rPr>
              <w:t>-10 611</w:t>
            </w:r>
          </w:p>
        </w:tc>
        <w:tc>
          <w:tcPr>
            <w:tcW w:w="390" w:type="pct"/>
            <w:tcBorders>
              <w:top w:val="nil"/>
              <w:left w:val="nil"/>
              <w:bottom w:val="nil"/>
              <w:right w:val="nil"/>
            </w:tcBorders>
            <w:noWrap/>
            <w:vAlign w:val="center"/>
            <w:hideMark/>
          </w:tcPr>
          <w:p w14:paraId="24F41A42" w14:textId="77777777" w:rsidR="008C4EA3" w:rsidRPr="00920A2D" w:rsidRDefault="008C4EA3" w:rsidP="00B6745A">
            <w:pPr>
              <w:jc w:val="right"/>
              <w:rPr>
                <w:color w:val="000000"/>
                <w:sz w:val="18"/>
                <w:szCs w:val="18"/>
              </w:rPr>
            </w:pPr>
            <w:r w:rsidRPr="00920A2D">
              <w:rPr>
                <w:color w:val="000000"/>
                <w:sz w:val="18"/>
                <w:szCs w:val="18"/>
              </w:rPr>
              <w:t>-64,7</w:t>
            </w:r>
          </w:p>
        </w:tc>
      </w:tr>
      <w:tr w:rsidR="008C4EA3" w:rsidRPr="00920A2D" w14:paraId="6FC4D4DA" w14:textId="77777777" w:rsidTr="004C0741">
        <w:trPr>
          <w:trHeight w:val="330"/>
        </w:trPr>
        <w:tc>
          <w:tcPr>
            <w:tcW w:w="1953" w:type="pct"/>
            <w:tcBorders>
              <w:top w:val="nil"/>
              <w:left w:val="nil"/>
              <w:bottom w:val="single" w:sz="4" w:space="0" w:color="auto"/>
              <w:right w:val="nil"/>
            </w:tcBorders>
            <w:vAlign w:val="center"/>
            <w:hideMark/>
          </w:tcPr>
          <w:p w14:paraId="6E832E35" w14:textId="77777777" w:rsidR="008C4EA3" w:rsidRPr="00920A2D" w:rsidRDefault="008C4EA3" w:rsidP="00B6745A">
            <w:pPr>
              <w:rPr>
                <w:b/>
                <w:bCs/>
                <w:color w:val="000000"/>
                <w:sz w:val="18"/>
                <w:szCs w:val="18"/>
              </w:rPr>
            </w:pPr>
            <w:r w:rsidRPr="00920A2D">
              <w:rPr>
                <w:b/>
                <w:bCs/>
                <w:color w:val="000000"/>
                <w:sz w:val="18"/>
                <w:szCs w:val="18"/>
              </w:rPr>
              <w:t>Štrukturálne operácie - MV SR</w:t>
            </w:r>
          </w:p>
        </w:tc>
        <w:tc>
          <w:tcPr>
            <w:tcW w:w="531" w:type="pct"/>
            <w:tcBorders>
              <w:top w:val="nil"/>
              <w:left w:val="nil"/>
              <w:bottom w:val="single" w:sz="4" w:space="0" w:color="auto"/>
              <w:right w:val="nil"/>
            </w:tcBorders>
            <w:noWrap/>
            <w:vAlign w:val="center"/>
            <w:hideMark/>
          </w:tcPr>
          <w:p w14:paraId="399087FD" w14:textId="77777777" w:rsidR="008C4EA3" w:rsidRPr="00920A2D" w:rsidRDefault="008C4EA3" w:rsidP="00B6745A">
            <w:pPr>
              <w:jc w:val="right"/>
              <w:rPr>
                <w:b/>
                <w:bCs/>
                <w:color w:val="000000"/>
                <w:sz w:val="18"/>
                <w:szCs w:val="18"/>
              </w:rPr>
            </w:pPr>
            <w:r w:rsidRPr="00920A2D">
              <w:rPr>
                <w:b/>
                <w:bCs/>
                <w:color w:val="000000"/>
                <w:sz w:val="18"/>
                <w:szCs w:val="18"/>
              </w:rPr>
              <w:t>0</w:t>
            </w:r>
          </w:p>
        </w:tc>
        <w:tc>
          <w:tcPr>
            <w:tcW w:w="531" w:type="pct"/>
            <w:tcBorders>
              <w:top w:val="nil"/>
              <w:left w:val="nil"/>
              <w:bottom w:val="single" w:sz="4" w:space="0" w:color="auto"/>
              <w:right w:val="nil"/>
            </w:tcBorders>
            <w:noWrap/>
            <w:vAlign w:val="center"/>
            <w:hideMark/>
          </w:tcPr>
          <w:p w14:paraId="78BDBB90" w14:textId="77777777" w:rsidR="008C4EA3" w:rsidRPr="00920A2D" w:rsidRDefault="008C4EA3" w:rsidP="00B6745A">
            <w:pPr>
              <w:jc w:val="right"/>
              <w:rPr>
                <w:b/>
                <w:bCs/>
                <w:color w:val="000000"/>
                <w:sz w:val="18"/>
                <w:szCs w:val="18"/>
              </w:rPr>
            </w:pPr>
            <w:r w:rsidRPr="00920A2D">
              <w:rPr>
                <w:b/>
                <w:bCs/>
                <w:color w:val="000000"/>
                <w:sz w:val="18"/>
                <w:szCs w:val="18"/>
              </w:rPr>
              <w:t>0</w:t>
            </w:r>
          </w:p>
        </w:tc>
        <w:tc>
          <w:tcPr>
            <w:tcW w:w="531" w:type="pct"/>
            <w:tcBorders>
              <w:top w:val="nil"/>
              <w:left w:val="nil"/>
              <w:bottom w:val="single" w:sz="4" w:space="0" w:color="auto"/>
              <w:right w:val="nil"/>
            </w:tcBorders>
            <w:noWrap/>
            <w:vAlign w:val="center"/>
            <w:hideMark/>
          </w:tcPr>
          <w:p w14:paraId="21D18E88" w14:textId="77777777" w:rsidR="008C4EA3" w:rsidRPr="00920A2D" w:rsidRDefault="008C4EA3" w:rsidP="00B6745A">
            <w:pPr>
              <w:jc w:val="right"/>
              <w:rPr>
                <w:b/>
                <w:bCs/>
                <w:color w:val="000000"/>
                <w:sz w:val="18"/>
                <w:szCs w:val="18"/>
              </w:rPr>
            </w:pPr>
            <w:r w:rsidRPr="00920A2D">
              <w:rPr>
                <w:b/>
                <w:bCs/>
                <w:color w:val="000000"/>
                <w:sz w:val="18"/>
                <w:szCs w:val="18"/>
              </w:rPr>
              <w:t>16 391</w:t>
            </w:r>
          </w:p>
        </w:tc>
        <w:tc>
          <w:tcPr>
            <w:tcW w:w="531" w:type="pct"/>
            <w:tcBorders>
              <w:top w:val="nil"/>
              <w:left w:val="nil"/>
              <w:bottom w:val="single" w:sz="4" w:space="0" w:color="auto"/>
              <w:right w:val="nil"/>
            </w:tcBorders>
            <w:noWrap/>
            <w:vAlign w:val="center"/>
            <w:hideMark/>
          </w:tcPr>
          <w:p w14:paraId="7F55BDC3" w14:textId="77777777" w:rsidR="008C4EA3" w:rsidRPr="00920A2D" w:rsidRDefault="008C4EA3" w:rsidP="00B6745A">
            <w:pPr>
              <w:jc w:val="right"/>
              <w:rPr>
                <w:b/>
                <w:bCs/>
                <w:color w:val="000000"/>
                <w:sz w:val="18"/>
                <w:szCs w:val="18"/>
              </w:rPr>
            </w:pPr>
            <w:r w:rsidRPr="00920A2D">
              <w:rPr>
                <w:b/>
                <w:bCs/>
                <w:color w:val="000000"/>
                <w:sz w:val="18"/>
                <w:szCs w:val="18"/>
              </w:rPr>
              <w:t>5 780</w:t>
            </w:r>
          </w:p>
        </w:tc>
        <w:tc>
          <w:tcPr>
            <w:tcW w:w="531" w:type="pct"/>
            <w:tcBorders>
              <w:top w:val="nil"/>
              <w:left w:val="nil"/>
              <w:bottom w:val="single" w:sz="4" w:space="0" w:color="auto"/>
              <w:right w:val="nil"/>
            </w:tcBorders>
            <w:noWrap/>
            <w:vAlign w:val="center"/>
            <w:hideMark/>
          </w:tcPr>
          <w:p w14:paraId="175DD130" w14:textId="77777777" w:rsidR="008C4EA3" w:rsidRPr="00920A2D" w:rsidRDefault="008C4EA3" w:rsidP="00B6745A">
            <w:pPr>
              <w:jc w:val="right"/>
              <w:rPr>
                <w:b/>
                <w:bCs/>
                <w:color w:val="000000"/>
                <w:sz w:val="18"/>
                <w:szCs w:val="18"/>
              </w:rPr>
            </w:pPr>
            <w:r w:rsidRPr="00920A2D">
              <w:rPr>
                <w:b/>
                <w:bCs/>
                <w:color w:val="000000"/>
                <w:sz w:val="18"/>
                <w:szCs w:val="18"/>
              </w:rPr>
              <w:t>-10 611</w:t>
            </w:r>
          </w:p>
        </w:tc>
        <w:tc>
          <w:tcPr>
            <w:tcW w:w="390" w:type="pct"/>
            <w:tcBorders>
              <w:top w:val="nil"/>
              <w:left w:val="nil"/>
              <w:bottom w:val="single" w:sz="4" w:space="0" w:color="auto"/>
              <w:right w:val="nil"/>
            </w:tcBorders>
            <w:noWrap/>
            <w:vAlign w:val="center"/>
            <w:hideMark/>
          </w:tcPr>
          <w:p w14:paraId="052ECEEC" w14:textId="77777777" w:rsidR="008C4EA3" w:rsidRPr="00920A2D" w:rsidRDefault="008C4EA3" w:rsidP="00B6745A">
            <w:pPr>
              <w:jc w:val="right"/>
              <w:rPr>
                <w:b/>
                <w:bCs/>
                <w:color w:val="000000"/>
                <w:sz w:val="18"/>
                <w:szCs w:val="18"/>
              </w:rPr>
            </w:pPr>
            <w:r w:rsidRPr="00920A2D">
              <w:rPr>
                <w:b/>
                <w:bCs/>
                <w:color w:val="000000"/>
                <w:sz w:val="18"/>
                <w:szCs w:val="18"/>
              </w:rPr>
              <w:t>-64,7</w:t>
            </w:r>
          </w:p>
        </w:tc>
      </w:tr>
      <w:tr w:rsidR="008C4EA3" w:rsidRPr="00920A2D" w14:paraId="40F28B38" w14:textId="77777777" w:rsidTr="004C0741">
        <w:trPr>
          <w:trHeight w:val="480"/>
        </w:trPr>
        <w:tc>
          <w:tcPr>
            <w:tcW w:w="1953" w:type="pct"/>
            <w:tcBorders>
              <w:top w:val="single" w:sz="4" w:space="0" w:color="auto"/>
              <w:left w:val="nil"/>
              <w:bottom w:val="single" w:sz="4" w:space="0" w:color="auto"/>
              <w:right w:val="nil"/>
            </w:tcBorders>
            <w:vAlign w:val="center"/>
            <w:hideMark/>
          </w:tcPr>
          <w:p w14:paraId="6D2693F9" w14:textId="77777777" w:rsidR="008C4EA3" w:rsidRPr="00920A2D" w:rsidRDefault="008C4EA3" w:rsidP="00B6745A">
            <w:pPr>
              <w:rPr>
                <w:b/>
                <w:bCs/>
                <w:color w:val="000000"/>
                <w:sz w:val="18"/>
                <w:szCs w:val="18"/>
              </w:rPr>
            </w:pPr>
            <w:r w:rsidRPr="00920A2D">
              <w:rPr>
                <w:b/>
                <w:bCs/>
                <w:color w:val="000000"/>
                <w:sz w:val="18"/>
                <w:szCs w:val="18"/>
              </w:rPr>
              <w:t>Spolu príjmy za prostriedky EÚ</w:t>
            </w:r>
          </w:p>
        </w:tc>
        <w:tc>
          <w:tcPr>
            <w:tcW w:w="531" w:type="pct"/>
            <w:tcBorders>
              <w:top w:val="single" w:sz="4" w:space="0" w:color="auto"/>
              <w:left w:val="nil"/>
              <w:bottom w:val="single" w:sz="4" w:space="0" w:color="auto"/>
              <w:right w:val="nil"/>
            </w:tcBorders>
            <w:noWrap/>
            <w:vAlign w:val="center"/>
            <w:hideMark/>
          </w:tcPr>
          <w:p w14:paraId="7C079D22" w14:textId="77777777" w:rsidR="008C4EA3" w:rsidRPr="00920A2D" w:rsidRDefault="008C4EA3" w:rsidP="00B6745A">
            <w:pPr>
              <w:jc w:val="right"/>
              <w:rPr>
                <w:b/>
                <w:bCs/>
                <w:color w:val="000000"/>
                <w:sz w:val="18"/>
                <w:szCs w:val="18"/>
              </w:rPr>
            </w:pPr>
            <w:r w:rsidRPr="00920A2D">
              <w:rPr>
                <w:b/>
                <w:bCs/>
                <w:color w:val="000000"/>
                <w:sz w:val="18"/>
                <w:szCs w:val="18"/>
              </w:rPr>
              <w:t>4 141 996</w:t>
            </w:r>
          </w:p>
        </w:tc>
        <w:tc>
          <w:tcPr>
            <w:tcW w:w="531" w:type="pct"/>
            <w:tcBorders>
              <w:top w:val="single" w:sz="4" w:space="0" w:color="auto"/>
              <w:left w:val="nil"/>
              <w:bottom w:val="single" w:sz="4" w:space="0" w:color="auto"/>
              <w:right w:val="nil"/>
            </w:tcBorders>
            <w:noWrap/>
            <w:vAlign w:val="center"/>
            <w:hideMark/>
          </w:tcPr>
          <w:p w14:paraId="4B240DEC" w14:textId="77777777" w:rsidR="008C4EA3" w:rsidRPr="00920A2D" w:rsidRDefault="008C4EA3" w:rsidP="00B6745A">
            <w:pPr>
              <w:jc w:val="right"/>
              <w:rPr>
                <w:b/>
                <w:bCs/>
                <w:color w:val="000000"/>
                <w:sz w:val="18"/>
                <w:szCs w:val="18"/>
              </w:rPr>
            </w:pPr>
            <w:r w:rsidRPr="00920A2D">
              <w:rPr>
                <w:b/>
                <w:bCs/>
                <w:color w:val="000000"/>
                <w:sz w:val="18"/>
                <w:szCs w:val="18"/>
              </w:rPr>
              <w:t>3 225 491</w:t>
            </w:r>
          </w:p>
        </w:tc>
        <w:tc>
          <w:tcPr>
            <w:tcW w:w="531" w:type="pct"/>
            <w:tcBorders>
              <w:top w:val="single" w:sz="4" w:space="0" w:color="auto"/>
              <w:left w:val="nil"/>
              <w:bottom w:val="single" w:sz="4" w:space="0" w:color="auto"/>
              <w:right w:val="nil"/>
            </w:tcBorders>
            <w:noWrap/>
            <w:vAlign w:val="center"/>
            <w:hideMark/>
          </w:tcPr>
          <w:p w14:paraId="4136F837" w14:textId="77777777" w:rsidR="008C4EA3" w:rsidRPr="00920A2D" w:rsidRDefault="008C4EA3" w:rsidP="00B6745A">
            <w:pPr>
              <w:jc w:val="right"/>
              <w:rPr>
                <w:b/>
                <w:bCs/>
                <w:color w:val="000000"/>
                <w:sz w:val="18"/>
                <w:szCs w:val="18"/>
              </w:rPr>
            </w:pPr>
            <w:r w:rsidRPr="00920A2D">
              <w:rPr>
                <w:b/>
                <w:bCs/>
                <w:color w:val="000000"/>
                <w:sz w:val="18"/>
                <w:szCs w:val="18"/>
              </w:rPr>
              <w:t>2 142 252</w:t>
            </w:r>
          </w:p>
        </w:tc>
        <w:tc>
          <w:tcPr>
            <w:tcW w:w="531" w:type="pct"/>
            <w:tcBorders>
              <w:top w:val="single" w:sz="4" w:space="0" w:color="auto"/>
              <w:left w:val="nil"/>
              <w:bottom w:val="single" w:sz="4" w:space="0" w:color="auto"/>
              <w:right w:val="nil"/>
            </w:tcBorders>
            <w:noWrap/>
            <w:vAlign w:val="center"/>
            <w:hideMark/>
          </w:tcPr>
          <w:p w14:paraId="74DD3BE1" w14:textId="77777777" w:rsidR="008C4EA3" w:rsidRPr="00920A2D" w:rsidRDefault="008C4EA3" w:rsidP="00B6745A">
            <w:pPr>
              <w:jc w:val="right"/>
              <w:rPr>
                <w:b/>
                <w:bCs/>
                <w:color w:val="000000"/>
                <w:sz w:val="18"/>
                <w:szCs w:val="18"/>
              </w:rPr>
            </w:pPr>
            <w:r w:rsidRPr="00920A2D">
              <w:rPr>
                <w:b/>
                <w:bCs/>
                <w:color w:val="000000"/>
                <w:sz w:val="18"/>
                <w:szCs w:val="18"/>
              </w:rPr>
              <w:t>2 407 529</w:t>
            </w:r>
          </w:p>
        </w:tc>
        <w:tc>
          <w:tcPr>
            <w:tcW w:w="531" w:type="pct"/>
            <w:tcBorders>
              <w:top w:val="single" w:sz="4" w:space="0" w:color="auto"/>
              <w:left w:val="nil"/>
              <w:bottom w:val="single" w:sz="4" w:space="0" w:color="auto"/>
              <w:right w:val="nil"/>
            </w:tcBorders>
            <w:noWrap/>
            <w:vAlign w:val="center"/>
            <w:hideMark/>
          </w:tcPr>
          <w:p w14:paraId="664F2823" w14:textId="77777777" w:rsidR="008C4EA3" w:rsidRPr="00920A2D" w:rsidRDefault="008C4EA3" w:rsidP="00B6745A">
            <w:pPr>
              <w:jc w:val="right"/>
              <w:rPr>
                <w:b/>
                <w:bCs/>
                <w:color w:val="000000"/>
                <w:sz w:val="18"/>
                <w:szCs w:val="18"/>
              </w:rPr>
            </w:pPr>
            <w:r w:rsidRPr="00920A2D">
              <w:rPr>
                <w:b/>
                <w:bCs/>
                <w:color w:val="000000"/>
                <w:sz w:val="18"/>
                <w:szCs w:val="18"/>
              </w:rPr>
              <w:t>265 277</w:t>
            </w:r>
          </w:p>
        </w:tc>
        <w:tc>
          <w:tcPr>
            <w:tcW w:w="390" w:type="pct"/>
            <w:tcBorders>
              <w:top w:val="single" w:sz="4" w:space="0" w:color="auto"/>
              <w:left w:val="nil"/>
              <w:bottom w:val="single" w:sz="4" w:space="0" w:color="auto"/>
              <w:right w:val="nil"/>
            </w:tcBorders>
            <w:noWrap/>
            <w:vAlign w:val="center"/>
            <w:hideMark/>
          </w:tcPr>
          <w:p w14:paraId="05C3BB3B" w14:textId="77777777" w:rsidR="008C4EA3" w:rsidRPr="00920A2D" w:rsidRDefault="008C4EA3" w:rsidP="00B6745A">
            <w:pPr>
              <w:jc w:val="right"/>
              <w:rPr>
                <w:b/>
                <w:bCs/>
                <w:color w:val="000000"/>
                <w:sz w:val="18"/>
                <w:szCs w:val="18"/>
              </w:rPr>
            </w:pPr>
            <w:r w:rsidRPr="00920A2D">
              <w:rPr>
                <w:b/>
                <w:bCs/>
                <w:color w:val="000000"/>
                <w:sz w:val="18"/>
                <w:szCs w:val="18"/>
              </w:rPr>
              <w:t>12,4</w:t>
            </w:r>
          </w:p>
        </w:tc>
      </w:tr>
    </w:tbl>
    <w:p w14:paraId="1CDC187D" w14:textId="5838B59B" w:rsidR="004D69BF" w:rsidRPr="004C0741" w:rsidRDefault="009A6D81" w:rsidP="009A6D81">
      <w:pPr>
        <w:tabs>
          <w:tab w:val="right" w:pos="9070"/>
        </w:tabs>
        <w:spacing w:line="240" w:lineRule="auto"/>
        <w:jc w:val="both"/>
        <w:rPr>
          <w:sz w:val="18"/>
          <w:szCs w:val="18"/>
        </w:rPr>
      </w:pPr>
      <w:r w:rsidRPr="004C0741">
        <w:rPr>
          <w:sz w:val="18"/>
          <w:szCs w:val="18"/>
        </w:rPr>
        <w:tab/>
      </w:r>
      <w:r w:rsidR="004D69BF" w:rsidRPr="004C0741">
        <w:rPr>
          <w:sz w:val="18"/>
          <w:szCs w:val="18"/>
        </w:rPr>
        <w:t>Zdroj: MF SR</w:t>
      </w:r>
    </w:p>
    <w:p w14:paraId="12D69695" w14:textId="77777777" w:rsidR="00D46A5E" w:rsidRDefault="00D46A5E" w:rsidP="00532D85">
      <w:pPr>
        <w:spacing w:line="240" w:lineRule="auto"/>
        <w:jc w:val="both"/>
        <w:rPr>
          <w:szCs w:val="24"/>
        </w:rPr>
      </w:pPr>
    </w:p>
    <w:p w14:paraId="30200990" w14:textId="0B816314" w:rsidR="00A266D0" w:rsidRDefault="00A266D0" w:rsidP="00A266D0">
      <w:pPr>
        <w:spacing w:line="240" w:lineRule="auto"/>
        <w:jc w:val="both"/>
        <w:rPr>
          <w:szCs w:val="24"/>
        </w:rPr>
      </w:pPr>
      <w:r w:rsidRPr="00A266D0">
        <w:rPr>
          <w:b/>
          <w:szCs w:val="24"/>
        </w:rPr>
        <w:t xml:space="preserve">Prostriedky za štrukturálne operácie – MF SR </w:t>
      </w:r>
      <w:r w:rsidRPr="00A266D0">
        <w:rPr>
          <w:szCs w:val="24"/>
        </w:rPr>
        <w:t>už neboli rozpočtované za 3.</w:t>
      </w:r>
      <w:r>
        <w:rPr>
          <w:szCs w:val="24"/>
        </w:rPr>
        <w:t> </w:t>
      </w:r>
      <w:r w:rsidRPr="00A266D0">
        <w:rPr>
          <w:szCs w:val="24"/>
        </w:rPr>
        <w:t>programové obdobie 2014-2020 v dôsledku ukončenia obdobia oprávnenosti k 31.12.2023, avšak preplatenie realizovaných výdavkov z úrovne platobnej jednotky prijímateľom pokračovalo aj v roku 2025, a to výlučne už len v prípade výdavkov za dodatočný príspevok, ktorý bol schválený v rámci fázovaných projektov z programového obdobia 2014-2020 do</w:t>
      </w:r>
      <w:r>
        <w:rPr>
          <w:szCs w:val="24"/>
        </w:rPr>
        <w:t> </w:t>
      </w:r>
      <w:r w:rsidRPr="00A266D0">
        <w:rPr>
          <w:szCs w:val="24"/>
        </w:rPr>
        <w:t>programového obdobia 2021-2027. Rozpočet príjmov bol upravený o nepoužité prostriedky z predchádzajúcich rokov v zmysle §</w:t>
      </w:r>
      <w:r>
        <w:rPr>
          <w:szCs w:val="24"/>
        </w:rPr>
        <w:t> </w:t>
      </w:r>
      <w:r w:rsidRPr="00A266D0">
        <w:rPr>
          <w:szCs w:val="24"/>
        </w:rPr>
        <w:t>8 zákona o rozpočtových pravidlách na</w:t>
      </w:r>
      <w:r>
        <w:rPr>
          <w:szCs w:val="24"/>
        </w:rPr>
        <w:t> </w:t>
      </w:r>
      <w:r w:rsidRPr="00A266D0">
        <w:rPr>
          <w:szCs w:val="24"/>
        </w:rPr>
        <w:t xml:space="preserve">úroveň </w:t>
      </w:r>
      <w:r w:rsidRPr="00A266D0">
        <w:rPr>
          <w:i/>
          <w:iCs/>
          <w:szCs w:val="24"/>
        </w:rPr>
        <w:t>259</w:t>
      </w:r>
      <w:r>
        <w:rPr>
          <w:i/>
          <w:iCs/>
          <w:szCs w:val="24"/>
        </w:rPr>
        <w:t> </w:t>
      </w:r>
      <w:r w:rsidRPr="00A266D0">
        <w:rPr>
          <w:i/>
          <w:iCs/>
          <w:szCs w:val="24"/>
        </w:rPr>
        <w:t>399</w:t>
      </w:r>
      <w:r>
        <w:rPr>
          <w:i/>
          <w:iCs/>
          <w:szCs w:val="24"/>
        </w:rPr>
        <w:t> </w:t>
      </w:r>
      <w:r w:rsidRPr="00A266D0">
        <w:rPr>
          <w:i/>
          <w:iCs/>
          <w:szCs w:val="24"/>
        </w:rPr>
        <w:t>tis.</w:t>
      </w:r>
      <w:r>
        <w:rPr>
          <w:i/>
          <w:iCs/>
          <w:szCs w:val="24"/>
        </w:rPr>
        <w:t> </w:t>
      </w:r>
      <w:r w:rsidRPr="00A266D0">
        <w:rPr>
          <w:i/>
          <w:iCs/>
          <w:szCs w:val="24"/>
        </w:rPr>
        <w:t>eur</w:t>
      </w:r>
      <w:r w:rsidRPr="00A266D0">
        <w:rPr>
          <w:szCs w:val="24"/>
        </w:rPr>
        <w:t xml:space="preserve">. Príjmy boli naplnené v roku 2025 vo výške </w:t>
      </w:r>
      <w:r w:rsidRPr="00A266D0">
        <w:rPr>
          <w:i/>
          <w:iCs/>
          <w:szCs w:val="24"/>
        </w:rPr>
        <w:t>117</w:t>
      </w:r>
      <w:r>
        <w:rPr>
          <w:i/>
          <w:iCs/>
          <w:szCs w:val="24"/>
        </w:rPr>
        <w:t> </w:t>
      </w:r>
      <w:r w:rsidRPr="00A266D0">
        <w:rPr>
          <w:i/>
          <w:iCs/>
          <w:szCs w:val="24"/>
        </w:rPr>
        <w:t>913</w:t>
      </w:r>
      <w:r>
        <w:rPr>
          <w:i/>
          <w:iCs/>
          <w:szCs w:val="24"/>
        </w:rPr>
        <w:t> </w:t>
      </w:r>
      <w:r w:rsidRPr="00A266D0">
        <w:rPr>
          <w:i/>
          <w:iCs/>
          <w:szCs w:val="24"/>
        </w:rPr>
        <w:t>tis.</w:t>
      </w:r>
      <w:r>
        <w:rPr>
          <w:i/>
          <w:iCs/>
          <w:szCs w:val="24"/>
        </w:rPr>
        <w:t> </w:t>
      </w:r>
      <w:r w:rsidRPr="00A266D0">
        <w:rPr>
          <w:i/>
          <w:iCs/>
          <w:szCs w:val="24"/>
        </w:rPr>
        <w:t>eur,</w:t>
      </w:r>
      <w:r w:rsidRPr="00A266D0">
        <w:rPr>
          <w:szCs w:val="24"/>
        </w:rPr>
        <w:t xml:space="preserve"> z toho za</w:t>
      </w:r>
      <w:r>
        <w:rPr>
          <w:szCs w:val="24"/>
        </w:rPr>
        <w:t> </w:t>
      </w:r>
      <w:r w:rsidRPr="00A266D0">
        <w:rPr>
          <w:szCs w:val="24"/>
        </w:rPr>
        <w:t>Operačný program Dodatočný príspevok vo výške 1</w:t>
      </w:r>
      <w:r>
        <w:rPr>
          <w:szCs w:val="24"/>
        </w:rPr>
        <w:t> </w:t>
      </w:r>
      <w:r w:rsidRPr="00A266D0">
        <w:rPr>
          <w:szCs w:val="24"/>
        </w:rPr>
        <w:t>588</w:t>
      </w:r>
      <w:r>
        <w:rPr>
          <w:szCs w:val="24"/>
        </w:rPr>
        <w:t> </w:t>
      </w:r>
      <w:r w:rsidRPr="00A266D0">
        <w:rPr>
          <w:szCs w:val="24"/>
        </w:rPr>
        <w:t>tis.</w:t>
      </w:r>
      <w:r>
        <w:rPr>
          <w:szCs w:val="24"/>
        </w:rPr>
        <w:t> </w:t>
      </w:r>
      <w:r w:rsidRPr="00A266D0">
        <w:rPr>
          <w:szCs w:val="24"/>
        </w:rPr>
        <w:t>eur, za</w:t>
      </w:r>
      <w:r>
        <w:rPr>
          <w:szCs w:val="24"/>
        </w:rPr>
        <w:t> </w:t>
      </w:r>
      <w:r w:rsidRPr="00A266D0">
        <w:rPr>
          <w:szCs w:val="24"/>
        </w:rPr>
        <w:t>Operačný program Integrovaná infraštruktúra vo výške 114</w:t>
      </w:r>
      <w:r>
        <w:rPr>
          <w:szCs w:val="24"/>
        </w:rPr>
        <w:t> </w:t>
      </w:r>
      <w:r w:rsidRPr="00A266D0">
        <w:rPr>
          <w:szCs w:val="24"/>
        </w:rPr>
        <w:t>969</w:t>
      </w:r>
      <w:r>
        <w:rPr>
          <w:szCs w:val="24"/>
        </w:rPr>
        <w:t> </w:t>
      </w:r>
      <w:r w:rsidRPr="00A266D0">
        <w:rPr>
          <w:szCs w:val="24"/>
        </w:rPr>
        <w:t>tis.</w:t>
      </w:r>
      <w:r>
        <w:rPr>
          <w:szCs w:val="24"/>
        </w:rPr>
        <w:t> </w:t>
      </w:r>
      <w:r w:rsidRPr="00A266D0">
        <w:rPr>
          <w:szCs w:val="24"/>
        </w:rPr>
        <w:t>eur a za Operačný program Technická pomoc vo výške 1</w:t>
      </w:r>
      <w:r>
        <w:rPr>
          <w:szCs w:val="24"/>
        </w:rPr>
        <w:t> </w:t>
      </w:r>
      <w:r w:rsidRPr="00A266D0">
        <w:rPr>
          <w:szCs w:val="24"/>
        </w:rPr>
        <w:t>356</w:t>
      </w:r>
      <w:r>
        <w:rPr>
          <w:szCs w:val="24"/>
        </w:rPr>
        <w:t> </w:t>
      </w:r>
      <w:r w:rsidRPr="00A266D0">
        <w:rPr>
          <w:szCs w:val="24"/>
        </w:rPr>
        <w:t>tis.</w:t>
      </w:r>
      <w:r>
        <w:rPr>
          <w:szCs w:val="24"/>
        </w:rPr>
        <w:t> </w:t>
      </w:r>
      <w:r w:rsidRPr="00A266D0">
        <w:rPr>
          <w:szCs w:val="24"/>
        </w:rPr>
        <w:t>eur a budú napĺňané v nadväznosti na ukončenie programu z úrovne EK a prijatie záverečnej platby aj v nasledujúcich rokoch. Zvyšné prostriedky už neboli zaviazané z dôvodu pominutia účelu použitia prostriedkov.</w:t>
      </w:r>
    </w:p>
    <w:p w14:paraId="2F55B6F0" w14:textId="77777777" w:rsidR="00A266D0" w:rsidRPr="00A266D0" w:rsidRDefault="00A266D0" w:rsidP="00A266D0">
      <w:pPr>
        <w:spacing w:line="240" w:lineRule="auto"/>
        <w:jc w:val="both"/>
        <w:rPr>
          <w:szCs w:val="24"/>
        </w:rPr>
      </w:pPr>
    </w:p>
    <w:p w14:paraId="581BA98F" w14:textId="4FA796A6" w:rsidR="00A266D0" w:rsidRDefault="00A266D0" w:rsidP="00A266D0">
      <w:pPr>
        <w:spacing w:line="240" w:lineRule="auto"/>
        <w:jc w:val="both"/>
        <w:rPr>
          <w:szCs w:val="24"/>
        </w:rPr>
      </w:pPr>
      <w:r w:rsidRPr="00A266D0">
        <w:rPr>
          <w:szCs w:val="24"/>
        </w:rPr>
        <w:t>V roku 2025 boli rozpočtované prostriedky za 4.</w:t>
      </w:r>
      <w:r>
        <w:rPr>
          <w:szCs w:val="24"/>
        </w:rPr>
        <w:t> </w:t>
      </w:r>
      <w:r w:rsidRPr="00A266D0">
        <w:rPr>
          <w:szCs w:val="24"/>
        </w:rPr>
        <w:t>programové obdobie 2021-2027 za</w:t>
      </w:r>
      <w:r>
        <w:rPr>
          <w:szCs w:val="24"/>
        </w:rPr>
        <w:t> </w:t>
      </w:r>
      <w:r w:rsidRPr="00A266D0">
        <w:rPr>
          <w:szCs w:val="24"/>
          <w:u w:val="single"/>
        </w:rPr>
        <w:t>štrukturálne operácie MF SR</w:t>
      </w:r>
      <w:r w:rsidRPr="00A266D0">
        <w:rPr>
          <w:szCs w:val="24"/>
        </w:rPr>
        <w:t xml:space="preserve"> vo výške </w:t>
      </w:r>
      <w:r w:rsidRPr="00A266D0">
        <w:rPr>
          <w:i/>
          <w:iCs/>
          <w:szCs w:val="24"/>
        </w:rPr>
        <w:t>1</w:t>
      </w:r>
      <w:r>
        <w:rPr>
          <w:i/>
          <w:iCs/>
          <w:szCs w:val="24"/>
        </w:rPr>
        <w:t> </w:t>
      </w:r>
      <w:r w:rsidRPr="00A266D0">
        <w:rPr>
          <w:i/>
          <w:iCs/>
          <w:szCs w:val="24"/>
        </w:rPr>
        <w:t>546</w:t>
      </w:r>
      <w:r>
        <w:rPr>
          <w:i/>
          <w:iCs/>
          <w:szCs w:val="24"/>
        </w:rPr>
        <w:t> </w:t>
      </w:r>
      <w:r w:rsidRPr="00A266D0">
        <w:rPr>
          <w:i/>
          <w:iCs/>
          <w:szCs w:val="24"/>
        </w:rPr>
        <w:t>950</w:t>
      </w:r>
      <w:r>
        <w:rPr>
          <w:i/>
          <w:iCs/>
          <w:szCs w:val="24"/>
        </w:rPr>
        <w:t> </w:t>
      </w:r>
      <w:r w:rsidRPr="00A266D0">
        <w:rPr>
          <w:i/>
          <w:iCs/>
          <w:szCs w:val="24"/>
        </w:rPr>
        <w:t>tis.</w:t>
      </w:r>
      <w:r>
        <w:rPr>
          <w:i/>
          <w:iCs/>
          <w:szCs w:val="24"/>
        </w:rPr>
        <w:t> </w:t>
      </w:r>
      <w:r w:rsidRPr="00A266D0">
        <w:rPr>
          <w:i/>
          <w:iCs/>
          <w:szCs w:val="24"/>
        </w:rPr>
        <w:t>eur</w:t>
      </w:r>
      <w:r w:rsidRPr="00A266D0">
        <w:rPr>
          <w:szCs w:val="24"/>
        </w:rPr>
        <w:t>, z toho za</w:t>
      </w:r>
      <w:r>
        <w:rPr>
          <w:szCs w:val="24"/>
        </w:rPr>
        <w:t> </w:t>
      </w:r>
      <w:r w:rsidRPr="00A266D0">
        <w:rPr>
          <w:szCs w:val="24"/>
        </w:rPr>
        <w:t>Program Slovensko vo</w:t>
      </w:r>
      <w:r>
        <w:rPr>
          <w:szCs w:val="24"/>
        </w:rPr>
        <w:t> </w:t>
      </w:r>
      <w:r w:rsidRPr="00A266D0">
        <w:rPr>
          <w:szCs w:val="24"/>
        </w:rPr>
        <w:t>výške 1 530</w:t>
      </w:r>
      <w:r>
        <w:rPr>
          <w:szCs w:val="24"/>
        </w:rPr>
        <w:t> </w:t>
      </w:r>
      <w:r w:rsidRPr="00A266D0">
        <w:rPr>
          <w:szCs w:val="24"/>
        </w:rPr>
        <w:t>065</w:t>
      </w:r>
      <w:r>
        <w:rPr>
          <w:szCs w:val="24"/>
        </w:rPr>
        <w:t> </w:t>
      </w:r>
      <w:r w:rsidRPr="00A266D0">
        <w:rPr>
          <w:szCs w:val="24"/>
        </w:rPr>
        <w:t>tis.</w:t>
      </w:r>
      <w:r>
        <w:rPr>
          <w:szCs w:val="24"/>
        </w:rPr>
        <w:t> </w:t>
      </w:r>
      <w:r w:rsidRPr="00A266D0">
        <w:rPr>
          <w:szCs w:val="24"/>
        </w:rPr>
        <w:t xml:space="preserve">eur, za Program Rybné hospodárstvo vo výške </w:t>
      </w:r>
      <w:r w:rsidRPr="00A266D0">
        <w:rPr>
          <w:i/>
          <w:iCs/>
          <w:szCs w:val="24"/>
        </w:rPr>
        <w:t>4</w:t>
      </w:r>
      <w:r>
        <w:rPr>
          <w:i/>
          <w:iCs/>
          <w:szCs w:val="24"/>
        </w:rPr>
        <w:t> </w:t>
      </w:r>
      <w:r w:rsidRPr="00A266D0">
        <w:rPr>
          <w:i/>
          <w:iCs/>
          <w:szCs w:val="24"/>
        </w:rPr>
        <w:t>863</w:t>
      </w:r>
      <w:r>
        <w:rPr>
          <w:i/>
          <w:iCs/>
          <w:szCs w:val="24"/>
        </w:rPr>
        <w:t> </w:t>
      </w:r>
      <w:r w:rsidRPr="00A266D0">
        <w:rPr>
          <w:i/>
          <w:iCs/>
          <w:szCs w:val="24"/>
        </w:rPr>
        <w:t>tis.</w:t>
      </w:r>
      <w:r>
        <w:rPr>
          <w:i/>
          <w:iCs/>
          <w:szCs w:val="24"/>
        </w:rPr>
        <w:t> </w:t>
      </w:r>
      <w:r w:rsidRPr="00A266D0">
        <w:rPr>
          <w:i/>
          <w:iCs/>
          <w:szCs w:val="24"/>
        </w:rPr>
        <w:t>eur</w:t>
      </w:r>
      <w:r w:rsidRPr="00A266D0">
        <w:rPr>
          <w:szCs w:val="24"/>
        </w:rPr>
        <w:t xml:space="preserve"> a</w:t>
      </w:r>
      <w:r>
        <w:rPr>
          <w:szCs w:val="24"/>
        </w:rPr>
        <w:t> </w:t>
      </w:r>
      <w:r w:rsidRPr="00A266D0">
        <w:rPr>
          <w:szCs w:val="24"/>
        </w:rPr>
        <w:t>za</w:t>
      </w:r>
      <w:r>
        <w:rPr>
          <w:szCs w:val="24"/>
        </w:rPr>
        <w:t> </w:t>
      </w:r>
      <w:r w:rsidRPr="00A266D0">
        <w:rPr>
          <w:szCs w:val="24"/>
        </w:rPr>
        <w:t xml:space="preserve">programy európskej územnej spolupráce, pre ktoré je MF SR platobným orgánom (Interreg VI-A SK-AT 2021-2027, Interreg VI-A SK-CZ 2021-2027) vo výške </w:t>
      </w:r>
      <w:r w:rsidRPr="00A266D0">
        <w:rPr>
          <w:i/>
          <w:iCs/>
          <w:szCs w:val="24"/>
        </w:rPr>
        <w:t>12</w:t>
      </w:r>
      <w:r>
        <w:rPr>
          <w:i/>
          <w:iCs/>
          <w:szCs w:val="24"/>
        </w:rPr>
        <w:t> </w:t>
      </w:r>
      <w:r w:rsidRPr="00A266D0">
        <w:rPr>
          <w:i/>
          <w:iCs/>
          <w:szCs w:val="24"/>
        </w:rPr>
        <w:t>022</w:t>
      </w:r>
      <w:r>
        <w:rPr>
          <w:i/>
          <w:iCs/>
          <w:szCs w:val="24"/>
        </w:rPr>
        <w:t> </w:t>
      </w:r>
      <w:r w:rsidRPr="00A266D0">
        <w:rPr>
          <w:i/>
          <w:iCs/>
          <w:szCs w:val="24"/>
        </w:rPr>
        <w:t>tis.</w:t>
      </w:r>
      <w:r>
        <w:rPr>
          <w:i/>
          <w:iCs/>
          <w:szCs w:val="24"/>
        </w:rPr>
        <w:t> </w:t>
      </w:r>
      <w:r w:rsidRPr="00A266D0">
        <w:rPr>
          <w:i/>
          <w:iCs/>
          <w:szCs w:val="24"/>
        </w:rPr>
        <w:t>eur</w:t>
      </w:r>
      <w:r w:rsidRPr="00A266D0">
        <w:rPr>
          <w:szCs w:val="24"/>
        </w:rPr>
        <w:t xml:space="preserve">. Rozpočet bol upravený na úroveň </w:t>
      </w:r>
      <w:r w:rsidRPr="00A266D0">
        <w:rPr>
          <w:i/>
          <w:iCs/>
          <w:szCs w:val="24"/>
        </w:rPr>
        <w:t>1 245</w:t>
      </w:r>
      <w:r>
        <w:rPr>
          <w:i/>
          <w:iCs/>
          <w:szCs w:val="24"/>
        </w:rPr>
        <w:t> </w:t>
      </w:r>
      <w:r w:rsidRPr="00A266D0">
        <w:rPr>
          <w:i/>
          <w:iCs/>
          <w:szCs w:val="24"/>
        </w:rPr>
        <w:t>349</w:t>
      </w:r>
      <w:r>
        <w:rPr>
          <w:i/>
          <w:iCs/>
          <w:szCs w:val="24"/>
        </w:rPr>
        <w:t> </w:t>
      </w:r>
      <w:r w:rsidRPr="00A266D0">
        <w:rPr>
          <w:szCs w:val="24"/>
        </w:rPr>
        <w:t>tis.</w:t>
      </w:r>
      <w:r>
        <w:rPr>
          <w:szCs w:val="24"/>
        </w:rPr>
        <w:t> </w:t>
      </w:r>
      <w:r w:rsidRPr="00A266D0">
        <w:rPr>
          <w:szCs w:val="24"/>
        </w:rPr>
        <w:t>eur zohľadňujúc prostriedky zaviazané na</w:t>
      </w:r>
      <w:r>
        <w:rPr>
          <w:szCs w:val="24"/>
        </w:rPr>
        <w:t> </w:t>
      </w:r>
      <w:r w:rsidRPr="00A266D0">
        <w:rPr>
          <w:szCs w:val="24"/>
        </w:rPr>
        <w:t>použitie v nasledujúcich rokoch a z dôvodu vysporiadania finančných prostriedkov za</w:t>
      </w:r>
      <w:r>
        <w:rPr>
          <w:szCs w:val="24"/>
        </w:rPr>
        <w:t> </w:t>
      </w:r>
      <w:r w:rsidRPr="00A266D0">
        <w:rPr>
          <w:szCs w:val="24"/>
        </w:rPr>
        <w:t>nezrovnalosti a</w:t>
      </w:r>
      <w:r w:rsidR="00C123FE">
        <w:rPr>
          <w:szCs w:val="24"/>
        </w:rPr>
        <w:t> </w:t>
      </w:r>
      <w:r w:rsidRPr="00A266D0">
        <w:rPr>
          <w:szCs w:val="24"/>
        </w:rPr>
        <w:t>vratky</w:t>
      </w:r>
      <w:r w:rsidR="00C123FE">
        <w:rPr>
          <w:szCs w:val="24"/>
        </w:rPr>
        <w:t>.</w:t>
      </w:r>
      <w:r w:rsidRPr="00A266D0">
        <w:rPr>
          <w:szCs w:val="24"/>
          <w:vertAlign w:val="superscript"/>
        </w:rPr>
        <w:footnoteReference w:id="33"/>
      </w:r>
      <w:r w:rsidRPr="00A266D0">
        <w:rPr>
          <w:szCs w:val="24"/>
        </w:rPr>
        <w:t xml:space="preserve"> Rozpočet bol upravený za Program Slovensko na úroveň 1 233</w:t>
      </w:r>
      <w:r>
        <w:rPr>
          <w:szCs w:val="24"/>
        </w:rPr>
        <w:t> </w:t>
      </w:r>
      <w:r w:rsidRPr="00A266D0">
        <w:rPr>
          <w:szCs w:val="24"/>
        </w:rPr>
        <w:t>228</w:t>
      </w:r>
      <w:r>
        <w:rPr>
          <w:szCs w:val="24"/>
        </w:rPr>
        <w:t> </w:t>
      </w:r>
      <w:r w:rsidRPr="00A266D0">
        <w:rPr>
          <w:szCs w:val="24"/>
        </w:rPr>
        <w:t>tis.</w:t>
      </w:r>
      <w:r>
        <w:rPr>
          <w:szCs w:val="24"/>
        </w:rPr>
        <w:t> </w:t>
      </w:r>
      <w:r w:rsidRPr="00A266D0">
        <w:rPr>
          <w:szCs w:val="24"/>
        </w:rPr>
        <w:t>eur, za</w:t>
      </w:r>
      <w:r>
        <w:rPr>
          <w:szCs w:val="24"/>
        </w:rPr>
        <w:t> </w:t>
      </w:r>
      <w:r w:rsidRPr="00A266D0">
        <w:rPr>
          <w:szCs w:val="24"/>
        </w:rPr>
        <w:t>Program Rybné hospodárstvo na úroveň 0</w:t>
      </w:r>
      <w:r>
        <w:rPr>
          <w:szCs w:val="24"/>
        </w:rPr>
        <w:t> </w:t>
      </w:r>
      <w:r w:rsidRPr="00A266D0">
        <w:rPr>
          <w:i/>
          <w:iCs/>
          <w:szCs w:val="24"/>
        </w:rPr>
        <w:t>tis.</w:t>
      </w:r>
      <w:r>
        <w:rPr>
          <w:i/>
          <w:iCs/>
          <w:szCs w:val="24"/>
        </w:rPr>
        <w:t> </w:t>
      </w:r>
      <w:r w:rsidRPr="00A266D0">
        <w:rPr>
          <w:i/>
          <w:iCs/>
          <w:szCs w:val="24"/>
        </w:rPr>
        <w:t>eur</w:t>
      </w:r>
      <w:r w:rsidRPr="00A266D0">
        <w:rPr>
          <w:szCs w:val="24"/>
        </w:rPr>
        <w:t xml:space="preserve"> a za programy európskej územnej </w:t>
      </w:r>
      <w:r w:rsidRPr="00A266D0">
        <w:rPr>
          <w:szCs w:val="24"/>
        </w:rPr>
        <w:lastRenderedPageBreak/>
        <w:t xml:space="preserve">spolupráce, pre ktoré je MF SR platobným orgánom, na úroveň </w:t>
      </w:r>
      <w:r w:rsidRPr="00A266D0">
        <w:rPr>
          <w:i/>
          <w:iCs/>
          <w:szCs w:val="24"/>
        </w:rPr>
        <w:t>12</w:t>
      </w:r>
      <w:r>
        <w:rPr>
          <w:i/>
          <w:iCs/>
          <w:szCs w:val="24"/>
        </w:rPr>
        <w:t> </w:t>
      </w:r>
      <w:r w:rsidRPr="00A266D0">
        <w:rPr>
          <w:i/>
          <w:iCs/>
          <w:szCs w:val="24"/>
        </w:rPr>
        <w:t>121</w:t>
      </w:r>
      <w:r>
        <w:rPr>
          <w:i/>
          <w:iCs/>
          <w:szCs w:val="24"/>
        </w:rPr>
        <w:t> </w:t>
      </w:r>
      <w:r w:rsidRPr="00A266D0">
        <w:rPr>
          <w:i/>
          <w:iCs/>
          <w:szCs w:val="24"/>
        </w:rPr>
        <w:t>tis.</w:t>
      </w:r>
      <w:r>
        <w:rPr>
          <w:i/>
          <w:iCs/>
          <w:szCs w:val="24"/>
        </w:rPr>
        <w:t> </w:t>
      </w:r>
      <w:r w:rsidRPr="00A266D0">
        <w:rPr>
          <w:i/>
          <w:iCs/>
          <w:szCs w:val="24"/>
        </w:rPr>
        <w:t>eur</w:t>
      </w:r>
      <w:r w:rsidRPr="00A266D0">
        <w:rPr>
          <w:szCs w:val="24"/>
        </w:rPr>
        <w:t xml:space="preserve">. Príjmy boli naplnené v roku 2025 vo výške </w:t>
      </w:r>
      <w:r w:rsidRPr="00A266D0">
        <w:rPr>
          <w:i/>
          <w:iCs/>
          <w:szCs w:val="24"/>
        </w:rPr>
        <w:t>1 245</w:t>
      </w:r>
      <w:r>
        <w:rPr>
          <w:i/>
          <w:iCs/>
          <w:szCs w:val="24"/>
        </w:rPr>
        <w:t> </w:t>
      </w:r>
      <w:r w:rsidRPr="00A266D0">
        <w:rPr>
          <w:i/>
          <w:iCs/>
          <w:szCs w:val="24"/>
        </w:rPr>
        <w:t>349</w:t>
      </w:r>
      <w:r>
        <w:rPr>
          <w:i/>
          <w:iCs/>
          <w:szCs w:val="24"/>
        </w:rPr>
        <w:t> </w:t>
      </w:r>
      <w:r w:rsidRPr="00A266D0">
        <w:rPr>
          <w:i/>
          <w:iCs/>
          <w:szCs w:val="24"/>
        </w:rPr>
        <w:t>tis.</w:t>
      </w:r>
      <w:r>
        <w:rPr>
          <w:i/>
          <w:iCs/>
          <w:szCs w:val="24"/>
        </w:rPr>
        <w:t> </w:t>
      </w:r>
      <w:r w:rsidRPr="00A266D0">
        <w:rPr>
          <w:i/>
          <w:iCs/>
          <w:szCs w:val="24"/>
        </w:rPr>
        <w:t>eur</w:t>
      </w:r>
      <w:r w:rsidRPr="00A266D0">
        <w:rPr>
          <w:szCs w:val="24"/>
        </w:rPr>
        <w:t>, z toho za Program Slovensko vo</w:t>
      </w:r>
      <w:r>
        <w:rPr>
          <w:szCs w:val="24"/>
        </w:rPr>
        <w:t> </w:t>
      </w:r>
      <w:r w:rsidRPr="00A266D0">
        <w:rPr>
          <w:szCs w:val="24"/>
        </w:rPr>
        <w:t>výške 1 233</w:t>
      </w:r>
      <w:r>
        <w:rPr>
          <w:szCs w:val="24"/>
        </w:rPr>
        <w:t> </w:t>
      </w:r>
      <w:r w:rsidRPr="00A266D0">
        <w:rPr>
          <w:szCs w:val="24"/>
        </w:rPr>
        <w:t>228</w:t>
      </w:r>
      <w:r>
        <w:rPr>
          <w:szCs w:val="24"/>
        </w:rPr>
        <w:t> </w:t>
      </w:r>
      <w:r w:rsidRPr="00A266D0">
        <w:rPr>
          <w:szCs w:val="24"/>
        </w:rPr>
        <w:t>tis.</w:t>
      </w:r>
      <w:r>
        <w:rPr>
          <w:szCs w:val="24"/>
        </w:rPr>
        <w:t> </w:t>
      </w:r>
      <w:r w:rsidRPr="00A266D0">
        <w:rPr>
          <w:szCs w:val="24"/>
        </w:rPr>
        <w:t xml:space="preserve">eur, a za programy európskej územnej spolupráce, pre ktoré je MF SR platobným orgánom, vo výške </w:t>
      </w:r>
      <w:r w:rsidRPr="00A266D0">
        <w:rPr>
          <w:i/>
          <w:iCs/>
          <w:szCs w:val="24"/>
        </w:rPr>
        <w:t>12</w:t>
      </w:r>
      <w:r>
        <w:rPr>
          <w:i/>
          <w:iCs/>
          <w:szCs w:val="24"/>
        </w:rPr>
        <w:t> </w:t>
      </w:r>
      <w:r w:rsidRPr="00A266D0">
        <w:rPr>
          <w:i/>
          <w:iCs/>
          <w:szCs w:val="24"/>
        </w:rPr>
        <w:t>121</w:t>
      </w:r>
      <w:r>
        <w:rPr>
          <w:i/>
          <w:iCs/>
          <w:szCs w:val="24"/>
        </w:rPr>
        <w:t> </w:t>
      </w:r>
      <w:r w:rsidRPr="00A266D0">
        <w:rPr>
          <w:i/>
          <w:iCs/>
          <w:szCs w:val="24"/>
        </w:rPr>
        <w:t>tis.</w:t>
      </w:r>
      <w:r>
        <w:rPr>
          <w:i/>
          <w:iCs/>
          <w:szCs w:val="24"/>
        </w:rPr>
        <w:t> </w:t>
      </w:r>
      <w:r w:rsidRPr="00A266D0">
        <w:rPr>
          <w:i/>
          <w:iCs/>
          <w:szCs w:val="24"/>
        </w:rPr>
        <w:t>eur</w:t>
      </w:r>
      <w:r w:rsidRPr="00A266D0">
        <w:rPr>
          <w:szCs w:val="24"/>
        </w:rPr>
        <w:t>. Za Program Rybné hospodárstvo nedošlo v roku 2025 k plneniu príjmov.</w:t>
      </w:r>
    </w:p>
    <w:p w14:paraId="7B8C9DDE" w14:textId="77777777" w:rsidR="00A266D0" w:rsidRPr="00A266D0" w:rsidRDefault="00A266D0" w:rsidP="00A266D0">
      <w:pPr>
        <w:spacing w:line="240" w:lineRule="auto"/>
        <w:jc w:val="both"/>
        <w:rPr>
          <w:szCs w:val="24"/>
        </w:rPr>
      </w:pPr>
    </w:p>
    <w:p w14:paraId="3844C165" w14:textId="70318DF6" w:rsidR="00A266D0" w:rsidRDefault="00A266D0" w:rsidP="00A266D0">
      <w:pPr>
        <w:spacing w:line="240" w:lineRule="auto"/>
        <w:jc w:val="both"/>
        <w:rPr>
          <w:szCs w:val="24"/>
        </w:rPr>
      </w:pPr>
      <w:r w:rsidRPr="00A266D0">
        <w:rPr>
          <w:szCs w:val="24"/>
        </w:rPr>
        <w:t>V súvislosti s ukončovaním 2.</w:t>
      </w:r>
      <w:r>
        <w:rPr>
          <w:szCs w:val="24"/>
        </w:rPr>
        <w:t> </w:t>
      </w:r>
      <w:r w:rsidRPr="00A266D0">
        <w:rPr>
          <w:szCs w:val="24"/>
        </w:rPr>
        <w:t xml:space="preserve">programového obdobia 2007-2013 boli v roku 2025 naplnené príjmy za Operačný program Doprava vo výške </w:t>
      </w:r>
      <w:r w:rsidRPr="00A266D0">
        <w:t>22</w:t>
      </w:r>
      <w:r>
        <w:t> </w:t>
      </w:r>
      <w:r w:rsidRPr="00A266D0">
        <w:t>390</w:t>
      </w:r>
      <w:r>
        <w:t> </w:t>
      </w:r>
      <w:r w:rsidRPr="00A266D0">
        <w:rPr>
          <w:i/>
          <w:iCs/>
          <w:szCs w:val="24"/>
        </w:rPr>
        <w:t>tis.</w:t>
      </w:r>
      <w:r>
        <w:rPr>
          <w:i/>
          <w:iCs/>
          <w:szCs w:val="24"/>
        </w:rPr>
        <w:t> </w:t>
      </w:r>
      <w:r w:rsidRPr="00A266D0">
        <w:rPr>
          <w:i/>
          <w:iCs/>
          <w:szCs w:val="24"/>
        </w:rPr>
        <w:t>eur</w:t>
      </w:r>
      <w:r w:rsidRPr="00A266D0">
        <w:rPr>
          <w:szCs w:val="24"/>
        </w:rPr>
        <w:t xml:space="preserve"> v nadväznosti na</w:t>
      </w:r>
      <w:r>
        <w:rPr>
          <w:szCs w:val="24"/>
        </w:rPr>
        <w:t> </w:t>
      </w:r>
      <w:r w:rsidRPr="00A266D0">
        <w:rPr>
          <w:szCs w:val="24"/>
        </w:rPr>
        <w:t>kumuláciu zdrojov z vysporiadaných nezrovnalostí.</w:t>
      </w:r>
    </w:p>
    <w:p w14:paraId="4F3900F0" w14:textId="77777777" w:rsidR="00A266D0" w:rsidRPr="00A266D0" w:rsidRDefault="00A266D0" w:rsidP="00A266D0">
      <w:pPr>
        <w:spacing w:line="240" w:lineRule="auto"/>
        <w:jc w:val="both"/>
        <w:rPr>
          <w:szCs w:val="24"/>
        </w:rPr>
      </w:pPr>
    </w:p>
    <w:p w14:paraId="40BC0F7E" w14:textId="72C5D3DB" w:rsidR="00A266D0" w:rsidRDefault="00A266D0" w:rsidP="00A266D0">
      <w:pPr>
        <w:spacing w:line="240" w:lineRule="auto"/>
        <w:jc w:val="both"/>
        <w:rPr>
          <w:szCs w:val="24"/>
        </w:rPr>
      </w:pPr>
      <w:r w:rsidRPr="00A266D0">
        <w:rPr>
          <w:b/>
          <w:szCs w:val="24"/>
        </w:rPr>
        <w:t>Prostriedky za štrukturálne operácie MV SR</w:t>
      </w:r>
      <w:r w:rsidRPr="00A266D0">
        <w:rPr>
          <w:szCs w:val="24"/>
        </w:rPr>
        <w:t xml:space="preserve"> boli rozpočtované za 4.</w:t>
      </w:r>
      <w:r>
        <w:rPr>
          <w:szCs w:val="24"/>
        </w:rPr>
        <w:t> </w:t>
      </w:r>
      <w:r w:rsidRPr="00A266D0">
        <w:rPr>
          <w:szCs w:val="24"/>
        </w:rPr>
        <w:t xml:space="preserve">programové obdobie 2021-2027 vo výške </w:t>
      </w:r>
      <w:r w:rsidRPr="00A266D0">
        <w:rPr>
          <w:i/>
          <w:iCs/>
          <w:szCs w:val="24"/>
        </w:rPr>
        <w:t>16</w:t>
      </w:r>
      <w:r>
        <w:rPr>
          <w:i/>
          <w:iCs/>
          <w:szCs w:val="24"/>
        </w:rPr>
        <w:t> </w:t>
      </w:r>
      <w:r w:rsidRPr="00A266D0">
        <w:rPr>
          <w:i/>
          <w:iCs/>
          <w:szCs w:val="24"/>
        </w:rPr>
        <w:t>391</w:t>
      </w:r>
      <w:r>
        <w:rPr>
          <w:i/>
          <w:iCs/>
          <w:szCs w:val="24"/>
        </w:rPr>
        <w:t> </w:t>
      </w:r>
      <w:r w:rsidRPr="00A266D0">
        <w:rPr>
          <w:i/>
          <w:iCs/>
          <w:szCs w:val="24"/>
        </w:rPr>
        <w:t>tis.</w:t>
      </w:r>
      <w:r>
        <w:rPr>
          <w:i/>
          <w:iCs/>
          <w:szCs w:val="24"/>
        </w:rPr>
        <w:t> </w:t>
      </w:r>
      <w:r w:rsidRPr="00A266D0">
        <w:rPr>
          <w:i/>
          <w:iCs/>
          <w:szCs w:val="24"/>
        </w:rPr>
        <w:t>eur</w:t>
      </w:r>
      <w:r w:rsidRPr="00A266D0">
        <w:rPr>
          <w:szCs w:val="24"/>
        </w:rPr>
        <w:t xml:space="preserve"> za Fondy pre oblasť vnútorných záležitostí (Fond pre</w:t>
      </w:r>
      <w:r>
        <w:rPr>
          <w:szCs w:val="24"/>
        </w:rPr>
        <w:t> </w:t>
      </w:r>
      <w:r w:rsidRPr="00A266D0">
        <w:rPr>
          <w:szCs w:val="24"/>
        </w:rPr>
        <w:t xml:space="preserve">azyl, migráciu a integráciu, Fond pre integrované riadenie hraníc, Fond pre vnútornú bezpečnosť). Rozpočet bol upravený na úroveň </w:t>
      </w:r>
      <w:r w:rsidRPr="00A266D0">
        <w:rPr>
          <w:i/>
          <w:iCs/>
          <w:szCs w:val="24"/>
        </w:rPr>
        <w:t>5</w:t>
      </w:r>
      <w:r>
        <w:rPr>
          <w:i/>
          <w:iCs/>
          <w:szCs w:val="24"/>
        </w:rPr>
        <w:t> </w:t>
      </w:r>
      <w:r w:rsidRPr="00A266D0">
        <w:rPr>
          <w:i/>
          <w:iCs/>
          <w:szCs w:val="24"/>
        </w:rPr>
        <w:t>780</w:t>
      </w:r>
      <w:r>
        <w:rPr>
          <w:i/>
          <w:iCs/>
          <w:szCs w:val="24"/>
        </w:rPr>
        <w:t> </w:t>
      </w:r>
      <w:r w:rsidRPr="00A266D0">
        <w:rPr>
          <w:i/>
          <w:iCs/>
          <w:szCs w:val="24"/>
        </w:rPr>
        <w:t>tis.</w:t>
      </w:r>
      <w:r>
        <w:rPr>
          <w:i/>
          <w:iCs/>
          <w:szCs w:val="24"/>
        </w:rPr>
        <w:t> </w:t>
      </w:r>
      <w:r w:rsidRPr="00A266D0">
        <w:rPr>
          <w:i/>
          <w:iCs/>
          <w:szCs w:val="24"/>
        </w:rPr>
        <w:t>eur</w:t>
      </w:r>
      <w:r w:rsidRPr="00A266D0">
        <w:rPr>
          <w:szCs w:val="24"/>
        </w:rPr>
        <w:t xml:space="preserve"> zohľadňujúc prostriedky zaviazané na</w:t>
      </w:r>
      <w:r>
        <w:rPr>
          <w:szCs w:val="24"/>
        </w:rPr>
        <w:t> </w:t>
      </w:r>
      <w:r w:rsidRPr="00A266D0">
        <w:rPr>
          <w:szCs w:val="24"/>
        </w:rPr>
        <w:t xml:space="preserve">použitie v nasledujúcich rokoch. Príjmy boli naplnené v roku 2025 vo výške </w:t>
      </w:r>
      <w:r w:rsidRPr="00A266D0">
        <w:rPr>
          <w:i/>
          <w:iCs/>
          <w:szCs w:val="24"/>
        </w:rPr>
        <w:t>5</w:t>
      </w:r>
      <w:r>
        <w:rPr>
          <w:i/>
          <w:iCs/>
          <w:szCs w:val="24"/>
        </w:rPr>
        <w:t> </w:t>
      </w:r>
      <w:r w:rsidRPr="00A266D0">
        <w:rPr>
          <w:i/>
          <w:iCs/>
          <w:szCs w:val="24"/>
        </w:rPr>
        <w:t>780</w:t>
      </w:r>
      <w:r>
        <w:rPr>
          <w:i/>
          <w:iCs/>
          <w:szCs w:val="24"/>
        </w:rPr>
        <w:t> </w:t>
      </w:r>
      <w:r w:rsidRPr="00A266D0">
        <w:rPr>
          <w:i/>
          <w:iCs/>
          <w:szCs w:val="24"/>
        </w:rPr>
        <w:t>tis.</w:t>
      </w:r>
      <w:r>
        <w:rPr>
          <w:i/>
          <w:iCs/>
          <w:szCs w:val="24"/>
        </w:rPr>
        <w:t> </w:t>
      </w:r>
      <w:r w:rsidRPr="00A266D0">
        <w:rPr>
          <w:i/>
          <w:iCs/>
          <w:szCs w:val="24"/>
        </w:rPr>
        <w:t>eur</w:t>
      </w:r>
      <w:r w:rsidRPr="00A266D0">
        <w:rPr>
          <w:szCs w:val="24"/>
        </w:rPr>
        <w:t>.</w:t>
      </w:r>
    </w:p>
    <w:p w14:paraId="5ABB92F4" w14:textId="77777777" w:rsidR="00A266D0" w:rsidRPr="00A266D0" w:rsidRDefault="00A266D0" w:rsidP="00A266D0">
      <w:pPr>
        <w:spacing w:line="240" w:lineRule="auto"/>
        <w:jc w:val="both"/>
        <w:rPr>
          <w:szCs w:val="24"/>
        </w:rPr>
      </w:pPr>
    </w:p>
    <w:p w14:paraId="09AB1969" w14:textId="6D2F06BE" w:rsidR="00A266D0" w:rsidRDefault="00A266D0" w:rsidP="00A266D0">
      <w:pPr>
        <w:spacing w:line="240" w:lineRule="auto"/>
        <w:jc w:val="both"/>
        <w:rPr>
          <w:szCs w:val="24"/>
        </w:rPr>
      </w:pPr>
      <w:r w:rsidRPr="00A266D0">
        <w:rPr>
          <w:b/>
          <w:szCs w:val="24"/>
        </w:rPr>
        <w:t>Prostriedky za poľnohospodárske fondy</w:t>
      </w:r>
      <w:r w:rsidRPr="00A266D0">
        <w:rPr>
          <w:szCs w:val="24"/>
        </w:rPr>
        <w:t xml:space="preserve"> za 3.</w:t>
      </w:r>
      <w:r>
        <w:rPr>
          <w:szCs w:val="24"/>
        </w:rPr>
        <w:t> </w:t>
      </w:r>
      <w:r w:rsidRPr="00A266D0">
        <w:rPr>
          <w:szCs w:val="24"/>
        </w:rPr>
        <w:t>programové obdobie 2014-2022 už neboli v</w:t>
      </w:r>
      <w:r>
        <w:rPr>
          <w:szCs w:val="24"/>
        </w:rPr>
        <w:t> </w:t>
      </w:r>
      <w:r w:rsidRPr="00A266D0">
        <w:rPr>
          <w:szCs w:val="24"/>
        </w:rPr>
        <w:t>roku 2025 rozpočtované, keďže boli narozpočtované do 100</w:t>
      </w:r>
      <w:r>
        <w:rPr>
          <w:szCs w:val="24"/>
        </w:rPr>
        <w:t> </w:t>
      </w:r>
      <w:r w:rsidRPr="00A266D0">
        <w:rPr>
          <w:szCs w:val="24"/>
        </w:rPr>
        <w:t>% alokácie už v predchádzajúcich rokoch (prostriedky na Priame platby v roku 2023 a prostriedky na</w:t>
      </w:r>
      <w:r>
        <w:rPr>
          <w:szCs w:val="24"/>
        </w:rPr>
        <w:t> </w:t>
      </w:r>
      <w:r w:rsidRPr="00A266D0">
        <w:rPr>
          <w:szCs w:val="24"/>
        </w:rPr>
        <w:t>Program rozvoja vidieka v roku 2024). Úprava rozpočtu o nenaplnené príjmy z predchádzajúcich rokov v zmysle §</w:t>
      </w:r>
      <w:r>
        <w:rPr>
          <w:szCs w:val="24"/>
        </w:rPr>
        <w:t> </w:t>
      </w:r>
      <w:r w:rsidRPr="00A266D0">
        <w:rPr>
          <w:szCs w:val="24"/>
        </w:rPr>
        <w:t>8 zákona o rozpočtových pravidlách a</w:t>
      </w:r>
      <w:r>
        <w:rPr>
          <w:szCs w:val="24"/>
        </w:rPr>
        <w:t> </w:t>
      </w:r>
      <w:r w:rsidRPr="00A266D0">
        <w:rPr>
          <w:szCs w:val="24"/>
        </w:rPr>
        <w:t>o</w:t>
      </w:r>
      <w:r>
        <w:rPr>
          <w:szCs w:val="24"/>
        </w:rPr>
        <w:t> </w:t>
      </w:r>
      <w:r w:rsidRPr="00A266D0">
        <w:rPr>
          <w:szCs w:val="24"/>
        </w:rPr>
        <w:t>vysporiadané finančné prostriedkov za nezrovnalosti a vratky</w:t>
      </w:r>
      <w:r w:rsidRPr="00A266D0">
        <w:rPr>
          <w:szCs w:val="24"/>
          <w:vertAlign w:val="superscript"/>
        </w:rPr>
        <w:footnoteReference w:id="34"/>
      </w:r>
      <w:r w:rsidRPr="00A266D0">
        <w:rPr>
          <w:szCs w:val="24"/>
        </w:rPr>
        <w:t xml:space="preserve"> predstavovala úroveň </w:t>
      </w:r>
      <w:r w:rsidRPr="00A266D0">
        <w:rPr>
          <w:i/>
          <w:iCs/>
          <w:szCs w:val="24"/>
        </w:rPr>
        <w:t>738</w:t>
      </w:r>
      <w:r>
        <w:rPr>
          <w:i/>
          <w:iCs/>
          <w:szCs w:val="24"/>
        </w:rPr>
        <w:t> </w:t>
      </w:r>
      <w:r w:rsidRPr="00A266D0">
        <w:rPr>
          <w:i/>
          <w:iCs/>
          <w:szCs w:val="24"/>
        </w:rPr>
        <w:t>433</w:t>
      </w:r>
      <w:r>
        <w:rPr>
          <w:i/>
          <w:iCs/>
          <w:szCs w:val="24"/>
        </w:rPr>
        <w:t> </w:t>
      </w:r>
      <w:r w:rsidRPr="00A266D0">
        <w:rPr>
          <w:i/>
          <w:iCs/>
          <w:szCs w:val="24"/>
        </w:rPr>
        <w:t>tis.</w:t>
      </w:r>
      <w:r>
        <w:rPr>
          <w:i/>
          <w:iCs/>
          <w:szCs w:val="24"/>
        </w:rPr>
        <w:t> </w:t>
      </w:r>
      <w:r w:rsidRPr="00A266D0">
        <w:rPr>
          <w:i/>
          <w:iCs/>
          <w:szCs w:val="24"/>
        </w:rPr>
        <w:t>eur</w:t>
      </w:r>
      <w:r w:rsidRPr="00A266D0">
        <w:rPr>
          <w:szCs w:val="24"/>
        </w:rPr>
        <w:t xml:space="preserve"> a to za</w:t>
      </w:r>
      <w:r>
        <w:rPr>
          <w:szCs w:val="24"/>
        </w:rPr>
        <w:t> </w:t>
      </w:r>
      <w:r w:rsidRPr="00A266D0">
        <w:rPr>
          <w:szCs w:val="24"/>
        </w:rPr>
        <w:t>Európsky poľnohospodársky fond pre rozvoj vidieka, nakoľko legislatíva EÚ umožňovala prostriedky Programu rozvoja vidieka 3.</w:t>
      </w:r>
      <w:r>
        <w:rPr>
          <w:szCs w:val="24"/>
        </w:rPr>
        <w:t> </w:t>
      </w:r>
      <w:r w:rsidRPr="00A266D0">
        <w:rPr>
          <w:szCs w:val="24"/>
        </w:rPr>
        <w:t>programového obdobia 2014-2022 čerpať až do</w:t>
      </w:r>
      <w:r>
        <w:rPr>
          <w:szCs w:val="24"/>
        </w:rPr>
        <w:t> </w:t>
      </w:r>
      <w:r w:rsidRPr="00A266D0">
        <w:rPr>
          <w:szCs w:val="24"/>
        </w:rPr>
        <w:t>31.12.2025 a za Európsky poľnohospodársky záručný fond za prostriedky na</w:t>
      </w:r>
      <w:r>
        <w:rPr>
          <w:szCs w:val="24"/>
        </w:rPr>
        <w:t> </w:t>
      </w:r>
      <w:r w:rsidRPr="00A266D0">
        <w:rPr>
          <w:szCs w:val="24"/>
        </w:rPr>
        <w:t>Priame platby, ktoré predstavujú nárokovateľné finančné prostriedky, ktoré sú použité na</w:t>
      </w:r>
      <w:r>
        <w:rPr>
          <w:szCs w:val="24"/>
        </w:rPr>
        <w:t> </w:t>
      </w:r>
      <w:r w:rsidRPr="00A266D0">
        <w:rPr>
          <w:szCs w:val="24"/>
        </w:rPr>
        <w:t>vyplatenie priamych platieb za kalendárne roky 2022 a predošlé obdobie (jedná sa o odvolacie konania), za ktoré budú refundované z Európskej komisie. Skutočné plnenie príjmov bolo v roku 2025 vo</w:t>
      </w:r>
      <w:r>
        <w:rPr>
          <w:szCs w:val="24"/>
        </w:rPr>
        <w:t> </w:t>
      </w:r>
      <w:r w:rsidRPr="00A266D0">
        <w:rPr>
          <w:szCs w:val="24"/>
        </w:rPr>
        <w:t xml:space="preserve">výške </w:t>
      </w:r>
      <w:r w:rsidRPr="00A266D0">
        <w:rPr>
          <w:i/>
          <w:iCs/>
          <w:szCs w:val="24"/>
        </w:rPr>
        <w:t>458</w:t>
      </w:r>
      <w:r>
        <w:rPr>
          <w:i/>
          <w:iCs/>
          <w:szCs w:val="24"/>
        </w:rPr>
        <w:t> </w:t>
      </w:r>
      <w:r w:rsidRPr="00A266D0">
        <w:rPr>
          <w:i/>
          <w:iCs/>
          <w:szCs w:val="24"/>
        </w:rPr>
        <w:t>652</w:t>
      </w:r>
      <w:r>
        <w:rPr>
          <w:i/>
          <w:iCs/>
          <w:szCs w:val="24"/>
        </w:rPr>
        <w:t> </w:t>
      </w:r>
      <w:r w:rsidRPr="00A266D0">
        <w:rPr>
          <w:i/>
          <w:iCs/>
          <w:szCs w:val="24"/>
        </w:rPr>
        <w:t>tis.</w:t>
      </w:r>
      <w:r>
        <w:rPr>
          <w:i/>
          <w:iCs/>
          <w:szCs w:val="24"/>
        </w:rPr>
        <w:t> </w:t>
      </w:r>
      <w:r w:rsidRPr="00A266D0">
        <w:rPr>
          <w:i/>
          <w:iCs/>
          <w:szCs w:val="24"/>
        </w:rPr>
        <w:t>eur.</w:t>
      </w:r>
      <w:r w:rsidRPr="00A266D0">
        <w:rPr>
          <w:szCs w:val="24"/>
        </w:rPr>
        <w:t xml:space="preserve"> Zostatok nenaplnených príjmov za Program rozvoja 2014-2022 vidieka už nebol zaviazaný z dôvodu pominutia účelu použitia prostriedkov.</w:t>
      </w:r>
    </w:p>
    <w:p w14:paraId="0834BEC3" w14:textId="77777777" w:rsidR="00A266D0" w:rsidRPr="00A266D0" w:rsidRDefault="00A266D0" w:rsidP="00A266D0">
      <w:pPr>
        <w:spacing w:line="240" w:lineRule="auto"/>
        <w:jc w:val="both"/>
        <w:rPr>
          <w:szCs w:val="24"/>
        </w:rPr>
      </w:pPr>
    </w:p>
    <w:p w14:paraId="0F2FCFC4" w14:textId="787C6288" w:rsidR="0061083A" w:rsidRDefault="00A266D0" w:rsidP="005E1D4F">
      <w:pPr>
        <w:spacing w:line="240" w:lineRule="auto"/>
        <w:jc w:val="both"/>
        <w:rPr>
          <w:szCs w:val="24"/>
        </w:rPr>
      </w:pPr>
      <w:r w:rsidRPr="00A266D0">
        <w:rPr>
          <w:szCs w:val="24"/>
        </w:rPr>
        <w:t>V roku 2025 boli rozpočtované prostriedky za 4.</w:t>
      </w:r>
      <w:r>
        <w:rPr>
          <w:szCs w:val="24"/>
        </w:rPr>
        <w:t> </w:t>
      </w:r>
      <w:r w:rsidRPr="00A266D0">
        <w:rPr>
          <w:szCs w:val="24"/>
        </w:rPr>
        <w:t>programové obdobie 2023-2027 za</w:t>
      </w:r>
      <w:r>
        <w:rPr>
          <w:szCs w:val="24"/>
        </w:rPr>
        <w:t> </w:t>
      </w:r>
      <w:r w:rsidRPr="00A266D0">
        <w:rPr>
          <w:szCs w:val="24"/>
        </w:rPr>
        <w:t>Európsky poľnohospodársky záručný fond (Priame platby a Trhovo orientované výdavky) a</w:t>
      </w:r>
      <w:r>
        <w:rPr>
          <w:szCs w:val="24"/>
        </w:rPr>
        <w:t> </w:t>
      </w:r>
      <w:r w:rsidRPr="00A266D0">
        <w:rPr>
          <w:szCs w:val="24"/>
        </w:rPr>
        <w:t>za</w:t>
      </w:r>
      <w:r>
        <w:rPr>
          <w:szCs w:val="24"/>
        </w:rPr>
        <w:t> </w:t>
      </w:r>
      <w:r w:rsidRPr="00A266D0">
        <w:rPr>
          <w:szCs w:val="24"/>
        </w:rPr>
        <w:t xml:space="preserve">Európsky poľnohospodársky fond pre rozvoj vidieka vo výške </w:t>
      </w:r>
      <w:r w:rsidRPr="00A266D0">
        <w:rPr>
          <w:i/>
          <w:iCs/>
          <w:szCs w:val="24"/>
        </w:rPr>
        <w:t>578</w:t>
      </w:r>
      <w:r>
        <w:rPr>
          <w:i/>
          <w:iCs/>
          <w:szCs w:val="24"/>
        </w:rPr>
        <w:t> </w:t>
      </w:r>
      <w:r w:rsidRPr="00A266D0">
        <w:rPr>
          <w:i/>
          <w:iCs/>
          <w:szCs w:val="24"/>
        </w:rPr>
        <w:t>911</w:t>
      </w:r>
      <w:r>
        <w:rPr>
          <w:i/>
          <w:iCs/>
          <w:szCs w:val="24"/>
        </w:rPr>
        <w:t> </w:t>
      </w:r>
      <w:r w:rsidRPr="00A266D0">
        <w:rPr>
          <w:i/>
          <w:iCs/>
          <w:szCs w:val="24"/>
        </w:rPr>
        <w:t>tis.</w:t>
      </w:r>
      <w:r>
        <w:rPr>
          <w:i/>
          <w:iCs/>
          <w:szCs w:val="24"/>
        </w:rPr>
        <w:t> </w:t>
      </w:r>
      <w:r w:rsidRPr="00A266D0">
        <w:rPr>
          <w:i/>
          <w:iCs/>
          <w:szCs w:val="24"/>
        </w:rPr>
        <w:t>eur</w:t>
      </w:r>
      <w:r w:rsidRPr="00A266D0">
        <w:rPr>
          <w:szCs w:val="24"/>
        </w:rPr>
        <w:t>. Rozpočet príjmov bol upravený o nenaplnené príjmy z predchádzajúcich rokov v zmysle §</w:t>
      </w:r>
      <w:r>
        <w:rPr>
          <w:szCs w:val="24"/>
        </w:rPr>
        <w:t> </w:t>
      </w:r>
      <w:r w:rsidRPr="00A266D0">
        <w:rPr>
          <w:szCs w:val="24"/>
        </w:rPr>
        <w:t>8 zákona o rozpočtových pravidlách a o vysporiadané finančné prostriedky za nezrovnalosti a vratky na</w:t>
      </w:r>
      <w:r>
        <w:rPr>
          <w:szCs w:val="24"/>
        </w:rPr>
        <w:t> </w:t>
      </w:r>
      <w:r w:rsidRPr="00A266D0">
        <w:rPr>
          <w:szCs w:val="24"/>
        </w:rPr>
        <w:t xml:space="preserve">výšku </w:t>
      </w:r>
      <w:r w:rsidRPr="00A266D0">
        <w:rPr>
          <w:i/>
          <w:iCs/>
          <w:szCs w:val="24"/>
        </w:rPr>
        <w:t>557</w:t>
      </w:r>
      <w:r>
        <w:rPr>
          <w:i/>
          <w:iCs/>
          <w:szCs w:val="24"/>
        </w:rPr>
        <w:t> </w:t>
      </w:r>
      <w:r w:rsidRPr="00A266D0">
        <w:rPr>
          <w:i/>
          <w:iCs/>
          <w:szCs w:val="24"/>
        </w:rPr>
        <w:t>445</w:t>
      </w:r>
      <w:r>
        <w:rPr>
          <w:i/>
          <w:iCs/>
          <w:szCs w:val="24"/>
        </w:rPr>
        <w:t> </w:t>
      </w:r>
      <w:r w:rsidRPr="00A266D0">
        <w:rPr>
          <w:i/>
          <w:iCs/>
          <w:szCs w:val="24"/>
        </w:rPr>
        <w:t>tis.</w:t>
      </w:r>
      <w:r>
        <w:rPr>
          <w:i/>
          <w:iCs/>
          <w:szCs w:val="24"/>
        </w:rPr>
        <w:t> </w:t>
      </w:r>
      <w:r w:rsidRPr="00A266D0">
        <w:rPr>
          <w:i/>
          <w:iCs/>
          <w:szCs w:val="24"/>
        </w:rPr>
        <w:t>eur</w:t>
      </w:r>
      <w:r w:rsidRPr="00A266D0">
        <w:rPr>
          <w:szCs w:val="24"/>
        </w:rPr>
        <w:t xml:space="preserve">. Príjmy boli naplnené v roku 2025 vo výške </w:t>
      </w:r>
      <w:r w:rsidRPr="00A266D0">
        <w:rPr>
          <w:i/>
          <w:iCs/>
          <w:szCs w:val="24"/>
        </w:rPr>
        <w:t>557</w:t>
      </w:r>
      <w:r>
        <w:rPr>
          <w:i/>
          <w:iCs/>
          <w:szCs w:val="24"/>
        </w:rPr>
        <w:t> </w:t>
      </w:r>
      <w:r w:rsidRPr="00A266D0">
        <w:rPr>
          <w:i/>
          <w:iCs/>
          <w:szCs w:val="24"/>
        </w:rPr>
        <w:t>445</w:t>
      </w:r>
      <w:r>
        <w:rPr>
          <w:i/>
          <w:iCs/>
          <w:szCs w:val="24"/>
        </w:rPr>
        <w:t> </w:t>
      </w:r>
      <w:r w:rsidRPr="00A266D0">
        <w:rPr>
          <w:i/>
          <w:iCs/>
          <w:szCs w:val="24"/>
        </w:rPr>
        <w:t>tis.</w:t>
      </w:r>
      <w:r>
        <w:rPr>
          <w:i/>
          <w:iCs/>
          <w:szCs w:val="24"/>
        </w:rPr>
        <w:t> </w:t>
      </w:r>
      <w:r w:rsidRPr="00A266D0">
        <w:rPr>
          <w:i/>
          <w:iCs/>
          <w:szCs w:val="24"/>
        </w:rPr>
        <w:t xml:space="preserve">eur </w:t>
      </w:r>
      <w:r w:rsidRPr="00A266D0">
        <w:rPr>
          <w:szCs w:val="24"/>
        </w:rPr>
        <w:t>a budú napĺňané aj v nasledujúcich rokoch.</w:t>
      </w:r>
      <w:bookmarkStart w:id="157" w:name="_Toc386461122"/>
    </w:p>
    <w:p w14:paraId="3DE03592" w14:textId="77777777" w:rsidR="00AF3D2E" w:rsidRDefault="00AF3D2E">
      <w:pPr>
        <w:rPr>
          <w:rFonts w:eastAsiaTheme="majorEastAsia" w:cstheme="majorBidi"/>
          <w:b/>
          <w:color w:val="5B9BD5" w:themeColor="accent1"/>
          <w:szCs w:val="24"/>
        </w:rPr>
      </w:pPr>
      <w:r>
        <w:br w:type="page"/>
      </w:r>
    </w:p>
    <w:p w14:paraId="42A42F94" w14:textId="730C6734" w:rsidR="004D69BF" w:rsidRPr="00DA100D" w:rsidRDefault="004D69BF" w:rsidP="00A972FB">
      <w:pPr>
        <w:pStyle w:val="Nadpis3"/>
        <w:spacing w:before="0"/>
        <w:jc w:val="both"/>
      </w:pPr>
      <w:bookmarkStart w:id="158" w:name="_Toc227758915"/>
      <w:r w:rsidRPr="00DA100D">
        <w:lastRenderedPageBreak/>
        <w:t>Výdavky štátneho rozpočtu rozpočtované vo väzbe na príjmy z</w:t>
      </w:r>
      <w:r w:rsidR="00D46A5E" w:rsidRPr="00DA100D">
        <w:t> </w:t>
      </w:r>
      <w:bookmarkEnd w:id="157"/>
      <w:r w:rsidR="003B69D0" w:rsidRPr="00DA100D">
        <w:t>EÚ</w:t>
      </w:r>
      <w:bookmarkEnd w:id="158"/>
    </w:p>
    <w:p w14:paraId="524813D9" w14:textId="77777777" w:rsidR="00D46A5E" w:rsidRPr="0050710A" w:rsidRDefault="00D46A5E" w:rsidP="00A972FB">
      <w:pPr>
        <w:spacing w:line="240" w:lineRule="auto"/>
        <w:jc w:val="both"/>
        <w:rPr>
          <w:highlight w:val="yellow"/>
        </w:rPr>
      </w:pPr>
    </w:p>
    <w:p w14:paraId="54EF1D92" w14:textId="5555F68F" w:rsidR="004D69BF" w:rsidRPr="00F73B54" w:rsidRDefault="00F73B54" w:rsidP="00A972FB">
      <w:pPr>
        <w:spacing w:line="240" w:lineRule="auto"/>
        <w:jc w:val="both"/>
        <w:rPr>
          <w:szCs w:val="24"/>
        </w:rPr>
      </w:pPr>
      <w:r w:rsidRPr="00F73B54">
        <w:rPr>
          <w:szCs w:val="24"/>
        </w:rPr>
        <w:t>Vo väzbe na príjmy z prostriedkov EÚ sa v štátnom rozpočte rozpočtujú výdavky za prostriedky EÚ a k nim zodpovedajúce výdavky na spolufinancovanie zo štátneho rozpočtu.</w:t>
      </w:r>
    </w:p>
    <w:p w14:paraId="4A071D3B" w14:textId="384247ED" w:rsidR="0061083A" w:rsidRDefault="0061083A" w:rsidP="00A972FB">
      <w:pPr>
        <w:spacing w:line="240" w:lineRule="auto"/>
        <w:jc w:val="both"/>
      </w:pPr>
    </w:p>
    <w:p w14:paraId="0E08AAC6" w14:textId="5C63A6F8" w:rsidR="00F73B54" w:rsidRPr="00F73B54" w:rsidRDefault="00F73B54" w:rsidP="00A972FB">
      <w:pPr>
        <w:pStyle w:val="Nadpis4"/>
        <w:spacing w:before="0"/>
        <w:jc w:val="both"/>
      </w:pPr>
      <w:r w:rsidRPr="00F73B54">
        <w:t>Výdavky z rozpočtu</w:t>
      </w:r>
    </w:p>
    <w:p w14:paraId="0551B44B" w14:textId="21AE6099" w:rsidR="00F73B54" w:rsidRDefault="00F73B54" w:rsidP="00A972FB">
      <w:pPr>
        <w:spacing w:line="240" w:lineRule="auto"/>
        <w:jc w:val="both"/>
      </w:pPr>
    </w:p>
    <w:p w14:paraId="1272CAEC" w14:textId="0CC1F1BC" w:rsidR="00F73B54" w:rsidRDefault="00F73B54" w:rsidP="00A972FB">
      <w:pPr>
        <w:spacing w:line="240" w:lineRule="auto"/>
        <w:jc w:val="both"/>
        <w:rPr>
          <w:szCs w:val="24"/>
        </w:rPr>
      </w:pPr>
      <w:r w:rsidRPr="00F73B54">
        <w:rPr>
          <w:b/>
          <w:szCs w:val="24"/>
        </w:rPr>
        <w:t>Výdavky z rozpočtu EÚ</w:t>
      </w:r>
      <w:r w:rsidRPr="00F73B54">
        <w:rPr>
          <w:szCs w:val="24"/>
        </w:rPr>
        <w:t xml:space="preserve"> sa rozpočtujú v rámci jednotlivých kapitol na</w:t>
      </w:r>
      <w:r>
        <w:rPr>
          <w:szCs w:val="24"/>
        </w:rPr>
        <w:t> </w:t>
      </w:r>
      <w:r w:rsidRPr="00F73B54">
        <w:rPr>
          <w:szCs w:val="24"/>
        </w:rPr>
        <w:t>úrovni riadiacich/sprostredkovateľských orgánov s platobnou funkciou a Pôdohospodárskej platobnej agentúry.</w:t>
      </w:r>
    </w:p>
    <w:p w14:paraId="0D1150F1" w14:textId="77777777" w:rsidR="00F73B54" w:rsidRPr="00F73B54" w:rsidRDefault="00F73B54" w:rsidP="00F73B54">
      <w:pPr>
        <w:spacing w:line="240" w:lineRule="auto"/>
        <w:jc w:val="both"/>
        <w:rPr>
          <w:szCs w:val="24"/>
        </w:rPr>
      </w:pPr>
    </w:p>
    <w:p w14:paraId="58DF6892" w14:textId="049C661B" w:rsidR="00F73B54" w:rsidRDefault="00F73B54" w:rsidP="00F73B54">
      <w:pPr>
        <w:spacing w:line="240" w:lineRule="auto"/>
        <w:jc w:val="both"/>
        <w:rPr>
          <w:szCs w:val="24"/>
        </w:rPr>
      </w:pPr>
      <w:r w:rsidRPr="00F73B54">
        <w:rPr>
          <w:szCs w:val="24"/>
        </w:rPr>
        <w:t xml:space="preserve">Schválený rozpočet výdavkov za prostriedky EÚ na rok 2025 bol vo výške </w:t>
      </w:r>
      <w:r w:rsidRPr="00F73B54">
        <w:rPr>
          <w:b/>
          <w:bCs/>
          <w:szCs w:val="24"/>
        </w:rPr>
        <w:t>2</w:t>
      </w:r>
      <w:r>
        <w:rPr>
          <w:b/>
          <w:bCs/>
          <w:szCs w:val="24"/>
        </w:rPr>
        <w:t> </w:t>
      </w:r>
      <w:r w:rsidRPr="00F73B54">
        <w:rPr>
          <w:b/>
          <w:bCs/>
          <w:szCs w:val="24"/>
        </w:rPr>
        <w:t>142</w:t>
      </w:r>
      <w:r>
        <w:rPr>
          <w:b/>
          <w:bCs/>
          <w:szCs w:val="24"/>
        </w:rPr>
        <w:t> </w:t>
      </w:r>
      <w:r w:rsidRPr="00F73B54">
        <w:rPr>
          <w:b/>
          <w:bCs/>
          <w:szCs w:val="24"/>
        </w:rPr>
        <w:t>252</w:t>
      </w:r>
      <w:r>
        <w:rPr>
          <w:b/>
          <w:bCs/>
          <w:szCs w:val="24"/>
        </w:rPr>
        <w:t> </w:t>
      </w:r>
      <w:r w:rsidRPr="00F73B54">
        <w:rPr>
          <w:b/>
          <w:bCs/>
          <w:szCs w:val="24"/>
        </w:rPr>
        <w:t>tis.</w:t>
      </w:r>
      <w:r>
        <w:rPr>
          <w:b/>
          <w:bCs/>
          <w:szCs w:val="24"/>
        </w:rPr>
        <w:t> </w:t>
      </w:r>
      <w:r w:rsidRPr="00F73B54">
        <w:rPr>
          <w:b/>
          <w:bCs/>
          <w:szCs w:val="24"/>
        </w:rPr>
        <w:t>eur</w:t>
      </w:r>
      <w:r w:rsidRPr="00F73B54">
        <w:rPr>
          <w:szCs w:val="24"/>
        </w:rPr>
        <w:t xml:space="preserve"> (z toho štrukturálne operácie MF SR vo výške 1</w:t>
      </w:r>
      <w:r>
        <w:rPr>
          <w:szCs w:val="24"/>
        </w:rPr>
        <w:t> </w:t>
      </w:r>
      <w:r w:rsidRPr="00F73B54">
        <w:rPr>
          <w:szCs w:val="24"/>
        </w:rPr>
        <w:t>546</w:t>
      </w:r>
      <w:r>
        <w:rPr>
          <w:szCs w:val="24"/>
        </w:rPr>
        <w:t> </w:t>
      </w:r>
      <w:r w:rsidRPr="00F73B54">
        <w:rPr>
          <w:szCs w:val="24"/>
        </w:rPr>
        <w:t>950</w:t>
      </w:r>
      <w:r>
        <w:rPr>
          <w:szCs w:val="24"/>
        </w:rPr>
        <w:t> </w:t>
      </w:r>
      <w:r w:rsidRPr="00F73B54">
        <w:rPr>
          <w:szCs w:val="24"/>
        </w:rPr>
        <w:t>tis.</w:t>
      </w:r>
      <w:r>
        <w:rPr>
          <w:szCs w:val="24"/>
        </w:rPr>
        <w:t> </w:t>
      </w:r>
      <w:r w:rsidRPr="00F73B54">
        <w:rPr>
          <w:szCs w:val="24"/>
        </w:rPr>
        <w:t>eur, štrukturálne operácie MV SR vo výške 16</w:t>
      </w:r>
      <w:r>
        <w:rPr>
          <w:szCs w:val="24"/>
        </w:rPr>
        <w:t> </w:t>
      </w:r>
      <w:r w:rsidRPr="00F73B54">
        <w:rPr>
          <w:szCs w:val="24"/>
        </w:rPr>
        <w:t>391</w:t>
      </w:r>
      <w:r>
        <w:rPr>
          <w:szCs w:val="24"/>
        </w:rPr>
        <w:t> </w:t>
      </w:r>
      <w:r w:rsidRPr="00F73B54">
        <w:rPr>
          <w:szCs w:val="24"/>
        </w:rPr>
        <w:t>tis.</w:t>
      </w:r>
      <w:r>
        <w:rPr>
          <w:szCs w:val="24"/>
        </w:rPr>
        <w:t> </w:t>
      </w:r>
      <w:r w:rsidRPr="00F73B54">
        <w:rPr>
          <w:szCs w:val="24"/>
        </w:rPr>
        <w:t>eur a poľnohospodárske fondy vo výške 578</w:t>
      </w:r>
      <w:r>
        <w:rPr>
          <w:szCs w:val="24"/>
        </w:rPr>
        <w:t> </w:t>
      </w:r>
      <w:r w:rsidRPr="00F73B54">
        <w:rPr>
          <w:szCs w:val="24"/>
        </w:rPr>
        <w:t>911</w:t>
      </w:r>
      <w:r>
        <w:rPr>
          <w:szCs w:val="24"/>
        </w:rPr>
        <w:t> </w:t>
      </w:r>
      <w:r w:rsidRPr="00F73B54">
        <w:rPr>
          <w:szCs w:val="24"/>
        </w:rPr>
        <w:t>tis.</w:t>
      </w:r>
      <w:r>
        <w:rPr>
          <w:szCs w:val="24"/>
        </w:rPr>
        <w:t> </w:t>
      </w:r>
      <w:r w:rsidRPr="00F73B54">
        <w:rPr>
          <w:szCs w:val="24"/>
        </w:rPr>
        <w:t>eur), teda v rovnakej výške ako príjmy z rozpočtu EÚ.</w:t>
      </w:r>
    </w:p>
    <w:p w14:paraId="1C7E04D1" w14:textId="77777777" w:rsidR="00F73B54" w:rsidRPr="00F73B54" w:rsidRDefault="00F73B54" w:rsidP="00F73B54">
      <w:pPr>
        <w:spacing w:line="240" w:lineRule="auto"/>
        <w:jc w:val="both"/>
        <w:rPr>
          <w:szCs w:val="24"/>
        </w:rPr>
      </w:pPr>
    </w:p>
    <w:p w14:paraId="0DBB82A8" w14:textId="0A6052F7" w:rsidR="00F73B54" w:rsidRDefault="00F73B54" w:rsidP="00F73B54">
      <w:pPr>
        <w:spacing w:line="240" w:lineRule="auto"/>
        <w:jc w:val="both"/>
        <w:rPr>
          <w:szCs w:val="24"/>
        </w:rPr>
      </w:pPr>
      <w:r w:rsidRPr="00F73B54">
        <w:rPr>
          <w:szCs w:val="24"/>
        </w:rPr>
        <w:t>Rozpočet výdavkov za prostriedky EÚ bol v roku 2025 upravený predovšetkým o nevyčerpané prostriedky z predchádzajúcich rokov v zmysle §</w:t>
      </w:r>
      <w:r>
        <w:rPr>
          <w:szCs w:val="24"/>
        </w:rPr>
        <w:t> </w:t>
      </w:r>
      <w:r w:rsidRPr="00F73B54">
        <w:rPr>
          <w:szCs w:val="24"/>
        </w:rPr>
        <w:t>8 zákona o rozpočtových pravidlách na</w:t>
      </w:r>
      <w:r>
        <w:rPr>
          <w:szCs w:val="24"/>
        </w:rPr>
        <w:t> </w:t>
      </w:r>
      <w:r w:rsidRPr="00F73B54">
        <w:rPr>
          <w:szCs w:val="24"/>
        </w:rPr>
        <w:t xml:space="preserve">úroveň </w:t>
      </w:r>
      <w:r w:rsidRPr="00F73B54">
        <w:rPr>
          <w:b/>
          <w:bCs/>
          <w:szCs w:val="24"/>
        </w:rPr>
        <w:t>2</w:t>
      </w:r>
      <w:r>
        <w:rPr>
          <w:b/>
          <w:bCs/>
          <w:szCs w:val="24"/>
        </w:rPr>
        <w:t> </w:t>
      </w:r>
      <w:r w:rsidRPr="00F73B54">
        <w:rPr>
          <w:b/>
          <w:bCs/>
          <w:szCs w:val="24"/>
        </w:rPr>
        <w:t>628</w:t>
      </w:r>
      <w:r>
        <w:rPr>
          <w:b/>
          <w:bCs/>
          <w:szCs w:val="24"/>
        </w:rPr>
        <w:t> </w:t>
      </w:r>
      <w:r w:rsidRPr="00F73B54">
        <w:rPr>
          <w:b/>
          <w:bCs/>
          <w:szCs w:val="24"/>
        </w:rPr>
        <w:t>362</w:t>
      </w:r>
      <w:r>
        <w:rPr>
          <w:b/>
          <w:bCs/>
          <w:szCs w:val="24"/>
        </w:rPr>
        <w:t> </w:t>
      </w:r>
      <w:r w:rsidRPr="00F73B54">
        <w:rPr>
          <w:b/>
          <w:bCs/>
          <w:szCs w:val="24"/>
        </w:rPr>
        <w:t>tis.</w:t>
      </w:r>
      <w:r>
        <w:rPr>
          <w:b/>
          <w:bCs/>
          <w:szCs w:val="24"/>
        </w:rPr>
        <w:t> </w:t>
      </w:r>
      <w:r w:rsidRPr="00F73B54">
        <w:rPr>
          <w:b/>
          <w:bCs/>
          <w:szCs w:val="24"/>
        </w:rPr>
        <w:t>eur</w:t>
      </w:r>
      <w:r w:rsidRPr="00F73B54">
        <w:rPr>
          <w:szCs w:val="24"/>
        </w:rPr>
        <w:t xml:space="preserve"> (z toho štrukturálne operácie MF SR vo výške 1</w:t>
      </w:r>
      <w:r>
        <w:rPr>
          <w:szCs w:val="24"/>
        </w:rPr>
        <w:t> </w:t>
      </w:r>
      <w:r w:rsidRPr="00F73B54">
        <w:rPr>
          <w:szCs w:val="24"/>
        </w:rPr>
        <w:t>354</w:t>
      </w:r>
      <w:r>
        <w:rPr>
          <w:szCs w:val="24"/>
        </w:rPr>
        <w:t> </w:t>
      </w:r>
      <w:r w:rsidRPr="00F73B54">
        <w:rPr>
          <w:szCs w:val="24"/>
        </w:rPr>
        <w:t>469</w:t>
      </w:r>
      <w:r>
        <w:rPr>
          <w:szCs w:val="24"/>
        </w:rPr>
        <w:t> </w:t>
      </w:r>
      <w:r w:rsidRPr="00F73B54">
        <w:rPr>
          <w:szCs w:val="24"/>
        </w:rPr>
        <w:t>tis.</w:t>
      </w:r>
      <w:r>
        <w:rPr>
          <w:szCs w:val="24"/>
        </w:rPr>
        <w:t> </w:t>
      </w:r>
      <w:r w:rsidRPr="00F73B54">
        <w:rPr>
          <w:szCs w:val="24"/>
        </w:rPr>
        <w:t>eur, štrukturálne operácie MV SR vo výške 8</w:t>
      </w:r>
      <w:r>
        <w:rPr>
          <w:szCs w:val="24"/>
        </w:rPr>
        <w:t> </w:t>
      </w:r>
      <w:r w:rsidRPr="00F73B54">
        <w:rPr>
          <w:szCs w:val="24"/>
        </w:rPr>
        <w:t>249</w:t>
      </w:r>
      <w:r>
        <w:rPr>
          <w:szCs w:val="24"/>
        </w:rPr>
        <w:t> </w:t>
      </w:r>
      <w:r w:rsidRPr="00F73B54">
        <w:rPr>
          <w:szCs w:val="24"/>
        </w:rPr>
        <w:t>tis.</w:t>
      </w:r>
      <w:r>
        <w:rPr>
          <w:szCs w:val="24"/>
        </w:rPr>
        <w:t> </w:t>
      </w:r>
      <w:r w:rsidRPr="00F73B54">
        <w:rPr>
          <w:szCs w:val="24"/>
        </w:rPr>
        <w:t>eur a poľnohospodárske fondy vo</w:t>
      </w:r>
      <w:r>
        <w:rPr>
          <w:szCs w:val="24"/>
        </w:rPr>
        <w:t> </w:t>
      </w:r>
      <w:r w:rsidRPr="00F73B54">
        <w:rPr>
          <w:szCs w:val="24"/>
        </w:rPr>
        <w:t>výške 1</w:t>
      </w:r>
      <w:r>
        <w:rPr>
          <w:szCs w:val="24"/>
        </w:rPr>
        <w:t> </w:t>
      </w:r>
      <w:r w:rsidRPr="00F73B54">
        <w:rPr>
          <w:szCs w:val="24"/>
        </w:rPr>
        <w:t>265</w:t>
      </w:r>
      <w:r>
        <w:rPr>
          <w:szCs w:val="24"/>
        </w:rPr>
        <w:t> </w:t>
      </w:r>
      <w:r w:rsidRPr="00F73B54">
        <w:rPr>
          <w:szCs w:val="24"/>
        </w:rPr>
        <w:t>644</w:t>
      </w:r>
      <w:r>
        <w:rPr>
          <w:szCs w:val="24"/>
        </w:rPr>
        <w:t> </w:t>
      </w:r>
      <w:r w:rsidRPr="00F73B54">
        <w:rPr>
          <w:szCs w:val="24"/>
        </w:rPr>
        <w:t>tis.</w:t>
      </w:r>
      <w:r>
        <w:rPr>
          <w:szCs w:val="24"/>
        </w:rPr>
        <w:t> </w:t>
      </w:r>
      <w:r w:rsidRPr="00F73B54">
        <w:rPr>
          <w:szCs w:val="24"/>
        </w:rPr>
        <w:t>eur). Výšku upraveného rozpočtu tak priamo ovplyvňuje výška skutočného čerpania výdavkov v predchádzajúcom roku.</w:t>
      </w:r>
    </w:p>
    <w:p w14:paraId="401CC7E7" w14:textId="77777777" w:rsidR="00F73B54" w:rsidRPr="00F73B54" w:rsidRDefault="00F73B54" w:rsidP="00F73B54">
      <w:pPr>
        <w:spacing w:line="240" w:lineRule="auto"/>
        <w:jc w:val="both"/>
        <w:rPr>
          <w:szCs w:val="24"/>
        </w:rPr>
      </w:pPr>
    </w:p>
    <w:p w14:paraId="122571CD" w14:textId="42DB7172" w:rsidR="00F73B54" w:rsidRPr="00F73B54" w:rsidRDefault="00F73B54" w:rsidP="00F73B54">
      <w:pPr>
        <w:spacing w:line="240" w:lineRule="auto"/>
        <w:jc w:val="both"/>
        <w:rPr>
          <w:szCs w:val="24"/>
        </w:rPr>
      </w:pPr>
      <w:r w:rsidRPr="00F73B54">
        <w:rPr>
          <w:szCs w:val="24"/>
        </w:rPr>
        <w:t xml:space="preserve">Skutočné čerpanie výdavkov za prostriedky EÚ bolo vo výške </w:t>
      </w:r>
      <w:r w:rsidRPr="00F73B54">
        <w:rPr>
          <w:b/>
          <w:bCs/>
          <w:szCs w:val="24"/>
        </w:rPr>
        <w:t>2 399</w:t>
      </w:r>
      <w:r>
        <w:rPr>
          <w:b/>
          <w:bCs/>
          <w:szCs w:val="24"/>
        </w:rPr>
        <w:t> </w:t>
      </w:r>
      <w:r w:rsidRPr="00F73B54">
        <w:rPr>
          <w:b/>
          <w:bCs/>
          <w:szCs w:val="24"/>
        </w:rPr>
        <w:t>475</w:t>
      </w:r>
      <w:r>
        <w:rPr>
          <w:b/>
          <w:bCs/>
          <w:szCs w:val="24"/>
        </w:rPr>
        <w:t> </w:t>
      </w:r>
      <w:r w:rsidRPr="00F73B54">
        <w:rPr>
          <w:b/>
          <w:bCs/>
          <w:szCs w:val="24"/>
        </w:rPr>
        <w:t>tis.</w:t>
      </w:r>
      <w:r>
        <w:rPr>
          <w:b/>
          <w:bCs/>
          <w:szCs w:val="24"/>
        </w:rPr>
        <w:t> </w:t>
      </w:r>
      <w:r w:rsidRPr="00F73B54">
        <w:rPr>
          <w:b/>
          <w:bCs/>
          <w:szCs w:val="24"/>
        </w:rPr>
        <w:t>eur</w:t>
      </w:r>
      <w:r w:rsidRPr="00F73B54">
        <w:rPr>
          <w:szCs w:val="24"/>
        </w:rPr>
        <w:t xml:space="preserve"> (z</w:t>
      </w:r>
      <w:r>
        <w:rPr>
          <w:szCs w:val="24"/>
        </w:rPr>
        <w:t> </w:t>
      </w:r>
      <w:r w:rsidRPr="00F73B54">
        <w:rPr>
          <w:szCs w:val="24"/>
        </w:rPr>
        <w:t>toho štrukturálne operácie MF SR vo výške 1</w:t>
      </w:r>
      <w:r>
        <w:rPr>
          <w:szCs w:val="24"/>
        </w:rPr>
        <w:t> </w:t>
      </w:r>
      <w:r w:rsidRPr="00F73B54">
        <w:rPr>
          <w:szCs w:val="24"/>
        </w:rPr>
        <w:t>352</w:t>
      </w:r>
      <w:r>
        <w:rPr>
          <w:szCs w:val="24"/>
        </w:rPr>
        <w:t> </w:t>
      </w:r>
      <w:r w:rsidRPr="00F73B54">
        <w:rPr>
          <w:szCs w:val="24"/>
        </w:rPr>
        <w:t>121</w:t>
      </w:r>
      <w:r>
        <w:rPr>
          <w:szCs w:val="24"/>
        </w:rPr>
        <w:t> </w:t>
      </w:r>
      <w:r w:rsidRPr="00F73B54">
        <w:rPr>
          <w:szCs w:val="24"/>
        </w:rPr>
        <w:t>tis.</w:t>
      </w:r>
      <w:r>
        <w:rPr>
          <w:szCs w:val="24"/>
        </w:rPr>
        <w:t> </w:t>
      </w:r>
      <w:r w:rsidRPr="00F73B54">
        <w:rPr>
          <w:szCs w:val="24"/>
        </w:rPr>
        <w:t>eur, štrukturálne operácie MV SR vo</w:t>
      </w:r>
      <w:r>
        <w:rPr>
          <w:szCs w:val="24"/>
        </w:rPr>
        <w:t> </w:t>
      </w:r>
      <w:r w:rsidRPr="00F73B54">
        <w:rPr>
          <w:szCs w:val="24"/>
        </w:rPr>
        <w:t>výške 8</w:t>
      </w:r>
      <w:r>
        <w:rPr>
          <w:szCs w:val="24"/>
        </w:rPr>
        <w:t> </w:t>
      </w:r>
      <w:r w:rsidRPr="00F73B54">
        <w:rPr>
          <w:szCs w:val="24"/>
        </w:rPr>
        <w:t>249</w:t>
      </w:r>
      <w:r>
        <w:rPr>
          <w:szCs w:val="24"/>
        </w:rPr>
        <w:t> </w:t>
      </w:r>
      <w:r w:rsidRPr="00F73B54">
        <w:rPr>
          <w:szCs w:val="24"/>
        </w:rPr>
        <w:t>tis.</w:t>
      </w:r>
      <w:r>
        <w:rPr>
          <w:szCs w:val="24"/>
        </w:rPr>
        <w:t> </w:t>
      </w:r>
      <w:r w:rsidRPr="00F73B54">
        <w:rPr>
          <w:szCs w:val="24"/>
        </w:rPr>
        <w:t>eur a poľnohospodárske fondy vo výške 1</w:t>
      </w:r>
      <w:r>
        <w:rPr>
          <w:szCs w:val="24"/>
        </w:rPr>
        <w:t> </w:t>
      </w:r>
      <w:r w:rsidRPr="00F73B54">
        <w:rPr>
          <w:szCs w:val="24"/>
        </w:rPr>
        <w:t>039</w:t>
      </w:r>
      <w:r>
        <w:rPr>
          <w:szCs w:val="24"/>
        </w:rPr>
        <w:t> </w:t>
      </w:r>
      <w:r w:rsidRPr="00F73B54">
        <w:rPr>
          <w:szCs w:val="24"/>
        </w:rPr>
        <w:t>105</w:t>
      </w:r>
      <w:r>
        <w:rPr>
          <w:szCs w:val="24"/>
        </w:rPr>
        <w:t> </w:t>
      </w:r>
      <w:r w:rsidRPr="00F73B54">
        <w:rPr>
          <w:szCs w:val="24"/>
        </w:rPr>
        <w:t>tis.</w:t>
      </w:r>
      <w:r>
        <w:rPr>
          <w:szCs w:val="24"/>
        </w:rPr>
        <w:t> </w:t>
      </w:r>
      <w:r w:rsidRPr="00F73B54">
        <w:rPr>
          <w:szCs w:val="24"/>
        </w:rPr>
        <w:t>eur).</w:t>
      </w:r>
    </w:p>
    <w:p w14:paraId="31CFA4C2" w14:textId="77777777" w:rsidR="00F73B54" w:rsidRPr="00F73B54" w:rsidRDefault="00F73B54" w:rsidP="00532D85">
      <w:pPr>
        <w:spacing w:line="240" w:lineRule="auto"/>
        <w:jc w:val="both"/>
      </w:pPr>
    </w:p>
    <w:p w14:paraId="02D92E58" w14:textId="122E17A3" w:rsidR="00291B58" w:rsidRPr="00AA3649" w:rsidRDefault="00291B58" w:rsidP="00532D85">
      <w:pPr>
        <w:pStyle w:val="Popis"/>
        <w:jc w:val="both"/>
      </w:pPr>
      <w:bookmarkStart w:id="159" w:name="_Toc196313667"/>
      <w:bookmarkStart w:id="160" w:name="_Toc227670177"/>
      <w:r w:rsidRPr="00AA3649">
        <w:t xml:space="preserve">Tabuľka </w:t>
      </w:r>
      <w:r w:rsidRPr="00AA3649">
        <w:rPr>
          <w:i/>
        </w:rPr>
        <w:fldChar w:fldCharType="begin"/>
      </w:r>
      <w:r w:rsidRPr="00AA3649">
        <w:instrText xml:space="preserve"> SEQ Tabuľka \* ARABIC </w:instrText>
      </w:r>
      <w:r w:rsidRPr="00AA3649">
        <w:rPr>
          <w:i/>
        </w:rPr>
        <w:fldChar w:fldCharType="separate"/>
      </w:r>
      <w:r w:rsidR="00396BE8">
        <w:rPr>
          <w:noProof/>
        </w:rPr>
        <w:t>41</w:t>
      </w:r>
      <w:r w:rsidRPr="00AA3649">
        <w:rPr>
          <w:i/>
        </w:rPr>
        <w:fldChar w:fldCharType="end"/>
      </w:r>
      <w:r w:rsidRPr="00AA3649">
        <w:t xml:space="preserve"> - Výdavky za prostriedky EÚ</w:t>
      </w:r>
      <w:bookmarkEnd w:id="159"/>
      <w:bookmarkEnd w:id="160"/>
    </w:p>
    <w:tbl>
      <w:tblPr>
        <w:tblW w:w="5000" w:type="pct"/>
        <w:tblCellMar>
          <w:left w:w="70" w:type="dxa"/>
          <w:right w:w="70" w:type="dxa"/>
        </w:tblCellMar>
        <w:tblLook w:val="04A0" w:firstRow="1" w:lastRow="0" w:firstColumn="1" w:lastColumn="0" w:noHBand="0" w:noVBand="1"/>
      </w:tblPr>
      <w:tblGrid>
        <w:gridCol w:w="3547"/>
        <w:gridCol w:w="964"/>
        <w:gridCol w:w="963"/>
        <w:gridCol w:w="963"/>
        <w:gridCol w:w="963"/>
        <w:gridCol w:w="963"/>
        <w:gridCol w:w="707"/>
      </w:tblGrid>
      <w:tr w:rsidR="00AA3649" w:rsidRPr="001E018A" w14:paraId="5375A814" w14:textId="77777777" w:rsidTr="001E018A">
        <w:trPr>
          <w:trHeight w:val="348"/>
          <w:tblHeader/>
        </w:trPr>
        <w:tc>
          <w:tcPr>
            <w:tcW w:w="1955" w:type="pct"/>
            <w:vMerge w:val="restart"/>
            <w:tcBorders>
              <w:top w:val="single" w:sz="4" w:space="0" w:color="auto"/>
            </w:tcBorders>
            <w:vAlign w:val="center"/>
            <w:hideMark/>
          </w:tcPr>
          <w:p w14:paraId="50B8AD40" w14:textId="77777777" w:rsidR="00AA3649" w:rsidRPr="001E018A" w:rsidRDefault="00AA3649" w:rsidP="00B6745A">
            <w:pPr>
              <w:rPr>
                <w:b/>
                <w:bCs/>
                <w:sz w:val="18"/>
                <w:szCs w:val="18"/>
              </w:rPr>
            </w:pPr>
            <w:r w:rsidRPr="001E018A">
              <w:rPr>
                <w:b/>
                <w:bCs/>
                <w:sz w:val="18"/>
                <w:szCs w:val="18"/>
              </w:rPr>
              <w:t>v tis. eur</w:t>
            </w:r>
          </w:p>
        </w:tc>
        <w:tc>
          <w:tcPr>
            <w:tcW w:w="531" w:type="pct"/>
            <w:tcBorders>
              <w:top w:val="single" w:sz="4" w:space="0" w:color="auto"/>
            </w:tcBorders>
            <w:vAlign w:val="center"/>
            <w:hideMark/>
          </w:tcPr>
          <w:p w14:paraId="57DB631D" w14:textId="77777777" w:rsidR="00AA3649" w:rsidRPr="001E018A" w:rsidRDefault="00AA3649" w:rsidP="00B6745A">
            <w:pPr>
              <w:spacing w:line="360" w:lineRule="auto"/>
              <w:jc w:val="center"/>
              <w:rPr>
                <w:b/>
                <w:bCs/>
                <w:sz w:val="18"/>
                <w:szCs w:val="18"/>
              </w:rPr>
            </w:pPr>
            <w:r w:rsidRPr="001E018A">
              <w:rPr>
                <w:b/>
                <w:bCs/>
                <w:color w:val="000000"/>
                <w:sz w:val="18"/>
                <w:szCs w:val="18"/>
              </w:rPr>
              <w:t>2023 S</w:t>
            </w:r>
          </w:p>
        </w:tc>
        <w:tc>
          <w:tcPr>
            <w:tcW w:w="531" w:type="pct"/>
            <w:tcBorders>
              <w:top w:val="single" w:sz="4" w:space="0" w:color="auto"/>
            </w:tcBorders>
            <w:vAlign w:val="center"/>
            <w:hideMark/>
          </w:tcPr>
          <w:p w14:paraId="16763AD6" w14:textId="77777777" w:rsidR="00AA3649" w:rsidRPr="001E018A" w:rsidRDefault="00AA3649" w:rsidP="00B6745A">
            <w:pPr>
              <w:spacing w:line="360" w:lineRule="auto"/>
              <w:jc w:val="center"/>
              <w:rPr>
                <w:b/>
                <w:bCs/>
                <w:sz w:val="18"/>
                <w:szCs w:val="18"/>
              </w:rPr>
            </w:pPr>
            <w:r w:rsidRPr="001E018A">
              <w:rPr>
                <w:b/>
                <w:bCs/>
                <w:color w:val="000000"/>
                <w:sz w:val="18"/>
                <w:szCs w:val="18"/>
              </w:rPr>
              <w:t>2024 S</w:t>
            </w:r>
          </w:p>
        </w:tc>
        <w:tc>
          <w:tcPr>
            <w:tcW w:w="531" w:type="pct"/>
            <w:tcBorders>
              <w:top w:val="single" w:sz="4" w:space="0" w:color="auto"/>
            </w:tcBorders>
            <w:vAlign w:val="center"/>
            <w:hideMark/>
          </w:tcPr>
          <w:p w14:paraId="50BBDB6A" w14:textId="77777777" w:rsidR="00AA3649" w:rsidRPr="001E018A" w:rsidRDefault="00AA3649" w:rsidP="00B6745A">
            <w:pPr>
              <w:spacing w:line="360" w:lineRule="auto"/>
              <w:jc w:val="center"/>
              <w:rPr>
                <w:b/>
                <w:bCs/>
                <w:sz w:val="18"/>
                <w:szCs w:val="18"/>
              </w:rPr>
            </w:pPr>
            <w:r w:rsidRPr="001E018A">
              <w:rPr>
                <w:b/>
                <w:bCs/>
                <w:color w:val="000000"/>
                <w:sz w:val="18"/>
                <w:szCs w:val="18"/>
              </w:rPr>
              <w:t>2025 R</w:t>
            </w:r>
          </w:p>
        </w:tc>
        <w:tc>
          <w:tcPr>
            <w:tcW w:w="531" w:type="pct"/>
            <w:tcBorders>
              <w:top w:val="single" w:sz="4" w:space="0" w:color="auto"/>
            </w:tcBorders>
            <w:vAlign w:val="center"/>
            <w:hideMark/>
          </w:tcPr>
          <w:p w14:paraId="51DD49C6" w14:textId="77777777" w:rsidR="00AA3649" w:rsidRPr="001E018A" w:rsidRDefault="00AA3649" w:rsidP="00B6745A">
            <w:pPr>
              <w:spacing w:line="360" w:lineRule="auto"/>
              <w:jc w:val="center"/>
              <w:rPr>
                <w:b/>
                <w:bCs/>
                <w:sz w:val="18"/>
                <w:szCs w:val="18"/>
              </w:rPr>
            </w:pPr>
            <w:r w:rsidRPr="001E018A">
              <w:rPr>
                <w:b/>
                <w:bCs/>
                <w:color w:val="000000"/>
                <w:sz w:val="18"/>
                <w:szCs w:val="18"/>
              </w:rPr>
              <w:t>2025 S</w:t>
            </w:r>
          </w:p>
        </w:tc>
        <w:tc>
          <w:tcPr>
            <w:tcW w:w="531" w:type="pct"/>
            <w:tcBorders>
              <w:top w:val="single" w:sz="4" w:space="0" w:color="auto"/>
            </w:tcBorders>
            <w:vAlign w:val="center"/>
            <w:hideMark/>
          </w:tcPr>
          <w:p w14:paraId="316409B9" w14:textId="77777777" w:rsidR="00AA3649" w:rsidRPr="001E018A" w:rsidRDefault="00AA3649" w:rsidP="00B6745A">
            <w:pPr>
              <w:spacing w:line="360" w:lineRule="auto"/>
              <w:jc w:val="center"/>
              <w:rPr>
                <w:b/>
                <w:bCs/>
                <w:sz w:val="18"/>
                <w:szCs w:val="18"/>
              </w:rPr>
            </w:pPr>
            <w:r w:rsidRPr="001E018A">
              <w:rPr>
                <w:b/>
                <w:bCs/>
                <w:color w:val="000000"/>
                <w:sz w:val="18"/>
                <w:szCs w:val="18"/>
              </w:rPr>
              <w:t>Rozdiel</w:t>
            </w:r>
          </w:p>
        </w:tc>
        <w:tc>
          <w:tcPr>
            <w:tcW w:w="391" w:type="pct"/>
            <w:tcBorders>
              <w:top w:val="single" w:sz="4" w:space="0" w:color="auto"/>
            </w:tcBorders>
            <w:vAlign w:val="center"/>
            <w:hideMark/>
          </w:tcPr>
          <w:p w14:paraId="65D5BB0C" w14:textId="77777777" w:rsidR="00AA3649" w:rsidRPr="001E018A" w:rsidRDefault="00AA3649" w:rsidP="00B6745A">
            <w:pPr>
              <w:spacing w:line="360" w:lineRule="auto"/>
              <w:jc w:val="center"/>
              <w:rPr>
                <w:b/>
                <w:bCs/>
                <w:sz w:val="18"/>
                <w:szCs w:val="18"/>
              </w:rPr>
            </w:pPr>
            <w:r w:rsidRPr="001E018A">
              <w:rPr>
                <w:b/>
                <w:bCs/>
                <w:color w:val="000000"/>
                <w:sz w:val="18"/>
                <w:szCs w:val="18"/>
              </w:rPr>
              <w:t>v %</w:t>
            </w:r>
          </w:p>
        </w:tc>
      </w:tr>
      <w:tr w:rsidR="00AA3649" w:rsidRPr="001E018A" w14:paraId="2B5A26C1" w14:textId="77777777" w:rsidTr="001E018A">
        <w:trPr>
          <w:trHeight w:val="113"/>
          <w:tblHeader/>
        </w:trPr>
        <w:tc>
          <w:tcPr>
            <w:tcW w:w="1955" w:type="pct"/>
            <w:vMerge/>
            <w:tcBorders>
              <w:bottom w:val="single" w:sz="4" w:space="0" w:color="auto"/>
            </w:tcBorders>
            <w:vAlign w:val="center"/>
          </w:tcPr>
          <w:p w14:paraId="63BDF69B" w14:textId="77777777" w:rsidR="00AA3649" w:rsidRPr="001E018A" w:rsidRDefault="00AA3649" w:rsidP="00B6745A">
            <w:pPr>
              <w:rPr>
                <w:b/>
                <w:bCs/>
                <w:sz w:val="18"/>
                <w:szCs w:val="18"/>
              </w:rPr>
            </w:pPr>
          </w:p>
        </w:tc>
        <w:tc>
          <w:tcPr>
            <w:tcW w:w="531" w:type="pct"/>
            <w:tcBorders>
              <w:bottom w:val="single" w:sz="4" w:space="0" w:color="auto"/>
            </w:tcBorders>
            <w:vAlign w:val="center"/>
          </w:tcPr>
          <w:p w14:paraId="09AA955E" w14:textId="77777777" w:rsidR="00AA3649" w:rsidRPr="001E018A" w:rsidRDefault="00AA3649" w:rsidP="00B6745A">
            <w:pPr>
              <w:spacing w:line="360" w:lineRule="auto"/>
              <w:jc w:val="center"/>
              <w:rPr>
                <w:b/>
                <w:bCs/>
                <w:sz w:val="18"/>
                <w:szCs w:val="18"/>
              </w:rPr>
            </w:pPr>
            <w:r w:rsidRPr="001E018A">
              <w:rPr>
                <w:b/>
                <w:bCs/>
                <w:sz w:val="18"/>
                <w:szCs w:val="18"/>
              </w:rPr>
              <w:t>1</w:t>
            </w:r>
          </w:p>
        </w:tc>
        <w:tc>
          <w:tcPr>
            <w:tcW w:w="531" w:type="pct"/>
            <w:tcBorders>
              <w:bottom w:val="single" w:sz="4" w:space="0" w:color="auto"/>
            </w:tcBorders>
            <w:vAlign w:val="center"/>
          </w:tcPr>
          <w:p w14:paraId="7030F0B1" w14:textId="77777777" w:rsidR="00AA3649" w:rsidRPr="001E018A" w:rsidRDefault="00AA3649" w:rsidP="00B6745A">
            <w:pPr>
              <w:spacing w:line="360" w:lineRule="auto"/>
              <w:jc w:val="center"/>
              <w:rPr>
                <w:b/>
                <w:bCs/>
                <w:sz w:val="18"/>
                <w:szCs w:val="18"/>
              </w:rPr>
            </w:pPr>
            <w:r w:rsidRPr="001E018A">
              <w:rPr>
                <w:b/>
                <w:bCs/>
                <w:sz w:val="18"/>
                <w:szCs w:val="18"/>
              </w:rPr>
              <w:t>2</w:t>
            </w:r>
          </w:p>
        </w:tc>
        <w:tc>
          <w:tcPr>
            <w:tcW w:w="531" w:type="pct"/>
            <w:tcBorders>
              <w:bottom w:val="single" w:sz="4" w:space="0" w:color="auto"/>
            </w:tcBorders>
            <w:vAlign w:val="center"/>
          </w:tcPr>
          <w:p w14:paraId="208EA353" w14:textId="77777777" w:rsidR="00AA3649" w:rsidRPr="001E018A" w:rsidRDefault="00AA3649" w:rsidP="00B6745A">
            <w:pPr>
              <w:spacing w:line="360" w:lineRule="auto"/>
              <w:jc w:val="center"/>
              <w:rPr>
                <w:b/>
                <w:bCs/>
                <w:sz w:val="18"/>
                <w:szCs w:val="18"/>
              </w:rPr>
            </w:pPr>
            <w:r w:rsidRPr="001E018A">
              <w:rPr>
                <w:b/>
                <w:bCs/>
                <w:sz w:val="18"/>
                <w:szCs w:val="18"/>
              </w:rPr>
              <w:t>3</w:t>
            </w:r>
          </w:p>
        </w:tc>
        <w:tc>
          <w:tcPr>
            <w:tcW w:w="531" w:type="pct"/>
            <w:tcBorders>
              <w:bottom w:val="single" w:sz="4" w:space="0" w:color="auto"/>
            </w:tcBorders>
            <w:vAlign w:val="center"/>
          </w:tcPr>
          <w:p w14:paraId="1B1C65B8" w14:textId="77777777" w:rsidR="00AA3649" w:rsidRPr="001E018A" w:rsidRDefault="00AA3649" w:rsidP="00B6745A">
            <w:pPr>
              <w:spacing w:line="360" w:lineRule="auto"/>
              <w:jc w:val="center"/>
              <w:rPr>
                <w:b/>
                <w:bCs/>
                <w:sz w:val="18"/>
                <w:szCs w:val="18"/>
              </w:rPr>
            </w:pPr>
            <w:r w:rsidRPr="001E018A">
              <w:rPr>
                <w:b/>
                <w:bCs/>
                <w:sz w:val="18"/>
                <w:szCs w:val="18"/>
              </w:rPr>
              <w:t>4</w:t>
            </w:r>
          </w:p>
        </w:tc>
        <w:tc>
          <w:tcPr>
            <w:tcW w:w="531" w:type="pct"/>
            <w:tcBorders>
              <w:bottom w:val="single" w:sz="4" w:space="0" w:color="auto"/>
            </w:tcBorders>
            <w:vAlign w:val="center"/>
          </w:tcPr>
          <w:p w14:paraId="2B771105" w14:textId="77777777" w:rsidR="00AA3649" w:rsidRPr="001E018A" w:rsidRDefault="00AA3649" w:rsidP="00B6745A">
            <w:pPr>
              <w:spacing w:line="360" w:lineRule="auto"/>
              <w:jc w:val="center"/>
              <w:rPr>
                <w:b/>
                <w:bCs/>
                <w:sz w:val="18"/>
                <w:szCs w:val="18"/>
              </w:rPr>
            </w:pPr>
            <w:r w:rsidRPr="001E018A">
              <w:rPr>
                <w:b/>
                <w:bCs/>
                <w:sz w:val="18"/>
                <w:szCs w:val="18"/>
              </w:rPr>
              <w:t>5=4-3</w:t>
            </w:r>
          </w:p>
        </w:tc>
        <w:tc>
          <w:tcPr>
            <w:tcW w:w="391" w:type="pct"/>
            <w:tcBorders>
              <w:bottom w:val="single" w:sz="4" w:space="0" w:color="auto"/>
            </w:tcBorders>
            <w:vAlign w:val="center"/>
          </w:tcPr>
          <w:p w14:paraId="11D4CA1B" w14:textId="77777777" w:rsidR="00AA3649" w:rsidRPr="001E018A" w:rsidRDefault="00AA3649" w:rsidP="00B6745A">
            <w:pPr>
              <w:spacing w:line="360" w:lineRule="auto"/>
              <w:jc w:val="center"/>
              <w:rPr>
                <w:b/>
                <w:bCs/>
                <w:sz w:val="18"/>
                <w:szCs w:val="18"/>
              </w:rPr>
            </w:pPr>
            <w:r w:rsidRPr="001E018A">
              <w:rPr>
                <w:b/>
                <w:bCs/>
                <w:sz w:val="18"/>
                <w:szCs w:val="18"/>
              </w:rPr>
              <w:t>6=4-3</w:t>
            </w:r>
          </w:p>
        </w:tc>
      </w:tr>
      <w:tr w:rsidR="00AA3649" w:rsidRPr="001E018A" w14:paraId="19B39252" w14:textId="77777777" w:rsidTr="001E018A">
        <w:trPr>
          <w:trHeight w:val="329"/>
        </w:trPr>
        <w:tc>
          <w:tcPr>
            <w:tcW w:w="1955" w:type="pct"/>
            <w:tcBorders>
              <w:top w:val="single" w:sz="4" w:space="0" w:color="auto"/>
            </w:tcBorders>
            <w:shd w:val="clear" w:color="000000" w:fill="FFFFFF"/>
            <w:vAlign w:val="center"/>
            <w:hideMark/>
          </w:tcPr>
          <w:p w14:paraId="3C8D95C0" w14:textId="77777777" w:rsidR="00AA3649" w:rsidRPr="001E018A" w:rsidRDefault="00AA3649" w:rsidP="00B6745A">
            <w:pPr>
              <w:rPr>
                <w:sz w:val="18"/>
                <w:szCs w:val="18"/>
              </w:rPr>
            </w:pPr>
            <w:r w:rsidRPr="001E018A">
              <w:rPr>
                <w:color w:val="000000"/>
                <w:sz w:val="18"/>
                <w:szCs w:val="18"/>
              </w:rPr>
              <w:t>Poľnohospodárske fondy 3. programové obdobie</w:t>
            </w:r>
          </w:p>
        </w:tc>
        <w:tc>
          <w:tcPr>
            <w:tcW w:w="531" w:type="pct"/>
            <w:tcBorders>
              <w:top w:val="single" w:sz="4" w:space="0" w:color="auto"/>
            </w:tcBorders>
            <w:shd w:val="clear" w:color="000000" w:fill="FFFFFF"/>
            <w:noWrap/>
            <w:vAlign w:val="center"/>
            <w:hideMark/>
          </w:tcPr>
          <w:p w14:paraId="1EB6C636" w14:textId="77777777" w:rsidR="00AA3649" w:rsidRPr="001E018A" w:rsidRDefault="00AA3649" w:rsidP="00B6745A">
            <w:pPr>
              <w:jc w:val="right"/>
              <w:rPr>
                <w:sz w:val="18"/>
                <w:szCs w:val="18"/>
              </w:rPr>
            </w:pPr>
            <w:r w:rsidRPr="001E018A">
              <w:rPr>
                <w:color w:val="000000"/>
                <w:sz w:val="18"/>
                <w:szCs w:val="18"/>
              </w:rPr>
              <w:t>381 232</w:t>
            </w:r>
          </w:p>
        </w:tc>
        <w:tc>
          <w:tcPr>
            <w:tcW w:w="531" w:type="pct"/>
            <w:tcBorders>
              <w:top w:val="single" w:sz="4" w:space="0" w:color="auto"/>
            </w:tcBorders>
            <w:shd w:val="clear" w:color="000000" w:fill="FFFFFF"/>
            <w:noWrap/>
            <w:vAlign w:val="center"/>
            <w:hideMark/>
          </w:tcPr>
          <w:p w14:paraId="64DEC8D3" w14:textId="77777777" w:rsidR="00AA3649" w:rsidRPr="001E018A" w:rsidRDefault="00AA3649" w:rsidP="00B6745A">
            <w:pPr>
              <w:jc w:val="right"/>
              <w:rPr>
                <w:sz w:val="18"/>
                <w:szCs w:val="18"/>
              </w:rPr>
            </w:pPr>
            <w:r w:rsidRPr="001E018A">
              <w:rPr>
                <w:color w:val="000000"/>
                <w:sz w:val="18"/>
                <w:szCs w:val="18"/>
              </w:rPr>
              <w:t>163 206</w:t>
            </w:r>
          </w:p>
        </w:tc>
        <w:tc>
          <w:tcPr>
            <w:tcW w:w="531" w:type="pct"/>
            <w:tcBorders>
              <w:top w:val="single" w:sz="4" w:space="0" w:color="auto"/>
            </w:tcBorders>
            <w:shd w:val="clear" w:color="000000" w:fill="FFFFFF"/>
            <w:noWrap/>
            <w:vAlign w:val="center"/>
            <w:hideMark/>
          </w:tcPr>
          <w:p w14:paraId="51CB443B" w14:textId="77777777" w:rsidR="00AA3649" w:rsidRPr="001E018A" w:rsidRDefault="00AA3649" w:rsidP="00B6745A">
            <w:pPr>
              <w:jc w:val="right"/>
              <w:rPr>
                <w:sz w:val="18"/>
                <w:szCs w:val="18"/>
              </w:rPr>
            </w:pPr>
            <w:r w:rsidRPr="001E018A">
              <w:rPr>
                <w:color w:val="000000"/>
                <w:sz w:val="18"/>
                <w:szCs w:val="18"/>
              </w:rPr>
              <w:t>0</w:t>
            </w:r>
          </w:p>
        </w:tc>
        <w:tc>
          <w:tcPr>
            <w:tcW w:w="531" w:type="pct"/>
            <w:tcBorders>
              <w:top w:val="single" w:sz="4" w:space="0" w:color="auto"/>
            </w:tcBorders>
            <w:shd w:val="clear" w:color="000000" w:fill="FFFFFF"/>
            <w:noWrap/>
            <w:vAlign w:val="center"/>
            <w:hideMark/>
          </w:tcPr>
          <w:p w14:paraId="7E0575C1" w14:textId="77777777" w:rsidR="00AA3649" w:rsidRPr="001E018A" w:rsidRDefault="00AA3649" w:rsidP="00B6745A">
            <w:pPr>
              <w:jc w:val="right"/>
              <w:rPr>
                <w:sz w:val="18"/>
                <w:szCs w:val="18"/>
              </w:rPr>
            </w:pPr>
            <w:r w:rsidRPr="001E018A">
              <w:rPr>
                <w:color w:val="000000"/>
                <w:sz w:val="18"/>
                <w:szCs w:val="18"/>
              </w:rPr>
              <w:t>481 503</w:t>
            </w:r>
          </w:p>
        </w:tc>
        <w:tc>
          <w:tcPr>
            <w:tcW w:w="531" w:type="pct"/>
            <w:tcBorders>
              <w:top w:val="single" w:sz="4" w:space="0" w:color="auto"/>
            </w:tcBorders>
            <w:shd w:val="clear" w:color="000000" w:fill="FFFFFF"/>
            <w:noWrap/>
            <w:vAlign w:val="center"/>
            <w:hideMark/>
          </w:tcPr>
          <w:p w14:paraId="328363A7" w14:textId="77777777" w:rsidR="00AA3649" w:rsidRPr="001E018A" w:rsidRDefault="00AA3649" w:rsidP="00B6745A">
            <w:pPr>
              <w:jc w:val="right"/>
              <w:rPr>
                <w:sz w:val="18"/>
                <w:szCs w:val="18"/>
              </w:rPr>
            </w:pPr>
            <w:r w:rsidRPr="001E018A">
              <w:rPr>
                <w:color w:val="000000"/>
                <w:sz w:val="18"/>
                <w:szCs w:val="18"/>
              </w:rPr>
              <w:t>481 503</w:t>
            </w:r>
          </w:p>
        </w:tc>
        <w:tc>
          <w:tcPr>
            <w:tcW w:w="391" w:type="pct"/>
            <w:tcBorders>
              <w:top w:val="single" w:sz="4" w:space="0" w:color="auto"/>
            </w:tcBorders>
            <w:shd w:val="clear" w:color="000000" w:fill="FFFFFF"/>
            <w:noWrap/>
            <w:vAlign w:val="center"/>
            <w:hideMark/>
          </w:tcPr>
          <w:p w14:paraId="7592BEED" w14:textId="77777777" w:rsidR="00AA3649" w:rsidRPr="001E018A" w:rsidRDefault="00AA3649" w:rsidP="00B6745A">
            <w:pPr>
              <w:jc w:val="right"/>
              <w:rPr>
                <w:sz w:val="18"/>
                <w:szCs w:val="18"/>
              </w:rPr>
            </w:pPr>
            <w:r w:rsidRPr="001E018A">
              <w:rPr>
                <w:color w:val="000000"/>
                <w:sz w:val="18"/>
                <w:szCs w:val="18"/>
              </w:rPr>
              <w:t>-</w:t>
            </w:r>
          </w:p>
        </w:tc>
      </w:tr>
      <w:tr w:rsidR="00AA3649" w:rsidRPr="001E018A" w14:paraId="415E1D10" w14:textId="77777777" w:rsidTr="001E018A">
        <w:trPr>
          <w:trHeight w:val="329"/>
        </w:trPr>
        <w:tc>
          <w:tcPr>
            <w:tcW w:w="1955" w:type="pct"/>
            <w:shd w:val="clear" w:color="000000" w:fill="FFFFFF"/>
            <w:vAlign w:val="center"/>
          </w:tcPr>
          <w:p w14:paraId="19010FF6" w14:textId="77777777" w:rsidR="00AA3649" w:rsidRPr="001E018A" w:rsidRDefault="00AA3649" w:rsidP="00B6745A">
            <w:pPr>
              <w:rPr>
                <w:sz w:val="18"/>
                <w:szCs w:val="18"/>
              </w:rPr>
            </w:pPr>
            <w:r w:rsidRPr="001E018A">
              <w:rPr>
                <w:color w:val="000000"/>
                <w:sz w:val="18"/>
                <w:szCs w:val="18"/>
              </w:rPr>
              <w:t>Poľnohospodárske fondy 4. programové obdobie</w:t>
            </w:r>
          </w:p>
        </w:tc>
        <w:tc>
          <w:tcPr>
            <w:tcW w:w="531" w:type="pct"/>
            <w:shd w:val="clear" w:color="000000" w:fill="FFFFFF"/>
            <w:noWrap/>
            <w:vAlign w:val="center"/>
          </w:tcPr>
          <w:p w14:paraId="58CDFE5F" w14:textId="77777777" w:rsidR="00AA3649" w:rsidRPr="001E018A" w:rsidRDefault="00AA3649" w:rsidP="00B6745A">
            <w:pPr>
              <w:jc w:val="right"/>
              <w:rPr>
                <w:sz w:val="18"/>
                <w:szCs w:val="18"/>
              </w:rPr>
            </w:pPr>
            <w:r w:rsidRPr="001E018A">
              <w:rPr>
                <w:color w:val="000000"/>
                <w:sz w:val="18"/>
                <w:szCs w:val="18"/>
              </w:rPr>
              <w:t>124 883</w:t>
            </w:r>
          </w:p>
        </w:tc>
        <w:tc>
          <w:tcPr>
            <w:tcW w:w="531" w:type="pct"/>
            <w:shd w:val="clear" w:color="000000" w:fill="FFFFFF"/>
            <w:noWrap/>
            <w:vAlign w:val="center"/>
          </w:tcPr>
          <w:p w14:paraId="71A47094" w14:textId="77777777" w:rsidR="00AA3649" w:rsidRPr="001E018A" w:rsidRDefault="00AA3649" w:rsidP="00B6745A">
            <w:pPr>
              <w:jc w:val="right"/>
              <w:rPr>
                <w:sz w:val="18"/>
                <w:szCs w:val="18"/>
              </w:rPr>
            </w:pPr>
            <w:r w:rsidRPr="001E018A">
              <w:rPr>
                <w:color w:val="000000"/>
                <w:sz w:val="18"/>
                <w:szCs w:val="18"/>
              </w:rPr>
              <w:t>770 260</w:t>
            </w:r>
          </w:p>
        </w:tc>
        <w:tc>
          <w:tcPr>
            <w:tcW w:w="531" w:type="pct"/>
            <w:shd w:val="clear" w:color="000000" w:fill="FFFFFF"/>
            <w:noWrap/>
            <w:vAlign w:val="center"/>
          </w:tcPr>
          <w:p w14:paraId="4C7FD773" w14:textId="77777777" w:rsidR="00AA3649" w:rsidRPr="001E018A" w:rsidRDefault="00AA3649" w:rsidP="00B6745A">
            <w:pPr>
              <w:jc w:val="right"/>
              <w:rPr>
                <w:sz w:val="18"/>
                <w:szCs w:val="18"/>
              </w:rPr>
            </w:pPr>
            <w:r w:rsidRPr="001E018A">
              <w:rPr>
                <w:color w:val="000000"/>
                <w:sz w:val="18"/>
                <w:szCs w:val="18"/>
              </w:rPr>
              <w:t>578 911</w:t>
            </w:r>
          </w:p>
        </w:tc>
        <w:tc>
          <w:tcPr>
            <w:tcW w:w="531" w:type="pct"/>
            <w:shd w:val="clear" w:color="000000" w:fill="FFFFFF"/>
            <w:noWrap/>
            <w:vAlign w:val="center"/>
          </w:tcPr>
          <w:p w14:paraId="5F793004" w14:textId="77777777" w:rsidR="00AA3649" w:rsidRPr="001E018A" w:rsidRDefault="00AA3649" w:rsidP="00B6745A">
            <w:pPr>
              <w:jc w:val="right"/>
              <w:rPr>
                <w:sz w:val="18"/>
                <w:szCs w:val="18"/>
              </w:rPr>
            </w:pPr>
            <w:r w:rsidRPr="001E018A">
              <w:rPr>
                <w:color w:val="000000"/>
                <w:sz w:val="18"/>
                <w:szCs w:val="18"/>
              </w:rPr>
              <w:t>557 602</w:t>
            </w:r>
          </w:p>
        </w:tc>
        <w:tc>
          <w:tcPr>
            <w:tcW w:w="531" w:type="pct"/>
            <w:shd w:val="clear" w:color="000000" w:fill="FFFFFF"/>
            <w:noWrap/>
            <w:vAlign w:val="center"/>
          </w:tcPr>
          <w:p w14:paraId="4733F01B" w14:textId="77777777" w:rsidR="00AA3649" w:rsidRPr="001E018A" w:rsidRDefault="00AA3649" w:rsidP="00B6745A">
            <w:pPr>
              <w:jc w:val="right"/>
              <w:rPr>
                <w:sz w:val="18"/>
                <w:szCs w:val="18"/>
              </w:rPr>
            </w:pPr>
            <w:r w:rsidRPr="001E018A">
              <w:rPr>
                <w:color w:val="000000"/>
                <w:sz w:val="18"/>
                <w:szCs w:val="18"/>
              </w:rPr>
              <w:t>-21 309</w:t>
            </w:r>
          </w:p>
        </w:tc>
        <w:tc>
          <w:tcPr>
            <w:tcW w:w="391" w:type="pct"/>
            <w:shd w:val="clear" w:color="000000" w:fill="FFFFFF"/>
            <w:noWrap/>
            <w:vAlign w:val="center"/>
          </w:tcPr>
          <w:p w14:paraId="2E8F0FCE" w14:textId="77777777" w:rsidR="00AA3649" w:rsidRPr="001E018A" w:rsidRDefault="00AA3649" w:rsidP="00B6745A">
            <w:pPr>
              <w:jc w:val="right"/>
              <w:rPr>
                <w:sz w:val="18"/>
                <w:szCs w:val="18"/>
              </w:rPr>
            </w:pPr>
            <w:r w:rsidRPr="001E018A">
              <w:rPr>
                <w:color w:val="000000"/>
                <w:sz w:val="18"/>
                <w:szCs w:val="18"/>
              </w:rPr>
              <w:t>-3,7</w:t>
            </w:r>
          </w:p>
        </w:tc>
      </w:tr>
      <w:tr w:rsidR="00AA3649" w:rsidRPr="001E018A" w14:paraId="1280380A" w14:textId="77777777" w:rsidTr="001E018A">
        <w:trPr>
          <w:trHeight w:val="329"/>
        </w:trPr>
        <w:tc>
          <w:tcPr>
            <w:tcW w:w="1955" w:type="pct"/>
            <w:shd w:val="clear" w:color="000000" w:fill="FFFFFF"/>
            <w:vAlign w:val="center"/>
            <w:hideMark/>
          </w:tcPr>
          <w:p w14:paraId="528DD6BD" w14:textId="77777777" w:rsidR="00AA3649" w:rsidRPr="001E018A" w:rsidRDefault="00AA3649" w:rsidP="00B6745A">
            <w:pPr>
              <w:rPr>
                <w:b/>
                <w:sz w:val="18"/>
                <w:szCs w:val="18"/>
              </w:rPr>
            </w:pPr>
            <w:r w:rsidRPr="001E018A">
              <w:rPr>
                <w:b/>
                <w:bCs/>
                <w:color w:val="000000"/>
                <w:sz w:val="18"/>
                <w:szCs w:val="18"/>
              </w:rPr>
              <w:t>Poľnohospodárske fondy spolu - MPRV SR</w:t>
            </w:r>
          </w:p>
        </w:tc>
        <w:tc>
          <w:tcPr>
            <w:tcW w:w="531" w:type="pct"/>
            <w:shd w:val="clear" w:color="000000" w:fill="FFFFFF"/>
            <w:noWrap/>
            <w:vAlign w:val="center"/>
            <w:hideMark/>
          </w:tcPr>
          <w:p w14:paraId="2673E807" w14:textId="77777777" w:rsidR="00AA3649" w:rsidRPr="001E018A" w:rsidRDefault="00AA3649" w:rsidP="00B6745A">
            <w:pPr>
              <w:jc w:val="right"/>
              <w:rPr>
                <w:b/>
                <w:sz w:val="18"/>
                <w:szCs w:val="18"/>
              </w:rPr>
            </w:pPr>
            <w:r w:rsidRPr="001E018A">
              <w:rPr>
                <w:b/>
                <w:bCs/>
                <w:color w:val="000000"/>
                <w:sz w:val="18"/>
                <w:szCs w:val="18"/>
              </w:rPr>
              <w:t>506 115</w:t>
            </w:r>
          </w:p>
        </w:tc>
        <w:tc>
          <w:tcPr>
            <w:tcW w:w="531" w:type="pct"/>
            <w:shd w:val="clear" w:color="000000" w:fill="FFFFFF"/>
            <w:noWrap/>
            <w:vAlign w:val="center"/>
            <w:hideMark/>
          </w:tcPr>
          <w:p w14:paraId="47992671" w14:textId="77777777" w:rsidR="00AA3649" w:rsidRPr="001E018A" w:rsidRDefault="00AA3649" w:rsidP="00B6745A">
            <w:pPr>
              <w:jc w:val="right"/>
              <w:rPr>
                <w:b/>
                <w:sz w:val="18"/>
                <w:szCs w:val="18"/>
              </w:rPr>
            </w:pPr>
            <w:r w:rsidRPr="001E018A">
              <w:rPr>
                <w:b/>
                <w:bCs/>
                <w:color w:val="000000"/>
                <w:sz w:val="18"/>
                <w:szCs w:val="18"/>
              </w:rPr>
              <w:t>933 466</w:t>
            </w:r>
          </w:p>
        </w:tc>
        <w:tc>
          <w:tcPr>
            <w:tcW w:w="531" w:type="pct"/>
            <w:shd w:val="clear" w:color="000000" w:fill="FFFFFF"/>
            <w:noWrap/>
            <w:vAlign w:val="center"/>
            <w:hideMark/>
          </w:tcPr>
          <w:p w14:paraId="596484FB" w14:textId="77777777" w:rsidR="00AA3649" w:rsidRPr="001E018A" w:rsidRDefault="00AA3649" w:rsidP="00B6745A">
            <w:pPr>
              <w:jc w:val="right"/>
              <w:rPr>
                <w:b/>
                <w:sz w:val="18"/>
                <w:szCs w:val="18"/>
              </w:rPr>
            </w:pPr>
            <w:r w:rsidRPr="001E018A">
              <w:rPr>
                <w:b/>
                <w:bCs/>
                <w:color w:val="000000"/>
                <w:sz w:val="18"/>
                <w:szCs w:val="18"/>
              </w:rPr>
              <w:t>578 911</w:t>
            </w:r>
          </w:p>
        </w:tc>
        <w:tc>
          <w:tcPr>
            <w:tcW w:w="531" w:type="pct"/>
            <w:shd w:val="clear" w:color="000000" w:fill="FFFFFF"/>
            <w:noWrap/>
            <w:vAlign w:val="center"/>
            <w:hideMark/>
          </w:tcPr>
          <w:p w14:paraId="004E796A" w14:textId="77777777" w:rsidR="00AA3649" w:rsidRPr="001E018A" w:rsidRDefault="00AA3649" w:rsidP="00B6745A">
            <w:pPr>
              <w:jc w:val="right"/>
              <w:rPr>
                <w:b/>
                <w:sz w:val="18"/>
                <w:szCs w:val="18"/>
              </w:rPr>
            </w:pPr>
            <w:r w:rsidRPr="001E018A">
              <w:rPr>
                <w:b/>
                <w:bCs/>
                <w:color w:val="000000"/>
                <w:sz w:val="18"/>
                <w:szCs w:val="18"/>
              </w:rPr>
              <w:t>1 039 105</w:t>
            </w:r>
          </w:p>
        </w:tc>
        <w:tc>
          <w:tcPr>
            <w:tcW w:w="531" w:type="pct"/>
            <w:shd w:val="clear" w:color="000000" w:fill="FFFFFF"/>
            <w:noWrap/>
            <w:vAlign w:val="center"/>
            <w:hideMark/>
          </w:tcPr>
          <w:p w14:paraId="5D947E05" w14:textId="77777777" w:rsidR="00AA3649" w:rsidRPr="001E018A" w:rsidRDefault="00AA3649" w:rsidP="00B6745A">
            <w:pPr>
              <w:jc w:val="right"/>
              <w:rPr>
                <w:b/>
                <w:sz w:val="18"/>
                <w:szCs w:val="18"/>
              </w:rPr>
            </w:pPr>
            <w:r w:rsidRPr="001E018A">
              <w:rPr>
                <w:b/>
                <w:bCs/>
                <w:color w:val="000000"/>
                <w:sz w:val="18"/>
                <w:szCs w:val="18"/>
              </w:rPr>
              <w:t>460 194</w:t>
            </w:r>
          </w:p>
        </w:tc>
        <w:tc>
          <w:tcPr>
            <w:tcW w:w="391" w:type="pct"/>
            <w:shd w:val="clear" w:color="000000" w:fill="FFFFFF"/>
            <w:noWrap/>
            <w:vAlign w:val="center"/>
            <w:hideMark/>
          </w:tcPr>
          <w:p w14:paraId="24B36D98" w14:textId="77777777" w:rsidR="00AA3649" w:rsidRPr="001E018A" w:rsidRDefault="00AA3649" w:rsidP="00B6745A">
            <w:pPr>
              <w:jc w:val="right"/>
              <w:rPr>
                <w:b/>
                <w:sz w:val="18"/>
                <w:szCs w:val="18"/>
              </w:rPr>
            </w:pPr>
            <w:r w:rsidRPr="001E018A">
              <w:rPr>
                <w:b/>
                <w:bCs/>
                <w:color w:val="000000"/>
                <w:sz w:val="18"/>
                <w:szCs w:val="18"/>
              </w:rPr>
              <w:t>79,5</w:t>
            </w:r>
          </w:p>
        </w:tc>
      </w:tr>
      <w:tr w:rsidR="00AA3649" w:rsidRPr="001E018A" w14:paraId="249AE191" w14:textId="77777777" w:rsidTr="001E018A">
        <w:trPr>
          <w:trHeight w:val="329"/>
        </w:trPr>
        <w:tc>
          <w:tcPr>
            <w:tcW w:w="1955" w:type="pct"/>
            <w:shd w:val="clear" w:color="000000" w:fill="FFFFFF"/>
            <w:vAlign w:val="center"/>
            <w:hideMark/>
          </w:tcPr>
          <w:p w14:paraId="5BF2869D" w14:textId="77777777" w:rsidR="00AA3649" w:rsidRPr="001E018A" w:rsidRDefault="00AA3649" w:rsidP="00B6745A">
            <w:pPr>
              <w:rPr>
                <w:sz w:val="18"/>
                <w:szCs w:val="18"/>
              </w:rPr>
            </w:pPr>
            <w:r w:rsidRPr="001E018A">
              <w:rPr>
                <w:color w:val="000000"/>
                <w:sz w:val="18"/>
                <w:szCs w:val="18"/>
              </w:rPr>
              <w:t>Programy 3. programové obdobie*</w:t>
            </w:r>
          </w:p>
        </w:tc>
        <w:tc>
          <w:tcPr>
            <w:tcW w:w="531" w:type="pct"/>
            <w:shd w:val="clear" w:color="000000" w:fill="FFFFFF"/>
            <w:noWrap/>
            <w:vAlign w:val="center"/>
            <w:hideMark/>
          </w:tcPr>
          <w:p w14:paraId="02230A9B" w14:textId="77777777" w:rsidR="00AA3649" w:rsidRPr="001E018A" w:rsidRDefault="00AA3649" w:rsidP="00B6745A">
            <w:pPr>
              <w:jc w:val="right"/>
              <w:rPr>
                <w:sz w:val="18"/>
                <w:szCs w:val="18"/>
              </w:rPr>
            </w:pPr>
            <w:r w:rsidRPr="001E018A">
              <w:rPr>
                <w:color w:val="000000"/>
                <w:sz w:val="18"/>
                <w:szCs w:val="18"/>
              </w:rPr>
              <w:t>4 333 580</w:t>
            </w:r>
          </w:p>
        </w:tc>
        <w:tc>
          <w:tcPr>
            <w:tcW w:w="531" w:type="pct"/>
            <w:shd w:val="clear" w:color="000000" w:fill="FFFFFF"/>
            <w:noWrap/>
            <w:vAlign w:val="center"/>
            <w:hideMark/>
          </w:tcPr>
          <w:p w14:paraId="155AA06C" w14:textId="77777777" w:rsidR="00AA3649" w:rsidRPr="001E018A" w:rsidRDefault="00AA3649" w:rsidP="00B6745A">
            <w:pPr>
              <w:jc w:val="right"/>
              <w:rPr>
                <w:sz w:val="18"/>
                <w:szCs w:val="18"/>
              </w:rPr>
            </w:pPr>
            <w:r w:rsidRPr="001E018A">
              <w:rPr>
                <w:color w:val="000000"/>
                <w:sz w:val="18"/>
                <w:szCs w:val="18"/>
              </w:rPr>
              <w:t>1 364 174</w:t>
            </w:r>
          </w:p>
        </w:tc>
        <w:tc>
          <w:tcPr>
            <w:tcW w:w="531" w:type="pct"/>
            <w:shd w:val="clear" w:color="000000" w:fill="FFFFFF"/>
            <w:noWrap/>
            <w:vAlign w:val="center"/>
            <w:hideMark/>
          </w:tcPr>
          <w:p w14:paraId="50C906FC" w14:textId="77777777" w:rsidR="00AA3649" w:rsidRPr="001E018A" w:rsidRDefault="00AA3649" w:rsidP="00B6745A">
            <w:pPr>
              <w:jc w:val="right"/>
              <w:rPr>
                <w:sz w:val="18"/>
                <w:szCs w:val="18"/>
              </w:rPr>
            </w:pPr>
            <w:r w:rsidRPr="001E018A">
              <w:rPr>
                <w:color w:val="000000"/>
                <w:sz w:val="18"/>
                <w:szCs w:val="18"/>
              </w:rPr>
              <w:t>0</w:t>
            </w:r>
          </w:p>
        </w:tc>
        <w:tc>
          <w:tcPr>
            <w:tcW w:w="531" w:type="pct"/>
            <w:shd w:val="clear" w:color="000000" w:fill="FFFFFF"/>
            <w:noWrap/>
            <w:vAlign w:val="center"/>
            <w:hideMark/>
          </w:tcPr>
          <w:p w14:paraId="4B1DC16C" w14:textId="77777777" w:rsidR="00AA3649" w:rsidRPr="001E018A" w:rsidRDefault="00AA3649" w:rsidP="00B6745A">
            <w:pPr>
              <w:jc w:val="right"/>
              <w:rPr>
                <w:sz w:val="18"/>
                <w:szCs w:val="18"/>
              </w:rPr>
            </w:pPr>
            <w:r w:rsidRPr="001E018A">
              <w:rPr>
                <w:color w:val="000000"/>
                <w:sz w:val="18"/>
                <w:szCs w:val="18"/>
              </w:rPr>
              <w:t>789</w:t>
            </w:r>
          </w:p>
        </w:tc>
        <w:tc>
          <w:tcPr>
            <w:tcW w:w="531" w:type="pct"/>
            <w:shd w:val="clear" w:color="000000" w:fill="FFFFFF"/>
            <w:noWrap/>
            <w:vAlign w:val="center"/>
            <w:hideMark/>
          </w:tcPr>
          <w:p w14:paraId="4F9217D6" w14:textId="77777777" w:rsidR="00AA3649" w:rsidRPr="001E018A" w:rsidRDefault="00AA3649" w:rsidP="00B6745A">
            <w:pPr>
              <w:jc w:val="right"/>
              <w:rPr>
                <w:sz w:val="18"/>
                <w:szCs w:val="18"/>
              </w:rPr>
            </w:pPr>
            <w:r w:rsidRPr="001E018A">
              <w:rPr>
                <w:color w:val="000000"/>
                <w:sz w:val="18"/>
                <w:szCs w:val="18"/>
              </w:rPr>
              <w:t>789</w:t>
            </w:r>
          </w:p>
        </w:tc>
        <w:tc>
          <w:tcPr>
            <w:tcW w:w="391" w:type="pct"/>
            <w:shd w:val="clear" w:color="000000" w:fill="FFFFFF"/>
            <w:noWrap/>
            <w:vAlign w:val="center"/>
            <w:hideMark/>
          </w:tcPr>
          <w:p w14:paraId="32A95126" w14:textId="77777777" w:rsidR="00AA3649" w:rsidRPr="001E018A" w:rsidRDefault="00AA3649" w:rsidP="00B6745A">
            <w:pPr>
              <w:jc w:val="right"/>
              <w:rPr>
                <w:sz w:val="18"/>
                <w:szCs w:val="18"/>
              </w:rPr>
            </w:pPr>
            <w:r w:rsidRPr="001E018A">
              <w:rPr>
                <w:color w:val="000000"/>
                <w:sz w:val="18"/>
                <w:szCs w:val="18"/>
              </w:rPr>
              <w:t>-</w:t>
            </w:r>
          </w:p>
        </w:tc>
      </w:tr>
      <w:tr w:rsidR="00AA3649" w:rsidRPr="001E018A" w14:paraId="51E4E276" w14:textId="77777777" w:rsidTr="001E018A">
        <w:trPr>
          <w:trHeight w:val="329"/>
        </w:trPr>
        <w:tc>
          <w:tcPr>
            <w:tcW w:w="1955" w:type="pct"/>
            <w:shd w:val="clear" w:color="000000" w:fill="FFFFFF"/>
            <w:vAlign w:val="center"/>
            <w:hideMark/>
          </w:tcPr>
          <w:p w14:paraId="64CC4B72" w14:textId="77777777" w:rsidR="00AA3649" w:rsidRPr="001E018A" w:rsidRDefault="00AA3649" w:rsidP="00B6745A">
            <w:pPr>
              <w:rPr>
                <w:sz w:val="18"/>
                <w:szCs w:val="18"/>
              </w:rPr>
            </w:pPr>
            <w:r w:rsidRPr="001E018A">
              <w:rPr>
                <w:color w:val="000000"/>
                <w:sz w:val="18"/>
                <w:szCs w:val="18"/>
              </w:rPr>
              <w:t>Programy 4. programové obdobie**</w:t>
            </w:r>
          </w:p>
        </w:tc>
        <w:tc>
          <w:tcPr>
            <w:tcW w:w="531" w:type="pct"/>
            <w:shd w:val="clear" w:color="000000" w:fill="FFFFFF"/>
            <w:noWrap/>
            <w:vAlign w:val="center"/>
            <w:hideMark/>
          </w:tcPr>
          <w:p w14:paraId="0C77311B" w14:textId="77777777" w:rsidR="00AA3649" w:rsidRPr="001E018A" w:rsidRDefault="00AA3649" w:rsidP="00B6745A">
            <w:pPr>
              <w:jc w:val="right"/>
              <w:rPr>
                <w:sz w:val="18"/>
                <w:szCs w:val="18"/>
              </w:rPr>
            </w:pPr>
            <w:r w:rsidRPr="001E018A">
              <w:rPr>
                <w:color w:val="000000"/>
                <w:sz w:val="18"/>
                <w:szCs w:val="18"/>
              </w:rPr>
              <w:t>42 191</w:t>
            </w:r>
          </w:p>
        </w:tc>
        <w:tc>
          <w:tcPr>
            <w:tcW w:w="531" w:type="pct"/>
            <w:shd w:val="clear" w:color="000000" w:fill="FFFFFF"/>
            <w:noWrap/>
            <w:vAlign w:val="center"/>
            <w:hideMark/>
          </w:tcPr>
          <w:p w14:paraId="53A3805F" w14:textId="77777777" w:rsidR="00AA3649" w:rsidRPr="001E018A" w:rsidRDefault="00AA3649" w:rsidP="00B6745A">
            <w:pPr>
              <w:jc w:val="right"/>
              <w:rPr>
                <w:sz w:val="18"/>
                <w:szCs w:val="18"/>
              </w:rPr>
            </w:pPr>
            <w:r w:rsidRPr="001E018A">
              <w:rPr>
                <w:color w:val="000000"/>
                <w:sz w:val="18"/>
                <w:szCs w:val="18"/>
              </w:rPr>
              <w:t>710 123</w:t>
            </w:r>
          </w:p>
        </w:tc>
        <w:tc>
          <w:tcPr>
            <w:tcW w:w="531" w:type="pct"/>
            <w:shd w:val="clear" w:color="000000" w:fill="FFFFFF"/>
            <w:noWrap/>
            <w:vAlign w:val="center"/>
            <w:hideMark/>
          </w:tcPr>
          <w:p w14:paraId="428092C1" w14:textId="77777777" w:rsidR="00AA3649" w:rsidRPr="001E018A" w:rsidRDefault="00AA3649" w:rsidP="00B6745A">
            <w:pPr>
              <w:jc w:val="right"/>
              <w:rPr>
                <w:sz w:val="18"/>
                <w:szCs w:val="18"/>
              </w:rPr>
            </w:pPr>
            <w:r w:rsidRPr="001E018A">
              <w:rPr>
                <w:color w:val="000000"/>
                <w:sz w:val="18"/>
                <w:szCs w:val="18"/>
              </w:rPr>
              <w:t>1 546 950</w:t>
            </w:r>
          </w:p>
        </w:tc>
        <w:tc>
          <w:tcPr>
            <w:tcW w:w="531" w:type="pct"/>
            <w:shd w:val="clear" w:color="000000" w:fill="FFFFFF"/>
            <w:noWrap/>
            <w:vAlign w:val="center"/>
            <w:hideMark/>
          </w:tcPr>
          <w:p w14:paraId="598AD293" w14:textId="77777777" w:rsidR="00AA3649" w:rsidRPr="001E018A" w:rsidRDefault="00AA3649" w:rsidP="00B6745A">
            <w:pPr>
              <w:jc w:val="right"/>
              <w:rPr>
                <w:sz w:val="18"/>
                <w:szCs w:val="18"/>
              </w:rPr>
            </w:pPr>
            <w:r w:rsidRPr="001E018A">
              <w:rPr>
                <w:color w:val="000000"/>
                <w:sz w:val="18"/>
                <w:szCs w:val="18"/>
              </w:rPr>
              <w:t>1 351 332</w:t>
            </w:r>
          </w:p>
        </w:tc>
        <w:tc>
          <w:tcPr>
            <w:tcW w:w="531" w:type="pct"/>
            <w:shd w:val="clear" w:color="000000" w:fill="FFFFFF"/>
            <w:noWrap/>
            <w:vAlign w:val="center"/>
            <w:hideMark/>
          </w:tcPr>
          <w:p w14:paraId="3DBD30C9" w14:textId="77777777" w:rsidR="00AA3649" w:rsidRPr="001E018A" w:rsidRDefault="00AA3649" w:rsidP="00B6745A">
            <w:pPr>
              <w:jc w:val="right"/>
              <w:rPr>
                <w:sz w:val="18"/>
                <w:szCs w:val="18"/>
              </w:rPr>
            </w:pPr>
            <w:r w:rsidRPr="001E018A">
              <w:rPr>
                <w:color w:val="000000"/>
                <w:sz w:val="18"/>
                <w:szCs w:val="18"/>
              </w:rPr>
              <w:t>-195 618</w:t>
            </w:r>
          </w:p>
        </w:tc>
        <w:tc>
          <w:tcPr>
            <w:tcW w:w="391" w:type="pct"/>
            <w:shd w:val="clear" w:color="000000" w:fill="FFFFFF"/>
            <w:noWrap/>
            <w:vAlign w:val="center"/>
            <w:hideMark/>
          </w:tcPr>
          <w:p w14:paraId="1E0571A1" w14:textId="77777777" w:rsidR="00AA3649" w:rsidRPr="001E018A" w:rsidRDefault="00AA3649" w:rsidP="00B6745A">
            <w:pPr>
              <w:jc w:val="right"/>
              <w:rPr>
                <w:sz w:val="18"/>
                <w:szCs w:val="18"/>
              </w:rPr>
            </w:pPr>
            <w:r w:rsidRPr="001E018A">
              <w:rPr>
                <w:color w:val="000000"/>
                <w:sz w:val="18"/>
                <w:szCs w:val="18"/>
              </w:rPr>
              <w:t>-12,6</w:t>
            </w:r>
          </w:p>
        </w:tc>
      </w:tr>
      <w:tr w:rsidR="00AA3649" w:rsidRPr="001E018A" w14:paraId="7B02E510" w14:textId="77777777" w:rsidTr="001E018A">
        <w:trPr>
          <w:trHeight w:val="329"/>
        </w:trPr>
        <w:tc>
          <w:tcPr>
            <w:tcW w:w="1955" w:type="pct"/>
            <w:shd w:val="clear" w:color="000000" w:fill="FFFFFF"/>
            <w:vAlign w:val="center"/>
          </w:tcPr>
          <w:p w14:paraId="54D0B2D1" w14:textId="77777777" w:rsidR="00AA3649" w:rsidRPr="001E018A" w:rsidRDefault="00AA3649" w:rsidP="00B6745A">
            <w:pPr>
              <w:rPr>
                <w:sz w:val="18"/>
                <w:szCs w:val="18"/>
              </w:rPr>
            </w:pPr>
            <w:r w:rsidRPr="001E018A">
              <w:rPr>
                <w:b/>
                <w:bCs/>
                <w:color w:val="000000"/>
                <w:sz w:val="18"/>
                <w:szCs w:val="18"/>
              </w:rPr>
              <w:t>Štrukturálne operácie - MF SR</w:t>
            </w:r>
          </w:p>
        </w:tc>
        <w:tc>
          <w:tcPr>
            <w:tcW w:w="531" w:type="pct"/>
            <w:shd w:val="clear" w:color="000000" w:fill="FFFFFF"/>
            <w:noWrap/>
            <w:vAlign w:val="center"/>
          </w:tcPr>
          <w:p w14:paraId="6568CF9E" w14:textId="77777777" w:rsidR="00AA3649" w:rsidRPr="001E018A" w:rsidRDefault="00AA3649" w:rsidP="00B6745A">
            <w:pPr>
              <w:jc w:val="right"/>
              <w:rPr>
                <w:sz w:val="18"/>
                <w:szCs w:val="18"/>
              </w:rPr>
            </w:pPr>
            <w:r w:rsidRPr="001E018A">
              <w:rPr>
                <w:b/>
                <w:bCs/>
                <w:color w:val="000000"/>
                <w:sz w:val="18"/>
                <w:szCs w:val="18"/>
              </w:rPr>
              <w:t>4 375 771</w:t>
            </w:r>
          </w:p>
        </w:tc>
        <w:tc>
          <w:tcPr>
            <w:tcW w:w="531" w:type="pct"/>
            <w:shd w:val="clear" w:color="000000" w:fill="FFFFFF"/>
            <w:noWrap/>
            <w:vAlign w:val="center"/>
          </w:tcPr>
          <w:p w14:paraId="00F1DC7C" w14:textId="77777777" w:rsidR="00AA3649" w:rsidRPr="001E018A" w:rsidRDefault="00AA3649" w:rsidP="00B6745A">
            <w:pPr>
              <w:jc w:val="right"/>
              <w:rPr>
                <w:sz w:val="18"/>
                <w:szCs w:val="18"/>
              </w:rPr>
            </w:pPr>
            <w:r w:rsidRPr="001E018A">
              <w:rPr>
                <w:b/>
                <w:bCs/>
                <w:color w:val="000000"/>
                <w:sz w:val="18"/>
                <w:szCs w:val="18"/>
              </w:rPr>
              <w:t>2 074 297</w:t>
            </w:r>
          </w:p>
        </w:tc>
        <w:tc>
          <w:tcPr>
            <w:tcW w:w="531" w:type="pct"/>
            <w:shd w:val="clear" w:color="000000" w:fill="FFFFFF"/>
            <w:noWrap/>
            <w:vAlign w:val="center"/>
          </w:tcPr>
          <w:p w14:paraId="59A42CBB" w14:textId="77777777" w:rsidR="00AA3649" w:rsidRPr="001E018A" w:rsidRDefault="00AA3649" w:rsidP="00B6745A">
            <w:pPr>
              <w:jc w:val="right"/>
              <w:rPr>
                <w:sz w:val="18"/>
                <w:szCs w:val="18"/>
              </w:rPr>
            </w:pPr>
            <w:r w:rsidRPr="001E018A">
              <w:rPr>
                <w:b/>
                <w:bCs/>
                <w:color w:val="000000"/>
                <w:sz w:val="18"/>
                <w:szCs w:val="18"/>
              </w:rPr>
              <w:t>1 546 950</w:t>
            </w:r>
          </w:p>
        </w:tc>
        <w:tc>
          <w:tcPr>
            <w:tcW w:w="531" w:type="pct"/>
            <w:shd w:val="clear" w:color="000000" w:fill="FFFFFF"/>
            <w:noWrap/>
            <w:vAlign w:val="center"/>
          </w:tcPr>
          <w:p w14:paraId="0A54D7CE" w14:textId="77777777" w:rsidR="00AA3649" w:rsidRPr="001E018A" w:rsidRDefault="00AA3649" w:rsidP="00B6745A">
            <w:pPr>
              <w:jc w:val="right"/>
              <w:rPr>
                <w:sz w:val="18"/>
                <w:szCs w:val="18"/>
              </w:rPr>
            </w:pPr>
            <w:r w:rsidRPr="001E018A">
              <w:rPr>
                <w:b/>
                <w:bCs/>
                <w:color w:val="000000"/>
                <w:sz w:val="18"/>
                <w:szCs w:val="18"/>
              </w:rPr>
              <w:t>1 352 121</w:t>
            </w:r>
          </w:p>
        </w:tc>
        <w:tc>
          <w:tcPr>
            <w:tcW w:w="531" w:type="pct"/>
            <w:shd w:val="clear" w:color="000000" w:fill="FFFFFF"/>
            <w:noWrap/>
            <w:vAlign w:val="center"/>
          </w:tcPr>
          <w:p w14:paraId="73E7BEEB" w14:textId="77777777" w:rsidR="00AA3649" w:rsidRPr="001E018A" w:rsidRDefault="00AA3649" w:rsidP="00B6745A">
            <w:pPr>
              <w:jc w:val="right"/>
              <w:rPr>
                <w:sz w:val="18"/>
                <w:szCs w:val="18"/>
              </w:rPr>
            </w:pPr>
            <w:r w:rsidRPr="001E018A">
              <w:rPr>
                <w:b/>
                <w:bCs/>
                <w:color w:val="000000"/>
                <w:sz w:val="18"/>
                <w:szCs w:val="18"/>
              </w:rPr>
              <w:t>-194 829</w:t>
            </w:r>
          </w:p>
        </w:tc>
        <w:tc>
          <w:tcPr>
            <w:tcW w:w="391" w:type="pct"/>
            <w:shd w:val="clear" w:color="000000" w:fill="FFFFFF"/>
            <w:noWrap/>
            <w:vAlign w:val="center"/>
          </w:tcPr>
          <w:p w14:paraId="1C942958" w14:textId="77777777" w:rsidR="00AA3649" w:rsidRPr="001E018A" w:rsidRDefault="00AA3649" w:rsidP="00B6745A">
            <w:pPr>
              <w:jc w:val="right"/>
              <w:rPr>
                <w:sz w:val="18"/>
                <w:szCs w:val="18"/>
              </w:rPr>
            </w:pPr>
            <w:r w:rsidRPr="001E018A">
              <w:rPr>
                <w:b/>
                <w:bCs/>
                <w:color w:val="000000"/>
                <w:sz w:val="18"/>
                <w:szCs w:val="18"/>
              </w:rPr>
              <w:t>-12,6</w:t>
            </w:r>
          </w:p>
        </w:tc>
      </w:tr>
      <w:tr w:rsidR="00AA3649" w:rsidRPr="001E018A" w14:paraId="7C2C01E4" w14:textId="77777777" w:rsidTr="001E018A">
        <w:trPr>
          <w:trHeight w:val="329"/>
        </w:trPr>
        <w:tc>
          <w:tcPr>
            <w:tcW w:w="1955" w:type="pct"/>
            <w:shd w:val="clear" w:color="000000" w:fill="FFFFFF"/>
            <w:vAlign w:val="center"/>
            <w:hideMark/>
          </w:tcPr>
          <w:p w14:paraId="391A9DAF" w14:textId="77777777" w:rsidR="00AA3649" w:rsidRPr="001E018A" w:rsidRDefault="00AA3649" w:rsidP="00B6745A">
            <w:pPr>
              <w:rPr>
                <w:b/>
                <w:sz w:val="18"/>
                <w:szCs w:val="18"/>
              </w:rPr>
            </w:pPr>
            <w:r w:rsidRPr="001E018A">
              <w:rPr>
                <w:color w:val="000000"/>
                <w:sz w:val="18"/>
                <w:szCs w:val="18"/>
              </w:rPr>
              <w:t>OP Sociálneho začlenenia najodkázanejších osôb    3. programové obdobie</w:t>
            </w:r>
          </w:p>
        </w:tc>
        <w:tc>
          <w:tcPr>
            <w:tcW w:w="531" w:type="pct"/>
            <w:shd w:val="clear" w:color="000000" w:fill="FFFFFF"/>
            <w:noWrap/>
            <w:vAlign w:val="center"/>
            <w:hideMark/>
          </w:tcPr>
          <w:p w14:paraId="4D201A9D" w14:textId="77777777" w:rsidR="00AA3649" w:rsidRPr="001E018A" w:rsidRDefault="00AA3649" w:rsidP="00B6745A">
            <w:pPr>
              <w:jc w:val="right"/>
              <w:rPr>
                <w:b/>
                <w:sz w:val="18"/>
                <w:szCs w:val="18"/>
              </w:rPr>
            </w:pPr>
            <w:r w:rsidRPr="001E018A">
              <w:rPr>
                <w:color w:val="000000"/>
                <w:sz w:val="18"/>
                <w:szCs w:val="18"/>
              </w:rPr>
              <w:t>25 075</w:t>
            </w:r>
          </w:p>
        </w:tc>
        <w:tc>
          <w:tcPr>
            <w:tcW w:w="531" w:type="pct"/>
            <w:shd w:val="clear" w:color="000000" w:fill="FFFFFF"/>
            <w:noWrap/>
            <w:vAlign w:val="center"/>
            <w:hideMark/>
          </w:tcPr>
          <w:p w14:paraId="63A9E348" w14:textId="77777777" w:rsidR="00AA3649" w:rsidRPr="001E018A" w:rsidRDefault="00AA3649" w:rsidP="00B6745A">
            <w:pPr>
              <w:jc w:val="right"/>
              <w:rPr>
                <w:b/>
                <w:sz w:val="18"/>
                <w:szCs w:val="18"/>
              </w:rPr>
            </w:pPr>
            <w:r w:rsidRPr="001E018A">
              <w:rPr>
                <w:color w:val="000000"/>
                <w:sz w:val="18"/>
                <w:szCs w:val="18"/>
              </w:rPr>
              <w:t>719</w:t>
            </w:r>
          </w:p>
        </w:tc>
        <w:tc>
          <w:tcPr>
            <w:tcW w:w="531" w:type="pct"/>
            <w:shd w:val="clear" w:color="000000" w:fill="FFFFFF"/>
            <w:noWrap/>
            <w:vAlign w:val="center"/>
            <w:hideMark/>
          </w:tcPr>
          <w:p w14:paraId="078130BA" w14:textId="77777777" w:rsidR="00AA3649" w:rsidRPr="001E018A" w:rsidRDefault="00AA3649" w:rsidP="00B6745A">
            <w:pPr>
              <w:jc w:val="right"/>
              <w:rPr>
                <w:b/>
                <w:sz w:val="18"/>
                <w:szCs w:val="18"/>
              </w:rPr>
            </w:pPr>
            <w:r w:rsidRPr="001E018A">
              <w:rPr>
                <w:color w:val="000000"/>
                <w:sz w:val="18"/>
                <w:szCs w:val="18"/>
              </w:rPr>
              <w:t>0</w:t>
            </w:r>
          </w:p>
        </w:tc>
        <w:tc>
          <w:tcPr>
            <w:tcW w:w="531" w:type="pct"/>
            <w:shd w:val="clear" w:color="000000" w:fill="FFFFFF"/>
            <w:noWrap/>
            <w:vAlign w:val="center"/>
            <w:hideMark/>
          </w:tcPr>
          <w:p w14:paraId="023714CF" w14:textId="77777777" w:rsidR="00AA3649" w:rsidRPr="001E018A" w:rsidRDefault="00AA3649" w:rsidP="00B6745A">
            <w:pPr>
              <w:jc w:val="right"/>
              <w:rPr>
                <w:b/>
                <w:sz w:val="18"/>
                <w:szCs w:val="18"/>
              </w:rPr>
            </w:pPr>
            <w:r w:rsidRPr="001E018A">
              <w:rPr>
                <w:color w:val="000000"/>
                <w:sz w:val="18"/>
                <w:szCs w:val="18"/>
              </w:rPr>
              <w:t>0</w:t>
            </w:r>
          </w:p>
        </w:tc>
        <w:tc>
          <w:tcPr>
            <w:tcW w:w="531" w:type="pct"/>
            <w:shd w:val="clear" w:color="000000" w:fill="FFFFFF"/>
            <w:noWrap/>
            <w:vAlign w:val="center"/>
            <w:hideMark/>
          </w:tcPr>
          <w:p w14:paraId="1625F662" w14:textId="77777777" w:rsidR="00AA3649" w:rsidRPr="001E018A" w:rsidRDefault="00AA3649" w:rsidP="00B6745A">
            <w:pPr>
              <w:jc w:val="right"/>
              <w:rPr>
                <w:b/>
                <w:sz w:val="18"/>
                <w:szCs w:val="18"/>
              </w:rPr>
            </w:pPr>
            <w:r w:rsidRPr="001E018A">
              <w:rPr>
                <w:color w:val="000000"/>
                <w:sz w:val="18"/>
                <w:szCs w:val="18"/>
              </w:rPr>
              <w:t>0</w:t>
            </w:r>
          </w:p>
        </w:tc>
        <w:tc>
          <w:tcPr>
            <w:tcW w:w="391" w:type="pct"/>
            <w:shd w:val="clear" w:color="000000" w:fill="FFFFFF"/>
            <w:noWrap/>
            <w:vAlign w:val="center"/>
            <w:hideMark/>
          </w:tcPr>
          <w:p w14:paraId="4969D563" w14:textId="77777777" w:rsidR="00AA3649" w:rsidRPr="001E018A" w:rsidRDefault="00AA3649" w:rsidP="00B6745A">
            <w:pPr>
              <w:jc w:val="right"/>
              <w:rPr>
                <w:b/>
                <w:sz w:val="18"/>
                <w:szCs w:val="18"/>
              </w:rPr>
            </w:pPr>
            <w:r w:rsidRPr="001E018A">
              <w:rPr>
                <w:color w:val="000000"/>
                <w:sz w:val="18"/>
                <w:szCs w:val="18"/>
              </w:rPr>
              <w:t>-</w:t>
            </w:r>
          </w:p>
        </w:tc>
      </w:tr>
      <w:tr w:rsidR="00AA3649" w:rsidRPr="001E018A" w14:paraId="086B445F" w14:textId="77777777" w:rsidTr="001E018A">
        <w:trPr>
          <w:trHeight w:val="329"/>
        </w:trPr>
        <w:tc>
          <w:tcPr>
            <w:tcW w:w="1955" w:type="pct"/>
            <w:shd w:val="clear" w:color="000000" w:fill="FFFFFF"/>
            <w:vAlign w:val="center"/>
            <w:hideMark/>
          </w:tcPr>
          <w:p w14:paraId="3F517A3E" w14:textId="77777777" w:rsidR="00AA3649" w:rsidRPr="001E018A" w:rsidRDefault="00AA3649" w:rsidP="00B6745A">
            <w:pPr>
              <w:rPr>
                <w:sz w:val="18"/>
                <w:szCs w:val="18"/>
              </w:rPr>
            </w:pPr>
            <w:r w:rsidRPr="001E018A">
              <w:rPr>
                <w:b/>
                <w:bCs/>
                <w:color w:val="000000"/>
                <w:sz w:val="18"/>
                <w:szCs w:val="18"/>
              </w:rPr>
              <w:t>Štrukturálne operácie - MPSVR SR</w:t>
            </w:r>
          </w:p>
        </w:tc>
        <w:tc>
          <w:tcPr>
            <w:tcW w:w="531" w:type="pct"/>
            <w:shd w:val="clear" w:color="000000" w:fill="FFFFFF"/>
            <w:noWrap/>
            <w:vAlign w:val="center"/>
            <w:hideMark/>
          </w:tcPr>
          <w:p w14:paraId="33CB8473" w14:textId="77777777" w:rsidR="00AA3649" w:rsidRPr="001E018A" w:rsidRDefault="00AA3649" w:rsidP="00B6745A">
            <w:pPr>
              <w:jc w:val="right"/>
              <w:rPr>
                <w:sz w:val="18"/>
                <w:szCs w:val="18"/>
              </w:rPr>
            </w:pPr>
            <w:r w:rsidRPr="001E018A">
              <w:rPr>
                <w:b/>
                <w:bCs/>
                <w:color w:val="000000"/>
                <w:sz w:val="18"/>
                <w:szCs w:val="18"/>
              </w:rPr>
              <w:t>25 075</w:t>
            </w:r>
          </w:p>
        </w:tc>
        <w:tc>
          <w:tcPr>
            <w:tcW w:w="531" w:type="pct"/>
            <w:shd w:val="clear" w:color="000000" w:fill="FFFFFF"/>
            <w:noWrap/>
            <w:vAlign w:val="center"/>
            <w:hideMark/>
          </w:tcPr>
          <w:p w14:paraId="21A50725" w14:textId="77777777" w:rsidR="00AA3649" w:rsidRPr="001E018A" w:rsidRDefault="00AA3649" w:rsidP="00B6745A">
            <w:pPr>
              <w:jc w:val="right"/>
              <w:rPr>
                <w:sz w:val="18"/>
                <w:szCs w:val="18"/>
              </w:rPr>
            </w:pPr>
            <w:r w:rsidRPr="001E018A">
              <w:rPr>
                <w:b/>
                <w:bCs/>
                <w:color w:val="000000"/>
                <w:sz w:val="18"/>
                <w:szCs w:val="18"/>
              </w:rPr>
              <w:t>719</w:t>
            </w:r>
          </w:p>
        </w:tc>
        <w:tc>
          <w:tcPr>
            <w:tcW w:w="531" w:type="pct"/>
            <w:shd w:val="clear" w:color="000000" w:fill="FFFFFF"/>
            <w:noWrap/>
            <w:vAlign w:val="center"/>
            <w:hideMark/>
          </w:tcPr>
          <w:p w14:paraId="530FE856" w14:textId="77777777" w:rsidR="00AA3649" w:rsidRPr="001E018A" w:rsidRDefault="00AA3649" w:rsidP="00B6745A">
            <w:pPr>
              <w:jc w:val="right"/>
              <w:rPr>
                <w:sz w:val="18"/>
                <w:szCs w:val="18"/>
              </w:rPr>
            </w:pPr>
            <w:r w:rsidRPr="001E018A">
              <w:rPr>
                <w:b/>
                <w:bCs/>
                <w:color w:val="000000"/>
                <w:sz w:val="18"/>
                <w:szCs w:val="18"/>
              </w:rPr>
              <w:t>0</w:t>
            </w:r>
          </w:p>
        </w:tc>
        <w:tc>
          <w:tcPr>
            <w:tcW w:w="531" w:type="pct"/>
            <w:shd w:val="clear" w:color="000000" w:fill="FFFFFF"/>
            <w:noWrap/>
            <w:vAlign w:val="center"/>
            <w:hideMark/>
          </w:tcPr>
          <w:p w14:paraId="2451198A" w14:textId="77777777" w:rsidR="00AA3649" w:rsidRPr="001E018A" w:rsidRDefault="00AA3649" w:rsidP="00B6745A">
            <w:pPr>
              <w:jc w:val="right"/>
              <w:rPr>
                <w:sz w:val="18"/>
                <w:szCs w:val="18"/>
              </w:rPr>
            </w:pPr>
            <w:r w:rsidRPr="001E018A">
              <w:rPr>
                <w:b/>
                <w:bCs/>
                <w:color w:val="000000"/>
                <w:sz w:val="18"/>
                <w:szCs w:val="18"/>
              </w:rPr>
              <w:t>0</w:t>
            </w:r>
          </w:p>
        </w:tc>
        <w:tc>
          <w:tcPr>
            <w:tcW w:w="531" w:type="pct"/>
            <w:shd w:val="clear" w:color="000000" w:fill="FFFFFF"/>
            <w:noWrap/>
            <w:vAlign w:val="center"/>
            <w:hideMark/>
          </w:tcPr>
          <w:p w14:paraId="564D84FE" w14:textId="77777777" w:rsidR="00AA3649" w:rsidRPr="001E018A" w:rsidRDefault="00AA3649" w:rsidP="00B6745A">
            <w:pPr>
              <w:jc w:val="right"/>
              <w:rPr>
                <w:sz w:val="18"/>
                <w:szCs w:val="18"/>
              </w:rPr>
            </w:pPr>
            <w:r w:rsidRPr="001E018A">
              <w:rPr>
                <w:b/>
                <w:bCs/>
                <w:color w:val="000000"/>
                <w:sz w:val="18"/>
                <w:szCs w:val="18"/>
              </w:rPr>
              <w:t>0</w:t>
            </w:r>
          </w:p>
        </w:tc>
        <w:tc>
          <w:tcPr>
            <w:tcW w:w="391" w:type="pct"/>
            <w:shd w:val="clear" w:color="000000" w:fill="FFFFFF"/>
            <w:noWrap/>
            <w:vAlign w:val="center"/>
            <w:hideMark/>
          </w:tcPr>
          <w:p w14:paraId="76F3F783" w14:textId="77777777" w:rsidR="00AA3649" w:rsidRPr="001E018A" w:rsidRDefault="00AA3649" w:rsidP="00B6745A">
            <w:pPr>
              <w:jc w:val="right"/>
              <w:rPr>
                <w:sz w:val="18"/>
                <w:szCs w:val="18"/>
              </w:rPr>
            </w:pPr>
            <w:r w:rsidRPr="001E018A">
              <w:rPr>
                <w:b/>
                <w:bCs/>
                <w:color w:val="000000"/>
                <w:sz w:val="18"/>
                <w:szCs w:val="18"/>
              </w:rPr>
              <w:t>-</w:t>
            </w:r>
          </w:p>
        </w:tc>
      </w:tr>
      <w:tr w:rsidR="00AA3649" w:rsidRPr="001E018A" w14:paraId="72D52A29" w14:textId="77777777" w:rsidTr="001E018A">
        <w:trPr>
          <w:trHeight w:val="329"/>
        </w:trPr>
        <w:tc>
          <w:tcPr>
            <w:tcW w:w="1955" w:type="pct"/>
            <w:shd w:val="clear" w:color="000000" w:fill="FFFFFF"/>
            <w:vAlign w:val="center"/>
            <w:hideMark/>
          </w:tcPr>
          <w:p w14:paraId="162A93A8" w14:textId="77777777" w:rsidR="00AA3649" w:rsidRPr="001E018A" w:rsidRDefault="00AA3649" w:rsidP="00B6745A">
            <w:pPr>
              <w:rPr>
                <w:b/>
                <w:sz w:val="18"/>
                <w:szCs w:val="18"/>
              </w:rPr>
            </w:pPr>
            <w:r w:rsidRPr="001E018A">
              <w:rPr>
                <w:color w:val="000000"/>
                <w:sz w:val="18"/>
                <w:szCs w:val="18"/>
              </w:rPr>
              <w:t xml:space="preserve">Fondy pre oblasť vnútorných záležitostí </w:t>
            </w:r>
            <w:r w:rsidRPr="001E018A">
              <w:rPr>
                <w:color w:val="000000"/>
                <w:sz w:val="18"/>
                <w:szCs w:val="18"/>
              </w:rPr>
              <w:br/>
              <w:t>4. programové obdobie</w:t>
            </w:r>
          </w:p>
        </w:tc>
        <w:tc>
          <w:tcPr>
            <w:tcW w:w="531" w:type="pct"/>
            <w:shd w:val="clear" w:color="000000" w:fill="FFFFFF"/>
            <w:noWrap/>
            <w:vAlign w:val="center"/>
            <w:hideMark/>
          </w:tcPr>
          <w:p w14:paraId="7A6F4EC6" w14:textId="77777777" w:rsidR="00AA3649" w:rsidRPr="001E018A" w:rsidRDefault="00AA3649" w:rsidP="00B6745A">
            <w:pPr>
              <w:jc w:val="right"/>
              <w:rPr>
                <w:b/>
                <w:sz w:val="18"/>
                <w:szCs w:val="18"/>
              </w:rPr>
            </w:pPr>
            <w:r w:rsidRPr="001E018A">
              <w:rPr>
                <w:color w:val="000000"/>
                <w:sz w:val="18"/>
                <w:szCs w:val="18"/>
              </w:rPr>
              <w:t>0</w:t>
            </w:r>
          </w:p>
        </w:tc>
        <w:tc>
          <w:tcPr>
            <w:tcW w:w="531" w:type="pct"/>
            <w:shd w:val="clear" w:color="000000" w:fill="FFFFFF"/>
            <w:noWrap/>
            <w:vAlign w:val="center"/>
            <w:hideMark/>
          </w:tcPr>
          <w:p w14:paraId="1B2DEB5B" w14:textId="77777777" w:rsidR="00AA3649" w:rsidRPr="001E018A" w:rsidRDefault="00AA3649" w:rsidP="00B6745A">
            <w:pPr>
              <w:jc w:val="right"/>
              <w:rPr>
                <w:b/>
                <w:sz w:val="18"/>
                <w:szCs w:val="18"/>
              </w:rPr>
            </w:pPr>
            <w:r w:rsidRPr="001E018A">
              <w:rPr>
                <w:color w:val="000000"/>
                <w:sz w:val="18"/>
                <w:szCs w:val="18"/>
              </w:rPr>
              <w:t>1 176</w:t>
            </w:r>
          </w:p>
        </w:tc>
        <w:tc>
          <w:tcPr>
            <w:tcW w:w="531" w:type="pct"/>
            <w:shd w:val="clear" w:color="000000" w:fill="FFFFFF"/>
            <w:noWrap/>
            <w:vAlign w:val="center"/>
            <w:hideMark/>
          </w:tcPr>
          <w:p w14:paraId="4BAACB6A" w14:textId="77777777" w:rsidR="00AA3649" w:rsidRPr="001E018A" w:rsidRDefault="00AA3649" w:rsidP="00B6745A">
            <w:pPr>
              <w:jc w:val="right"/>
              <w:rPr>
                <w:b/>
                <w:sz w:val="18"/>
                <w:szCs w:val="18"/>
              </w:rPr>
            </w:pPr>
            <w:r w:rsidRPr="001E018A">
              <w:rPr>
                <w:color w:val="000000"/>
                <w:sz w:val="18"/>
                <w:szCs w:val="18"/>
              </w:rPr>
              <w:t>16 391</w:t>
            </w:r>
          </w:p>
        </w:tc>
        <w:tc>
          <w:tcPr>
            <w:tcW w:w="531" w:type="pct"/>
            <w:noWrap/>
            <w:vAlign w:val="center"/>
            <w:hideMark/>
          </w:tcPr>
          <w:p w14:paraId="724A74AD" w14:textId="77777777" w:rsidR="00AA3649" w:rsidRPr="001E018A" w:rsidRDefault="00AA3649" w:rsidP="00B6745A">
            <w:pPr>
              <w:jc w:val="right"/>
              <w:rPr>
                <w:b/>
                <w:sz w:val="18"/>
                <w:szCs w:val="18"/>
              </w:rPr>
            </w:pPr>
            <w:r w:rsidRPr="001E018A">
              <w:rPr>
                <w:color w:val="000000"/>
                <w:sz w:val="18"/>
                <w:szCs w:val="18"/>
              </w:rPr>
              <w:t>8 249</w:t>
            </w:r>
          </w:p>
        </w:tc>
        <w:tc>
          <w:tcPr>
            <w:tcW w:w="531" w:type="pct"/>
            <w:shd w:val="clear" w:color="000000" w:fill="FFFFFF"/>
            <w:noWrap/>
            <w:vAlign w:val="center"/>
            <w:hideMark/>
          </w:tcPr>
          <w:p w14:paraId="2D6B0284" w14:textId="77777777" w:rsidR="00AA3649" w:rsidRPr="001E018A" w:rsidRDefault="00AA3649" w:rsidP="00B6745A">
            <w:pPr>
              <w:jc w:val="right"/>
              <w:rPr>
                <w:b/>
                <w:sz w:val="18"/>
                <w:szCs w:val="18"/>
              </w:rPr>
            </w:pPr>
            <w:r w:rsidRPr="001E018A">
              <w:rPr>
                <w:color w:val="000000"/>
                <w:sz w:val="18"/>
                <w:szCs w:val="18"/>
              </w:rPr>
              <w:t>-8 142</w:t>
            </w:r>
          </w:p>
        </w:tc>
        <w:tc>
          <w:tcPr>
            <w:tcW w:w="391" w:type="pct"/>
            <w:shd w:val="clear" w:color="000000" w:fill="FFFFFF"/>
            <w:noWrap/>
            <w:vAlign w:val="center"/>
            <w:hideMark/>
          </w:tcPr>
          <w:p w14:paraId="7D4C4A8E" w14:textId="77777777" w:rsidR="00AA3649" w:rsidRPr="001E018A" w:rsidRDefault="00AA3649" w:rsidP="00B6745A">
            <w:pPr>
              <w:jc w:val="right"/>
              <w:rPr>
                <w:b/>
                <w:sz w:val="18"/>
                <w:szCs w:val="18"/>
              </w:rPr>
            </w:pPr>
            <w:r w:rsidRPr="001E018A">
              <w:rPr>
                <w:color w:val="000000"/>
                <w:sz w:val="18"/>
                <w:szCs w:val="18"/>
              </w:rPr>
              <w:t>-49,7</w:t>
            </w:r>
          </w:p>
        </w:tc>
      </w:tr>
      <w:tr w:rsidR="00AA3649" w:rsidRPr="001E018A" w14:paraId="3BE1FC84" w14:textId="77777777" w:rsidTr="001E018A">
        <w:trPr>
          <w:trHeight w:val="329"/>
        </w:trPr>
        <w:tc>
          <w:tcPr>
            <w:tcW w:w="1955" w:type="pct"/>
            <w:shd w:val="clear" w:color="000000" w:fill="FFFFFF"/>
            <w:vAlign w:val="center"/>
          </w:tcPr>
          <w:p w14:paraId="76BF5B68" w14:textId="77777777" w:rsidR="00AA3649" w:rsidRPr="001E018A" w:rsidRDefault="00AA3649" w:rsidP="00B6745A">
            <w:pPr>
              <w:rPr>
                <w:sz w:val="18"/>
                <w:szCs w:val="18"/>
              </w:rPr>
            </w:pPr>
            <w:r w:rsidRPr="001E018A">
              <w:rPr>
                <w:b/>
                <w:bCs/>
                <w:color w:val="000000"/>
                <w:sz w:val="18"/>
                <w:szCs w:val="18"/>
              </w:rPr>
              <w:t>Štrukturálne operácie - MV SR</w:t>
            </w:r>
          </w:p>
        </w:tc>
        <w:tc>
          <w:tcPr>
            <w:tcW w:w="531" w:type="pct"/>
            <w:shd w:val="clear" w:color="000000" w:fill="FFFFFF"/>
            <w:noWrap/>
            <w:vAlign w:val="center"/>
          </w:tcPr>
          <w:p w14:paraId="26229001" w14:textId="77777777" w:rsidR="00AA3649" w:rsidRPr="001E018A" w:rsidRDefault="00AA3649" w:rsidP="00B6745A">
            <w:pPr>
              <w:jc w:val="right"/>
              <w:rPr>
                <w:sz w:val="18"/>
                <w:szCs w:val="18"/>
              </w:rPr>
            </w:pPr>
            <w:r w:rsidRPr="001E018A">
              <w:rPr>
                <w:b/>
                <w:bCs/>
                <w:color w:val="000000"/>
                <w:sz w:val="18"/>
                <w:szCs w:val="18"/>
              </w:rPr>
              <w:t>0</w:t>
            </w:r>
          </w:p>
        </w:tc>
        <w:tc>
          <w:tcPr>
            <w:tcW w:w="531" w:type="pct"/>
            <w:shd w:val="clear" w:color="000000" w:fill="FFFFFF"/>
            <w:noWrap/>
            <w:vAlign w:val="center"/>
          </w:tcPr>
          <w:p w14:paraId="16FB4D82" w14:textId="77777777" w:rsidR="00AA3649" w:rsidRPr="001E018A" w:rsidRDefault="00AA3649" w:rsidP="00B6745A">
            <w:pPr>
              <w:jc w:val="right"/>
              <w:rPr>
                <w:sz w:val="18"/>
                <w:szCs w:val="18"/>
              </w:rPr>
            </w:pPr>
            <w:r w:rsidRPr="001E018A">
              <w:rPr>
                <w:b/>
                <w:bCs/>
                <w:color w:val="000000"/>
                <w:sz w:val="18"/>
                <w:szCs w:val="18"/>
              </w:rPr>
              <w:t>1 176</w:t>
            </w:r>
          </w:p>
        </w:tc>
        <w:tc>
          <w:tcPr>
            <w:tcW w:w="531" w:type="pct"/>
            <w:shd w:val="clear" w:color="000000" w:fill="FFFFFF"/>
            <w:noWrap/>
            <w:vAlign w:val="center"/>
          </w:tcPr>
          <w:p w14:paraId="41D93138" w14:textId="77777777" w:rsidR="00AA3649" w:rsidRPr="001E018A" w:rsidRDefault="00AA3649" w:rsidP="00B6745A">
            <w:pPr>
              <w:jc w:val="right"/>
              <w:rPr>
                <w:sz w:val="18"/>
                <w:szCs w:val="18"/>
              </w:rPr>
            </w:pPr>
            <w:r w:rsidRPr="001E018A">
              <w:rPr>
                <w:b/>
                <w:bCs/>
                <w:color w:val="000000"/>
                <w:sz w:val="18"/>
                <w:szCs w:val="18"/>
              </w:rPr>
              <w:t>16 391</w:t>
            </w:r>
          </w:p>
        </w:tc>
        <w:tc>
          <w:tcPr>
            <w:tcW w:w="531" w:type="pct"/>
            <w:noWrap/>
            <w:vAlign w:val="center"/>
          </w:tcPr>
          <w:p w14:paraId="444205A3" w14:textId="77777777" w:rsidR="00AA3649" w:rsidRPr="001E018A" w:rsidRDefault="00AA3649" w:rsidP="00B6745A">
            <w:pPr>
              <w:jc w:val="right"/>
              <w:rPr>
                <w:sz w:val="18"/>
                <w:szCs w:val="18"/>
              </w:rPr>
            </w:pPr>
            <w:r w:rsidRPr="001E018A">
              <w:rPr>
                <w:b/>
                <w:bCs/>
                <w:color w:val="000000"/>
                <w:sz w:val="18"/>
                <w:szCs w:val="18"/>
              </w:rPr>
              <w:t>8 249</w:t>
            </w:r>
          </w:p>
        </w:tc>
        <w:tc>
          <w:tcPr>
            <w:tcW w:w="531" w:type="pct"/>
            <w:shd w:val="clear" w:color="000000" w:fill="FFFFFF"/>
            <w:noWrap/>
            <w:vAlign w:val="center"/>
          </w:tcPr>
          <w:p w14:paraId="33DF2551" w14:textId="77777777" w:rsidR="00AA3649" w:rsidRPr="001E018A" w:rsidRDefault="00AA3649" w:rsidP="00B6745A">
            <w:pPr>
              <w:jc w:val="right"/>
              <w:rPr>
                <w:sz w:val="18"/>
                <w:szCs w:val="18"/>
              </w:rPr>
            </w:pPr>
            <w:r w:rsidRPr="001E018A">
              <w:rPr>
                <w:b/>
                <w:bCs/>
                <w:color w:val="000000"/>
                <w:sz w:val="18"/>
                <w:szCs w:val="18"/>
              </w:rPr>
              <w:t>-8 142</w:t>
            </w:r>
          </w:p>
        </w:tc>
        <w:tc>
          <w:tcPr>
            <w:tcW w:w="391" w:type="pct"/>
            <w:shd w:val="clear" w:color="000000" w:fill="FFFFFF"/>
            <w:noWrap/>
            <w:vAlign w:val="center"/>
          </w:tcPr>
          <w:p w14:paraId="12A76BDF" w14:textId="77777777" w:rsidR="00AA3649" w:rsidRPr="001E018A" w:rsidRDefault="00AA3649" w:rsidP="00B6745A">
            <w:pPr>
              <w:jc w:val="right"/>
              <w:rPr>
                <w:sz w:val="18"/>
                <w:szCs w:val="18"/>
              </w:rPr>
            </w:pPr>
            <w:r w:rsidRPr="001E018A">
              <w:rPr>
                <w:b/>
                <w:bCs/>
                <w:color w:val="000000"/>
                <w:sz w:val="18"/>
                <w:szCs w:val="18"/>
              </w:rPr>
              <w:t>-49,7</w:t>
            </w:r>
          </w:p>
        </w:tc>
      </w:tr>
      <w:tr w:rsidR="00AA3649" w:rsidRPr="001E018A" w14:paraId="4BC9FCAA" w14:textId="77777777" w:rsidTr="001E018A">
        <w:trPr>
          <w:trHeight w:val="345"/>
        </w:trPr>
        <w:tc>
          <w:tcPr>
            <w:tcW w:w="1955" w:type="pct"/>
            <w:tcBorders>
              <w:top w:val="single" w:sz="4" w:space="0" w:color="auto"/>
              <w:bottom w:val="single" w:sz="4" w:space="0" w:color="auto"/>
            </w:tcBorders>
            <w:shd w:val="clear" w:color="000000" w:fill="FFFFFF"/>
            <w:vAlign w:val="center"/>
            <w:hideMark/>
          </w:tcPr>
          <w:p w14:paraId="67A117C3" w14:textId="77777777" w:rsidR="00AA3649" w:rsidRPr="001E018A" w:rsidRDefault="00AA3649" w:rsidP="00B6745A">
            <w:pPr>
              <w:rPr>
                <w:b/>
                <w:sz w:val="18"/>
                <w:szCs w:val="18"/>
              </w:rPr>
            </w:pPr>
            <w:r w:rsidRPr="001E018A">
              <w:rPr>
                <w:b/>
                <w:bCs/>
                <w:color w:val="000000"/>
                <w:sz w:val="18"/>
                <w:szCs w:val="18"/>
              </w:rPr>
              <w:t>Spolu výdavky za prostriedky EÚ</w:t>
            </w:r>
          </w:p>
        </w:tc>
        <w:tc>
          <w:tcPr>
            <w:tcW w:w="531" w:type="pct"/>
            <w:tcBorders>
              <w:top w:val="single" w:sz="4" w:space="0" w:color="auto"/>
              <w:bottom w:val="single" w:sz="4" w:space="0" w:color="auto"/>
            </w:tcBorders>
            <w:shd w:val="clear" w:color="000000" w:fill="FFFFFF"/>
            <w:noWrap/>
            <w:vAlign w:val="center"/>
            <w:hideMark/>
          </w:tcPr>
          <w:p w14:paraId="2A197C71" w14:textId="77777777" w:rsidR="00AA3649" w:rsidRPr="001E018A" w:rsidRDefault="00AA3649" w:rsidP="00B6745A">
            <w:pPr>
              <w:jc w:val="right"/>
              <w:rPr>
                <w:b/>
                <w:sz w:val="18"/>
                <w:szCs w:val="18"/>
              </w:rPr>
            </w:pPr>
            <w:r w:rsidRPr="001E018A">
              <w:rPr>
                <w:b/>
                <w:bCs/>
                <w:color w:val="000000"/>
                <w:sz w:val="18"/>
                <w:szCs w:val="18"/>
              </w:rPr>
              <w:t>4 906 961</w:t>
            </w:r>
          </w:p>
        </w:tc>
        <w:tc>
          <w:tcPr>
            <w:tcW w:w="531" w:type="pct"/>
            <w:tcBorders>
              <w:top w:val="single" w:sz="4" w:space="0" w:color="auto"/>
              <w:bottom w:val="single" w:sz="4" w:space="0" w:color="auto"/>
            </w:tcBorders>
            <w:shd w:val="clear" w:color="000000" w:fill="FFFFFF"/>
            <w:noWrap/>
            <w:vAlign w:val="center"/>
            <w:hideMark/>
          </w:tcPr>
          <w:p w14:paraId="2EC7C468" w14:textId="77777777" w:rsidR="00AA3649" w:rsidRPr="001E018A" w:rsidRDefault="00AA3649" w:rsidP="00B6745A">
            <w:pPr>
              <w:jc w:val="right"/>
              <w:rPr>
                <w:b/>
                <w:sz w:val="18"/>
                <w:szCs w:val="18"/>
              </w:rPr>
            </w:pPr>
            <w:r w:rsidRPr="001E018A">
              <w:rPr>
                <w:b/>
                <w:bCs/>
                <w:color w:val="000000"/>
                <w:sz w:val="18"/>
                <w:szCs w:val="18"/>
              </w:rPr>
              <w:t>3 009 658</w:t>
            </w:r>
          </w:p>
        </w:tc>
        <w:tc>
          <w:tcPr>
            <w:tcW w:w="531" w:type="pct"/>
            <w:tcBorders>
              <w:top w:val="single" w:sz="4" w:space="0" w:color="auto"/>
              <w:bottom w:val="single" w:sz="4" w:space="0" w:color="auto"/>
            </w:tcBorders>
            <w:noWrap/>
            <w:vAlign w:val="center"/>
            <w:hideMark/>
          </w:tcPr>
          <w:p w14:paraId="40C69CF4" w14:textId="77777777" w:rsidR="00AA3649" w:rsidRPr="001E018A" w:rsidRDefault="00AA3649" w:rsidP="00B6745A">
            <w:pPr>
              <w:jc w:val="right"/>
              <w:rPr>
                <w:b/>
                <w:sz w:val="18"/>
                <w:szCs w:val="18"/>
              </w:rPr>
            </w:pPr>
            <w:r w:rsidRPr="001E018A">
              <w:rPr>
                <w:b/>
                <w:bCs/>
                <w:color w:val="000000"/>
                <w:sz w:val="18"/>
                <w:szCs w:val="18"/>
              </w:rPr>
              <w:t>2 142 252</w:t>
            </w:r>
          </w:p>
        </w:tc>
        <w:tc>
          <w:tcPr>
            <w:tcW w:w="531" w:type="pct"/>
            <w:tcBorders>
              <w:top w:val="single" w:sz="4" w:space="0" w:color="auto"/>
              <w:bottom w:val="single" w:sz="4" w:space="0" w:color="auto"/>
            </w:tcBorders>
            <w:shd w:val="clear" w:color="000000" w:fill="FFFFFF"/>
            <w:noWrap/>
            <w:vAlign w:val="center"/>
            <w:hideMark/>
          </w:tcPr>
          <w:p w14:paraId="1E8007F2" w14:textId="77777777" w:rsidR="00AA3649" w:rsidRPr="001E018A" w:rsidRDefault="00AA3649" w:rsidP="00B6745A">
            <w:pPr>
              <w:jc w:val="right"/>
              <w:rPr>
                <w:b/>
                <w:sz w:val="18"/>
                <w:szCs w:val="18"/>
              </w:rPr>
            </w:pPr>
            <w:r w:rsidRPr="001E018A">
              <w:rPr>
                <w:b/>
                <w:bCs/>
                <w:color w:val="000000"/>
                <w:sz w:val="18"/>
                <w:szCs w:val="18"/>
              </w:rPr>
              <w:t>2 399 475</w:t>
            </w:r>
          </w:p>
        </w:tc>
        <w:tc>
          <w:tcPr>
            <w:tcW w:w="531" w:type="pct"/>
            <w:tcBorders>
              <w:top w:val="single" w:sz="4" w:space="0" w:color="auto"/>
              <w:bottom w:val="single" w:sz="4" w:space="0" w:color="auto"/>
            </w:tcBorders>
            <w:shd w:val="clear" w:color="000000" w:fill="FFFFFF"/>
            <w:noWrap/>
            <w:vAlign w:val="center"/>
            <w:hideMark/>
          </w:tcPr>
          <w:p w14:paraId="30BD9772" w14:textId="77777777" w:rsidR="00AA3649" w:rsidRPr="001E018A" w:rsidRDefault="00AA3649" w:rsidP="00B6745A">
            <w:pPr>
              <w:jc w:val="right"/>
              <w:rPr>
                <w:b/>
                <w:sz w:val="18"/>
                <w:szCs w:val="18"/>
              </w:rPr>
            </w:pPr>
            <w:r w:rsidRPr="001E018A">
              <w:rPr>
                <w:b/>
                <w:bCs/>
                <w:color w:val="000000"/>
                <w:sz w:val="18"/>
                <w:szCs w:val="18"/>
              </w:rPr>
              <w:t>257 223</w:t>
            </w:r>
          </w:p>
        </w:tc>
        <w:tc>
          <w:tcPr>
            <w:tcW w:w="391" w:type="pct"/>
            <w:tcBorders>
              <w:top w:val="single" w:sz="4" w:space="0" w:color="auto"/>
              <w:bottom w:val="single" w:sz="4" w:space="0" w:color="auto"/>
            </w:tcBorders>
            <w:shd w:val="clear" w:color="000000" w:fill="FFFFFF"/>
            <w:noWrap/>
            <w:vAlign w:val="center"/>
            <w:hideMark/>
          </w:tcPr>
          <w:p w14:paraId="7467C3A8" w14:textId="77777777" w:rsidR="00AA3649" w:rsidRPr="001E018A" w:rsidRDefault="00AA3649" w:rsidP="00B6745A">
            <w:pPr>
              <w:jc w:val="right"/>
              <w:rPr>
                <w:b/>
                <w:sz w:val="18"/>
                <w:szCs w:val="18"/>
              </w:rPr>
            </w:pPr>
            <w:r w:rsidRPr="001E018A">
              <w:rPr>
                <w:b/>
                <w:bCs/>
                <w:color w:val="000000"/>
                <w:sz w:val="18"/>
                <w:szCs w:val="18"/>
              </w:rPr>
              <w:t>12,0</w:t>
            </w:r>
          </w:p>
        </w:tc>
      </w:tr>
    </w:tbl>
    <w:p w14:paraId="7340B039" w14:textId="15A8BC95" w:rsidR="004D69BF" w:rsidRPr="00AA3649" w:rsidRDefault="009A6D81" w:rsidP="009A6D81">
      <w:pPr>
        <w:tabs>
          <w:tab w:val="right" w:pos="9070"/>
        </w:tabs>
        <w:spacing w:line="240" w:lineRule="auto"/>
        <w:jc w:val="both"/>
        <w:rPr>
          <w:sz w:val="18"/>
          <w:szCs w:val="18"/>
        </w:rPr>
      </w:pPr>
      <w:r w:rsidRPr="00AA3649">
        <w:rPr>
          <w:sz w:val="18"/>
          <w:szCs w:val="18"/>
        </w:rPr>
        <w:tab/>
      </w:r>
      <w:r w:rsidR="00B27E03" w:rsidRPr="00AA3649">
        <w:rPr>
          <w:sz w:val="18"/>
          <w:szCs w:val="18"/>
        </w:rPr>
        <w:t>Zdroj: MF SR</w:t>
      </w:r>
    </w:p>
    <w:p w14:paraId="2140ACDB" w14:textId="77777777" w:rsidR="00D46A5E" w:rsidRDefault="00D46A5E" w:rsidP="00532D85">
      <w:pPr>
        <w:tabs>
          <w:tab w:val="left" w:pos="284"/>
        </w:tabs>
        <w:spacing w:line="240" w:lineRule="auto"/>
        <w:jc w:val="both"/>
        <w:rPr>
          <w:b/>
          <w:szCs w:val="24"/>
          <w:highlight w:val="yellow"/>
        </w:rPr>
      </w:pPr>
    </w:p>
    <w:p w14:paraId="1A326089" w14:textId="0E44745F" w:rsidR="001E018A" w:rsidRDefault="001E018A" w:rsidP="001E018A">
      <w:pPr>
        <w:tabs>
          <w:tab w:val="left" w:pos="284"/>
        </w:tabs>
        <w:spacing w:line="240" w:lineRule="auto"/>
        <w:jc w:val="both"/>
        <w:rPr>
          <w:bCs/>
          <w:szCs w:val="24"/>
        </w:rPr>
      </w:pPr>
      <w:r w:rsidRPr="001E018A">
        <w:rPr>
          <w:b/>
          <w:bCs/>
          <w:szCs w:val="24"/>
        </w:rPr>
        <w:t xml:space="preserve">Prostriedky za štrukturálne operácie – MF SR </w:t>
      </w:r>
      <w:r w:rsidRPr="001E018A">
        <w:rPr>
          <w:bCs/>
          <w:szCs w:val="24"/>
        </w:rPr>
        <w:t>už neboli rozpočtované za 3.</w:t>
      </w:r>
      <w:r>
        <w:rPr>
          <w:bCs/>
          <w:szCs w:val="24"/>
        </w:rPr>
        <w:t> </w:t>
      </w:r>
      <w:r w:rsidRPr="001E018A">
        <w:rPr>
          <w:bCs/>
          <w:szCs w:val="24"/>
        </w:rPr>
        <w:t xml:space="preserve">programové obdobie 2014-2020 v dôsledku ukončenia obdobia oprávnenosti k 31.12.2023, avšak preplatenie realizovaných výdavkov z úrovne platobnej jednotky prijímateľom pokračovalo aj </w:t>
      </w:r>
      <w:r w:rsidRPr="001E018A">
        <w:rPr>
          <w:bCs/>
          <w:szCs w:val="24"/>
        </w:rPr>
        <w:lastRenderedPageBreak/>
        <w:t>v roku 2025, a to výlučne už len v prípade výdavkov za dodatočný príspevok, ktorý bol schválený v rámci fázovaných projektov z programového obdobia 2014-2020 do</w:t>
      </w:r>
      <w:r>
        <w:rPr>
          <w:bCs/>
          <w:szCs w:val="24"/>
        </w:rPr>
        <w:t> </w:t>
      </w:r>
      <w:r w:rsidRPr="001E018A">
        <w:rPr>
          <w:bCs/>
          <w:szCs w:val="24"/>
        </w:rPr>
        <w:t>programového obdobia 2021-2027. Rozpočet výdavkov bol upravený o nepoužité prostriedky z predchádzajúcich rokov v zmysle §</w:t>
      </w:r>
      <w:r>
        <w:rPr>
          <w:bCs/>
          <w:szCs w:val="24"/>
        </w:rPr>
        <w:t> </w:t>
      </w:r>
      <w:r w:rsidRPr="001E018A">
        <w:rPr>
          <w:bCs/>
          <w:szCs w:val="24"/>
        </w:rPr>
        <w:t>8 zákona o rozpočtových pravidlách na</w:t>
      </w:r>
      <w:r>
        <w:rPr>
          <w:bCs/>
          <w:szCs w:val="24"/>
        </w:rPr>
        <w:t> </w:t>
      </w:r>
      <w:r w:rsidRPr="001E018A">
        <w:rPr>
          <w:bCs/>
          <w:szCs w:val="24"/>
        </w:rPr>
        <w:t xml:space="preserve">úroveň </w:t>
      </w:r>
      <w:r w:rsidRPr="001E018A">
        <w:rPr>
          <w:bCs/>
          <w:i/>
          <w:iCs/>
          <w:szCs w:val="24"/>
        </w:rPr>
        <w:t>936</w:t>
      </w:r>
      <w:r>
        <w:rPr>
          <w:bCs/>
          <w:i/>
          <w:iCs/>
          <w:szCs w:val="24"/>
        </w:rPr>
        <w:t> </w:t>
      </w:r>
      <w:r w:rsidRPr="001E018A">
        <w:rPr>
          <w:bCs/>
          <w:i/>
          <w:iCs/>
          <w:szCs w:val="24"/>
        </w:rPr>
        <w:t>tis.</w:t>
      </w:r>
      <w:r>
        <w:rPr>
          <w:bCs/>
          <w:i/>
          <w:iCs/>
          <w:szCs w:val="24"/>
        </w:rPr>
        <w:t> </w:t>
      </w:r>
      <w:r w:rsidRPr="001E018A">
        <w:rPr>
          <w:bCs/>
          <w:i/>
          <w:iCs/>
          <w:szCs w:val="24"/>
        </w:rPr>
        <w:t>eur.</w:t>
      </w:r>
      <w:r w:rsidRPr="001E018A">
        <w:rPr>
          <w:bCs/>
          <w:szCs w:val="24"/>
        </w:rPr>
        <w:t xml:space="preserve"> Skutočné čerpanie výdavkov bolo v roku 2025 vo výške </w:t>
      </w:r>
      <w:r w:rsidRPr="001E018A">
        <w:rPr>
          <w:bCs/>
          <w:i/>
          <w:iCs/>
          <w:szCs w:val="24"/>
        </w:rPr>
        <w:t>789</w:t>
      </w:r>
      <w:r>
        <w:rPr>
          <w:bCs/>
          <w:i/>
          <w:iCs/>
          <w:szCs w:val="24"/>
        </w:rPr>
        <w:t> </w:t>
      </w:r>
      <w:r w:rsidRPr="001E018A">
        <w:rPr>
          <w:bCs/>
          <w:i/>
          <w:iCs/>
          <w:szCs w:val="24"/>
        </w:rPr>
        <w:t>tis.</w:t>
      </w:r>
      <w:r>
        <w:rPr>
          <w:bCs/>
          <w:i/>
          <w:iCs/>
          <w:szCs w:val="24"/>
        </w:rPr>
        <w:t> </w:t>
      </w:r>
      <w:r w:rsidRPr="001E018A">
        <w:rPr>
          <w:bCs/>
          <w:i/>
          <w:iCs/>
          <w:szCs w:val="24"/>
        </w:rPr>
        <w:t>eur</w:t>
      </w:r>
      <w:r w:rsidRPr="001E018A">
        <w:rPr>
          <w:bCs/>
          <w:szCs w:val="24"/>
        </w:rPr>
        <w:t>. Zvyšné prostriedky už neboli zaviazané z dôvodu pominutia účelu použitia prostriedkov.</w:t>
      </w:r>
    </w:p>
    <w:p w14:paraId="3C81ECB4" w14:textId="77777777" w:rsidR="001E018A" w:rsidRPr="001E018A" w:rsidRDefault="001E018A" w:rsidP="001E018A">
      <w:pPr>
        <w:tabs>
          <w:tab w:val="left" w:pos="284"/>
        </w:tabs>
        <w:spacing w:line="240" w:lineRule="auto"/>
        <w:jc w:val="both"/>
        <w:rPr>
          <w:bCs/>
          <w:szCs w:val="24"/>
        </w:rPr>
      </w:pPr>
    </w:p>
    <w:p w14:paraId="19AE291C" w14:textId="7A12D72B" w:rsidR="001E018A" w:rsidRDefault="001E018A" w:rsidP="001E018A">
      <w:pPr>
        <w:tabs>
          <w:tab w:val="left" w:pos="284"/>
        </w:tabs>
        <w:spacing w:line="240" w:lineRule="auto"/>
        <w:jc w:val="both"/>
        <w:rPr>
          <w:bCs/>
          <w:szCs w:val="24"/>
        </w:rPr>
      </w:pPr>
      <w:r w:rsidRPr="001E018A">
        <w:rPr>
          <w:bCs/>
          <w:szCs w:val="24"/>
        </w:rPr>
        <w:t>V roku 2025 boli rozpočtované prostriedky za 4.</w:t>
      </w:r>
      <w:r>
        <w:rPr>
          <w:bCs/>
          <w:szCs w:val="24"/>
        </w:rPr>
        <w:t> </w:t>
      </w:r>
      <w:r w:rsidRPr="001E018A">
        <w:rPr>
          <w:bCs/>
          <w:szCs w:val="24"/>
        </w:rPr>
        <w:t>programové obdobie 2021-2027 za</w:t>
      </w:r>
      <w:r>
        <w:rPr>
          <w:bCs/>
          <w:szCs w:val="24"/>
        </w:rPr>
        <w:t> </w:t>
      </w:r>
      <w:r w:rsidRPr="001E018A">
        <w:rPr>
          <w:bCs/>
          <w:szCs w:val="24"/>
          <w:u w:val="single"/>
        </w:rPr>
        <w:t>štrukturálne operácie MF SR</w:t>
      </w:r>
      <w:r w:rsidRPr="001E018A">
        <w:rPr>
          <w:bCs/>
          <w:szCs w:val="24"/>
        </w:rPr>
        <w:t xml:space="preserve"> vo výške </w:t>
      </w:r>
      <w:r w:rsidRPr="001E018A">
        <w:rPr>
          <w:bCs/>
          <w:i/>
          <w:iCs/>
          <w:szCs w:val="24"/>
        </w:rPr>
        <w:t>1 546</w:t>
      </w:r>
      <w:r>
        <w:rPr>
          <w:bCs/>
          <w:i/>
          <w:iCs/>
          <w:szCs w:val="24"/>
        </w:rPr>
        <w:t> </w:t>
      </w:r>
      <w:r w:rsidRPr="001E018A">
        <w:rPr>
          <w:bCs/>
          <w:i/>
          <w:iCs/>
          <w:szCs w:val="24"/>
        </w:rPr>
        <w:t>950</w:t>
      </w:r>
      <w:r>
        <w:rPr>
          <w:bCs/>
          <w:i/>
          <w:iCs/>
          <w:szCs w:val="24"/>
        </w:rPr>
        <w:t> </w:t>
      </w:r>
      <w:r w:rsidRPr="001E018A">
        <w:rPr>
          <w:bCs/>
          <w:i/>
          <w:iCs/>
          <w:szCs w:val="24"/>
        </w:rPr>
        <w:t>tis.</w:t>
      </w:r>
      <w:r>
        <w:rPr>
          <w:bCs/>
          <w:i/>
          <w:iCs/>
          <w:szCs w:val="24"/>
        </w:rPr>
        <w:t> </w:t>
      </w:r>
      <w:r w:rsidRPr="001E018A">
        <w:rPr>
          <w:bCs/>
          <w:i/>
          <w:iCs/>
          <w:szCs w:val="24"/>
        </w:rPr>
        <w:t>eur,</w:t>
      </w:r>
      <w:r w:rsidRPr="001E018A">
        <w:rPr>
          <w:bCs/>
          <w:szCs w:val="24"/>
        </w:rPr>
        <w:t xml:space="preserve"> z toho za</w:t>
      </w:r>
      <w:r>
        <w:rPr>
          <w:bCs/>
          <w:szCs w:val="24"/>
        </w:rPr>
        <w:t> </w:t>
      </w:r>
      <w:r w:rsidRPr="001E018A">
        <w:rPr>
          <w:bCs/>
          <w:szCs w:val="24"/>
        </w:rPr>
        <w:t>Program Slovensko vo</w:t>
      </w:r>
      <w:r>
        <w:rPr>
          <w:bCs/>
          <w:szCs w:val="24"/>
        </w:rPr>
        <w:t> </w:t>
      </w:r>
      <w:r w:rsidRPr="001E018A">
        <w:rPr>
          <w:bCs/>
          <w:szCs w:val="24"/>
        </w:rPr>
        <w:t>výške 1 530</w:t>
      </w:r>
      <w:r>
        <w:rPr>
          <w:bCs/>
          <w:szCs w:val="24"/>
        </w:rPr>
        <w:t> </w:t>
      </w:r>
      <w:r w:rsidRPr="001E018A">
        <w:rPr>
          <w:bCs/>
          <w:szCs w:val="24"/>
        </w:rPr>
        <w:t>065</w:t>
      </w:r>
      <w:r>
        <w:rPr>
          <w:bCs/>
          <w:szCs w:val="24"/>
        </w:rPr>
        <w:t> </w:t>
      </w:r>
      <w:r w:rsidRPr="001E018A">
        <w:rPr>
          <w:bCs/>
          <w:szCs w:val="24"/>
        </w:rPr>
        <w:t>tis.</w:t>
      </w:r>
      <w:r>
        <w:rPr>
          <w:bCs/>
          <w:szCs w:val="24"/>
        </w:rPr>
        <w:t> </w:t>
      </w:r>
      <w:r w:rsidRPr="001E018A">
        <w:rPr>
          <w:bCs/>
          <w:szCs w:val="24"/>
        </w:rPr>
        <w:t>eur, za Program Rybné hospodárstvo vo</w:t>
      </w:r>
      <w:r>
        <w:rPr>
          <w:bCs/>
          <w:szCs w:val="24"/>
        </w:rPr>
        <w:t> </w:t>
      </w:r>
      <w:r w:rsidRPr="001E018A">
        <w:rPr>
          <w:bCs/>
          <w:szCs w:val="24"/>
        </w:rPr>
        <w:t xml:space="preserve">výške </w:t>
      </w:r>
      <w:r w:rsidRPr="001E018A">
        <w:rPr>
          <w:bCs/>
          <w:i/>
          <w:iCs/>
          <w:szCs w:val="24"/>
        </w:rPr>
        <w:t>4</w:t>
      </w:r>
      <w:r>
        <w:rPr>
          <w:bCs/>
          <w:i/>
          <w:iCs/>
          <w:szCs w:val="24"/>
        </w:rPr>
        <w:t> </w:t>
      </w:r>
      <w:r w:rsidRPr="001E018A">
        <w:rPr>
          <w:bCs/>
          <w:i/>
          <w:iCs/>
          <w:szCs w:val="24"/>
        </w:rPr>
        <w:t>863</w:t>
      </w:r>
      <w:r>
        <w:rPr>
          <w:bCs/>
          <w:i/>
          <w:iCs/>
          <w:szCs w:val="24"/>
        </w:rPr>
        <w:t> </w:t>
      </w:r>
      <w:r w:rsidRPr="001E018A">
        <w:rPr>
          <w:bCs/>
          <w:i/>
          <w:iCs/>
          <w:szCs w:val="24"/>
        </w:rPr>
        <w:t>tis.</w:t>
      </w:r>
      <w:r>
        <w:rPr>
          <w:bCs/>
          <w:i/>
          <w:iCs/>
          <w:szCs w:val="24"/>
        </w:rPr>
        <w:t> </w:t>
      </w:r>
      <w:r w:rsidRPr="001E018A">
        <w:rPr>
          <w:bCs/>
          <w:i/>
          <w:iCs/>
          <w:szCs w:val="24"/>
        </w:rPr>
        <w:t>eur</w:t>
      </w:r>
      <w:r w:rsidRPr="001E018A">
        <w:rPr>
          <w:bCs/>
          <w:szCs w:val="24"/>
        </w:rPr>
        <w:t xml:space="preserve"> a</w:t>
      </w:r>
      <w:r>
        <w:rPr>
          <w:bCs/>
          <w:szCs w:val="24"/>
        </w:rPr>
        <w:t> </w:t>
      </w:r>
      <w:r w:rsidRPr="001E018A">
        <w:rPr>
          <w:bCs/>
          <w:szCs w:val="24"/>
        </w:rPr>
        <w:t>za</w:t>
      </w:r>
      <w:r>
        <w:rPr>
          <w:bCs/>
          <w:szCs w:val="24"/>
        </w:rPr>
        <w:t> </w:t>
      </w:r>
      <w:r w:rsidRPr="001E018A">
        <w:rPr>
          <w:bCs/>
          <w:szCs w:val="24"/>
        </w:rPr>
        <w:t xml:space="preserve">programy európskej územnej spolupráce, pre ktoré je MF SR platobným orgánom (Interreg VI-A SK-AT 2021-2027, Interreg VI-A SK-CZ 2021-2027), vo výške </w:t>
      </w:r>
      <w:r w:rsidRPr="001E018A">
        <w:rPr>
          <w:bCs/>
          <w:i/>
          <w:iCs/>
          <w:szCs w:val="24"/>
        </w:rPr>
        <w:t>12</w:t>
      </w:r>
      <w:r w:rsidR="00483FBE">
        <w:rPr>
          <w:bCs/>
          <w:i/>
          <w:iCs/>
          <w:szCs w:val="24"/>
        </w:rPr>
        <w:t> </w:t>
      </w:r>
      <w:r w:rsidRPr="001E018A">
        <w:rPr>
          <w:bCs/>
          <w:i/>
          <w:iCs/>
          <w:szCs w:val="24"/>
        </w:rPr>
        <w:t>022</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xml:space="preserve">. Rozpočet bol upravený na úroveň </w:t>
      </w:r>
      <w:r w:rsidRPr="001E018A">
        <w:rPr>
          <w:bCs/>
          <w:i/>
          <w:iCs/>
          <w:szCs w:val="24"/>
        </w:rPr>
        <w:t>1</w:t>
      </w:r>
      <w:r w:rsidR="00483FBE">
        <w:rPr>
          <w:bCs/>
          <w:i/>
          <w:iCs/>
          <w:szCs w:val="24"/>
        </w:rPr>
        <w:t> </w:t>
      </w:r>
      <w:r w:rsidRPr="001E018A">
        <w:rPr>
          <w:bCs/>
          <w:i/>
          <w:iCs/>
          <w:szCs w:val="24"/>
        </w:rPr>
        <w:t>353</w:t>
      </w:r>
      <w:r w:rsidR="00483FBE">
        <w:rPr>
          <w:bCs/>
          <w:i/>
          <w:iCs/>
          <w:szCs w:val="24"/>
        </w:rPr>
        <w:t> </w:t>
      </w:r>
      <w:r w:rsidRPr="001E018A">
        <w:rPr>
          <w:bCs/>
          <w:i/>
          <w:iCs/>
          <w:szCs w:val="24"/>
        </w:rPr>
        <w:t>533</w:t>
      </w:r>
      <w:r w:rsidR="00483FBE">
        <w:rPr>
          <w:bCs/>
          <w:i/>
          <w:iCs/>
          <w:szCs w:val="24"/>
        </w:rPr>
        <w:t> </w:t>
      </w:r>
      <w:r w:rsidRPr="001E018A">
        <w:rPr>
          <w:bCs/>
          <w:i/>
          <w:iCs/>
          <w:szCs w:val="24"/>
        </w:rPr>
        <w:t>tis.</w:t>
      </w:r>
      <w:r w:rsidR="00483FBE">
        <w:rPr>
          <w:bCs/>
          <w:i/>
          <w:iCs/>
          <w:szCs w:val="24"/>
        </w:rPr>
        <w:t> </w:t>
      </w:r>
      <w:r w:rsidRPr="001E018A">
        <w:rPr>
          <w:bCs/>
          <w:i/>
          <w:iCs/>
          <w:szCs w:val="24"/>
        </w:rPr>
        <w:t xml:space="preserve">eur </w:t>
      </w:r>
      <w:r w:rsidRPr="001E018A">
        <w:rPr>
          <w:bCs/>
          <w:szCs w:val="24"/>
        </w:rPr>
        <w:t>zohľadňujúc prostriedky zaviazané na</w:t>
      </w:r>
      <w:r w:rsidR="00483FBE">
        <w:rPr>
          <w:bCs/>
          <w:szCs w:val="24"/>
        </w:rPr>
        <w:t> </w:t>
      </w:r>
      <w:r w:rsidRPr="001E018A">
        <w:rPr>
          <w:bCs/>
          <w:szCs w:val="24"/>
        </w:rPr>
        <w:t>použitie v nasledujúcich rokoch a prostriedky z dôvodu vysporiadania finančných prostriedkov za</w:t>
      </w:r>
      <w:r w:rsidR="00483FBE">
        <w:rPr>
          <w:bCs/>
          <w:szCs w:val="24"/>
        </w:rPr>
        <w:t> </w:t>
      </w:r>
      <w:r w:rsidRPr="001E018A">
        <w:rPr>
          <w:bCs/>
          <w:szCs w:val="24"/>
        </w:rPr>
        <w:t>nezrovnalosti a vratky</w:t>
      </w:r>
      <w:r w:rsidRPr="001E018A">
        <w:rPr>
          <w:bCs/>
          <w:szCs w:val="24"/>
          <w:vertAlign w:val="superscript"/>
        </w:rPr>
        <w:footnoteReference w:id="35"/>
      </w:r>
      <w:r w:rsidRPr="001E018A">
        <w:rPr>
          <w:bCs/>
          <w:szCs w:val="24"/>
        </w:rPr>
        <w:t>, z toho rozpočet za Program Slovensko bol upravený na</w:t>
      </w:r>
      <w:r w:rsidR="00483FBE">
        <w:rPr>
          <w:bCs/>
          <w:szCs w:val="24"/>
        </w:rPr>
        <w:t> </w:t>
      </w:r>
      <w:r w:rsidRPr="001E018A">
        <w:rPr>
          <w:bCs/>
          <w:szCs w:val="24"/>
        </w:rPr>
        <w:t xml:space="preserve">úroveň </w:t>
      </w:r>
      <w:r w:rsidRPr="001E018A">
        <w:rPr>
          <w:bCs/>
          <w:i/>
          <w:iCs/>
          <w:szCs w:val="24"/>
        </w:rPr>
        <w:t>1 340</w:t>
      </w:r>
      <w:r w:rsidR="00483FBE">
        <w:rPr>
          <w:bCs/>
          <w:i/>
          <w:iCs/>
          <w:szCs w:val="24"/>
        </w:rPr>
        <w:t> </w:t>
      </w:r>
      <w:r w:rsidRPr="001E018A">
        <w:rPr>
          <w:bCs/>
          <w:i/>
          <w:iCs/>
          <w:szCs w:val="24"/>
        </w:rPr>
        <w:t>052</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xml:space="preserve"> za Program Rybné hospodárstvo na úroveň </w:t>
      </w:r>
      <w:r w:rsidRPr="001E018A">
        <w:rPr>
          <w:bCs/>
          <w:i/>
          <w:iCs/>
          <w:szCs w:val="24"/>
        </w:rPr>
        <w:t>0</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xml:space="preserve"> a</w:t>
      </w:r>
      <w:r w:rsidR="00483FBE">
        <w:rPr>
          <w:bCs/>
          <w:szCs w:val="24"/>
        </w:rPr>
        <w:t> </w:t>
      </w:r>
      <w:r w:rsidRPr="001E018A">
        <w:rPr>
          <w:bCs/>
          <w:szCs w:val="24"/>
        </w:rPr>
        <w:t>za</w:t>
      </w:r>
      <w:r w:rsidR="00483FBE">
        <w:rPr>
          <w:bCs/>
          <w:szCs w:val="24"/>
        </w:rPr>
        <w:t> </w:t>
      </w:r>
      <w:r w:rsidRPr="001E018A">
        <w:rPr>
          <w:bCs/>
          <w:szCs w:val="24"/>
        </w:rPr>
        <w:t>programy európskej územnej spolupráce, pre ktoré je MF SR platobným orgánom, na</w:t>
      </w:r>
      <w:r w:rsidR="00483FBE">
        <w:rPr>
          <w:bCs/>
          <w:szCs w:val="24"/>
        </w:rPr>
        <w:t> </w:t>
      </w:r>
      <w:r w:rsidRPr="001E018A">
        <w:rPr>
          <w:bCs/>
          <w:szCs w:val="24"/>
        </w:rPr>
        <w:t xml:space="preserve">úroveň </w:t>
      </w:r>
      <w:r w:rsidRPr="001E018A">
        <w:rPr>
          <w:bCs/>
          <w:i/>
          <w:iCs/>
          <w:szCs w:val="24"/>
        </w:rPr>
        <w:t>13</w:t>
      </w:r>
      <w:r w:rsidR="00483FBE">
        <w:rPr>
          <w:bCs/>
          <w:i/>
          <w:iCs/>
          <w:szCs w:val="24"/>
        </w:rPr>
        <w:t> </w:t>
      </w:r>
      <w:r w:rsidRPr="001E018A">
        <w:rPr>
          <w:bCs/>
          <w:i/>
          <w:iCs/>
          <w:szCs w:val="24"/>
        </w:rPr>
        <w:t>481</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xml:space="preserve">. Skutočné čerpanie výdavkov bolo v roku 2025 vo výške </w:t>
      </w:r>
      <w:r w:rsidRPr="001E018A">
        <w:rPr>
          <w:bCs/>
          <w:i/>
          <w:iCs/>
          <w:szCs w:val="24"/>
        </w:rPr>
        <w:t>1</w:t>
      </w:r>
      <w:r w:rsidR="00483FBE">
        <w:rPr>
          <w:bCs/>
          <w:i/>
          <w:iCs/>
          <w:szCs w:val="24"/>
        </w:rPr>
        <w:t> </w:t>
      </w:r>
      <w:r w:rsidRPr="001E018A">
        <w:rPr>
          <w:bCs/>
          <w:i/>
          <w:iCs/>
          <w:szCs w:val="24"/>
        </w:rPr>
        <w:t>351</w:t>
      </w:r>
      <w:r w:rsidR="00483FBE">
        <w:rPr>
          <w:bCs/>
          <w:i/>
          <w:iCs/>
          <w:szCs w:val="24"/>
        </w:rPr>
        <w:t> </w:t>
      </w:r>
      <w:r w:rsidRPr="001E018A">
        <w:rPr>
          <w:bCs/>
          <w:i/>
          <w:iCs/>
          <w:szCs w:val="24"/>
        </w:rPr>
        <w:t>332</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z toho</w:t>
      </w:r>
      <w:r w:rsidRPr="001E018A">
        <w:rPr>
          <w:bCs/>
          <w:i/>
          <w:iCs/>
          <w:szCs w:val="24"/>
        </w:rPr>
        <w:t xml:space="preserve"> </w:t>
      </w:r>
      <w:r w:rsidRPr="001E018A">
        <w:rPr>
          <w:bCs/>
          <w:szCs w:val="24"/>
        </w:rPr>
        <w:t xml:space="preserve">za Program Slovensko vo výške </w:t>
      </w:r>
      <w:r w:rsidRPr="001E018A">
        <w:rPr>
          <w:bCs/>
          <w:i/>
          <w:iCs/>
          <w:szCs w:val="24"/>
        </w:rPr>
        <w:t>1 337</w:t>
      </w:r>
      <w:r w:rsidR="00483FBE">
        <w:rPr>
          <w:bCs/>
          <w:i/>
          <w:iCs/>
          <w:szCs w:val="24"/>
        </w:rPr>
        <w:t> </w:t>
      </w:r>
      <w:r w:rsidRPr="001E018A">
        <w:rPr>
          <w:bCs/>
          <w:i/>
          <w:iCs/>
          <w:szCs w:val="24"/>
        </w:rPr>
        <w:t>851</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xml:space="preserve"> a za programy európskej územnej spolupráce, pre ktoré je MF SR platobným orgánom, vo výške </w:t>
      </w:r>
      <w:r w:rsidRPr="001E018A">
        <w:rPr>
          <w:bCs/>
          <w:i/>
          <w:iCs/>
          <w:szCs w:val="24"/>
        </w:rPr>
        <w:t>13</w:t>
      </w:r>
      <w:r w:rsidR="00483FBE">
        <w:rPr>
          <w:bCs/>
          <w:i/>
          <w:iCs/>
          <w:szCs w:val="24"/>
        </w:rPr>
        <w:t> </w:t>
      </w:r>
      <w:r w:rsidRPr="001E018A">
        <w:rPr>
          <w:bCs/>
          <w:i/>
          <w:iCs/>
          <w:szCs w:val="24"/>
        </w:rPr>
        <w:t>481</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Za</w:t>
      </w:r>
      <w:r w:rsidR="00483FBE">
        <w:rPr>
          <w:bCs/>
          <w:szCs w:val="24"/>
        </w:rPr>
        <w:t> </w:t>
      </w:r>
      <w:r w:rsidRPr="001E018A">
        <w:rPr>
          <w:bCs/>
          <w:szCs w:val="24"/>
        </w:rPr>
        <w:t>Program Rybné hospodárstvo nedošlo v roku 2025 k čerpaniu.</w:t>
      </w:r>
    </w:p>
    <w:p w14:paraId="60C36265" w14:textId="77777777" w:rsidR="00483FBE" w:rsidRPr="001E018A" w:rsidRDefault="00483FBE" w:rsidP="001E018A">
      <w:pPr>
        <w:tabs>
          <w:tab w:val="left" w:pos="284"/>
        </w:tabs>
        <w:spacing w:line="240" w:lineRule="auto"/>
        <w:jc w:val="both"/>
        <w:rPr>
          <w:bCs/>
          <w:szCs w:val="24"/>
        </w:rPr>
      </w:pPr>
    </w:p>
    <w:p w14:paraId="496BD9A2" w14:textId="173296FE" w:rsidR="001E018A" w:rsidRDefault="001E018A" w:rsidP="001E018A">
      <w:pPr>
        <w:tabs>
          <w:tab w:val="left" w:pos="284"/>
        </w:tabs>
        <w:spacing w:line="240" w:lineRule="auto"/>
        <w:jc w:val="both"/>
        <w:rPr>
          <w:bCs/>
          <w:szCs w:val="24"/>
        </w:rPr>
      </w:pPr>
      <w:r w:rsidRPr="001E018A">
        <w:rPr>
          <w:bCs/>
          <w:szCs w:val="24"/>
        </w:rPr>
        <w:t>Výdavky za 4.</w:t>
      </w:r>
      <w:r w:rsidR="00483FBE">
        <w:rPr>
          <w:bCs/>
          <w:szCs w:val="24"/>
        </w:rPr>
        <w:t> </w:t>
      </w:r>
      <w:r w:rsidRPr="001E018A">
        <w:rPr>
          <w:bCs/>
          <w:szCs w:val="24"/>
        </w:rPr>
        <w:t>programové obdobie na opatrenia súvisiace s vojnovým konfliktom na</w:t>
      </w:r>
      <w:r w:rsidR="00483FBE">
        <w:rPr>
          <w:bCs/>
          <w:szCs w:val="24"/>
        </w:rPr>
        <w:t> </w:t>
      </w:r>
      <w:r w:rsidRPr="001E018A">
        <w:rPr>
          <w:bCs/>
          <w:szCs w:val="24"/>
        </w:rPr>
        <w:t>Ukrajine realizované prostredníctvom kapitol MV SR, MŠVVM SR, MPSVR SR a MD SR boli vo</w:t>
      </w:r>
      <w:r w:rsidR="00483FBE">
        <w:rPr>
          <w:bCs/>
          <w:szCs w:val="24"/>
        </w:rPr>
        <w:t> </w:t>
      </w:r>
      <w:r w:rsidRPr="001E018A">
        <w:rPr>
          <w:bCs/>
          <w:szCs w:val="24"/>
        </w:rPr>
        <w:t xml:space="preserve">výške </w:t>
      </w:r>
      <w:r w:rsidRPr="001E018A">
        <w:rPr>
          <w:bCs/>
          <w:i/>
          <w:iCs/>
          <w:szCs w:val="24"/>
        </w:rPr>
        <w:t>9</w:t>
      </w:r>
      <w:r w:rsidR="00483FBE">
        <w:rPr>
          <w:bCs/>
          <w:i/>
          <w:iCs/>
          <w:szCs w:val="24"/>
        </w:rPr>
        <w:t> </w:t>
      </w:r>
      <w:r w:rsidRPr="001E018A">
        <w:rPr>
          <w:bCs/>
          <w:i/>
          <w:iCs/>
          <w:szCs w:val="24"/>
        </w:rPr>
        <w:t>820</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w:t>
      </w:r>
      <w:r w:rsidRPr="001E018A">
        <w:rPr>
          <w:bCs/>
          <w:szCs w:val="24"/>
          <w:vertAlign w:val="superscript"/>
        </w:rPr>
        <w:footnoteReference w:id="36"/>
      </w:r>
    </w:p>
    <w:p w14:paraId="7F58708A" w14:textId="77777777" w:rsidR="00483FBE" w:rsidRPr="001E018A" w:rsidRDefault="00483FBE" w:rsidP="001E018A">
      <w:pPr>
        <w:tabs>
          <w:tab w:val="left" w:pos="284"/>
        </w:tabs>
        <w:spacing w:line="240" w:lineRule="auto"/>
        <w:jc w:val="both"/>
        <w:rPr>
          <w:bCs/>
          <w:szCs w:val="24"/>
        </w:rPr>
      </w:pPr>
    </w:p>
    <w:p w14:paraId="4988FA1C" w14:textId="0DBBBF8C" w:rsidR="001E018A" w:rsidRDefault="001E018A" w:rsidP="001E018A">
      <w:pPr>
        <w:tabs>
          <w:tab w:val="left" w:pos="284"/>
        </w:tabs>
        <w:spacing w:line="240" w:lineRule="auto"/>
        <w:jc w:val="both"/>
        <w:rPr>
          <w:bCs/>
          <w:szCs w:val="24"/>
        </w:rPr>
      </w:pPr>
      <w:r w:rsidRPr="001E018A">
        <w:rPr>
          <w:b/>
          <w:bCs/>
          <w:szCs w:val="24"/>
        </w:rPr>
        <w:t>Prostriedky za štrukturálne operácie MV SR</w:t>
      </w:r>
      <w:r w:rsidRPr="001E018A">
        <w:rPr>
          <w:bCs/>
          <w:szCs w:val="24"/>
        </w:rPr>
        <w:t xml:space="preserve"> boli rozpočtované za 4.</w:t>
      </w:r>
      <w:r w:rsidR="00483FBE">
        <w:rPr>
          <w:bCs/>
          <w:szCs w:val="24"/>
        </w:rPr>
        <w:t> </w:t>
      </w:r>
      <w:r w:rsidRPr="001E018A">
        <w:rPr>
          <w:bCs/>
          <w:szCs w:val="24"/>
        </w:rPr>
        <w:t xml:space="preserve">programové obdobie 2021-2027 vo výške </w:t>
      </w:r>
      <w:r w:rsidRPr="001E018A">
        <w:rPr>
          <w:bCs/>
          <w:i/>
          <w:iCs/>
          <w:szCs w:val="24"/>
        </w:rPr>
        <w:t>16</w:t>
      </w:r>
      <w:r w:rsidR="00483FBE">
        <w:rPr>
          <w:bCs/>
          <w:i/>
          <w:iCs/>
          <w:szCs w:val="24"/>
        </w:rPr>
        <w:t> </w:t>
      </w:r>
      <w:r w:rsidRPr="001E018A">
        <w:rPr>
          <w:bCs/>
          <w:i/>
          <w:iCs/>
          <w:szCs w:val="24"/>
        </w:rPr>
        <w:t>391</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xml:space="preserve"> za Fondy pre oblasť vnútorných záležitostí (Fond pre</w:t>
      </w:r>
      <w:r w:rsidR="00483FBE">
        <w:rPr>
          <w:bCs/>
          <w:szCs w:val="24"/>
        </w:rPr>
        <w:t> </w:t>
      </w:r>
      <w:r w:rsidRPr="001E018A">
        <w:rPr>
          <w:bCs/>
          <w:szCs w:val="24"/>
        </w:rPr>
        <w:t>azyl, migráciu a integráciu, Fond pre integrované riadenie hraníc, Fond pre vnútornú bezpečnosť). Rozpočet výdavkov bol upravený zohľadňujúc prostriedky zaviazané na</w:t>
      </w:r>
      <w:r w:rsidR="00483FBE">
        <w:rPr>
          <w:bCs/>
          <w:szCs w:val="24"/>
        </w:rPr>
        <w:t> </w:t>
      </w:r>
      <w:r w:rsidRPr="001E018A">
        <w:rPr>
          <w:bCs/>
          <w:szCs w:val="24"/>
        </w:rPr>
        <w:t xml:space="preserve">použitie v nasledujúcich rokoch na úroveň </w:t>
      </w:r>
      <w:r w:rsidRPr="001E018A">
        <w:rPr>
          <w:bCs/>
          <w:i/>
          <w:iCs/>
          <w:szCs w:val="24"/>
        </w:rPr>
        <w:t>8 249 tis. eur</w:t>
      </w:r>
      <w:r w:rsidRPr="001E018A">
        <w:rPr>
          <w:bCs/>
          <w:szCs w:val="24"/>
        </w:rPr>
        <w:t xml:space="preserve"> a skutočné čerpanie výdavkov bolo na</w:t>
      </w:r>
      <w:r w:rsidR="00483FBE">
        <w:rPr>
          <w:bCs/>
          <w:szCs w:val="24"/>
        </w:rPr>
        <w:t> </w:t>
      </w:r>
      <w:r w:rsidRPr="001E018A">
        <w:rPr>
          <w:bCs/>
          <w:szCs w:val="24"/>
        </w:rPr>
        <w:t xml:space="preserve">úrovni </w:t>
      </w:r>
      <w:r w:rsidRPr="001E018A">
        <w:rPr>
          <w:bCs/>
          <w:i/>
          <w:iCs/>
          <w:szCs w:val="24"/>
        </w:rPr>
        <w:t>8</w:t>
      </w:r>
      <w:r w:rsidR="00483FBE">
        <w:rPr>
          <w:bCs/>
          <w:i/>
          <w:iCs/>
          <w:szCs w:val="24"/>
        </w:rPr>
        <w:t> </w:t>
      </w:r>
      <w:r w:rsidRPr="001E018A">
        <w:rPr>
          <w:bCs/>
          <w:i/>
          <w:iCs/>
          <w:szCs w:val="24"/>
        </w:rPr>
        <w:t>249</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w:t>
      </w:r>
    </w:p>
    <w:p w14:paraId="5E3C4364" w14:textId="77777777" w:rsidR="00483FBE" w:rsidRPr="001E018A" w:rsidRDefault="00483FBE" w:rsidP="001E018A">
      <w:pPr>
        <w:tabs>
          <w:tab w:val="left" w:pos="284"/>
        </w:tabs>
        <w:spacing w:line="240" w:lineRule="auto"/>
        <w:jc w:val="both"/>
        <w:rPr>
          <w:bCs/>
          <w:szCs w:val="24"/>
        </w:rPr>
      </w:pPr>
    </w:p>
    <w:p w14:paraId="26EFF158" w14:textId="57171D60" w:rsidR="001E018A" w:rsidRDefault="001E018A" w:rsidP="001E018A">
      <w:pPr>
        <w:tabs>
          <w:tab w:val="left" w:pos="284"/>
        </w:tabs>
        <w:spacing w:line="240" w:lineRule="auto"/>
        <w:jc w:val="both"/>
        <w:rPr>
          <w:bCs/>
          <w:szCs w:val="24"/>
        </w:rPr>
      </w:pPr>
      <w:r w:rsidRPr="001E018A">
        <w:rPr>
          <w:b/>
          <w:bCs/>
          <w:szCs w:val="24"/>
        </w:rPr>
        <w:t>Prostriedky za poľnohospodárske fondy</w:t>
      </w:r>
      <w:r w:rsidRPr="001E018A">
        <w:rPr>
          <w:bCs/>
          <w:szCs w:val="24"/>
        </w:rPr>
        <w:t xml:space="preserve"> za 3.</w:t>
      </w:r>
      <w:r w:rsidR="00483FBE">
        <w:rPr>
          <w:bCs/>
          <w:szCs w:val="24"/>
        </w:rPr>
        <w:t> </w:t>
      </w:r>
      <w:r w:rsidRPr="001E018A">
        <w:rPr>
          <w:bCs/>
          <w:szCs w:val="24"/>
        </w:rPr>
        <w:t>programové obdobie 2014-2022 už neboli v</w:t>
      </w:r>
      <w:r w:rsidR="00483FBE">
        <w:rPr>
          <w:bCs/>
          <w:szCs w:val="24"/>
        </w:rPr>
        <w:t> </w:t>
      </w:r>
      <w:r w:rsidRPr="001E018A">
        <w:rPr>
          <w:bCs/>
          <w:szCs w:val="24"/>
        </w:rPr>
        <w:t>roku 2025 rozpočtované, keďže boli narozpočtované do 100</w:t>
      </w:r>
      <w:r w:rsidR="00483FBE">
        <w:rPr>
          <w:bCs/>
          <w:szCs w:val="24"/>
        </w:rPr>
        <w:t> </w:t>
      </w:r>
      <w:r w:rsidRPr="001E018A">
        <w:rPr>
          <w:bCs/>
          <w:szCs w:val="24"/>
        </w:rPr>
        <w:t>% alokácie už v predchádzajúcich rokoch (prostriedky na Priame platby v roku 2023 a prostriedky na</w:t>
      </w:r>
      <w:r w:rsidR="00483FBE">
        <w:rPr>
          <w:bCs/>
          <w:szCs w:val="24"/>
        </w:rPr>
        <w:t> </w:t>
      </w:r>
      <w:r w:rsidRPr="001E018A">
        <w:rPr>
          <w:bCs/>
          <w:szCs w:val="24"/>
        </w:rPr>
        <w:t>Program rozvoja vidieka v roku 2024). Úprava rozpočtu o nepoužité prostriedky z predchádzajúcich rokov v zmysle §</w:t>
      </w:r>
      <w:r w:rsidR="00483FBE">
        <w:rPr>
          <w:bCs/>
          <w:szCs w:val="24"/>
        </w:rPr>
        <w:t> </w:t>
      </w:r>
      <w:r w:rsidRPr="001E018A">
        <w:rPr>
          <w:bCs/>
          <w:szCs w:val="24"/>
        </w:rPr>
        <w:t>8 zákona o rozpočtových pravidlách a o vysporiadané finančné prostriedkov za nezrovnalosti a vratky</w:t>
      </w:r>
      <w:r w:rsidRPr="001E018A">
        <w:rPr>
          <w:bCs/>
          <w:szCs w:val="24"/>
          <w:vertAlign w:val="superscript"/>
        </w:rPr>
        <w:footnoteReference w:id="37"/>
      </w:r>
      <w:r w:rsidRPr="001E018A">
        <w:rPr>
          <w:bCs/>
          <w:szCs w:val="24"/>
        </w:rPr>
        <w:t xml:space="preserve"> predstavovala úroveň </w:t>
      </w:r>
      <w:r w:rsidRPr="001E018A">
        <w:rPr>
          <w:bCs/>
          <w:i/>
          <w:iCs/>
          <w:szCs w:val="24"/>
        </w:rPr>
        <w:t>708</w:t>
      </w:r>
      <w:r w:rsidR="00483FBE">
        <w:rPr>
          <w:bCs/>
          <w:i/>
          <w:iCs/>
          <w:szCs w:val="24"/>
        </w:rPr>
        <w:t> </w:t>
      </w:r>
      <w:r w:rsidRPr="001E018A">
        <w:rPr>
          <w:bCs/>
          <w:i/>
          <w:iCs/>
          <w:szCs w:val="24"/>
        </w:rPr>
        <w:t>042</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a to za</w:t>
      </w:r>
      <w:r w:rsidR="00483FBE">
        <w:rPr>
          <w:bCs/>
          <w:szCs w:val="24"/>
        </w:rPr>
        <w:t> </w:t>
      </w:r>
      <w:r w:rsidRPr="001E018A">
        <w:rPr>
          <w:bCs/>
          <w:szCs w:val="24"/>
        </w:rPr>
        <w:t>Európsky poľnohospodársky fond pre rozvoj vidieka, nakoľko legislatíva EÚ umožňovala prostriedky Programu rozvoja vidieka 3.</w:t>
      </w:r>
      <w:r w:rsidR="00483FBE">
        <w:rPr>
          <w:bCs/>
          <w:szCs w:val="24"/>
        </w:rPr>
        <w:t> </w:t>
      </w:r>
      <w:r w:rsidRPr="001E018A">
        <w:rPr>
          <w:bCs/>
          <w:szCs w:val="24"/>
        </w:rPr>
        <w:t>programového obdobia 2014-2022 čerpať až do</w:t>
      </w:r>
      <w:r w:rsidR="00483FBE">
        <w:rPr>
          <w:bCs/>
          <w:szCs w:val="24"/>
        </w:rPr>
        <w:t> </w:t>
      </w:r>
      <w:r w:rsidRPr="001E018A">
        <w:rPr>
          <w:bCs/>
          <w:szCs w:val="24"/>
        </w:rPr>
        <w:t>31.12.2025 a za Európsky poľnohospodársky záručný fond za prostriedky na</w:t>
      </w:r>
      <w:r w:rsidR="00483FBE">
        <w:rPr>
          <w:bCs/>
          <w:szCs w:val="24"/>
        </w:rPr>
        <w:t> </w:t>
      </w:r>
      <w:r w:rsidRPr="001E018A">
        <w:rPr>
          <w:bCs/>
          <w:szCs w:val="24"/>
        </w:rPr>
        <w:t>Priame platby, ktoré predstavujú nárokovateľné finančné prostriedky, ktoré sú použité na</w:t>
      </w:r>
      <w:r w:rsidR="00483FBE">
        <w:rPr>
          <w:bCs/>
          <w:szCs w:val="24"/>
        </w:rPr>
        <w:t> </w:t>
      </w:r>
      <w:r w:rsidRPr="001E018A">
        <w:rPr>
          <w:bCs/>
          <w:szCs w:val="24"/>
        </w:rPr>
        <w:t xml:space="preserve">vyplatenie priamych </w:t>
      </w:r>
      <w:r w:rsidRPr="001E018A">
        <w:rPr>
          <w:bCs/>
          <w:szCs w:val="24"/>
        </w:rPr>
        <w:lastRenderedPageBreak/>
        <w:t>platieb za kalendárne roky 2022 a predošlé obdobie (jedná sa o odvolacie konania), za ktoré budú refundované z Európskej komisie. Skutočné čerpanie výdavkov bolo v roku 2025 vo</w:t>
      </w:r>
      <w:r w:rsidR="00483FBE">
        <w:rPr>
          <w:bCs/>
          <w:szCs w:val="24"/>
        </w:rPr>
        <w:t> </w:t>
      </w:r>
      <w:r w:rsidRPr="001E018A">
        <w:rPr>
          <w:bCs/>
          <w:szCs w:val="24"/>
        </w:rPr>
        <w:t xml:space="preserve">výške </w:t>
      </w:r>
      <w:r w:rsidRPr="001E018A">
        <w:rPr>
          <w:bCs/>
          <w:i/>
          <w:iCs/>
          <w:szCs w:val="24"/>
        </w:rPr>
        <w:t>481</w:t>
      </w:r>
      <w:r w:rsidR="00483FBE">
        <w:rPr>
          <w:bCs/>
          <w:i/>
          <w:iCs/>
          <w:szCs w:val="24"/>
        </w:rPr>
        <w:t> </w:t>
      </w:r>
      <w:r w:rsidRPr="001E018A">
        <w:rPr>
          <w:bCs/>
          <w:i/>
          <w:iCs/>
          <w:szCs w:val="24"/>
        </w:rPr>
        <w:t>503</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xml:space="preserve"> Zvyšné prostriedky za Program rozvoja vidieka 2014-2022 neboli zaviazané z dôvodu pominutia účelu použitia prostriedkov.</w:t>
      </w:r>
    </w:p>
    <w:p w14:paraId="1663AE0C" w14:textId="77777777" w:rsidR="00483FBE" w:rsidRPr="001E018A" w:rsidRDefault="00483FBE" w:rsidP="001E018A">
      <w:pPr>
        <w:tabs>
          <w:tab w:val="left" w:pos="284"/>
        </w:tabs>
        <w:spacing w:line="240" w:lineRule="auto"/>
        <w:jc w:val="both"/>
        <w:rPr>
          <w:bCs/>
          <w:szCs w:val="24"/>
        </w:rPr>
      </w:pPr>
    </w:p>
    <w:p w14:paraId="5E0A8965" w14:textId="3B6561F3" w:rsidR="001E018A" w:rsidRDefault="001E018A" w:rsidP="001E018A">
      <w:pPr>
        <w:tabs>
          <w:tab w:val="left" w:pos="284"/>
        </w:tabs>
        <w:spacing w:line="240" w:lineRule="auto"/>
        <w:jc w:val="both"/>
        <w:rPr>
          <w:bCs/>
          <w:szCs w:val="24"/>
        </w:rPr>
      </w:pPr>
      <w:r w:rsidRPr="001E018A">
        <w:rPr>
          <w:bCs/>
          <w:szCs w:val="24"/>
        </w:rPr>
        <w:t>V roku 2025 boli rozpočtované prostriedky za 4.</w:t>
      </w:r>
      <w:r w:rsidR="00483FBE">
        <w:rPr>
          <w:bCs/>
          <w:szCs w:val="24"/>
        </w:rPr>
        <w:t> </w:t>
      </w:r>
      <w:r w:rsidRPr="001E018A">
        <w:rPr>
          <w:bCs/>
          <w:szCs w:val="24"/>
        </w:rPr>
        <w:t>programové obdobie 2023-2027 za</w:t>
      </w:r>
      <w:r w:rsidR="00483FBE">
        <w:rPr>
          <w:bCs/>
          <w:szCs w:val="24"/>
        </w:rPr>
        <w:t> </w:t>
      </w:r>
      <w:r w:rsidRPr="001E018A">
        <w:rPr>
          <w:bCs/>
          <w:szCs w:val="24"/>
        </w:rPr>
        <w:t>Európsky poľnohospodársky záručný fond (Priame platby a Trhovo orientované výdavky) a</w:t>
      </w:r>
      <w:r w:rsidR="00483FBE">
        <w:rPr>
          <w:bCs/>
          <w:szCs w:val="24"/>
        </w:rPr>
        <w:t> </w:t>
      </w:r>
      <w:r w:rsidRPr="001E018A">
        <w:rPr>
          <w:bCs/>
          <w:szCs w:val="24"/>
        </w:rPr>
        <w:t>za</w:t>
      </w:r>
      <w:r w:rsidR="00483FBE">
        <w:rPr>
          <w:bCs/>
          <w:szCs w:val="24"/>
        </w:rPr>
        <w:t> </w:t>
      </w:r>
      <w:r w:rsidRPr="001E018A">
        <w:rPr>
          <w:bCs/>
          <w:szCs w:val="24"/>
        </w:rPr>
        <w:t xml:space="preserve">Európsky poľnohospodársky fond pre rozvoj vidieka vo výške </w:t>
      </w:r>
      <w:r w:rsidRPr="001E018A">
        <w:rPr>
          <w:bCs/>
          <w:i/>
          <w:iCs/>
          <w:szCs w:val="24"/>
        </w:rPr>
        <w:t>578</w:t>
      </w:r>
      <w:r w:rsidR="00483FBE">
        <w:rPr>
          <w:bCs/>
          <w:i/>
          <w:iCs/>
          <w:szCs w:val="24"/>
        </w:rPr>
        <w:t> </w:t>
      </w:r>
      <w:r w:rsidRPr="001E018A">
        <w:rPr>
          <w:bCs/>
          <w:i/>
          <w:iCs/>
          <w:szCs w:val="24"/>
        </w:rPr>
        <w:t>911</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w:t>
      </w:r>
    </w:p>
    <w:p w14:paraId="27D79B77" w14:textId="77777777" w:rsidR="00483FBE" w:rsidRPr="001E018A" w:rsidRDefault="00483FBE" w:rsidP="001E018A">
      <w:pPr>
        <w:tabs>
          <w:tab w:val="left" w:pos="284"/>
        </w:tabs>
        <w:spacing w:line="240" w:lineRule="auto"/>
        <w:jc w:val="both"/>
        <w:rPr>
          <w:bCs/>
          <w:szCs w:val="24"/>
        </w:rPr>
      </w:pPr>
    </w:p>
    <w:p w14:paraId="5545CC05" w14:textId="71D87427" w:rsidR="001E018A" w:rsidRDefault="001E018A" w:rsidP="001E018A">
      <w:pPr>
        <w:tabs>
          <w:tab w:val="left" w:pos="284"/>
        </w:tabs>
        <w:spacing w:line="240" w:lineRule="auto"/>
        <w:jc w:val="both"/>
        <w:rPr>
          <w:bCs/>
          <w:szCs w:val="24"/>
        </w:rPr>
      </w:pPr>
      <w:r w:rsidRPr="001E018A">
        <w:rPr>
          <w:bCs/>
          <w:szCs w:val="24"/>
        </w:rPr>
        <w:t>Rozpočet výdavkov bol upravený o nepoužité prostriedky z predchádzajúcich rokov v zmysle §</w:t>
      </w:r>
      <w:r w:rsidR="00483FBE">
        <w:rPr>
          <w:bCs/>
          <w:szCs w:val="24"/>
        </w:rPr>
        <w:t> </w:t>
      </w:r>
      <w:r w:rsidRPr="001E018A">
        <w:rPr>
          <w:bCs/>
          <w:szCs w:val="24"/>
        </w:rPr>
        <w:t>8 zákona o rozpočtových pravidlách a o vysporiadané finančné prostriedky za</w:t>
      </w:r>
      <w:r w:rsidR="00483FBE">
        <w:rPr>
          <w:bCs/>
          <w:szCs w:val="24"/>
        </w:rPr>
        <w:t> </w:t>
      </w:r>
      <w:r w:rsidRPr="001E018A">
        <w:rPr>
          <w:bCs/>
          <w:szCs w:val="24"/>
        </w:rPr>
        <w:t>nezrovnalosti a vratky</w:t>
      </w:r>
      <w:r w:rsidRPr="001E018A">
        <w:rPr>
          <w:bCs/>
          <w:szCs w:val="24"/>
          <w:vertAlign w:val="superscript"/>
        </w:rPr>
        <w:footnoteReference w:id="38"/>
      </w:r>
      <w:r w:rsidRPr="001E018A">
        <w:rPr>
          <w:bCs/>
          <w:szCs w:val="24"/>
        </w:rPr>
        <w:t xml:space="preserve"> na výšku </w:t>
      </w:r>
      <w:r w:rsidRPr="001E018A">
        <w:rPr>
          <w:bCs/>
          <w:i/>
          <w:iCs/>
          <w:szCs w:val="24"/>
        </w:rPr>
        <w:t>557</w:t>
      </w:r>
      <w:r w:rsidR="00483FBE">
        <w:rPr>
          <w:bCs/>
          <w:i/>
          <w:iCs/>
          <w:szCs w:val="24"/>
        </w:rPr>
        <w:t> </w:t>
      </w:r>
      <w:r w:rsidRPr="001E018A">
        <w:rPr>
          <w:bCs/>
          <w:i/>
          <w:iCs/>
          <w:szCs w:val="24"/>
        </w:rPr>
        <w:t>602</w:t>
      </w:r>
      <w:r w:rsidR="00483FBE">
        <w:rPr>
          <w:bCs/>
          <w:i/>
          <w:iCs/>
          <w:szCs w:val="24"/>
        </w:rPr>
        <w:t> </w:t>
      </w:r>
      <w:r w:rsidRPr="001E018A">
        <w:rPr>
          <w:bCs/>
          <w:i/>
          <w:iCs/>
          <w:szCs w:val="24"/>
        </w:rPr>
        <w:t>tis.</w:t>
      </w:r>
      <w:r w:rsidR="00483FBE">
        <w:rPr>
          <w:bCs/>
          <w:i/>
          <w:iCs/>
          <w:szCs w:val="24"/>
        </w:rPr>
        <w:t> </w:t>
      </w:r>
      <w:r w:rsidRPr="001E018A">
        <w:rPr>
          <w:bCs/>
          <w:i/>
          <w:iCs/>
          <w:szCs w:val="24"/>
        </w:rPr>
        <w:t>eur</w:t>
      </w:r>
      <w:r w:rsidRPr="001E018A">
        <w:rPr>
          <w:bCs/>
          <w:szCs w:val="24"/>
        </w:rPr>
        <w:t>. Skutočné čerpanie výdavkov v roku 2025 bolo vo</w:t>
      </w:r>
      <w:r w:rsidR="00483FBE">
        <w:rPr>
          <w:bCs/>
          <w:szCs w:val="24"/>
        </w:rPr>
        <w:t> </w:t>
      </w:r>
      <w:r w:rsidRPr="001E018A">
        <w:rPr>
          <w:bCs/>
          <w:szCs w:val="24"/>
        </w:rPr>
        <w:t xml:space="preserve">výške </w:t>
      </w:r>
      <w:r w:rsidRPr="001E018A">
        <w:rPr>
          <w:bCs/>
          <w:i/>
          <w:iCs/>
          <w:szCs w:val="24"/>
        </w:rPr>
        <w:t>557</w:t>
      </w:r>
      <w:r w:rsidR="00483FBE">
        <w:rPr>
          <w:bCs/>
          <w:i/>
          <w:iCs/>
          <w:szCs w:val="24"/>
        </w:rPr>
        <w:t> </w:t>
      </w:r>
      <w:r w:rsidRPr="001E018A">
        <w:rPr>
          <w:bCs/>
          <w:i/>
          <w:iCs/>
          <w:szCs w:val="24"/>
        </w:rPr>
        <w:t>602</w:t>
      </w:r>
      <w:r w:rsidR="00483FBE">
        <w:rPr>
          <w:bCs/>
          <w:i/>
          <w:iCs/>
          <w:szCs w:val="24"/>
        </w:rPr>
        <w:t> </w:t>
      </w:r>
      <w:r w:rsidRPr="001E018A">
        <w:rPr>
          <w:bCs/>
          <w:szCs w:val="24"/>
        </w:rPr>
        <w:t>tis.</w:t>
      </w:r>
      <w:r w:rsidR="00483FBE">
        <w:rPr>
          <w:bCs/>
          <w:szCs w:val="24"/>
        </w:rPr>
        <w:t> </w:t>
      </w:r>
      <w:r w:rsidRPr="001E018A">
        <w:rPr>
          <w:bCs/>
          <w:szCs w:val="24"/>
        </w:rPr>
        <w:t>eur.</w:t>
      </w:r>
    </w:p>
    <w:p w14:paraId="1D9C0D93" w14:textId="77777777" w:rsidR="00483FBE" w:rsidRPr="001E018A" w:rsidRDefault="00483FBE" w:rsidP="001E018A">
      <w:pPr>
        <w:tabs>
          <w:tab w:val="left" w:pos="284"/>
        </w:tabs>
        <w:spacing w:line="240" w:lineRule="auto"/>
        <w:jc w:val="both"/>
        <w:rPr>
          <w:bCs/>
          <w:szCs w:val="24"/>
        </w:rPr>
      </w:pPr>
    </w:p>
    <w:p w14:paraId="71B0BDF8" w14:textId="17ECEFA3" w:rsidR="001E018A" w:rsidRPr="001E018A" w:rsidRDefault="001E018A" w:rsidP="00A972FB">
      <w:pPr>
        <w:tabs>
          <w:tab w:val="left" w:pos="284"/>
        </w:tabs>
        <w:spacing w:line="240" w:lineRule="auto"/>
        <w:jc w:val="both"/>
        <w:rPr>
          <w:bCs/>
          <w:szCs w:val="24"/>
        </w:rPr>
      </w:pPr>
      <w:r w:rsidRPr="001E018A">
        <w:rPr>
          <w:bCs/>
          <w:szCs w:val="24"/>
        </w:rPr>
        <w:t>Na rozdiel od schváleného rozpočtu výdavkov za prostriedky EÚ, ktoré boli zákonom o štátnom rozpočte na rok 2025 vyčlenené pre kapitoly, ktoré sú riadiacim orgánom/sprostredkovateľským orgánom s platobnou funkciou a Pôdohospodárska platobná agentúra, skutočné čerpanie výdavkov sa prejavuje tiež v rozpočtových kapitolách, v ktorých sa realizujú projekty na úrovni konečných prijímateľov. Na základe uvedeného sa v niektorých kapitolách prejavuje negatívne saldo príjmov a výdavkov za prostriedky EÚ.</w:t>
      </w:r>
    </w:p>
    <w:p w14:paraId="0CB1BD58" w14:textId="77777777" w:rsidR="001E018A" w:rsidRPr="001E018A" w:rsidRDefault="001E018A" w:rsidP="00A972FB">
      <w:pPr>
        <w:tabs>
          <w:tab w:val="left" w:pos="284"/>
        </w:tabs>
        <w:spacing w:line="240" w:lineRule="auto"/>
        <w:jc w:val="both"/>
        <w:rPr>
          <w:bCs/>
          <w:szCs w:val="24"/>
          <w:highlight w:val="yellow"/>
        </w:rPr>
      </w:pPr>
    </w:p>
    <w:p w14:paraId="13B57A50" w14:textId="6897C3D5" w:rsidR="004D69BF" w:rsidRPr="00D76848" w:rsidRDefault="004D69BF" w:rsidP="00A972FB">
      <w:pPr>
        <w:pStyle w:val="Nadpis4"/>
        <w:spacing w:before="0"/>
        <w:jc w:val="both"/>
      </w:pPr>
      <w:r w:rsidRPr="00D76848">
        <w:t>Výd</w:t>
      </w:r>
      <w:r w:rsidR="005C0285" w:rsidRPr="00D76848">
        <w:t>avky na spolufinancovanie zo ŠR</w:t>
      </w:r>
    </w:p>
    <w:p w14:paraId="4D4FD44E" w14:textId="77777777" w:rsidR="00712A11" w:rsidRDefault="00712A11" w:rsidP="00A972FB">
      <w:pPr>
        <w:spacing w:line="240" w:lineRule="auto"/>
        <w:jc w:val="both"/>
        <w:rPr>
          <w:szCs w:val="24"/>
        </w:rPr>
      </w:pPr>
    </w:p>
    <w:p w14:paraId="4243F258" w14:textId="15B7F572" w:rsidR="00D76848" w:rsidRDefault="00D76848" w:rsidP="00A972FB">
      <w:pPr>
        <w:spacing w:line="240" w:lineRule="auto"/>
        <w:jc w:val="both"/>
        <w:rPr>
          <w:szCs w:val="24"/>
        </w:rPr>
      </w:pPr>
      <w:r w:rsidRPr="00D76848">
        <w:rPr>
          <w:szCs w:val="24"/>
        </w:rPr>
        <w:t>Schválený rozpočet výdavkov na spolufinancovanie zo ŠR vrátane vnútorných politík EÚ na</w:t>
      </w:r>
      <w:r w:rsidR="004035FE">
        <w:rPr>
          <w:szCs w:val="24"/>
        </w:rPr>
        <w:t> </w:t>
      </w:r>
      <w:r w:rsidRPr="00D76848">
        <w:rPr>
          <w:szCs w:val="24"/>
        </w:rPr>
        <w:t xml:space="preserve">rok 2025 bol vo výške </w:t>
      </w:r>
      <w:r w:rsidRPr="00D76848">
        <w:rPr>
          <w:b/>
          <w:bCs/>
          <w:szCs w:val="24"/>
        </w:rPr>
        <w:t>457</w:t>
      </w:r>
      <w:r w:rsidR="004035FE">
        <w:rPr>
          <w:b/>
          <w:bCs/>
          <w:szCs w:val="24"/>
        </w:rPr>
        <w:t> </w:t>
      </w:r>
      <w:r w:rsidRPr="00D76848">
        <w:rPr>
          <w:b/>
          <w:bCs/>
          <w:szCs w:val="24"/>
        </w:rPr>
        <w:t>049</w:t>
      </w:r>
      <w:r w:rsidR="004035FE">
        <w:rPr>
          <w:b/>
          <w:bCs/>
          <w:szCs w:val="24"/>
        </w:rPr>
        <w:t> </w:t>
      </w:r>
      <w:r w:rsidRPr="00D76848">
        <w:rPr>
          <w:b/>
          <w:bCs/>
          <w:szCs w:val="24"/>
        </w:rPr>
        <w:t>tis.</w:t>
      </w:r>
      <w:r w:rsidR="004035FE">
        <w:rPr>
          <w:b/>
          <w:bCs/>
          <w:szCs w:val="24"/>
        </w:rPr>
        <w:t> </w:t>
      </w:r>
      <w:r w:rsidRPr="00D76848">
        <w:rPr>
          <w:b/>
          <w:bCs/>
          <w:szCs w:val="24"/>
        </w:rPr>
        <w:t xml:space="preserve">eur </w:t>
      </w:r>
      <w:r w:rsidRPr="00D76848">
        <w:rPr>
          <w:szCs w:val="24"/>
        </w:rPr>
        <w:t>(z toho prostriedky na spolufinancovanie zo</w:t>
      </w:r>
      <w:r w:rsidR="004035FE">
        <w:rPr>
          <w:szCs w:val="24"/>
        </w:rPr>
        <w:t> </w:t>
      </w:r>
      <w:r w:rsidRPr="00D76848">
        <w:rPr>
          <w:szCs w:val="24"/>
        </w:rPr>
        <w:t>ŠR k prostriedkom EÚ vo výške 447</w:t>
      </w:r>
      <w:r w:rsidR="004035FE">
        <w:rPr>
          <w:szCs w:val="24"/>
        </w:rPr>
        <w:t> </w:t>
      </w:r>
      <w:r w:rsidRPr="00D76848">
        <w:rPr>
          <w:szCs w:val="24"/>
        </w:rPr>
        <w:t>849</w:t>
      </w:r>
      <w:r w:rsidR="004035FE">
        <w:rPr>
          <w:szCs w:val="24"/>
        </w:rPr>
        <w:t> </w:t>
      </w:r>
      <w:r w:rsidRPr="00D76848">
        <w:rPr>
          <w:szCs w:val="24"/>
        </w:rPr>
        <w:t>tis.</w:t>
      </w:r>
      <w:r w:rsidR="004035FE">
        <w:rPr>
          <w:szCs w:val="24"/>
        </w:rPr>
        <w:t> </w:t>
      </w:r>
      <w:r w:rsidRPr="00D76848">
        <w:rPr>
          <w:szCs w:val="24"/>
        </w:rPr>
        <w:t>eur, prostriedky na spolufinancovanie k zahraničným grantom z prostriedkov EÚ vo výške 3</w:t>
      </w:r>
      <w:r w:rsidR="004035FE">
        <w:rPr>
          <w:szCs w:val="24"/>
        </w:rPr>
        <w:t> </w:t>
      </w:r>
      <w:r w:rsidRPr="00D76848">
        <w:rPr>
          <w:szCs w:val="24"/>
        </w:rPr>
        <w:t>565</w:t>
      </w:r>
      <w:r w:rsidR="004035FE">
        <w:rPr>
          <w:szCs w:val="24"/>
        </w:rPr>
        <w:t> </w:t>
      </w:r>
      <w:r w:rsidRPr="00D76848">
        <w:rPr>
          <w:szCs w:val="24"/>
        </w:rPr>
        <w:t>tis.</w:t>
      </w:r>
      <w:r w:rsidR="004035FE">
        <w:rPr>
          <w:szCs w:val="24"/>
        </w:rPr>
        <w:t> </w:t>
      </w:r>
      <w:r w:rsidRPr="00D76848">
        <w:rPr>
          <w:szCs w:val="24"/>
        </w:rPr>
        <w:t>eur, zahraničným grantom poskytnutým na</w:t>
      </w:r>
      <w:r w:rsidR="004035FE">
        <w:rPr>
          <w:szCs w:val="24"/>
        </w:rPr>
        <w:t> </w:t>
      </w:r>
      <w:r w:rsidRPr="00D76848">
        <w:rPr>
          <w:szCs w:val="24"/>
        </w:rPr>
        <w:t>základe medzinárodných zmlúv vo výške 5</w:t>
      </w:r>
      <w:r w:rsidR="004035FE">
        <w:rPr>
          <w:szCs w:val="24"/>
        </w:rPr>
        <w:t> </w:t>
      </w:r>
      <w:r w:rsidRPr="00D76848">
        <w:rPr>
          <w:szCs w:val="24"/>
        </w:rPr>
        <w:t>485</w:t>
      </w:r>
      <w:r w:rsidR="004035FE">
        <w:rPr>
          <w:szCs w:val="24"/>
        </w:rPr>
        <w:t> </w:t>
      </w:r>
      <w:r w:rsidRPr="00D76848">
        <w:rPr>
          <w:szCs w:val="24"/>
        </w:rPr>
        <w:t>tis.</w:t>
      </w:r>
      <w:r w:rsidR="004035FE">
        <w:rPr>
          <w:szCs w:val="24"/>
        </w:rPr>
        <w:t> </w:t>
      </w:r>
      <w:r w:rsidRPr="00D76848">
        <w:rPr>
          <w:szCs w:val="24"/>
        </w:rPr>
        <w:t>eur a prostriedky na</w:t>
      </w:r>
      <w:r w:rsidR="004035FE">
        <w:rPr>
          <w:szCs w:val="24"/>
        </w:rPr>
        <w:t> </w:t>
      </w:r>
      <w:r w:rsidRPr="00D76848">
        <w:rPr>
          <w:szCs w:val="24"/>
        </w:rPr>
        <w:t>spolufinancovanie vnútorných politík vo výške 150</w:t>
      </w:r>
      <w:r w:rsidR="004035FE">
        <w:rPr>
          <w:szCs w:val="24"/>
        </w:rPr>
        <w:t> </w:t>
      </w:r>
      <w:r w:rsidRPr="00D76848">
        <w:rPr>
          <w:szCs w:val="24"/>
        </w:rPr>
        <w:t>tis.</w:t>
      </w:r>
      <w:r w:rsidR="004035FE">
        <w:rPr>
          <w:szCs w:val="24"/>
        </w:rPr>
        <w:t> </w:t>
      </w:r>
      <w:r w:rsidRPr="00D76848">
        <w:rPr>
          <w:szCs w:val="24"/>
        </w:rPr>
        <w:t>eur).</w:t>
      </w:r>
    </w:p>
    <w:p w14:paraId="67CECB1D" w14:textId="77777777" w:rsidR="004035FE" w:rsidRPr="00D76848" w:rsidRDefault="004035FE" w:rsidP="00D76848">
      <w:pPr>
        <w:spacing w:line="240" w:lineRule="auto"/>
        <w:jc w:val="both"/>
        <w:rPr>
          <w:szCs w:val="24"/>
        </w:rPr>
      </w:pPr>
    </w:p>
    <w:p w14:paraId="43B50258" w14:textId="41C7D308" w:rsidR="00D76848" w:rsidRDefault="00D76848" w:rsidP="00D76848">
      <w:pPr>
        <w:spacing w:line="240" w:lineRule="auto"/>
        <w:jc w:val="both"/>
        <w:rPr>
          <w:szCs w:val="24"/>
        </w:rPr>
      </w:pPr>
      <w:r w:rsidRPr="00D76848">
        <w:rPr>
          <w:szCs w:val="24"/>
        </w:rPr>
        <w:t>Rozpočet výdavkov na spolufinancovanie zo ŠR vrátane vnútorných politík EÚ bol v roku 2025 upravený predovšetkým o nevyčerpané prostriedky z predchádzajúcich rokov v zmysle §</w:t>
      </w:r>
      <w:r w:rsidR="004035FE">
        <w:rPr>
          <w:szCs w:val="24"/>
        </w:rPr>
        <w:t> </w:t>
      </w:r>
      <w:r w:rsidRPr="00D76848">
        <w:rPr>
          <w:szCs w:val="24"/>
        </w:rPr>
        <w:t>8 zákona o rozpočtových pravidlách pre výdavky, ktoré neovplyvňujú LVV na</w:t>
      </w:r>
      <w:r w:rsidR="004035FE">
        <w:rPr>
          <w:szCs w:val="24"/>
        </w:rPr>
        <w:t> </w:t>
      </w:r>
      <w:r w:rsidRPr="00D76848">
        <w:rPr>
          <w:szCs w:val="24"/>
        </w:rPr>
        <w:t xml:space="preserve">úroveň </w:t>
      </w:r>
      <w:r w:rsidRPr="00D76848">
        <w:rPr>
          <w:b/>
          <w:bCs/>
          <w:szCs w:val="24"/>
        </w:rPr>
        <w:t>660</w:t>
      </w:r>
      <w:r w:rsidR="004035FE">
        <w:rPr>
          <w:b/>
          <w:bCs/>
          <w:szCs w:val="24"/>
        </w:rPr>
        <w:t> </w:t>
      </w:r>
      <w:r w:rsidRPr="00D76848">
        <w:rPr>
          <w:b/>
          <w:bCs/>
          <w:szCs w:val="24"/>
        </w:rPr>
        <w:t>044</w:t>
      </w:r>
      <w:r w:rsidR="004035FE">
        <w:rPr>
          <w:b/>
          <w:bCs/>
          <w:szCs w:val="24"/>
        </w:rPr>
        <w:t> </w:t>
      </w:r>
      <w:r w:rsidRPr="00D76848">
        <w:rPr>
          <w:b/>
          <w:bCs/>
          <w:szCs w:val="24"/>
        </w:rPr>
        <w:t>tis.</w:t>
      </w:r>
      <w:r w:rsidR="004035FE">
        <w:rPr>
          <w:b/>
          <w:bCs/>
          <w:szCs w:val="24"/>
        </w:rPr>
        <w:t> </w:t>
      </w:r>
      <w:r w:rsidRPr="00D76848">
        <w:rPr>
          <w:b/>
          <w:bCs/>
          <w:szCs w:val="24"/>
        </w:rPr>
        <w:t>eur</w:t>
      </w:r>
      <w:r w:rsidRPr="00D76848">
        <w:rPr>
          <w:szCs w:val="24"/>
        </w:rPr>
        <w:t xml:space="preserve"> (z toho prostriedky na spolufinancovanie zo ŠR k prostriedkom EÚ vo</w:t>
      </w:r>
      <w:r w:rsidR="004035FE">
        <w:rPr>
          <w:szCs w:val="24"/>
        </w:rPr>
        <w:t> </w:t>
      </w:r>
      <w:r w:rsidRPr="00D76848">
        <w:rPr>
          <w:szCs w:val="24"/>
        </w:rPr>
        <w:t>výške 650</w:t>
      </w:r>
      <w:r w:rsidR="004035FE">
        <w:rPr>
          <w:szCs w:val="24"/>
        </w:rPr>
        <w:t> </w:t>
      </w:r>
      <w:r w:rsidRPr="00D76848">
        <w:rPr>
          <w:szCs w:val="24"/>
        </w:rPr>
        <w:t>097</w:t>
      </w:r>
      <w:r w:rsidR="004035FE">
        <w:rPr>
          <w:szCs w:val="24"/>
        </w:rPr>
        <w:t> </w:t>
      </w:r>
      <w:r w:rsidRPr="00D76848">
        <w:rPr>
          <w:szCs w:val="24"/>
        </w:rPr>
        <w:t>tis.</w:t>
      </w:r>
      <w:r w:rsidR="004035FE">
        <w:rPr>
          <w:szCs w:val="24"/>
        </w:rPr>
        <w:t> </w:t>
      </w:r>
      <w:r w:rsidRPr="00D76848">
        <w:rPr>
          <w:szCs w:val="24"/>
        </w:rPr>
        <w:t>eur, prostriedky na spolufinancovanie k zahraničným grantom z prostriedkov EÚ vo výške 4</w:t>
      </w:r>
      <w:r w:rsidR="004035FE">
        <w:rPr>
          <w:szCs w:val="24"/>
        </w:rPr>
        <w:t> </w:t>
      </w:r>
      <w:r w:rsidRPr="00D76848">
        <w:rPr>
          <w:szCs w:val="24"/>
        </w:rPr>
        <w:t>412</w:t>
      </w:r>
      <w:r w:rsidR="004035FE">
        <w:rPr>
          <w:szCs w:val="24"/>
        </w:rPr>
        <w:t> </w:t>
      </w:r>
      <w:r w:rsidRPr="00D76848">
        <w:rPr>
          <w:szCs w:val="24"/>
        </w:rPr>
        <w:t>tis.</w:t>
      </w:r>
      <w:r w:rsidR="004035FE">
        <w:rPr>
          <w:szCs w:val="24"/>
        </w:rPr>
        <w:t> </w:t>
      </w:r>
      <w:r w:rsidRPr="00D76848">
        <w:rPr>
          <w:szCs w:val="24"/>
        </w:rPr>
        <w:t>eur a zahraničným grantom poskytnutým na základe medzinárodných zmlúv vo výške 5</w:t>
      </w:r>
      <w:r w:rsidR="004035FE">
        <w:rPr>
          <w:szCs w:val="24"/>
        </w:rPr>
        <w:t> </w:t>
      </w:r>
      <w:r w:rsidRPr="00D76848">
        <w:rPr>
          <w:szCs w:val="24"/>
        </w:rPr>
        <w:t>485</w:t>
      </w:r>
      <w:r w:rsidR="004035FE">
        <w:rPr>
          <w:szCs w:val="24"/>
        </w:rPr>
        <w:t> </w:t>
      </w:r>
      <w:r w:rsidRPr="00D76848">
        <w:rPr>
          <w:szCs w:val="24"/>
        </w:rPr>
        <w:t>tis.</w:t>
      </w:r>
      <w:r w:rsidR="004035FE">
        <w:rPr>
          <w:szCs w:val="24"/>
        </w:rPr>
        <w:t> </w:t>
      </w:r>
      <w:r w:rsidRPr="00D76848">
        <w:rPr>
          <w:szCs w:val="24"/>
        </w:rPr>
        <w:t>eur a prostriedky na spolufinancovanie vnútorných politík vo</w:t>
      </w:r>
      <w:r w:rsidR="004035FE">
        <w:rPr>
          <w:szCs w:val="24"/>
        </w:rPr>
        <w:t> </w:t>
      </w:r>
      <w:r w:rsidRPr="00D76848">
        <w:rPr>
          <w:szCs w:val="24"/>
        </w:rPr>
        <w:t>výške 50</w:t>
      </w:r>
      <w:r w:rsidR="004035FE">
        <w:rPr>
          <w:szCs w:val="24"/>
        </w:rPr>
        <w:t> </w:t>
      </w:r>
      <w:r w:rsidRPr="00D76848">
        <w:rPr>
          <w:szCs w:val="24"/>
        </w:rPr>
        <w:t>tis.</w:t>
      </w:r>
      <w:r w:rsidR="004035FE">
        <w:rPr>
          <w:szCs w:val="24"/>
        </w:rPr>
        <w:t> </w:t>
      </w:r>
      <w:r w:rsidRPr="00D76848">
        <w:rPr>
          <w:szCs w:val="24"/>
        </w:rPr>
        <w:t xml:space="preserve">eur). Výšku upraveného rozpočtu tak priamo ovplyvňuje výška skutočného čerpania v predchádzajúcom roku. </w:t>
      </w:r>
      <w:r w:rsidR="00DA3553" w:rsidRPr="00DA3553">
        <w:rPr>
          <w:szCs w:val="24"/>
        </w:rPr>
        <w:t>Pri Programoch, ktorých výdavky ovplyvňujú LVV sa rozpočet o</w:t>
      </w:r>
      <w:r w:rsidR="004F146C">
        <w:rPr>
          <w:szCs w:val="24"/>
        </w:rPr>
        <w:t> </w:t>
      </w:r>
      <w:r w:rsidR="00DA3553" w:rsidRPr="00DA3553">
        <w:rPr>
          <w:szCs w:val="24"/>
        </w:rPr>
        <w:t>nevyčerpané prostriedky z predchádzajúcich rokov v zmysle §</w:t>
      </w:r>
      <w:r w:rsidR="004F146C">
        <w:rPr>
          <w:szCs w:val="24"/>
        </w:rPr>
        <w:t> </w:t>
      </w:r>
      <w:r w:rsidR="00DA3553" w:rsidRPr="00DA3553">
        <w:rPr>
          <w:szCs w:val="24"/>
        </w:rPr>
        <w:t>8 zákona o</w:t>
      </w:r>
      <w:r w:rsidR="004F146C">
        <w:rPr>
          <w:szCs w:val="24"/>
        </w:rPr>
        <w:t> </w:t>
      </w:r>
      <w:r w:rsidR="00DA3553" w:rsidRPr="00DA3553">
        <w:rPr>
          <w:szCs w:val="24"/>
        </w:rPr>
        <w:t>rozpočtových pravidlách neupravoval (v prípade Poľnohospodárskych fondov programy financované z</w:t>
      </w:r>
      <w:r w:rsidR="004F146C">
        <w:rPr>
          <w:szCs w:val="24"/>
        </w:rPr>
        <w:t> </w:t>
      </w:r>
      <w:r w:rsidR="00DA3553" w:rsidRPr="00DA3553">
        <w:rPr>
          <w:szCs w:val="24"/>
        </w:rPr>
        <w:t>EPZF, programov LIFE a programov Finančného mechanizmu EHP, NFM a</w:t>
      </w:r>
      <w:r w:rsidR="004F146C">
        <w:rPr>
          <w:szCs w:val="24"/>
        </w:rPr>
        <w:t> </w:t>
      </w:r>
      <w:r w:rsidR="00DA3553" w:rsidRPr="00DA3553">
        <w:rPr>
          <w:szCs w:val="24"/>
        </w:rPr>
        <w:t>ŠFM) s výnimkou výdavkov pro rata za Program Slovensko, ktoré boli uvoľnené vo</w:t>
      </w:r>
      <w:r w:rsidR="004F146C">
        <w:rPr>
          <w:szCs w:val="24"/>
        </w:rPr>
        <w:t> </w:t>
      </w:r>
      <w:r w:rsidR="00DA3553" w:rsidRPr="00DA3553">
        <w:rPr>
          <w:szCs w:val="24"/>
        </w:rPr>
        <w:t>výške 3,6</w:t>
      </w:r>
      <w:r w:rsidR="004F146C">
        <w:rPr>
          <w:szCs w:val="24"/>
        </w:rPr>
        <w:t> </w:t>
      </w:r>
      <w:r w:rsidR="00DA3553" w:rsidRPr="00DA3553">
        <w:rPr>
          <w:szCs w:val="24"/>
        </w:rPr>
        <w:t>mil.</w:t>
      </w:r>
      <w:r w:rsidR="004F146C">
        <w:rPr>
          <w:szCs w:val="24"/>
        </w:rPr>
        <w:t> </w:t>
      </w:r>
      <w:r w:rsidR="00DA3553" w:rsidRPr="00DA3553">
        <w:rPr>
          <w:szCs w:val="24"/>
        </w:rPr>
        <w:t>eur na úkor viazania prostriedkov v rozpočte kapitoly VPS z dôvodu kompenzácie vplyvu na LVV</w:t>
      </w:r>
      <w:r w:rsidRPr="00D76848">
        <w:rPr>
          <w:szCs w:val="24"/>
        </w:rPr>
        <w:t>.</w:t>
      </w:r>
    </w:p>
    <w:p w14:paraId="0A3BA7D2" w14:textId="77777777" w:rsidR="004035FE" w:rsidRPr="00D76848" w:rsidRDefault="004035FE" w:rsidP="00D76848">
      <w:pPr>
        <w:spacing w:line="240" w:lineRule="auto"/>
        <w:jc w:val="both"/>
        <w:rPr>
          <w:szCs w:val="24"/>
        </w:rPr>
      </w:pPr>
    </w:p>
    <w:p w14:paraId="1227C4C9" w14:textId="0A519501" w:rsidR="00D76848" w:rsidRPr="00D76848" w:rsidRDefault="00D76848" w:rsidP="00D76848">
      <w:pPr>
        <w:spacing w:line="240" w:lineRule="auto"/>
        <w:jc w:val="both"/>
        <w:rPr>
          <w:szCs w:val="24"/>
        </w:rPr>
      </w:pPr>
      <w:r w:rsidRPr="00D76848">
        <w:rPr>
          <w:szCs w:val="24"/>
        </w:rPr>
        <w:lastRenderedPageBreak/>
        <w:t xml:space="preserve">Skutočné čerpanie výdavkov na spolufinancovanie zo ŠR vrátane vnútorných politík EÚ bolo vo výške </w:t>
      </w:r>
      <w:r w:rsidRPr="00D76848">
        <w:rPr>
          <w:b/>
          <w:bCs/>
          <w:szCs w:val="24"/>
        </w:rPr>
        <w:t>573</w:t>
      </w:r>
      <w:r w:rsidR="004035FE">
        <w:rPr>
          <w:b/>
          <w:bCs/>
          <w:szCs w:val="24"/>
        </w:rPr>
        <w:t> </w:t>
      </w:r>
      <w:r w:rsidRPr="00D76848">
        <w:rPr>
          <w:b/>
          <w:bCs/>
          <w:szCs w:val="24"/>
        </w:rPr>
        <w:t>887</w:t>
      </w:r>
      <w:r w:rsidR="004035FE">
        <w:rPr>
          <w:b/>
          <w:bCs/>
          <w:szCs w:val="24"/>
        </w:rPr>
        <w:t> </w:t>
      </w:r>
      <w:r w:rsidRPr="00D76848">
        <w:rPr>
          <w:b/>
          <w:bCs/>
          <w:szCs w:val="24"/>
        </w:rPr>
        <w:t>tis.</w:t>
      </w:r>
      <w:r w:rsidR="004035FE">
        <w:rPr>
          <w:b/>
          <w:bCs/>
          <w:szCs w:val="24"/>
        </w:rPr>
        <w:t> </w:t>
      </w:r>
      <w:r w:rsidRPr="00D76848">
        <w:rPr>
          <w:b/>
          <w:bCs/>
          <w:szCs w:val="24"/>
        </w:rPr>
        <w:t>eur</w:t>
      </w:r>
      <w:r w:rsidRPr="00D76848">
        <w:rPr>
          <w:szCs w:val="24"/>
        </w:rPr>
        <w:t xml:space="preserve"> (z toho prostriedky na spolufinancovanie zo ŠR k prostriedkom EÚ vo výške 563</w:t>
      </w:r>
      <w:r w:rsidR="004035FE">
        <w:rPr>
          <w:szCs w:val="24"/>
        </w:rPr>
        <w:t> </w:t>
      </w:r>
      <w:r w:rsidRPr="00D76848">
        <w:rPr>
          <w:szCs w:val="24"/>
        </w:rPr>
        <w:t>940</w:t>
      </w:r>
      <w:r w:rsidR="004035FE">
        <w:rPr>
          <w:szCs w:val="24"/>
        </w:rPr>
        <w:t> </w:t>
      </w:r>
      <w:r w:rsidRPr="00D76848">
        <w:rPr>
          <w:szCs w:val="24"/>
        </w:rPr>
        <w:t>tis.</w:t>
      </w:r>
      <w:r w:rsidR="004035FE">
        <w:rPr>
          <w:szCs w:val="24"/>
        </w:rPr>
        <w:t> </w:t>
      </w:r>
      <w:r w:rsidRPr="00D76848">
        <w:rPr>
          <w:szCs w:val="24"/>
        </w:rPr>
        <w:t>eur, prostriedky na spolufinancovanie k zahraničným grantom z prostriedkov EÚ vo výške 4</w:t>
      </w:r>
      <w:r w:rsidR="004035FE">
        <w:rPr>
          <w:szCs w:val="24"/>
        </w:rPr>
        <w:t> </w:t>
      </w:r>
      <w:r w:rsidRPr="00D76848">
        <w:rPr>
          <w:szCs w:val="24"/>
        </w:rPr>
        <w:t>412</w:t>
      </w:r>
      <w:r w:rsidR="004035FE">
        <w:rPr>
          <w:szCs w:val="24"/>
        </w:rPr>
        <w:t> </w:t>
      </w:r>
      <w:r w:rsidRPr="00D76848">
        <w:rPr>
          <w:szCs w:val="24"/>
        </w:rPr>
        <w:t>tis.</w:t>
      </w:r>
      <w:r w:rsidR="004035FE">
        <w:rPr>
          <w:szCs w:val="24"/>
        </w:rPr>
        <w:t> </w:t>
      </w:r>
      <w:r w:rsidRPr="00D76848">
        <w:rPr>
          <w:szCs w:val="24"/>
        </w:rPr>
        <w:t>eur a zahraničným grantom poskytnutým na</w:t>
      </w:r>
      <w:r w:rsidR="004035FE">
        <w:rPr>
          <w:szCs w:val="24"/>
        </w:rPr>
        <w:t> </w:t>
      </w:r>
      <w:r w:rsidRPr="00D76848">
        <w:rPr>
          <w:szCs w:val="24"/>
        </w:rPr>
        <w:t>základe medzinárodných zmlúv vo výške 5</w:t>
      </w:r>
      <w:r w:rsidR="004035FE">
        <w:rPr>
          <w:szCs w:val="24"/>
        </w:rPr>
        <w:t> </w:t>
      </w:r>
      <w:r w:rsidRPr="00D76848">
        <w:rPr>
          <w:szCs w:val="24"/>
        </w:rPr>
        <w:t>485</w:t>
      </w:r>
      <w:r w:rsidR="004035FE">
        <w:rPr>
          <w:szCs w:val="24"/>
        </w:rPr>
        <w:t> </w:t>
      </w:r>
      <w:r w:rsidRPr="00D76848">
        <w:rPr>
          <w:szCs w:val="24"/>
        </w:rPr>
        <w:t>tis.</w:t>
      </w:r>
      <w:r w:rsidR="004035FE">
        <w:rPr>
          <w:szCs w:val="24"/>
        </w:rPr>
        <w:t> </w:t>
      </w:r>
      <w:r w:rsidRPr="00D76848">
        <w:rPr>
          <w:szCs w:val="24"/>
        </w:rPr>
        <w:t>eur a prostriedky na spolufinancovanie vnútorných politík v sume 50</w:t>
      </w:r>
      <w:r w:rsidR="004035FE">
        <w:rPr>
          <w:szCs w:val="24"/>
        </w:rPr>
        <w:t> </w:t>
      </w:r>
      <w:r w:rsidRPr="00D76848">
        <w:rPr>
          <w:szCs w:val="24"/>
        </w:rPr>
        <w:t>tis.</w:t>
      </w:r>
      <w:r w:rsidR="004035FE">
        <w:rPr>
          <w:szCs w:val="24"/>
        </w:rPr>
        <w:t> </w:t>
      </w:r>
      <w:r w:rsidRPr="00D76848">
        <w:rPr>
          <w:szCs w:val="24"/>
        </w:rPr>
        <w:t>eur).</w:t>
      </w:r>
    </w:p>
    <w:p w14:paraId="6BBC6091" w14:textId="77777777" w:rsidR="00D46A5E" w:rsidRPr="004035FE" w:rsidRDefault="00D46A5E" w:rsidP="00532D85">
      <w:pPr>
        <w:spacing w:line="240" w:lineRule="auto"/>
        <w:jc w:val="both"/>
        <w:rPr>
          <w:szCs w:val="24"/>
        </w:rPr>
      </w:pPr>
    </w:p>
    <w:p w14:paraId="379A98CF" w14:textId="2B70EAE4" w:rsidR="00291B58" w:rsidRPr="004035FE" w:rsidRDefault="00291B58" w:rsidP="00532D85">
      <w:pPr>
        <w:pStyle w:val="Popis"/>
        <w:jc w:val="both"/>
      </w:pPr>
      <w:bookmarkStart w:id="161" w:name="_Toc196313668"/>
      <w:bookmarkStart w:id="162" w:name="_Toc227670178"/>
      <w:r w:rsidRPr="004035FE">
        <w:t xml:space="preserve">Tabuľka </w:t>
      </w:r>
      <w:r w:rsidRPr="004035FE">
        <w:rPr>
          <w:i/>
        </w:rPr>
        <w:fldChar w:fldCharType="begin"/>
      </w:r>
      <w:r w:rsidRPr="004035FE">
        <w:instrText xml:space="preserve"> SEQ Tabuľka \* ARABIC </w:instrText>
      </w:r>
      <w:r w:rsidRPr="004035FE">
        <w:rPr>
          <w:i/>
        </w:rPr>
        <w:fldChar w:fldCharType="separate"/>
      </w:r>
      <w:r w:rsidR="00396BE8">
        <w:rPr>
          <w:noProof/>
        </w:rPr>
        <w:t>42</w:t>
      </w:r>
      <w:r w:rsidRPr="004035FE">
        <w:rPr>
          <w:i/>
        </w:rPr>
        <w:fldChar w:fldCharType="end"/>
      </w:r>
      <w:r w:rsidRPr="004035FE">
        <w:t xml:space="preserve"> </w:t>
      </w:r>
      <w:r w:rsidR="004035FE" w:rsidRPr="004035FE">
        <w:t>–</w:t>
      </w:r>
      <w:r w:rsidRPr="004035FE">
        <w:t xml:space="preserve"> </w:t>
      </w:r>
      <w:r w:rsidR="004035FE" w:rsidRPr="004035FE">
        <w:t>Výdavky na</w:t>
      </w:r>
      <w:r w:rsidRPr="004035FE">
        <w:t xml:space="preserve"> spolufin</w:t>
      </w:r>
      <w:r w:rsidR="00FA5A1C" w:rsidRPr="004035FE">
        <w:t>.</w:t>
      </w:r>
      <w:r w:rsidRPr="004035FE">
        <w:t xml:space="preserve"> zo ŠR vrátane vnútorných politík EÚ</w:t>
      </w:r>
      <w:bookmarkEnd w:id="161"/>
      <w:r w:rsidR="004035FE" w:rsidRPr="004035FE">
        <w:rPr>
          <w:rStyle w:val="Odkaznapoznmkupodiarou"/>
        </w:rPr>
        <w:footnoteReference w:id="39"/>
      </w:r>
      <w:bookmarkEnd w:id="162"/>
    </w:p>
    <w:tbl>
      <w:tblPr>
        <w:tblW w:w="5000" w:type="pct"/>
        <w:tblCellMar>
          <w:left w:w="70" w:type="dxa"/>
          <w:right w:w="70" w:type="dxa"/>
        </w:tblCellMar>
        <w:tblLook w:val="04A0" w:firstRow="1" w:lastRow="0" w:firstColumn="1" w:lastColumn="0" w:noHBand="0" w:noVBand="1"/>
      </w:tblPr>
      <w:tblGrid>
        <w:gridCol w:w="3547"/>
        <w:gridCol w:w="964"/>
        <w:gridCol w:w="963"/>
        <w:gridCol w:w="963"/>
        <w:gridCol w:w="963"/>
        <w:gridCol w:w="963"/>
        <w:gridCol w:w="707"/>
      </w:tblGrid>
      <w:tr w:rsidR="004035FE" w:rsidRPr="004035FE" w14:paraId="369625A4" w14:textId="77777777" w:rsidTr="004035FE">
        <w:trPr>
          <w:trHeight w:val="407"/>
          <w:tblHeader/>
        </w:trPr>
        <w:tc>
          <w:tcPr>
            <w:tcW w:w="1955" w:type="pct"/>
            <w:vMerge w:val="restart"/>
            <w:tcBorders>
              <w:top w:val="single" w:sz="4" w:space="0" w:color="auto"/>
            </w:tcBorders>
            <w:vAlign w:val="center"/>
            <w:hideMark/>
          </w:tcPr>
          <w:p w14:paraId="22FB5722" w14:textId="77777777" w:rsidR="004035FE" w:rsidRPr="004035FE" w:rsidRDefault="004035FE" w:rsidP="00B6745A">
            <w:pPr>
              <w:rPr>
                <w:sz w:val="18"/>
                <w:szCs w:val="18"/>
              </w:rPr>
            </w:pPr>
            <w:r w:rsidRPr="004035FE">
              <w:rPr>
                <w:b/>
                <w:bCs/>
                <w:sz w:val="18"/>
                <w:szCs w:val="18"/>
              </w:rPr>
              <w:t>v tis. eur</w:t>
            </w:r>
          </w:p>
        </w:tc>
        <w:tc>
          <w:tcPr>
            <w:tcW w:w="531" w:type="pct"/>
            <w:tcBorders>
              <w:top w:val="single" w:sz="4" w:space="0" w:color="auto"/>
            </w:tcBorders>
            <w:vAlign w:val="center"/>
            <w:hideMark/>
          </w:tcPr>
          <w:p w14:paraId="1F4A6FE5" w14:textId="77777777" w:rsidR="004035FE" w:rsidRPr="004035FE" w:rsidRDefault="004035FE" w:rsidP="00B6745A">
            <w:pPr>
              <w:spacing w:line="360" w:lineRule="auto"/>
              <w:jc w:val="center"/>
              <w:rPr>
                <w:sz w:val="18"/>
                <w:szCs w:val="18"/>
              </w:rPr>
            </w:pPr>
            <w:r w:rsidRPr="004035FE">
              <w:rPr>
                <w:b/>
                <w:bCs/>
                <w:color w:val="000000"/>
                <w:sz w:val="18"/>
                <w:szCs w:val="18"/>
              </w:rPr>
              <w:t>2023 S</w:t>
            </w:r>
          </w:p>
        </w:tc>
        <w:tc>
          <w:tcPr>
            <w:tcW w:w="531" w:type="pct"/>
            <w:tcBorders>
              <w:top w:val="single" w:sz="4" w:space="0" w:color="auto"/>
            </w:tcBorders>
            <w:vAlign w:val="center"/>
            <w:hideMark/>
          </w:tcPr>
          <w:p w14:paraId="05B3750B" w14:textId="77777777" w:rsidR="004035FE" w:rsidRPr="004035FE" w:rsidRDefault="004035FE" w:rsidP="00B6745A">
            <w:pPr>
              <w:spacing w:line="360" w:lineRule="auto"/>
              <w:jc w:val="center"/>
              <w:rPr>
                <w:sz w:val="18"/>
                <w:szCs w:val="18"/>
              </w:rPr>
            </w:pPr>
            <w:r w:rsidRPr="004035FE">
              <w:rPr>
                <w:b/>
                <w:bCs/>
                <w:color w:val="000000"/>
                <w:sz w:val="18"/>
                <w:szCs w:val="18"/>
              </w:rPr>
              <w:t>2024 S</w:t>
            </w:r>
          </w:p>
        </w:tc>
        <w:tc>
          <w:tcPr>
            <w:tcW w:w="531" w:type="pct"/>
            <w:tcBorders>
              <w:top w:val="single" w:sz="4" w:space="0" w:color="auto"/>
            </w:tcBorders>
            <w:vAlign w:val="center"/>
            <w:hideMark/>
          </w:tcPr>
          <w:p w14:paraId="509DDA19" w14:textId="77777777" w:rsidR="004035FE" w:rsidRPr="004035FE" w:rsidRDefault="004035FE" w:rsidP="00B6745A">
            <w:pPr>
              <w:spacing w:line="360" w:lineRule="auto"/>
              <w:jc w:val="center"/>
              <w:rPr>
                <w:sz w:val="18"/>
                <w:szCs w:val="18"/>
              </w:rPr>
            </w:pPr>
            <w:r w:rsidRPr="004035FE">
              <w:rPr>
                <w:b/>
                <w:bCs/>
                <w:color w:val="000000"/>
                <w:sz w:val="18"/>
                <w:szCs w:val="18"/>
              </w:rPr>
              <w:t>2025 R</w:t>
            </w:r>
          </w:p>
        </w:tc>
        <w:tc>
          <w:tcPr>
            <w:tcW w:w="531" w:type="pct"/>
            <w:tcBorders>
              <w:top w:val="single" w:sz="4" w:space="0" w:color="auto"/>
            </w:tcBorders>
            <w:vAlign w:val="center"/>
            <w:hideMark/>
          </w:tcPr>
          <w:p w14:paraId="52C4C646" w14:textId="77777777" w:rsidR="004035FE" w:rsidRPr="004035FE" w:rsidRDefault="004035FE" w:rsidP="00B6745A">
            <w:pPr>
              <w:spacing w:line="360" w:lineRule="auto"/>
              <w:jc w:val="center"/>
              <w:rPr>
                <w:sz w:val="18"/>
                <w:szCs w:val="18"/>
              </w:rPr>
            </w:pPr>
            <w:r w:rsidRPr="004035FE">
              <w:rPr>
                <w:b/>
                <w:bCs/>
                <w:color w:val="000000"/>
                <w:sz w:val="18"/>
                <w:szCs w:val="18"/>
              </w:rPr>
              <w:t>2025 S</w:t>
            </w:r>
          </w:p>
        </w:tc>
        <w:tc>
          <w:tcPr>
            <w:tcW w:w="531" w:type="pct"/>
            <w:tcBorders>
              <w:top w:val="single" w:sz="4" w:space="0" w:color="auto"/>
            </w:tcBorders>
            <w:vAlign w:val="center"/>
            <w:hideMark/>
          </w:tcPr>
          <w:p w14:paraId="61F7596C" w14:textId="77777777" w:rsidR="004035FE" w:rsidRPr="004035FE" w:rsidRDefault="004035FE" w:rsidP="00B6745A">
            <w:pPr>
              <w:spacing w:line="360" w:lineRule="auto"/>
              <w:jc w:val="center"/>
              <w:rPr>
                <w:sz w:val="18"/>
                <w:szCs w:val="18"/>
              </w:rPr>
            </w:pPr>
            <w:r w:rsidRPr="004035FE">
              <w:rPr>
                <w:b/>
                <w:bCs/>
                <w:color w:val="000000"/>
                <w:sz w:val="18"/>
                <w:szCs w:val="18"/>
              </w:rPr>
              <w:t>Rozdiel</w:t>
            </w:r>
          </w:p>
        </w:tc>
        <w:tc>
          <w:tcPr>
            <w:tcW w:w="390" w:type="pct"/>
            <w:tcBorders>
              <w:top w:val="single" w:sz="4" w:space="0" w:color="auto"/>
            </w:tcBorders>
            <w:vAlign w:val="center"/>
            <w:hideMark/>
          </w:tcPr>
          <w:p w14:paraId="692E76F3" w14:textId="77777777" w:rsidR="004035FE" w:rsidRPr="004035FE" w:rsidRDefault="004035FE" w:rsidP="00B6745A">
            <w:pPr>
              <w:spacing w:line="360" w:lineRule="auto"/>
              <w:jc w:val="center"/>
              <w:rPr>
                <w:sz w:val="18"/>
                <w:szCs w:val="18"/>
              </w:rPr>
            </w:pPr>
            <w:r w:rsidRPr="004035FE">
              <w:rPr>
                <w:b/>
                <w:bCs/>
                <w:color w:val="000000"/>
                <w:sz w:val="18"/>
                <w:szCs w:val="18"/>
              </w:rPr>
              <w:t>v %</w:t>
            </w:r>
          </w:p>
        </w:tc>
      </w:tr>
      <w:tr w:rsidR="004035FE" w:rsidRPr="004035FE" w14:paraId="550223AE" w14:textId="77777777" w:rsidTr="004035FE">
        <w:trPr>
          <w:trHeight w:val="289"/>
          <w:tblHeader/>
        </w:trPr>
        <w:tc>
          <w:tcPr>
            <w:tcW w:w="1955" w:type="pct"/>
            <w:vMerge/>
            <w:tcBorders>
              <w:bottom w:val="single" w:sz="4" w:space="0" w:color="auto"/>
            </w:tcBorders>
            <w:vAlign w:val="center"/>
          </w:tcPr>
          <w:p w14:paraId="392EC47E" w14:textId="77777777" w:rsidR="004035FE" w:rsidRPr="004035FE" w:rsidRDefault="004035FE" w:rsidP="00B6745A">
            <w:pPr>
              <w:rPr>
                <w:sz w:val="18"/>
                <w:szCs w:val="18"/>
              </w:rPr>
            </w:pPr>
          </w:p>
        </w:tc>
        <w:tc>
          <w:tcPr>
            <w:tcW w:w="531" w:type="pct"/>
            <w:tcBorders>
              <w:bottom w:val="single" w:sz="4" w:space="0" w:color="auto"/>
            </w:tcBorders>
            <w:vAlign w:val="center"/>
          </w:tcPr>
          <w:p w14:paraId="5234ED4A" w14:textId="77777777" w:rsidR="004035FE" w:rsidRPr="004035FE" w:rsidRDefault="004035FE" w:rsidP="00B6745A">
            <w:pPr>
              <w:spacing w:line="360" w:lineRule="auto"/>
              <w:jc w:val="center"/>
              <w:rPr>
                <w:sz w:val="18"/>
                <w:szCs w:val="18"/>
              </w:rPr>
            </w:pPr>
            <w:r w:rsidRPr="004035FE">
              <w:rPr>
                <w:b/>
                <w:bCs/>
                <w:sz w:val="18"/>
                <w:szCs w:val="18"/>
              </w:rPr>
              <w:t>1</w:t>
            </w:r>
          </w:p>
        </w:tc>
        <w:tc>
          <w:tcPr>
            <w:tcW w:w="531" w:type="pct"/>
            <w:tcBorders>
              <w:bottom w:val="single" w:sz="4" w:space="0" w:color="auto"/>
            </w:tcBorders>
            <w:vAlign w:val="center"/>
          </w:tcPr>
          <w:p w14:paraId="53800FB7" w14:textId="77777777" w:rsidR="004035FE" w:rsidRPr="004035FE" w:rsidRDefault="004035FE" w:rsidP="00B6745A">
            <w:pPr>
              <w:spacing w:line="360" w:lineRule="auto"/>
              <w:jc w:val="center"/>
              <w:rPr>
                <w:sz w:val="18"/>
                <w:szCs w:val="18"/>
              </w:rPr>
            </w:pPr>
            <w:r w:rsidRPr="004035FE">
              <w:rPr>
                <w:b/>
                <w:bCs/>
                <w:sz w:val="18"/>
                <w:szCs w:val="18"/>
              </w:rPr>
              <w:t>2</w:t>
            </w:r>
          </w:p>
        </w:tc>
        <w:tc>
          <w:tcPr>
            <w:tcW w:w="531" w:type="pct"/>
            <w:tcBorders>
              <w:bottom w:val="single" w:sz="4" w:space="0" w:color="auto"/>
            </w:tcBorders>
            <w:vAlign w:val="center"/>
          </w:tcPr>
          <w:p w14:paraId="72E7C588" w14:textId="77777777" w:rsidR="004035FE" w:rsidRPr="004035FE" w:rsidRDefault="004035FE" w:rsidP="00B6745A">
            <w:pPr>
              <w:spacing w:line="360" w:lineRule="auto"/>
              <w:jc w:val="center"/>
              <w:rPr>
                <w:sz w:val="18"/>
                <w:szCs w:val="18"/>
              </w:rPr>
            </w:pPr>
            <w:r w:rsidRPr="004035FE">
              <w:rPr>
                <w:b/>
                <w:bCs/>
                <w:sz w:val="18"/>
                <w:szCs w:val="18"/>
              </w:rPr>
              <w:t>3</w:t>
            </w:r>
          </w:p>
        </w:tc>
        <w:tc>
          <w:tcPr>
            <w:tcW w:w="531" w:type="pct"/>
            <w:tcBorders>
              <w:bottom w:val="single" w:sz="4" w:space="0" w:color="auto"/>
            </w:tcBorders>
            <w:vAlign w:val="center"/>
          </w:tcPr>
          <w:p w14:paraId="4091DB62" w14:textId="77777777" w:rsidR="004035FE" w:rsidRPr="004035FE" w:rsidRDefault="004035FE" w:rsidP="00B6745A">
            <w:pPr>
              <w:spacing w:line="360" w:lineRule="auto"/>
              <w:jc w:val="center"/>
              <w:rPr>
                <w:sz w:val="18"/>
                <w:szCs w:val="18"/>
              </w:rPr>
            </w:pPr>
            <w:r w:rsidRPr="004035FE">
              <w:rPr>
                <w:b/>
                <w:bCs/>
                <w:sz w:val="18"/>
                <w:szCs w:val="18"/>
              </w:rPr>
              <w:t>4</w:t>
            </w:r>
          </w:p>
        </w:tc>
        <w:tc>
          <w:tcPr>
            <w:tcW w:w="531" w:type="pct"/>
            <w:tcBorders>
              <w:bottom w:val="single" w:sz="4" w:space="0" w:color="auto"/>
            </w:tcBorders>
            <w:vAlign w:val="center"/>
          </w:tcPr>
          <w:p w14:paraId="369A0483" w14:textId="77777777" w:rsidR="004035FE" w:rsidRPr="004035FE" w:rsidRDefault="004035FE" w:rsidP="00B6745A">
            <w:pPr>
              <w:spacing w:line="360" w:lineRule="auto"/>
              <w:jc w:val="center"/>
              <w:rPr>
                <w:sz w:val="18"/>
                <w:szCs w:val="18"/>
              </w:rPr>
            </w:pPr>
            <w:r w:rsidRPr="004035FE">
              <w:rPr>
                <w:b/>
                <w:bCs/>
                <w:sz w:val="18"/>
                <w:szCs w:val="18"/>
              </w:rPr>
              <w:t>5=4-3</w:t>
            </w:r>
          </w:p>
        </w:tc>
        <w:tc>
          <w:tcPr>
            <w:tcW w:w="390" w:type="pct"/>
            <w:tcBorders>
              <w:bottom w:val="single" w:sz="4" w:space="0" w:color="auto"/>
            </w:tcBorders>
            <w:vAlign w:val="center"/>
          </w:tcPr>
          <w:p w14:paraId="4DABDB1F" w14:textId="77777777" w:rsidR="004035FE" w:rsidRPr="004035FE" w:rsidRDefault="004035FE" w:rsidP="00B6745A">
            <w:pPr>
              <w:spacing w:line="360" w:lineRule="auto"/>
              <w:jc w:val="center"/>
              <w:rPr>
                <w:sz w:val="18"/>
                <w:szCs w:val="18"/>
              </w:rPr>
            </w:pPr>
            <w:r w:rsidRPr="004035FE">
              <w:rPr>
                <w:b/>
                <w:bCs/>
                <w:sz w:val="18"/>
                <w:szCs w:val="18"/>
              </w:rPr>
              <w:t>6=4-3</w:t>
            </w:r>
          </w:p>
        </w:tc>
      </w:tr>
      <w:tr w:rsidR="004035FE" w:rsidRPr="004035FE" w14:paraId="15C8188E" w14:textId="77777777" w:rsidTr="004035FE">
        <w:trPr>
          <w:trHeight w:val="329"/>
        </w:trPr>
        <w:tc>
          <w:tcPr>
            <w:tcW w:w="1955" w:type="pct"/>
            <w:tcBorders>
              <w:top w:val="single" w:sz="4" w:space="0" w:color="auto"/>
            </w:tcBorders>
            <w:shd w:val="clear" w:color="000000" w:fill="FFFFFF"/>
            <w:vAlign w:val="center"/>
            <w:hideMark/>
          </w:tcPr>
          <w:p w14:paraId="4E1FA7DF" w14:textId="77777777" w:rsidR="004035FE" w:rsidRPr="004035FE" w:rsidRDefault="004035FE" w:rsidP="00B6745A">
            <w:pPr>
              <w:rPr>
                <w:sz w:val="18"/>
                <w:szCs w:val="18"/>
              </w:rPr>
            </w:pPr>
            <w:r w:rsidRPr="004035FE">
              <w:rPr>
                <w:color w:val="000000"/>
                <w:sz w:val="18"/>
                <w:szCs w:val="18"/>
              </w:rPr>
              <w:t>Poľnohospodárske fondy 3. programové obdobie</w:t>
            </w:r>
          </w:p>
        </w:tc>
        <w:tc>
          <w:tcPr>
            <w:tcW w:w="531" w:type="pct"/>
            <w:tcBorders>
              <w:top w:val="single" w:sz="4" w:space="0" w:color="auto"/>
              <w:left w:val="nil"/>
              <w:bottom w:val="nil"/>
              <w:right w:val="nil"/>
            </w:tcBorders>
            <w:shd w:val="clear" w:color="000000" w:fill="FFFFFF"/>
            <w:noWrap/>
            <w:vAlign w:val="center"/>
          </w:tcPr>
          <w:p w14:paraId="2F77F1CD" w14:textId="77777777" w:rsidR="004035FE" w:rsidRPr="004035FE" w:rsidRDefault="004035FE" w:rsidP="00B6745A">
            <w:pPr>
              <w:jc w:val="right"/>
              <w:rPr>
                <w:sz w:val="18"/>
                <w:szCs w:val="18"/>
              </w:rPr>
            </w:pPr>
            <w:r w:rsidRPr="004035FE">
              <w:rPr>
                <w:color w:val="000000"/>
                <w:sz w:val="18"/>
                <w:szCs w:val="18"/>
              </w:rPr>
              <w:t>55 608</w:t>
            </w:r>
          </w:p>
        </w:tc>
        <w:tc>
          <w:tcPr>
            <w:tcW w:w="531" w:type="pct"/>
            <w:tcBorders>
              <w:top w:val="single" w:sz="4" w:space="0" w:color="auto"/>
              <w:left w:val="nil"/>
              <w:bottom w:val="nil"/>
              <w:right w:val="nil"/>
            </w:tcBorders>
            <w:shd w:val="clear" w:color="000000" w:fill="FFFFFF"/>
            <w:noWrap/>
            <w:vAlign w:val="center"/>
          </w:tcPr>
          <w:p w14:paraId="27840C82" w14:textId="77777777" w:rsidR="004035FE" w:rsidRPr="004035FE" w:rsidRDefault="004035FE" w:rsidP="00B6745A">
            <w:pPr>
              <w:jc w:val="right"/>
              <w:rPr>
                <w:sz w:val="18"/>
                <w:szCs w:val="18"/>
              </w:rPr>
            </w:pPr>
            <w:r w:rsidRPr="004035FE">
              <w:rPr>
                <w:color w:val="000000"/>
                <w:sz w:val="18"/>
                <w:szCs w:val="18"/>
              </w:rPr>
              <w:t>53 492</w:t>
            </w:r>
          </w:p>
        </w:tc>
        <w:tc>
          <w:tcPr>
            <w:tcW w:w="531" w:type="pct"/>
            <w:tcBorders>
              <w:top w:val="single" w:sz="4" w:space="0" w:color="auto"/>
              <w:left w:val="nil"/>
              <w:bottom w:val="nil"/>
              <w:right w:val="nil"/>
            </w:tcBorders>
            <w:shd w:val="clear" w:color="000000" w:fill="FFFFFF"/>
            <w:noWrap/>
            <w:vAlign w:val="center"/>
          </w:tcPr>
          <w:p w14:paraId="0FE09233" w14:textId="77777777" w:rsidR="004035FE" w:rsidRPr="004035FE" w:rsidRDefault="004035FE" w:rsidP="00B6745A">
            <w:pPr>
              <w:jc w:val="right"/>
              <w:rPr>
                <w:sz w:val="18"/>
                <w:szCs w:val="18"/>
              </w:rPr>
            </w:pPr>
            <w:r w:rsidRPr="004035FE">
              <w:rPr>
                <w:color w:val="000000"/>
                <w:sz w:val="18"/>
                <w:szCs w:val="18"/>
              </w:rPr>
              <w:t>0</w:t>
            </w:r>
          </w:p>
        </w:tc>
        <w:tc>
          <w:tcPr>
            <w:tcW w:w="531" w:type="pct"/>
            <w:tcBorders>
              <w:top w:val="single" w:sz="4" w:space="0" w:color="auto"/>
              <w:left w:val="nil"/>
              <w:bottom w:val="nil"/>
              <w:right w:val="nil"/>
            </w:tcBorders>
            <w:noWrap/>
            <w:vAlign w:val="center"/>
          </w:tcPr>
          <w:p w14:paraId="35556021" w14:textId="77777777" w:rsidR="004035FE" w:rsidRPr="004035FE" w:rsidRDefault="004035FE" w:rsidP="00B6745A">
            <w:pPr>
              <w:jc w:val="right"/>
              <w:rPr>
                <w:sz w:val="18"/>
                <w:szCs w:val="18"/>
              </w:rPr>
            </w:pPr>
            <w:r w:rsidRPr="004035FE">
              <w:rPr>
                <w:color w:val="000000"/>
                <w:sz w:val="18"/>
                <w:szCs w:val="18"/>
              </w:rPr>
              <w:t>132 847</w:t>
            </w:r>
          </w:p>
        </w:tc>
        <w:tc>
          <w:tcPr>
            <w:tcW w:w="531" w:type="pct"/>
            <w:tcBorders>
              <w:top w:val="single" w:sz="4" w:space="0" w:color="auto"/>
              <w:left w:val="nil"/>
              <w:bottom w:val="nil"/>
              <w:right w:val="nil"/>
            </w:tcBorders>
            <w:shd w:val="clear" w:color="000000" w:fill="FFFFFF"/>
            <w:noWrap/>
            <w:vAlign w:val="center"/>
          </w:tcPr>
          <w:p w14:paraId="2755B545" w14:textId="77777777" w:rsidR="004035FE" w:rsidRPr="004035FE" w:rsidRDefault="004035FE" w:rsidP="00B6745A">
            <w:pPr>
              <w:jc w:val="right"/>
              <w:rPr>
                <w:sz w:val="18"/>
                <w:szCs w:val="18"/>
              </w:rPr>
            </w:pPr>
            <w:r w:rsidRPr="004035FE">
              <w:rPr>
                <w:color w:val="000000"/>
                <w:sz w:val="18"/>
                <w:szCs w:val="18"/>
              </w:rPr>
              <w:t>132 847</w:t>
            </w:r>
          </w:p>
        </w:tc>
        <w:tc>
          <w:tcPr>
            <w:tcW w:w="390" w:type="pct"/>
            <w:tcBorders>
              <w:top w:val="single" w:sz="4" w:space="0" w:color="auto"/>
              <w:left w:val="nil"/>
              <w:bottom w:val="nil"/>
              <w:right w:val="nil"/>
            </w:tcBorders>
            <w:shd w:val="clear" w:color="000000" w:fill="FFFFFF"/>
            <w:noWrap/>
            <w:vAlign w:val="center"/>
          </w:tcPr>
          <w:p w14:paraId="1E17E565" w14:textId="77777777" w:rsidR="004035FE" w:rsidRPr="004035FE" w:rsidRDefault="004035FE" w:rsidP="00B6745A">
            <w:pPr>
              <w:jc w:val="right"/>
              <w:rPr>
                <w:sz w:val="18"/>
                <w:szCs w:val="18"/>
              </w:rPr>
            </w:pPr>
            <w:r w:rsidRPr="004035FE">
              <w:rPr>
                <w:color w:val="000000"/>
                <w:sz w:val="18"/>
                <w:szCs w:val="18"/>
              </w:rPr>
              <w:t>-</w:t>
            </w:r>
          </w:p>
        </w:tc>
      </w:tr>
      <w:tr w:rsidR="004035FE" w:rsidRPr="004035FE" w14:paraId="31531FC4" w14:textId="77777777" w:rsidTr="004035FE">
        <w:trPr>
          <w:trHeight w:val="329"/>
        </w:trPr>
        <w:tc>
          <w:tcPr>
            <w:tcW w:w="1955" w:type="pct"/>
            <w:shd w:val="clear" w:color="000000" w:fill="FFFFFF"/>
            <w:vAlign w:val="center"/>
          </w:tcPr>
          <w:p w14:paraId="3862B04A" w14:textId="77777777" w:rsidR="004035FE" w:rsidRPr="004035FE" w:rsidRDefault="004035FE" w:rsidP="00B6745A">
            <w:pPr>
              <w:rPr>
                <w:sz w:val="18"/>
                <w:szCs w:val="18"/>
              </w:rPr>
            </w:pPr>
            <w:r w:rsidRPr="004035FE">
              <w:rPr>
                <w:color w:val="000000"/>
                <w:sz w:val="18"/>
                <w:szCs w:val="18"/>
              </w:rPr>
              <w:t>Poľnohospodárske fondy 4. programové obdobie</w:t>
            </w:r>
          </w:p>
        </w:tc>
        <w:tc>
          <w:tcPr>
            <w:tcW w:w="531" w:type="pct"/>
            <w:tcBorders>
              <w:top w:val="nil"/>
              <w:left w:val="nil"/>
              <w:right w:val="nil"/>
            </w:tcBorders>
            <w:shd w:val="clear" w:color="000000" w:fill="FFFFFF"/>
            <w:noWrap/>
            <w:vAlign w:val="center"/>
          </w:tcPr>
          <w:p w14:paraId="3D11E345" w14:textId="77777777" w:rsidR="004035FE" w:rsidRPr="004035FE" w:rsidRDefault="004035FE" w:rsidP="00B6745A">
            <w:pPr>
              <w:jc w:val="right"/>
              <w:rPr>
                <w:sz w:val="18"/>
                <w:szCs w:val="18"/>
              </w:rPr>
            </w:pPr>
            <w:r w:rsidRPr="004035FE">
              <w:rPr>
                <w:color w:val="000000"/>
                <w:sz w:val="18"/>
                <w:szCs w:val="18"/>
              </w:rPr>
              <w:t>38 748</w:t>
            </w:r>
          </w:p>
        </w:tc>
        <w:tc>
          <w:tcPr>
            <w:tcW w:w="531" w:type="pct"/>
            <w:tcBorders>
              <w:top w:val="nil"/>
              <w:left w:val="nil"/>
              <w:right w:val="nil"/>
            </w:tcBorders>
            <w:shd w:val="clear" w:color="000000" w:fill="FFFFFF"/>
            <w:noWrap/>
            <w:vAlign w:val="center"/>
          </w:tcPr>
          <w:p w14:paraId="7248A67B" w14:textId="77777777" w:rsidR="004035FE" w:rsidRPr="004035FE" w:rsidRDefault="004035FE" w:rsidP="00B6745A">
            <w:pPr>
              <w:jc w:val="right"/>
              <w:rPr>
                <w:sz w:val="18"/>
                <w:szCs w:val="18"/>
              </w:rPr>
            </w:pPr>
            <w:r w:rsidRPr="004035FE">
              <w:rPr>
                <w:color w:val="000000"/>
                <w:sz w:val="18"/>
                <w:szCs w:val="18"/>
              </w:rPr>
              <w:t>111 428</w:t>
            </w:r>
          </w:p>
        </w:tc>
        <w:tc>
          <w:tcPr>
            <w:tcW w:w="531" w:type="pct"/>
            <w:tcBorders>
              <w:top w:val="nil"/>
              <w:left w:val="nil"/>
              <w:right w:val="nil"/>
            </w:tcBorders>
            <w:shd w:val="clear" w:color="000000" w:fill="FFFFFF"/>
            <w:noWrap/>
            <w:vAlign w:val="center"/>
          </w:tcPr>
          <w:p w14:paraId="6827A368" w14:textId="77777777" w:rsidR="004035FE" w:rsidRPr="004035FE" w:rsidRDefault="004035FE" w:rsidP="00B6745A">
            <w:pPr>
              <w:jc w:val="right"/>
              <w:rPr>
                <w:sz w:val="18"/>
                <w:szCs w:val="18"/>
              </w:rPr>
            </w:pPr>
            <w:r w:rsidRPr="004035FE">
              <w:rPr>
                <w:color w:val="000000"/>
                <w:sz w:val="18"/>
                <w:szCs w:val="18"/>
              </w:rPr>
              <w:t>137 663</w:t>
            </w:r>
          </w:p>
        </w:tc>
        <w:tc>
          <w:tcPr>
            <w:tcW w:w="531" w:type="pct"/>
            <w:tcBorders>
              <w:top w:val="nil"/>
              <w:left w:val="nil"/>
              <w:right w:val="nil"/>
            </w:tcBorders>
            <w:shd w:val="clear" w:color="000000" w:fill="FFFFFF"/>
            <w:noWrap/>
            <w:vAlign w:val="center"/>
          </w:tcPr>
          <w:p w14:paraId="53B4CE2E" w14:textId="77777777" w:rsidR="004035FE" w:rsidRPr="004035FE" w:rsidRDefault="004035FE" w:rsidP="00B6745A">
            <w:pPr>
              <w:jc w:val="right"/>
              <w:rPr>
                <w:sz w:val="18"/>
                <w:szCs w:val="18"/>
              </w:rPr>
            </w:pPr>
            <w:r w:rsidRPr="004035FE">
              <w:rPr>
                <w:color w:val="000000"/>
                <w:sz w:val="18"/>
                <w:szCs w:val="18"/>
              </w:rPr>
              <w:t>119 476</w:t>
            </w:r>
          </w:p>
        </w:tc>
        <w:tc>
          <w:tcPr>
            <w:tcW w:w="531" w:type="pct"/>
            <w:tcBorders>
              <w:top w:val="nil"/>
              <w:left w:val="nil"/>
              <w:right w:val="nil"/>
            </w:tcBorders>
            <w:shd w:val="clear" w:color="000000" w:fill="FFFFFF"/>
            <w:noWrap/>
            <w:vAlign w:val="center"/>
          </w:tcPr>
          <w:p w14:paraId="5A56AF26" w14:textId="77777777" w:rsidR="004035FE" w:rsidRPr="004035FE" w:rsidRDefault="004035FE" w:rsidP="00B6745A">
            <w:pPr>
              <w:jc w:val="right"/>
              <w:rPr>
                <w:sz w:val="18"/>
                <w:szCs w:val="18"/>
              </w:rPr>
            </w:pPr>
            <w:r w:rsidRPr="004035FE">
              <w:rPr>
                <w:color w:val="000000"/>
                <w:sz w:val="18"/>
                <w:szCs w:val="18"/>
              </w:rPr>
              <w:t>-18 187</w:t>
            </w:r>
          </w:p>
        </w:tc>
        <w:tc>
          <w:tcPr>
            <w:tcW w:w="390" w:type="pct"/>
            <w:tcBorders>
              <w:top w:val="nil"/>
              <w:left w:val="nil"/>
              <w:right w:val="nil"/>
            </w:tcBorders>
            <w:shd w:val="clear" w:color="000000" w:fill="FFFFFF"/>
            <w:noWrap/>
            <w:vAlign w:val="center"/>
          </w:tcPr>
          <w:p w14:paraId="4A8A28FC" w14:textId="77777777" w:rsidR="004035FE" w:rsidRPr="004035FE" w:rsidRDefault="004035FE" w:rsidP="00B6745A">
            <w:pPr>
              <w:jc w:val="right"/>
              <w:rPr>
                <w:sz w:val="18"/>
                <w:szCs w:val="18"/>
              </w:rPr>
            </w:pPr>
            <w:r w:rsidRPr="004035FE">
              <w:rPr>
                <w:color w:val="000000"/>
                <w:sz w:val="18"/>
                <w:szCs w:val="18"/>
              </w:rPr>
              <w:t>-13,2</w:t>
            </w:r>
          </w:p>
        </w:tc>
      </w:tr>
      <w:tr w:rsidR="004035FE" w:rsidRPr="004035FE" w14:paraId="7AB83416" w14:textId="77777777" w:rsidTr="004035FE">
        <w:trPr>
          <w:trHeight w:val="329"/>
        </w:trPr>
        <w:tc>
          <w:tcPr>
            <w:tcW w:w="1955" w:type="pct"/>
            <w:tcBorders>
              <w:bottom w:val="single" w:sz="4" w:space="0" w:color="auto"/>
            </w:tcBorders>
            <w:shd w:val="clear" w:color="000000" w:fill="FFFFFF"/>
            <w:vAlign w:val="center"/>
            <w:hideMark/>
          </w:tcPr>
          <w:p w14:paraId="5CF68256" w14:textId="77777777" w:rsidR="004035FE" w:rsidRPr="004035FE" w:rsidRDefault="004035FE" w:rsidP="00B6745A">
            <w:pPr>
              <w:rPr>
                <w:b/>
                <w:sz w:val="18"/>
                <w:szCs w:val="18"/>
              </w:rPr>
            </w:pPr>
            <w:r w:rsidRPr="004035FE">
              <w:rPr>
                <w:b/>
                <w:bCs/>
                <w:color w:val="000000"/>
                <w:sz w:val="18"/>
                <w:szCs w:val="18"/>
              </w:rPr>
              <w:t>Poľnohospodárske fondy spolu - MPRV SR</w:t>
            </w:r>
          </w:p>
        </w:tc>
        <w:tc>
          <w:tcPr>
            <w:tcW w:w="531" w:type="pct"/>
            <w:tcBorders>
              <w:top w:val="nil"/>
              <w:left w:val="nil"/>
              <w:bottom w:val="single" w:sz="4" w:space="0" w:color="auto"/>
              <w:right w:val="nil"/>
            </w:tcBorders>
            <w:shd w:val="clear" w:color="000000" w:fill="FFFFFF"/>
            <w:noWrap/>
            <w:vAlign w:val="center"/>
          </w:tcPr>
          <w:p w14:paraId="77F2F8CD" w14:textId="77777777" w:rsidR="004035FE" w:rsidRPr="004035FE" w:rsidRDefault="004035FE" w:rsidP="00B6745A">
            <w:pPr>
              <w:jc w:val="right"/>
              <w:rPr>
                <w:b/>
                <w:sz w:val="18"/>
                <w:szCs w:val="18"/>
              </w:rPr>
            </w:pPr>
            <w:r w:rsidRPr="004035FE">
              <w:rPr>
                <w:b/>
                <w:bCs/>
                <w:color w:val="000000"/>
                <w:sz w:val="18"/>
                <w:szCs w:val="18"/>
              </w:rPr>
              <w:t>94 356</w:t>
            </w:r>
          </w:p>
        </w:tc>
        <w:tc>
          <w:tcPr>
            <w:tcW w:w="531" w:type="pct"/>
            <w:tcBorders>
              <w:top w:val="nil"/>
              <w:left w:val="nil"/>
              <w:bottom w:val="single" w:sz="4" w:space="0" w:color="auto"/>
              <w:right w:val="nil"/>
            </w:tcBorders>
            <w:shd w:val="clear" w:color="000000" w:fill="FFFFFF"/>
            <w:noWrap/>
            <w:vAlign w:val="center"/>
          </w:tcPr>
          <w:p w14:paraId="3F3FCF54" w14:textId="77777777" w:rsidR="004035FE" w:rsidRPr="004035FE" w:rsidRDefault="004035FE" w:rsidP="00B6745A">
            <w:pPr>
              <w:jc w:val="right"/>
              <w:rPr>
                <w:b/>
                <w:sz w:val="18"/>
                <w:szCs w:val="18"/>
              </w:rPr>
            </w:pPr>
            <w:r w:rsidRPr="004035FE">
              <w:rPr>
                <w:b/>
                <w:bCs/>
                <w:color w:val="000000"/>
                <w:sz w:val="18"/>
                <w:szCs w:val="18"/>
              </w:rPr>
              <w:t>164 920</w:t>
            </w:r>
          </w:p>
        </w:tc>
        <w:tc>
          <w:tcPr>
            <w:tcW w:w="531" w:type="pct"/>
            <w:tcBorders>
              <w:top w:val="nil"/>
              <w:left w:val="nil"/>
              <w:bottom w:val="single" w:sz="4" w:space="0" w:color="auto"/>
              <w:right w:val="nil"/>
            </w:tcBorders>
            <w:shd w:val="clear" w:color="000000" w:fill="FFFFFF"/>
            <w:noWrap/>
            <w:vAlign w:val="center"/>
          </w:tcPr>
          <w:p w14:paraId="0E0190ED" w14:textId="77777777" w:rsidR="004035FE" w:rsidRPr="004035FE" w:rsidRDefault="004035FE" w:rsidP="00B6745A">
            <w:pPr>
              <w:jc w:val="right"/>
              <w:rPr>
                <w:b/>
                <w:sz w:val="18"/>
                <w:szCs w:val="18"/>
              </w:rPr>
            </w:pPr>
            <w:r w:rsidRPr="004035FE">
              <w:rPr>
                <w:b/>
                <w:bCs/>
                <w:color w:val="000000"/>
                <w:sz w:val="18"/>
                <w:szCs w:val="18"/>
              </w:rPr>
              <w:t>137 663</w:t>
            </w:r>
          </w:p>
        </w:tc>
        <w:tc>
          <w:tcPr>
            <w:tcW w:w="531" w:type="pct"/>
            <w:tcBorders>
              <w:top w:val="nil"/>
              <w:left w:val="nil"/>
              <w:bottom w:val="single" w:sz="4" w:space="0" w:color="auto"/>
              <w:right w:val="nil"/>
            </w:tcBorders>
            <w:shd w:val="clear" w:color="000000" w:fill="FFFFFF"/>
            <w:noWrap/>
            <w:vAlign w:val="center"/>
          </w:tcPr>
          <w:p w14:paraId="6D218B8B" w14:textId="77777777" w:rsidR="004035FE" w:rsidRPr="004035FE" w:rsidRDefault="004035FE" w:rsidP="00B6745A">
            <w:pPr>
              <w:jc w:val="right"/>
              <w:rPr>
                <w:b/>
                <w:sz w:val="18"/>
                <w:szCs w:val="18"/>
              </w:rPr>
            </w:pPr>
            <w:r w:rsidRPr="004035FE">
              <w:rPr>
                <w:b/>
                <w:bCs/>
                <w:color w:val="000000"/>
                <w:sz w:val="18"/>
                <w:szCs w:val="18"/>
              </w:rPr>
              <w:t>252 323</w:t>
            </w:r>
          </w:p>
        </w:tc>
        <w:tc>
          <w:tcPr>
            <w:tcW w:w="531" w:type="pct"/>
            <w:tcBorders>
              <w:top w:val="nil"/>
              <w:left w:val="nil"/>
              <w:bottom w:val="single" w:sz="4" w:space="0" w:color="auto"/>
              <w:right w:val="nil"/>
            </w:tcBorders>
            <w:shd w:val="clear" w:color="000000" w:fill="FFFFFF"/>
            <w:noWrap/>
            <w:vAlign w:val="center"/>
          </w:tcPr>
          <w:p w14:paraId="3AF33D38" w14:textId="77777777" w:rsidR="004035FE" w:rsidRPr="004035FE" w:rsidRDefault="004035FE" w:rsidP="00B6745A">
            <w:pPr>
              <w:jc w:val="right"/>
              <w:rPr>
                <w:b/>
                <w:sz w:val="18"/>
                <w:szCs w:val="18"/>
              </w:rPr>
            </w:pPr>
            <w:r w:rsidRPr="004035FE">
              <w:rPr>
                <w:b/>
                <w:bCs/>
                <w:color w:val="000000"/>
                <w:sz w:val="18"/>
                <w:szCs w:val="18"/>
              </w:rPr>
              <w:t>114 660</w:t>
            </w:r>
          </w:p>
        </w:tc>
        <w:tc>
          <w:tcPr>
            <w:tcW w:w="390" w:type="pct"/>
            <w:tcBorders>
              <w:top w:val="nil"/>
              <w:left w:val="nil"/>
              <w:bottom w:val="single" w:sz="4" w:space="0" w:color="auto"/>
              <w:right w:val="nil"/>
            </w:tcBorders>
            <w:shd w:val="clear" w:color="000000" w:fill="FFFFFF"/>
            <w:noWrap/>
            <w:vAlign w:val="center"/>
          </w:tcPr>
          <w:p w14:paraId="20807293" w14:textId="77777777" w:rsidR="004035FE" w:rsidRPr="004035FE" w:rsidRDefault="004035FE" w:rsidP="00B6745A">
            <w:pPr>
              <w:jc w:val="right"/>
              <w:rPr>
                <w:b/>
                <w:sz w:val="18"/>
                <w:szCs w:val="18"/>
              </w:rPr>
            </w:pPr>
            <w:r w:rsidRPr="004035FE">
              <w:rPr>
                <w:b/>
                <w:bCs/>
                <w:color w:val="000000"/>
                <w:sz w:val="18"/>
                <w:szCs w:val="18"/>
              </w:rPr>
              <w:t>83,3</w:t>
            </w:r>
          </w:p>
        </w:tc>
      </w:tr>
      <w:tr w:rsidR="004035FE" w:rsidRPr="004035FE" w14:paraId="58EFC70A" w14:textId="77777777" w:rsidTr="004035FE">
        <w:trPr>
          <w:trHeight w:val="329"/>
        </w:trPr>
        <w:tc>
          <w:tcPr>
            <w:tcW w:w="1955" w:type="pct"/>
            <w:tcBorders>
              <w:top w:val="single" w:sz="4" w:space="0" w:color="auto"/>
            </w:tcBorders>
            <w:shd w:val="clear" w:color="000000" w:fill="FFFFFF"/>
            <w:vAlign w:val="center"/>
            <w:hideMark/>
          </w:tcPr>
          <w:p w14:paraId="07B32329" w14:textId="77777777" w:rsidR="004035FE" w:rsidRPr="004035FE" w:rsidRDefault="004035FE" w:rsidP="00B6745A">
            <w:pPr>
              <w:rPr>
                <w:sz w:val="18"/>
                <w:szCs w:val="18"/>
              </w:rPr>
            </w:pPr>
            <w:r w:rsidRPr="004035FE">
              <w:rPr>
                <w:color w:val="000000"/>
                <w:sz w:val="18"/>
                <w:szCs w:val="18"/>
              </w:rPr>
              <w:t>Programy 3. programové obdobie</w:t>
            </w:r>
          </w:p>
        </w:tc>
        <w:tc>
          <w:tcPr>
            <w:tcW w:w="531" w:type="pct"/>
            <w:tcBorders>
              <w:top w:val="single" w:sz="4" w:space="0" w:color="auto"/>
              <w:left w:val="nil"/>
              <w:bottom w:val="nil"/>
              <w:right w:val="nil"/>
            </w:tcBorders>
            <w:shd w:val="clear" w:color="000000" w:fill="FFFFFF"/>
            <w:noWrap/>
            <w:vAlign w:val="center"/>
          </w:tcPr>
          <w:p w14:paraId="7E589669" w14:textId="77777777" w:rsidR="004035FE" w:rsidRPr="004035FE" w:rsidRDefault="004035FE" w:rsidP="00B6745A">
            <w:pPr>
              <w:jc w:val="right"/>
              <w:rPr>
                <w:sz w:val="18"/>
                <w:szCs w:val="18"/>
              </w:rPr>
            </w:pPr>
            <w:r w:rsidRPr="004035FE">
              <w:rPr>
                <w:color w:val="000000"/>
                <w:sz w:val="18"/>
                <w:szCs w:val="18"/>
              </w:rPr>
              <w:t>621 929</w:t>
            </w:r>
          </w:p>
        </w:tc>
        <w:tc>
          <w:tcPr>
            <w:tcW w:w="531" w:type="pct"/>
            <w:tcBorders>
              <w:top w:val="single" w:sz="4" w:space="0" w:color="auto"/>
              <w:left w:val="nil"/>
              <w:bottom w:val="nil"/>
              <w:right w:val="nil"/>
            </w:tcBorders>
            <w:shd w:val="clear" w:color="000000" w:fill="FFFFFF"/>
            <w:noWrap/>
            <w:vAlign w:val="center"/>
          </w:tcPr>
          <w:p w14:paraId="278F3507" w14:textId="77777777" w:rsidR="004035FE" w:rsidRPr="004035FE" w:rsidRDefault="004035FE" w:rsidP="00B6745A">
            <w:pPr>
              <w:jc w:val="right"/>
              <w:rPr>
                <w:sz w:val="18"/>
                <w:szCs w:val="18"/>
              </w:rPr>
            </w:pPr>
            <w:r w:rsidRPr="004035FE">
              <w:rPr>
                <w:color w:val="000000"/>
                <w:sz w:val="18"/>
                <w:szCs w:val="18"/>
              </w:rPr>
              <w:t>251 377</w:t>
            </w:r>
          </w:p>
        </w:tc>
        <w:tc>
          <w:tcPr>
            <w:tcW w:w="531" w:type="pct"/>
            <w:tcBorders>
              <w:top w:val="single" w:sz="4" w:space="0" w:color="auto"/>
              <w:left w:val="nil"/>
              <w:bottom w:val="nil"/>
              <w:right w:val="nil"/>
            </w:tcBorders>
            <w:noWrap/>
            <w:vAlign w:val="center"/>
          </w:tcPr>
          <w:p w14:paraId="3BF22330" w14:textId="77777777" w:rsidR="004035FE" w:rsidRPr="004035FE" w:rsidRDefault="004035FE" w:rsidP="00B6745A">
            <w:pPr>
              <w:jc w:val="right"/>
              <w:rPr>
                <w:sz w:val="18"/>
                <w:szCs w:val="18"/>
              </w:rPr>
            </w:pPr>
            <w:r w:rsidRPr="004035FE">
              <w:rPr>
                <w:color w:val="000000"/>
                <w:sz w:val="18"/>
                <w:szCs w:val="18"/>
              </w:rPr>
              <w:t>0</w:t>
            </w:r>
          </w:p>
        </w:tc>
        <w:tc>
          <w:tcPr>
            <w:tcW w:w="531" w:type="pct"/>
            <w:tcBorders>
              <w:top w:val="single" w:sz="4" w:space="0" w:color="auto"/>
              <w:left w:val="nil"/>
              <w:bottom w:val="nil"/>
              <w:right w:val="nil"/>
            </w:tcBorders>
            <w:shd w:val="clear" w:color="000000" w:fill="FFFFFF"/>
            <w:noWrap/>
            <w:vAlign w:val="center"/>
          </w:tcPr>
          <w:p w14:paraId="533CB384" w14:textId="77777777" w:rsidR="004035FE" w:rsidRPr="004035FE" w:rsidRDefault="004035FE" w:rsidP="00B6745A">
            <w:pPr>
              <w:jc w:val="right"/>
              <w:rPr>
                <w:sz w:val="18"/>
                <w:szCs w:val="18"/>
              </w:rPr>
            </w:pPr>
            <w:r w:rsidRPr="004035FE">
              <w:rPr>
                <w:color w:val="000000"/>
                <w:sz w:val="18"/>
                <w:szCs w:val="18"/>
              </w:rPr>
              <w:t>93</w:t>
            </w:r>
          </w:p>
        </w:tc>
        <w:tc>
          <w:tcPr>
            <w:tcW w:w="531" w:type="pct"/>
            <w:tcBorders>
              <w:top w:val="single" w:sz="4" w:space="0" w:color="auto"/>
              <w:left w:val="nil"/>
              <w:bottom w:val="nil"/>
              <w:right w:val="nil"/>
            </w:tcBorders>
            <w:shd w:val="clear" w:color="000000" w:fill="FFFFFF"/>
            <w:noWrap/>
            <w:vAlign w:val="center"/>
          </w:tcPr>
          <w:p w14:paraId="5ABFA8F1" w14:textId="77777777" w:rsidR="004035FE" w:rsidRPr="004035FE" w:rsidRDefault="004035FE" w:rsidP="00B6745A">
            <w:pPr>
              <w:jc w:val="right"/>
              <w:rPr>
                <w:sz w:val="18"/>
                <w:szCs w:val="18"/>
              </w:rPr>
            </w:pPr>
            <w:r w:rsidRPr="004035FE">
              <w:rPr>
                <w:color w:val="000000"/>
                <w:sz w:val="18"/>
                <w:szCs w:val="18"/>
              </w:rPr>
              <w:t>93</w:t>
            </w:r>
          </w:p>
        </w:tc>
        <w:tc>
          <w:tcPr>
            <w:tcW w:w="390" w:type="pct"/>
            <w:tcBorders>
              <w:top w:val="single" w:sz="4" w:space="0" w:color="auto"/>
              <w:left w:val="nil"/>
              <w:bottom w:val="nil"/>
              <w:right w:val="nil"/>
            </w:tcBorders>
            <w:shd w:val="clear" w:color="000000" w:fill="FFFFFF"/>
            <w:noWrap/>
            <w:vAlign w:val="center"/>
          </w:tcPr>
          <w:p w14:paraId="05C1052A" w14:textId="77777777" w:rsidR="004035FE" w:rsidRPr="004035FE" w:rsidRDefault="004035FE" w:rsidP="00B6745A">
            <w:pPr>
              <w:jc w:val="right"/>
              <w:rPr>
                <w:sz w:val="18"/>
                <w:szCs w:val="18"/>
              </w:rPr>
            </w:pPr>
            <w:r w:rsidRPr="004035FE">
              <w:rPr>
                <w:color w:val="000000"/>
                <w:sz w:val="18"/>
                <w:szCs w:val="18"/>
              </w:rPr>
              <w:t>-</w:t>
            </w:r>
          </w:p>
        </w:tc>
      </w:tr>
      <w:tr w:rsidR="004035FE" w:rsidRPr="004035FE" w14:paraId="1FE78F8B" w14:textId="77777777" w:rsidTr="004035FE">
        <w:trPr>
          <w:trHeight w:val="329"/>
        </w:trPr>
        <w:tc>
          <w:tcPr>
            <w:tcW w:w="1955" w:type="pct"/>
            <w:shd w:val="clear" w:color="000000" w:fill="FFFFFF"/>
            <w:vAlign w:val="center"/>
            <w:hideMark/>
          </w:tcPr>
          <w:p w14:paraId="01B3BFFA" w14:textId="77777777" w:rsidR="004035FE" w:rsidRPr="004035FE" w:rsidRDefault="004035FE" w:rsidP="00B6745A">
            <w:pPr>
              <w:rPr>
                <w:sz w:val="18"/>
                <w:szCs w:val="18"/>
              </w:rPr>
            </w:pPr>
            <w:r w:rsidRPr="004035FE">
              <w:rPr>
                <w:color w:val="000000"/>
                <w:sz w:val="18"/>
                <w:szCs w:val="18"/>
              </w:rPr>
              <w:t>Programy 4. programové obdobie</w:t>
            </w:r>
          </w:p>
        </w:tc>
        <w:tc>
          <w:tcPr>
            <w:tcW w:w="531" w:type="pct"/>
            <w:tcBorders>
              <w:top w:val="nil"/>
              <w:left w:val="nil"/>
              <w:bottom w:val="nil"/>
              <w:right w:val="nil"/>
            </w:tcBorders>
            <w:shd w:val="clear" w:color="000000" w:fill="FFFFFF"/>
            <w:noWrap/>
            <w:vAlign w:val="center"/>
          </w:tcPr>
          <w:p w14:paraId="67D8782A" w14:textId="77777777" w:rsidR="004035FE" w:rsidRPr="004035FE" w:rsidRDefault="004035FE" w:rsidP="00B6745A">
            <w:pPr>
              <w:jc w:val="right"/>
              <w:rPr>
                <w:sz w:val="18"/>
                <w:szCs w:val="18"/>
              </w:rPr>
            </w:pPr>
            <w:r w:rsidRPr="004035FE">
              <w:rPr>
                <w:color w:val="000000"/>
                <w:sz w:val="18"/>
                <w:szCs w:val="18"/>
              </w:rPr>
              <w:t>7 458</w:t>
            </w:r>
          </w:p>
        </w:tc>
        <w:tc>
          <w:tcPr>
            <w:tcW w:w="531" w:type="pct"/>
            <w:tcBorders>
              <w:top w:val="nil"/>
              <w:left w:val="nil"/>
              <w:bottom w:val="nil"/>
              <w:right w:val="nil"/>
            </w:tcBorders>
            <w:shd w:val="clear" w:color="000000" w:fill="FFFFFF"/>
            <w:noWrap/>
            <w:vAlign w:val="center"/>
          </w:tcPr>
          <w:p w14:paraId="7686D2C0" w14:textId="77777777" w:rsidR="004035FE" w:rsidRPr="004035FE" w:rsidRDefault="004035FE" w:rsidP="00B6745A">
            <w:pPr>
              <w:jc w:val="right"/>
              <w:rPr>
                <w:sz w:val="18"/>
                <w:szCs w:val="18"/>
              </w:rPr>
            </w:pPr>
            <w:r w:rsidRPr="004035FE">
              <w:rPr>
                <w:color w:val="000000"/>
                <w:sz w:val="18"/>
                <w:szCs w:val="18"/>
              </w:rPr>
              <w:t>106 294</w:t>
            </w:r>
          </w:p>
        </w:tc>
        <w:tc>
          <w:tcPr>
            <w:tcW w:w="531" w:type="pct"/>
            <w:tcBorders>
              <w:top w:val="nil"/>
              <w:left w:val="nil"/>
              <w:bottom w:val="nil"/>
              <w:right w:val="nil"/>
            </w:tcBorders>
            <w:shd w:val="clear" w:color="000000" w:fill="FFFFFF"/>
            <w:noWrap/>
            <w:vAlign w:val="center"/>
          </w:tcPr>
          <w:p w14:paraId="2D500B62" w14:textId="77777777" w:rsidR="004035FE" w:rsidRPr="004035FE" w:rsidRDefault="004035FE" w:rsidP="00B6745A">
            <w:pPr>
              <w:jc w:val="right"/>
              <w:rPr>
                <w:sz w:val="18"/>
                <w:szCs w:val="18"/>
              </w:rPr>
            </w:pPr>
            <w:r w:rsidRPr="004035FE">
              <w:rPr>
                <w:color w:val="000000"/>
                <w:sz w:val="18"/>
                <w:szCs w:val="18"/>
              </w:rPr>
              <w:t>306 420</w:t>
            </w:r>
          </w:p>
        </w:tc>
        <w:tc>
          <w:tcPr>
            <w:tcW w:w="531" w:type="pct"/>
            <w:tcBorders>
              <w:top w:val="nil"/>
              <w:left w:val="nil"/>
              <w:bottom w:val="nil"/>
              <w:right w:val="nil"/>
            </w:tcBorders>
            <w:shd w:val="clear" w:color="000000" w:fill="FFFFFF"/>
            <w:noWrap/>
            <w:vAlign w:val="center"/>
          </w:tcPr>
          <w:p w14:paraId="72D17D59" w14:textId="77777777" w:rsidR="004035FE" w:rsidRPr="004035FE" w:rsidRDefault="004035FE" w:rsidP="00B6745A">
            <w:pPr>
              <w:jc w:val="right"/>
              <w:rPr>
                <w:sz w:val="18"/>
                <w:szCs w:val="18"/>
              </w:rPr>
            </w:pPr>
            <w:r w:rsidRPr="004035FE">
              <w:rPr>
                <w:color w:val="000000"/>
                <w:sz w:val="18"/>
                <w:szCs w:val="18"/>
              </w:rPr>
              <w:t>309 911</w:t>
            </w:r>
          </w:p>
        </w:tc>
        <w:tc>
          <w:tcPr>
            <w:tcW w:w="531" w:type="pct"/>
            <w:tcBorders>
              <w:top w:val="nil"/>
              <w:left w:val="nil"/>
              <w:bottom w:val="nil"/>
              <w:right w:val="nil"/>
            </w:tcBorders>
            <w:shd w:val="clear" w:color="000000" w:fill="FFFFFF"/>
            <w:noWrap/>
            <w:vAlign w:val="center"/>
          </w:tcPr>
          <w:p w14:paraId="69C2BBDC" w14:textId="77777777" w:rsidR="004035FE" w:rsidRPr="004035FE" w:rsidRDefault="004035FE" w:rsidP="00B6745A">
            <w:pPr>
              <w:jc w:val="right"/>
              <w:rPr>
                <w:sz w:val="18"/>
                <w:szCs w:val="18"/>
              </w:rPr>
            </w:pPr>
            <w:r w:rsidRPr="004035FE">
              <w:rPr>
                <w:color w:val="000000"/>
                <w:sz w:val="18"/>
                <w:szCs w:val="18"/>
              </w:rPr>
              <w:t>3 491</w:t>
            </w:r>
          </w:p>
        </w:tc>
        <w:tc>
          <w:tcPr>
            <w:tcW w:w="390" w:type="pct"/>
            <w:tcBorders>
              <w:top w:val="nil"/>
              <w:left w:val="nil"/>
              <w:bottom w:val="nil"/>
              <w:right w:val="nil"/>
            </w:tcBorders>
            <w:shd w:val="clear" w:color="000000" w:fill="FFFFFF"/>
            <w:noWrap/>
            <w:vAlign w:val="center"/>
          </w:tcPr>
          <w:p w14:paraId="6EADE2ED" w14:textId="77777777" w:rsidR="004035FE" w:rsidRPr="004035FE" w:rsidRDefault="004035FE" w:rsidP="00B6745A">
            <w:pPr>
              <w:jc w:val="right"/>
              <w:rPr>
                <w:sz w:val="18"/>
                <w:szCs w:val="18"/>
              </w:rPr>
            </w:pPr>
            <w:r w:rsidRPr="004035FE">
              <w:rPr>
                <w:color w:val="000000"/>
                <w:sz w:val="18"/>
                <w:szCs w:val="18"/>
              </w:rPr>
              <w:t>1,1</w:t>
            </w:r>
          </w:p>
        </w:tc>
      </w:tr>
      <w:tr w:rsidR="004035FE" w:rsidRPr="004035FE" w14:paraId="0CF7185D" w14:textId="77777777" w:rsidTr="004035FE">
        <w:trPr>
          <w:trHeight w:val="329"/>
        </w:trPr>
        <w:tc>
          <w:tcPr>
            <w:tcW w:w="1955" w:type="pct"/>
            <w:tcBorders>
              <w:bottom w:val="single" w:sz="4" w:space="0" w:color="auto"/>
            </w:tcBorders>
            <w:shd w:val="clear" w:color="000000" w:fill="FFFFFF"/>
            <w:vAlign w:val="center"/>
          </w:tcPr>
          <w:p w14:paraId="117A7B46" w14:textId="77777777" w:rsidR="004035FE" w:rsidRPr="004035FE" w:rsidRDefault="004035FE" w:rsidP="00B6745A">
            <w:pPr>
              <w:rPr>
                <w:sz w:val="18"/>
                <w:szCs w:val="18"/>
              </w:rPr>
            </w:pPr>
            <w:r w:rsidRPr="004035FE">
              <w:rPr>
                <w:b/>
                <w:bCs/>
                <w:color w:val="000000"/>
                <w:sz w:val="18"/>
                <w:szCs w:val="18"/>
              </w:rPr>
              <w:t>Štrukturálne operácie - MF SR</w:t>
            </w:r>
          </w:p>
        </w:tc>
        <w:tc>
          <w:tcPr>
            <w:tcW w:w="531" w:type="pct"/>
            <w:tcBorders>
              <w:top w:val="nil"/>
              <w:left w:val="nil"/>
              <w:bottom w:val="single" w:sz="4" w:space="0" w:color="auto"/>
              <w:right w:val="nil"/>
            </w:tcBorders>
            <w:shd w:val="clear" w:color="000000" w:fill="FFFFFF"/>
            <w:noWrap/>
            <w:vAlign w:val="center"/>
          </w:tcPr>
          <w:p w14:paraId="22D7F39D" w14:textId="77777777" w:rsidR="004035FE" w:rsidRPr="004035FE" w:rsidRDefault="004035FE" w:rsidP="00B6745A">
            <w:pPr>
              <w:jc w:val="right"/>
              <w:rPr>
                <w:sz w:val="18"/>
                <w:szCs w:val="18"/>
              </w:rPr>
            </w:pPr>
            <w:r w:rsidRPr="004035FE">
              <w:rPr>
                <w:b/>
                <w:bCs/>
                <w:color w:val="000000"/>
                <w:sz w:val="18"/>
                <w:szCs w:val="18"/>
              </w:rPr>
              <w:t>629 387</w:t>
            </w:r>
          </w:p>
        </w:tc>
        <w:tc>
          <w:tcPr>
            <w:tcW w:w="531" w:type="pct"/>
            <w:tcBorders>
              <w:top w:val="nil"/>
              <w:left w:val="nil"/>
              <w:bottom w:val="single" w:sz="4" w:space="0" w:color="auto"/>
              <w:right w:val="nil"/>
            </w:tcBorders>
            <w:shd w:val="clear" w:color="000000" w:fill="FFFFFF"/>
            <w:noWrap/>
            <w:vAlign w:val="center"/>
          </w:tcPr>
          <w:p w14:paraId="51A996F1" w14:textId="77777777" w:rsidR="004035FE" w:rsidRPr="004035FE" w:rsidRDefault="004035FE" w:rsidP="00B6745A">
            <w:pPr>
              <w:jc w:val="right"/>
              <w:rPr>
                <w:sz w:val="18"/>
                <w:szCs w:val="18"/>
              </w:rPr>
            </w:pPr>
            <w:r w:rsidRPr="004035FE">
              <w:rPr>
                <w:b/>
                <w:bCs/>
                <w:color w:val="000000"/>
                <w:sz w:val="18"/>
                <w:szCs w:val="18"/>
              </w:rPr>
              <w:t>357 671</w:t>
            </w:r>
          </w:p>
        </w:tc>
        <w:tc>
          <w:tcPr>
            <w:tcW w:w="531" w:type="pct"/>
            <w:tcBorders>
              <w:top w:val="nil"/>
              <w:left w:val="nil"/>
              <w:bottom w:val="single" w:sz="4" w:space="0" w:color="auto"/>
              <w:right w:val="nil"/>
            </w:tcBorders>
            <w:shd w:val="clear" w:color="000000" w:fill="FFFFFF"/>
            <w:noWrap/>
            <w:vAlign w:val="center"/>
          </w:tcPr>
          <w:p w14:paraId="72106B46" w14:textId="77777777" w:rsidR="004035FE" w:rsidRPr="004035FE" w:rsidRDefault="004035FE" w:rsidP="00B6745A">
            <w:pPr>
              <w:jc w:val="right"/>
              <w:rPr>
                <w:sz w:val="18"/>
                <w:szCs w:val="18"/>
              </w:rPr>
            </w:pPr>
            <w:r w:rsidRPr="004035FE">
              <w:rPr>
                <w:b/>
                <w:bCs/>
                <w:color w:val="000000"/>
                <w:sz w:val="18"/>
                <w:szCs w:val="18"/>
              </w:rPr>
              <w:t>306 420</w:t>
            </w:r>
          </w:p>
        </w:tc>
        <w:tc>
          <w:tcPr>
            <w:tcW w:w="531" w:type="pct"/>
            <w:tcBorders>
              <w:top w:val="nil"/>
              <w:left w:val="nil"/>
              <w:bottom w:val="single" w:sz="4" w:space="0" w:color="auto"/>
              <w:right w:val="nil"/>
            </w:tcBorders>
            <w:shd w:val="clear" w:color="000000" w:fill="FFFFFF"/>
            <w:noWrap/>
            <w:vAlign w:val="center"/>
          </w:tcPr>
          <w:p w14:paraId="7AF04075" w14:textId="77777777" w:rsidR="004035FE" w:rsidRPr="004035FE" w:rsidRDefault="004035FE" w:rsidP="00B6745A">
            <w:pPr>
              <w:jc w:val="right"/>
              <w:rPr>
                <w:sz w:val="18"/>
                <w:szCs w:val="18"/>
              </w:rPr>
            </w:pPr>
            <w:r w:rsidRPr="004035FE">
              <w:rPr>
                <w:b/>
                <w:bCs/>
                <w:color w:val="000000"/>
                <w:sz w:val="18"/>
                <w:szCs w:val="18"/>
              </w:rPr>
              <w:t>310 004</w:t>
            </w:r>
          </w:p>
        </w:tc>
        <w:tc>
          <w:tcPr>
            <w:tcW w:w="531" w:type="pct"/>
            <w:tcBorders>
              <w:top w:val="nil"/>
              <w:left w:val="nil"/>
              <w:bottom w:val="single" w:sz="4" w:space="0" w:color="auto"/>
              <w:right w:val="nil"/>
            </w:tcBorders>
            <w:shd w:val="clear" w:color="000000" w:fill="FFFFFF"/>
            <w:noWrap/>
            <w:vAlign w:val="center"/>
          </w:tcPr>
          <w:p w14:paraId="6DE5B539" w14:textId="77777777" w:rsidR="004035FE" w:rsidRPr="004035FE" w:rsidRDefault="004035FE" w:rsidP="00B6745A">
            <w:pPr>
              <w:jc w:val="right"/>
              <w:rPr>
                <w:sz w:val="18"/>
                <w:szCs w:val="18"/>
              </w:rPr>
            </w:pPr>
            <w:r w:rsidRPr="004035FE">
              <w:rPr>
                <w:b/>
                <w:bCs/>
                <w:color w:val="000000"/>
                <w:sz w:val="18"/>
                <w:szCs w:val="18"/>
              </w:rPr>
              <w:t>3 584</w:t>
            </w:r>
          </w:p>
        </w:tc>
        <w:tc>
          <w:tcPr>
            <w:tcW w:w="390" w:type="pct"/>
            <w:tcBorders>
              <w:top w:val="nil"/>
              <w:left w:val="nil"/>
              <w:bottom w:val="single" w:sz="4" w:space="0" w:color="auto"/>
              <w:right w:val="nil"/>
            </w:tcBorders>
            <w:shd w:val="clear" w:color="000000" w:fill="FFFFFF"/>
            <w:noWrap/>
            <w:vAlign w:val="center"/>
          </w:tcPr>
          <w:p w14:paraId="20663B21" w14:textId="77777777" w:rsidR="004035FE" w:rsidRPr="004035FE" w:rsidRDefault="004035FE" w:rsidP="00B6745A">
            <w:pPr>
              <w:jc w:val="right"/>
              <w:rPr>
                <w:sz w:val="18"/>
                <w:szCs w:val="18"/>
              </w:rPr>
            </w:pPr>
            <w:r w:rsidRPr="004035FE">
              <w:rPr>
                <w:b/>
                <w:bCs/>
                <w:color w:val="000000"/>
                <w:sz w:val="18"/>
                <w:szCs w:val="18"/>
              </w:rPr>
              <w:t>1,2</w:t>
            </w:r>
          </w:p>
        </w:tc>
      </w:tr>
      <w:tr w:rsidR="004035FE" w:rsidRPr="004035FE" w14:paraId="56F7D307" w14:textId="77777777" w:rsidTr="004035FE">
        <w:trPr>
          <w:trHeight w:val="329"/>
        </w:trPr>
        <w:tc>
          <w:tcPr>
            <w:tcW w:w="1955" w:type="pct"/>
            <w:tcBorders>
              <w:top w:val="single" w:sz="4" w:space="0" w:color="auto"/>
            </w:tcBorders>
            <w:shd w:val="clear" w:color="000000" w:fill="FFFFFF"/>
            <w:vAlign w:val="center"/>
            <w:hideMark/>
          </w:tcPr>
          <w:p w14:paraId="7E6E642D" w14:textId="77777777" w:rsidR="004035FE" w:rsidRPr="004035FE" w:rsidRDefault="004035FE" w:rsidP="00B6745A">
            <w:pPr>
              <w:rPr>
                <w:sz w:val="18"/>
                <w:szCs w:val="18"/>
              </w:rPr>
            </w:pPr>
            <w:r w:rsidRPr="004035FE">
              <w:rPr>
                <w:color w:val="000000"/>
                <w:sz w:val="18"/>
                <w:szCs w:val="18"/>
              </w:rPr>
              <w:t>OP Sociálneho začlenenia najodkázanejších osôb 3. programové obdobie</w:t>
            </w:r>
          </w:p>
        </w:tc>
        <w:tc>
          <w:tcPr>
            <w:tcW w:w="531" w:type="pct"/>
            <w:tcBorders>
              <w:top w:val="single" w:sz="4" w:space="0" w:color="auto"/>
              <w:left w:val="nil"/>
              <w:bottom w:val="nil"/>
              <w:right w:val="nil"/>
            </w:tcBorders>
            <w:shd w:val="clear" w:color="000000" w:fill="FFFFFF"/>
            <w:noWrap/>
            <w:vAlign w:val="center"/>
          </w:tcPr>
          <w:p w14:paraId="6C05FB9F" w14:textId="77777777" w:rsidR="004035FE" w:rsidRPr="004035FE" w:rsidRDefault="004035FE" w:rsidP="00B6745A">
            <w:pPr>
              <w:jc w:val="right"/>
              <w:rPr>
                <w:sz w:val="18"/>
                <w:szCs w:val="18"/>
              </w:rPr>
            </w:pPr>
            <w:r w:rsidRPr="004035FE">
              <w:rPr>
                <w:color w:val="000000"/>
                <w:sz w:val="18"/>
                <w:szCs w:val="18"/>
              </w:rPr>
              <w:t>467</w:t>
            </w:r>
          </w:p>
        </w:tc>
        <w:tc>
          <w:tcPr>
            <w:tcW w:w="531" w:type="pct"/>
            <w:tcBorders>
              <w:top w:val="single" w:sz="4" w:space="0" w:color="auto"/>
              <w:left w:val="nil"/>
              <w:bottom w:val="nil"/>
              <w:right w:val="nil"/>
            </w:tcBorders>
            <w:shd w:val="clear" w:color="000000" w:fill="FFFFFF"/>
            <w:noWrap/>
            <w:vAlign w:val="center"/>
          </w:tcPr>
          <w:p w14:paraId="3C92E48B" w14:textId="77777777" w:rsidR="004035FE" w:rsidRPr="004035FE" w:rsidRDefault="004035FE" w:rsidP="00B6745A">
            <w:pPr>
              <w:jc w:val="right"/>
              <w:rPr>
                <w:sz w:val="18"/>
                <w:szCs w:val="18"/>
              </w:rPr>
            </w:pPr>
            <w:r w:rsidRPr="004035FE">
              <w:rPr>
                <w:color w:val="000000"/>
                <w:sz w:val="18"/>
                <w:szCs w:val="18"/>
              </w:rPr>
              <w:t>100</w:t>
            </w:r>
          </w:p>
        </w:tc>
        <w:tc>
          <w:tcPr>
            <w:tcW w:w="531" w:type="pct"/>
            <w:tcBorders>
              <w:top w:val="single" w:sz="4" w:space="0" w:color="auto"/>
              <w:left w:val="nil"/>
              <w:bottom w:val="nil"/>
              <w:right w:val="nil"/>
            </w:tcBorders>
            <w:shd w:val="clear" w:color="000000" w:fill="FFFFFF"/>
            <w:noWrap/>
            <w:vAlign w:val="center"/>
          </w:tcPr>
          <w:p w14:paraId="6A5683FB" w14:textId="77777777" w:rsidR="004035FE" w:rsidRPr="004035FE" w:rsidRDefault="004035FE" w:rsidP="00B6745A">
            <w:pPr>
              <w:jc w:val="right"/>
              <w:rPr>
                <w:sz w:val="18"/>
                <w:szCs w:val="18"/>
              </w:rPr>
            </w:pPr>
            <w:r w:rsidRPr="004035FE">
              <w:rPr>
                <w:color w:val="000000"/>
                <w:sz w:val="18"/>
                <w:szCs w:val="18"/>
              </w:rPr>
              <w:t>0</w:t>
            </w:r>
          </w:p>
        </w:tc>
        <w:tc>
          <w:tcPr>
            <w:tcW w:w="531" w:type="pct"/>
            <w:tcBorders>
              <w:top w:val="single" w:sz="4" w:space="0" w:color="auto"/>
              <w:left w:val="nil"/>
              <w:bottom w:val="nil"/>
              <w:right w:val="nil"/>
            </w:tcBorders>
            <w:shd w:val="clear" w:color="000000" w:fill="FFFFFF"/>
            <w:noWrap/>
            <w:vAlign w:val="center"/>
          </w:tcPr>
          <w:p w14:paraId="14122C12" w14:textId="77777777" w:rsidR="004035FE" w:rsidRPr="004035FE" w:rsidRDefault="004035FE" w:rsidP="00B6745A">
            <w:pPr>
              <w:jc w:val="right"/>
              <w:rPr>
                <w:sz w:val="18"/>
                <w:szCs w:val="18"/>
              </w:rPr>
            </w:pPr>
            <w:r w:rsidRPr="004035FE">
              <w:rPr>
                <w:color w:val="000000"/>
                <w:sz w:val="18"/>
                <w:szCs w:val="18"/>
              </w:rPr>
              <w:t>0</w:t>
            </w:r>
          </w:p>
        </w:tc>
        <w:tc>
          <w:tcPr>
            <w:tcW w:w="531" w:type="pct"/>
            <w:tcBorders>
              <w:top w:val="single" w:sz="4" w:space="0" w:color="auto"/>
              <w:left w:val="nil"/>
              <w:bottom w:val="nil"/>
              <w:right w:val="nil"/>
            </w:tcBorders>
            <w:shd w:val="clear" w:color="000000" w:fill="FFFFFF"/>
            <w:noWrap/>
            <w:vAlign w:val="center"/>
          </w:tcPr>
          <w:p w14:paraId="183179FF" w14:textId="77777777" w:rsidR="004035FE" w:rsidRPr="004035FE" w:rsidRDefault="004035FE" w:rsidP="00B6745A">
            <w:pPr>
              <w:jc w:val="right"/>
              <w:rPr>
                <w:sz w:val="18"/>
                <w:szCs w:val="18"/>
              </w:rPr>
            </w:pPr>
            <w:r w:rsidRPr="004035FE">
              <w:rPr>
                <w:color w:val="000000"/>
                <w:sz w:val="18"/>
                <w:szCs w:val="18"/>
              </w:rPr>
              <w:t>0</w:t>
            </w:r>
          </w:p>
        </w:tc>
        <w:tc>
          <w:tcPr>
            <w:tcW w:w="390" w:type="pct"/>
            <w:tcBorders>
              <w:top w:val="single" w:sz="4" w:space="0" w:color="auto"/>
              <w:left w:val="nil"/>
              <w:bottom w:val="nil"/>
              <w:right w:val="nil"/>
            </w:tcBorders>
            <w:shd w:val="clear" w:color="000000" w:fill="FFFFFF"/>
            <w:noWrap/>
            <w:vAlign w:val="center"/>
          </w:tcPr>
          <w:p w14:paraId="3D21DBBE" w14:textId="77777777" w:rsidR="004035FE" w:rsidRPr="004035FE" w:rsidRDefault="004035FE" w:rsidP="00B6745A">
            <w:pPr>
              <w:jc w:val="right"/>
              <w:rPr>
                <w:sz w:val="18"/>
                <w:szCs w:val="18"/>
              </w:rPr>
            </w:pPr>
            <w:r w:rsidRPr="004035FE">
              <w:rPr>
                <w:color w:val="000000"/>
                <w:sz w:val="18"/>
                <w:szCs w:val="18"/>
              </w:rPr>
              <w:t>-</w:t>
            </w:r>
          </w:p>
        </w:tc>
      </w:tr>
      <w:tr w:rsidR="004035FE" w:rsidRPr="004035FE" w14:paraId="7FE3CF58" w14:textId="77777777" w:rsidTr="004035FE">
        <w:trPr>
          <w:trHeight w:val="329"/>
        </w:trPr>
        <w:tc>
          <w:tcPr>
            <w:tcW w:w="1955" w:type="pct"/>
            <w:tcBorders>
              <w:bottom w:val="single" w:sz="4" w:space="0" w:color="auto"/>
            </w:tcBorders>
            <w:shd w:val="clear" w:color="000000" w:fill="FFFFFF"/>
            <w:vAlign w:val="center"/>
          </w:tcPr>
          <w:p w14:paraId="7C67868F" w14:textId="77777777" w:rsidR="004035FE" w:rsidRPr="004035FE" w:rsidRDefault="004035FE" w:rsidP="00B6745A">
            <w:pPr>
              <w:rPr>
                <w:sz w:val="18"/>
                <w:szCs w:val="18"/>
              </w:rPr>
            </w:pPr>
            <w:r w:rsidRPr="004035FE">
              <w:rPr>
                <w:b/>
                <w:bCs/>
                <w:color w:val="000000"/>
                <w:sz w:val="18"/>
                <w:szCs w:val="18"/>
              </w:rPr>
              <w:t>Štrukturálne operácie - MPSVR SR</w:t>
            </w:r>
          </w:p>
        </w:tc>
        <w:tc>
          <w:tcPr>
            <w:tcW w:w="531" w:type="pct"/>
            <w:tcBorders>
              <w:top w:val="nil"/>
              <w:left w:val="nil"/>
              <w:bottom w:val="single" w:sz="4" w:space="0" w:color="auto"/>
              <w:right w:val="nil"/>
            </w:tcBorders>
            <w:shd w:val="clear" w:color="000000" w:fill="FFFFFF"/>
            <w:noWrap/>
            <w:vAlign w:val="center"/>
          </w:tcPr>
          <w:p w14:paraId="2AA2260B" w14:textId="77777777" w:rsidR="004035FE" w:rsidRPr="004035FE" w:rsidRDefault="004035FE" w:rsidP="00B6745A">
            <w:pPr>
              <w:jc w:val="right"/>
              <w:rPr>
                <w:sz w:val="18"/>
                <w:szCs w:val="18"/>
              </w:rPr>
            </w:pPr>
            <w:r w:rsidRPr="004035FE">
              <w:rPr>
                <w:b/>
                <w:bCs/>
                <w:color w:val="000000"/>
                <w:sz w:val="18"/>
                <w:szCs w:val="18"/>
              </w:rPr>
              <w:t>467</w:t>
            </w:r>
          </w:p>
        </w:tc>
        <w:tc>
          <w:tcPr>
            <w:tcW w:w="531" w:type="pct"/>
            <w:tcBorders>
              <w:top w:val="nil"/>
              <w:left w:val="nil"/>
              <w:bottom w:val="single" w:sz="4" w:space="0" w:color="auto"/>
              <w:right w:val="nil"/>
            </w:tcBorders>
            <w:shd w:val="clear" w:color="000000" w:fill="FFFFFF"/>
            <w:noWrap/>
            <w:vAlign w:val="center"/>
          </w:tcPr>
          <w:p w14:paraId="299A44D8" w14:textId="77777777" w:rsidR="004035FE" w:rsidRPr="004035FE" w:rsidRDefault="004035FE" w:rsidP="00B6745A">
            <w:pPr>
              <w:jc w:val="right"/>
              <w:rPr>
                <w:sz w:val="18"/>
                <w:szCs w:val="18"/>
              </w:rPr>
            </w:pPr>
            <w:r w:rsidRPr="004035FE">
              <w:rPr>
                <w:b/>
                <w:bCs/>
                <w:color w:val="000000"/>
                <w:sz w:val="18"/>
                <w:szCs w:val="18"/>
              </w:rPr>
              <w:t>100</w:t>
            </w:r>
          </w:p>
        </w:tc>
        <w:tc>
          <w:tcPr>
            <w:tcW w:w="531" w:type="pct"/>
            <w:tcBorders>
              <w:top w:val="nil"/>
              <w:left w:val="nil"/>
              <w:bottom w:val="single" w:sz="4" w:space="0" w:color="auto"/>
              <w:right w:val="nil"/>
            </w:tcBorders>
            <w:shd w:val="clear" w:color="000000" w:fill="FFFFFF"/>
            <w:noWrap/>
            <w:vAlign w:val="center"/>
          </w:tcPr>
          <w:p w14:paraId="1E4FEBEF" w14:textId="77777777" w:rsidR="004035FE" w:rsidRPr="004035FE" w:rsidRDefault="004035FE" w:rsidP="00B6745A">
            <w:pPr>
              <w:jc w:val="right"/>
              <w:rPr>
                <w:sz w:val="18"/>
                <w:szCs w:val="18"/>
              </w:rPr>
            </w:pPr>
            <w:r w:rsidRPr="004035FE">
              <w:rPr>
                <w:b/>
                <w:bCs/>
                <w:color w:val="000000"/>
                <w:sz w:val="18"/>
                <w:szCs w:val="18"/>
              </w:rPr>
              <w:t>0</w:t>
            </w:r>
          </w:p>
        </w:tc>
        <w:tc>
          <w:tcPr>
            <w:tcW w:w="531" w:type="pct"/>
            <w:tcBorders>
              <w:top w:val="nil"/>
              <w:left w:val="nil"/>
              <w:bottom w:val="single" w:sz="4" w:space="0" w:color="auto"/>
              <w:right w:val="nil"/>
            </w:tcBorders>
            <w:shd w:val="clear" w:color="000000" w:fill="FFFFFF"/>
            <w:noWrap/>
            <w:vAlign w:val="center"/>
          </w:tcPr>
          <w:p w14:paraId="7B1B0504" w14:textId="77777777" w:rsidR="004035FE" w:rsidRPr="004035FE" w:rsidRDefault="004035FE" w:rsidP="00B6745A">
            <w:pPr>
              <w:jc w:val="right"/>
              <w:rPr>
                <w:sz w:val="18"/>
                <w:szCs w:val="18"/>
              </w:rPr>
            </w:pPr>
            <w:r w:rsidRPr="004035FE">
              <w:rPr>
                <w:b/>
                <w:bCs/>
                <w:color w:val="000000"/>
                <w:sz w:val="18"/>
                <w:szCs w:val="18"/>
              </w:rPr>
              <w:t>0</w:t>
            </w:r>
          </w:p>
        </w:tc>
        <w:tc>
          <w:tcPr>
            <w:tcW w:w="531" w:type="pct"/>
            <w:tcBorders>
              <w:top w:val="nil"/>
              <w:left w:val="nil"/>
              <w:bottom w:val="single" w:sz="4" w:space="0" w:color="auto"/>
              <w:right w:val="nil"/>
            </w:tcBorders>
            <w:shd w:val="clear" w:color="000000" w:fill="FFFFFF"/>
            <w:noWrap/>
            <w:vAlign w:val="center"/>
          </w:tcPr>
          <w:p w14:paraId="569C5872" w14:textId="77777777" w:rsidR="004035FE" w:rsidRPr="004035FE" w:rsidRDefault="004035FE" w:rsidP="00B6745A">
            <w:pPr>
              <w:jc w:val="right"/>
              <w:rPr>
                <w:sz w:val="18"/>
                <w:szCs w:val="18"/>
              </w:rPr>
            </w:pPr>
            <w:r w:rsidRPr="004035FE">
              <w:rPr>
                <w:b/>
                <w:bCs/>
                <w:color w:val="000000"/>
                <w:sz w:val="18"/>
                <w:szCs w:val="18"/>
              </w:rPr>
              <w:t>0</w:t>
            </w:r>
          </w:p>
        </w:tc>
        <w:tc>
          <w:tcPr>
            <w:tcW w:w="390" w:type="pct"/>
            <w:tcBorders>
              <w:top w:val="nil"/>
              <w:left w:val="nil"/>
              <w:bottom w:val="single" w:sz="4" w:space="0" w:color="auto"/>
              <w:right w:val="nil"/>
            </w:tcBorders>
            <w:shd w:val="clear" w:color="000000" w:fill="FFFFFF"/>
            <w:noWrap/>
            <w:vAlign w:val="center"/>
          </w:tcPr>
          <w:p w14:paraId="46FA0021" w14:textId="77777777" w:rsidR="004035FE" w:rsidRPr="004035FE" w:rsidRDefault="004035FE" w:rsidP="00B6745A">
            <w:pPr>
              <w:jc w:val="right"/>
              <w:rPr>
                <w:sz w:val="18"/>
                <w:szCs w:val="18"/>
              </w:rPr>
            </w:pPr>
            <w:r w:rsidRPr="004035FE">
              <w:rPr>
                <w:b/>
                <w:bCs/>
                <w:color w:val="000000"/>
                <w:sz w:val="18"/>
                <w:szCs w:val="18"/>
              </w:rPr>
              <w:t>-</w:t>
            </w:r>
          </w:p>
        </w:tc>
      </w:tr>
      <w:tr w:rsidR="004035FE" w:rsidRPr="004035FE" w14:paraId="0D1FC569" w14:textId="77777777" w:rsidTr="004035FE">
        <w:trPr>
          <w:trHeight w:val="329"/>
        </w:trPr>
        <w:tc>
          <w:tcPr>
            <w:tcW w:w="1955" w:type="pct"/>
            <w:tcBorders>
              <w:top w:val="single" w:sz="4" w:space="0" w:color="auto"/>
            </w:tcBorders>
            <w:shd w:val="clear" w:color="000000" w:fill="FFFFFF"/>
            <w:vAlign w:val="center"/>
            <w:hideMark/>
          </w:tcPr>
          <w:p w14:paraId="61966F9C" w14:textId="77777777" w:rsidR="004035FE" w:rsidRPr="004035FE" w:rsidRDefault="004035FE" w:rsidP="00B6745A">
            <w:pPr>
              <w:rPr>
                <w:b/>
                <w:sz w:val="18"/>
                <w:szCs w:val="18"/>
              </w:rPr>
            </w:pPr>
            <w:r w:rsidRPr="004035FE">
              <w:rPr>
                <w:color w:val="000000"/>
                <w:sz w:val="18"/>
                <w:szCs w:val="18"/>
              </w:rPr>
              <w:t xml:space="preserve">Fondy pre oblasť vnútorných záležitostí </w:t>
            </w:r>
            <w:r w:rsidRPr="004035FE">
              <w:rPr>
                <w:color w:val="000000"/>
                <w:sz w:val="18"/>
                <w:szCs w:val="18"/>
              </w:rPr>
              <w:br/>
              <w:t>4. programové obdobie</w:t>
            </w:r>
          </w:p>
        </w:tc>
        <w:tc>
          <w:tcPr>
            <w:tcW w:w="531" w:type="pct"/>
            <w:tcBorders>
              <w:top w:val="single" w:sz="4" w:space="0" w:color="auto"/>
              <w:left w:val="nil"/>
              <w:right w:val="nil"/>
            </w:tcBorders>
            <w:shd w:val="clear" w:color="000000" w:fill="FFFFFF"/>
            <w:noWrap/>
            <w:vAlign w:val="center"/>
          </w:tcPr>
          <w:p w14:paraId="63448B43" w14:textId="77777777" w:rsidR="004035FE" w:rsidRPr="004035FE" w:rsidRDefault="004035FE" w:rsidP="00B6745A">
            <w:pPr>
              <w:jc w:val="right"/>
              <w:rPr>
                <w:b/>
                <w:sz w:val="18"/>
                <w:szCs w:val="18"/>
              </w:rPr>
            </w:pPr>
            <w:r w:rsidRPr="004035FE">
              <w:rPr>
                <w:color w:val="000000"/>
                <w:sz w:val="18"/>
                <w:szCs w:val="18"/>
              </w:rPr>
              <w:t>0</w:t>
            </w:r>
          </w:p>
        </w:tc>
        <w:tc>
          <w:tcPr>
            <w:tcW w:w="531" w:type="pct"/>
            <w:tcBorders>
              <w:top w:val="single" w:sz="4" w:space="0" w:color="auto"/>
              <w:left w:val="nil"/>
              <w:right w:val="nil"/>
            </w:tcBorders>
            <w:shd w:val="clear" w:color="000000" w:fill="FFFFFF"/>
            <w:noWrap/>
            <w:vAlign w:val="center"/>
          </w:tcPr>
          <w:p w14:paraId="579F7024" w14:textId="77777777" w:rsidR="004035FE" w:rsidRPr="004035FE" w:rsidRDefault="004035FE" w:rsidP="00B6745A">
            <w:pPr>
              <w:jc w:val="right"/>
              <w:rPr>
                <w:b/>
                <w:sz w:val="18"/>
                <w:szCs w:val="18"/>
              </w:rPr>
            </w:pPr>
            <w:r w:rsidRPr="004035FE">
              <w:rPr>
                <w:color w:val="000000"/>
                <w:sz w:val="18"/>
                <w:szCs w:val="18"/>
              </w:rPr>
              <w:t>392</w:t>
            </w:r>
          </w:p>
        </w:tc>
        <w:tc>
          <w:tcPr>
            <w:tcW w:w="531" w:type="pct"/>
            <w:tcBorders>
              <w:top w:val="single" w:sz="4" w:space="0" w:color="auto"/>
              <w:left w:val="nil"/>
              <w:right w:val="nil"/>
            </w:tcBorders>
            <w:shd w:val="clear" w:color="000000" w:fill="FFFFFF"/>
            <w:noWrap/>
            <w:vAlign w:val="center"/>
          </w:tcPr>
          <w:p w14:paraId="1A9DF703" w14:textId="77777777" w:rsidR="004035FE" w:rsidRPr="004035FE" w:rsidRDefault="004035FE" w:rsidP="00B6745A">
            <w:pPr>
              <w:jc w:val="right"/>
              <w:rPr>
                <w:b/>
                <w:sz w:val="18"/>
                <w:szCs w:val="18"/>
              </w:rPr>
            </w:pPr>
            <w:r w:rsidRPr="004035FE">
              <w:rPr>
                <w:color w:val="000000"/>
                <w:sz w:val="18"/>
                <w:szCs w:val="18"/>
              </w:rPr>
              <w:t>3 766</w:t>
            </w:r>
          </w:p>
        </w:tc>
        <w:tc>
          <w:tcPr>
            <w:tcW w:w="531" w:type="pct"/>
            <w:tcBorders>
              <w:top w:val="single" w:sz="4" w:space="0" w:color="auto"/>
              <w:left w:val="nil"/>
              <w:right w:val="nil"/>
            </w:tcBorders>
            <w:shd w:val="clear" w:color="000000" w:fill="FFFFFF"/>
            <w:noWrap/>
            <w:vAlign w:val="center"/>
          </w:tcPr>
          <w:p w14:paraId="3919F114" w14:textId="77777777" w:rsidR="004035FE" w:rsidRPr="004035FE" w:rsidRDefault="004035FE" w:rsidP="00B6745A">
            <w:pPr>
              <w:jc w:val="right"/>
              <w:rPr>
                <w:b/>
                <w:sz w:val="18"/>
                <w:szCs w:val="18"/>
              </w:rPr>
            </w:pPr>
            <w:r w:rsidRPr="004035FE">
              <w:rPr>
                <w:color w:val="000000"/>
                <w:sz w:val="18"/>
                <w:szCs w:val="18"/>
              </w:rPr>
              <w:t>1 613</w:t>
            </w:r>
          </w:p>
        </w:tc>
        <w:tc>
          <w:tcPr>
            <w:tcW w:w="531" w:type="pct"/>
            <w:tcBorders>
              <w:top w:val="single" w:sz="4" w:space="0" w:color="auto"/>
              <w:left w:val="nil"/>
              <w:right w:val="nil"/>
            </w:tcBorders>
            <w:shd w:val="clear" w:color="000000" w:fill="FFFFFF"/>
            <w:noWrap/>
            <w:vAlign w:val="center"/>
          </w:tcPr>
          <w:p w14:paraId="33424E94" w14:textId="77777777" w:rsidR="004035FE" w:rsidRPr="004035FE" w:rsidRDefault="004035FE" w:rsidP="00B6745A">
            <w:pPr>
              <w:jc w:val="right"/>
              <w:rPr>
                <w:b/>
                <w:sz w:val="18"/>
                <w:szCs w:val="18"/>
              </w:rPr>
            </w:pPr>
            <w:r w:rsidRPr="004035FE">
              <w:rPr>
                <w:color w:val="000000"/>
                <w:sz w:val="18"/>
                <w:szCs w:val="18"/>
              </w:rPr>
              <w:t>-2 153</w:t>
            </w:r>
          </w:p>
        </w:tc>
        <w:tc>
          <w:tcPr>
            <w:tcW w:w="390" w:type="pct"/>
            <w:tcBorders>
              <w:top w:val="single" w:sz="4" w:space="0" w:color="auto"/>
              <w:left w:val="nil"/>
              <w:right w:val="nil"/>
            </w:tcBorders>
            <w:shd w:val="clear" w:color="000000" w:fill="FFFFFF"/>
            <w:noWrap/>
            <w:vAlign w:val="center"/>
          </w:tcPr>
          <w:p w14:paraId="11CD5418" w14:textId="77777777" w:rsidR="004035FE" w:rsidRPr="004035FE" w:rsidRDefault="004035FE" w:rsidP="00B6745A">
            <w:pPr>
              <w:jc w:val="right"/>
              <w:rPr>
                <w:b/>
                <w:sz w:val="18"/>
                <w:szCs w:val="18"/>
              </w:rPr>
            </w:pPr>
            <w:r w:rsidRPr="004035FE">
              <w:rPr>
                <w:color w:val="000000"/>
                <w:sz w:val="18"/>
                <w:szCs w:val="18"/>
              </w:rPr>
              <w:t>-57,2</w:t>
            </w:r>
          </w:p>
        </w:tc>
      </w:tr>
      <w:tr w:rsidR="004035FE" w:rsidRPr="004035FE" w14:paraId="41D7A0FC" w14:textId="77777777" w:rsidTr="004035FE">
        <w:trPr>
          <w:trHeight w:val="329"/>
        </w:trPr>
        <w:tc>
          <w:tcPr>
            <w:tcW w:w="1955" w:type="pct"/>
            <w:tcBorders>
              <w:bottom w:val="single" w:sz="4" w:space="0" w:color="auto"/>
            </w:tcBorders>
            <w:shd w:val="clear" w:color="000000" w:fill="FFFFFF"/>
            <w:vAlign w:val="center"/>
            <w:hideMark/>
          </w:tcPr>
          <w:p w14:paraId="16E4F276" w14:textId="77777777" w:rsidR="004035FE" w:rsidRPr="004035FE" w:rsidRDefault="004035FE" w:rsidP="00B6745A">
            <w:pPr>
              <w:rPr>
                <w:sz w:val="18"/>
                <w:szCs w:val="18"/>
              </w:rPr>
            </w:pPr>
            <w:r w:rsidRPr="004035FE">
              <w:rPr>
                <w:b/>
                <w:bCs/>
                <w:color w:val="000000"/>
                <w:sz w:val="18"/>
                <w:szCs w:val="18"/>
              </w:rPr>
              <w:t>Štrukturálne operácie - MV SR</w:t>
            </w:r>
          </w:p>
        </w:tc>
        <w:tc>
          <w:tcPr>
            <w:tcW w:w="531" w:type="pct"/>
            <w:tcBorders>
              <w:left w:val="nil"/>
              <w:bottom w:val="single" w:sz="4" w:space="0" w:color="auto"/>
              <w:right w:val="nil"/>
            </w:tcBorders>
            <w:shd w:val="clear" w:color="000000" w:fill="FFFFFF"/>
            <w:noWrap/>
            <w:vAlign w:val="center"/>
          </w:tcPr>
          <w:p w14:paraId="68365DE0" w14:textId="77777777" w:rsidR="004035FE" w:rsidRPr="004035FE" w:rsidRDefault="004035FE" w:rsidP="00B6745A">
            <w:pPr>
              <w:jc w:val="right"/>
              <w:rPr>
                <w:sz w:val="18"/>
                <w:szCs w:val="18"/>
              </w:rPr>
            </w:pPr>
            <w:r w:rsidRPr="004035FE">
              <w:rPr>
                <w:b/>
                <w:bCs/>
                <w:color w:val="000000"/>
                <w:sz w:val="18"/>
                <w:szCs w:val="18"/>
              </w:rPr>
              <w:t>0</w:t>
            </w:r>
          </w:p>
        </w:tc>
        <w:tc>
          <w:tcPr>
            <w:tcW w:w="531" w:type="pct"/>
            <w:tcBorders>
              <w:left w:val="nil"/>
              <w:bottom w:val="single" w:sz="4" w:space="0" w:color="auto"/>
              <w:right w:val="nil"/>
            </w:tcBorders>
            <w:shd w:val="clear" w:color="000000" w:fill="FFFFFF"/>
            <w:noWrap/>
            <w:vAlign w:val="center"/>
          </w:tcPr>
          <w:p w14:paraId="08BC3F62" w14:textId="77777777" w:rsidR="004035FE" w:rsidRPr="004035FE" w:rsidRDefault="004035FE" w:rsidP="00B6745A">
            <w:pPr>
              <w:jc w:val="right"/>
              <w:rPr>
                <w:sz w:val="18"/>
                <w:szCs w:val="18"/>
              </w:rPr>
            </w:pPr>
            <w:r w:rsidRPr="004035FE">
              <w:rPr>
                <w:b/>
                <w:bCs/>
                <w:color w:val="000000"/>
                <w:sz w:val="18"/>
                <w:szCs w:val="18"/>
              </w:rPr>
              <w:t>392</w:t>
            </w:r>
          </w:p>
        </w:tc>
        <w:tc>
          <w:tcPr>
            <w:tcW w:w="531" w:type="pct"/>
            <w:tcBorders>
              <w:left w:val="nil"/>
              <w:bottom w:val="single" w:sz="4" w:space="0" w:color="auto"/>
              <w:right w:val="nil"/>
            </w:tcBorders>
            <w:shd w:val="clear" w:color="000000" w:fill="FFFFFF"/>
            <w:noWrap/>
            <w:vAlign w:val="center"/>
          </w:tcPr>
          <w:p w14:paraId="38D84062" w14:textId="77777777" w:rsidR="004035FE" w:rsidRPr="004035FE" w:rsidRDefault="004035FE" w:rsidP="00B6745A">
            <w:pPr>
              <w:jc w:val="right"/>
              <w:rPr>
                <w:sz w:val="18"/>
                <w:szCs w:val="18"/>
              </w:rPr>
            </w:pPr>
            <w:r w:rsidRPr="004035FE">
              <w:rPr>
                <w:b/>
                <w:bCs/>
                <w:color w:val="000000"/>
                <w:sz w:val="18"/>
                <w:szCs w:val="18"/>
              </w:rPr>
              <w:t>3 766</w:t>
            </w:r>
          </w:p>
        </w:tc>
        <w:tc>
          <w:tcPr>
            <w:tcW w:w="531" w:type="pct"/>
            <w:tcBorders>
              <w:left w:val="nil"/>
              <w:bottom w:val="single" w:sz="4" w:space="0" w:color="auto"/>
              <w:right w:val="nil"/>
            </w:tcBorders>
            <w:shd w:val="clear" w:color="000000" w:fill="FFFFFF"/>
            <w:noWrap/>
            <w:vAlign w:val="center"/>
          </w:tcPr>
          <w:p w14:paraId="5B2AC8C4" w14:textId="77777777" w:rsidR="004035FE" w:rsidRPr="004035FE" w:rsidRDefault="004035FE" w:rsidP="00B6745A">
            <w:pPr>
              <w:jc w:val="right"/>
              <w:rPr>
                <w:sz w:val="18"/>
                <w:szCs w:val="18"/>
              </w:rPr>
            </w:pPr>
            <w:r w:rsidRPr="004035FE">
              <w:rPr>
                <w:b/>
                <w:bCs/>
                <w:color w:val="000000"/>
                <w:sz w:val="18"/>
                <w:szCs w:val="18"/>
              </w:rPr>
              <w:t>1 613</w:t>
            </w:r>
          </w:p>
        </w:tc>
        <w:tc>
          <w:tcPr>
            <w:tcW w:w="531" w:type="pct"/>
            <w:tcBorders>
              <w:left w:val="nil"/>
              <w:bottom w:val="single" w:sz="4" w:space="0" w:color="auto"/>
              <w:right w:val="nil"/>
            </w:tcBorders>
            <w:shd w:val="clear" w:color="000000" w:fill="FFFFFF"/>
            <w:noWrap/>
            <w:vAlign w:val="center"/>
          </w:tcPr>
          <w:p w14:paraId="1364E6E4" w14:textId="77777777" w:rsidR="004035FE" w:rsidRPr="004035FE" w:rsidRDefault="004035FE" w:rsidP="00B6745A">
            <w:pPr>
              <w:jc w:val="right"/>
              <w:rPr>
                <w:sz w:val="18"/>
                <w:szCs w:val="18"/>
              </w:rPr>
            </w:pPr>
            <w:r w:rsidRPr="004035FE">
              <w:rPr>
                <w:b/>
                <w:bCs/>
                <w:color w:val="000000"/>
                <w:sz w:val="18"/>
                <w:szCs w:val="18"/>
              </w:rPr>
              <w:t>-2 153</w:t>
            </w:r>
          </w:p>
        </w:tc>
        <w:tc>
          <w:tcPr>
            <w:tcW w:w="390" w:type="pct"/>
            <w:tcBorders>
              <w:left w:val="nil"/>
              <w:bottom w:val="single" w:sz="4" w:space="0" w:color="auto"/>
              <w:right w:val="nil"/>
            </w:tcBorders>
            <w:shd w:val="clear" w:color="000000" w:fill="FFFFFF"/>
            <w:noWrap/>
            <w:vAlign w:val="center"/>
          </w:tcPr>
          <w:p w14:paraId="20FA6A95" w14:textId="77777777" w:rsidR="004035FE" w:rsidRPr="004035FE" w:rsidRDefault="004035FE" w:rsidP="00B6745A">
            <w:pPr>
              <w:jc w:val="right"/>
              <w:rPr>
                <w:sz w:val="18"/>
                <w:szCs w:val="18"/>
              </w:rPr>
            </w:pPr>
            <w:r w:rsidRPr="004035FE">
              <w:rPr>
                <w:b/>
                <w:bCs/>
                <w:color w:val="000000"/>
                <w:sz w:val="18"/>
                <w:szCs w:val="18"/>
              </w:rPr>
              <w:t>-57,2</w:t>
            </w:r>
          </w:p>
        </w:tc>
      </w:tr>
      <w:tr w:rsidR="004035FE" w:rsidRPr="004035FE" w14:paraId="7FCE27D3" w14:textId="77777777" w:rsidTr="004035FE">
        <w:trPr>
          <w:trHeight w:val="329"/>
        </w:trPr>
        <w:tc>
          <w:tcPr>
            <w:tcW w:w="1955" w:type="pct"/>
            <w:tcBorders>
              <w:top w:val="single" w:sz="4" w:space="0" w:color="auto"/>
              <w:bottom w:val="single" w:sz="4" w:space="0" w:color="auto"/>
            </w:tcBorders>
            <w:shd w:val="clear" w:color="000000" w:fill="FFFFFF"/>
            <w:vAlign w:val="center"/>
            <w:hideMark/>
          </w:tcPr>
          <w:p w14:paraId="0847A8A2" w14:textId="77777777" w:rsidR="004035FE" w:rsidRPr="004035FE" w:rsidRDefault="004035FE" w:rsidP="00B6745A">
            <w:pPr>
              <w:rPr>
                <w:b/>
                <w:sz w:val="18"/>
                <w:szCs w:val="18"/>
              </w:rPr>
            </w:pPr>
            <w:r w:rsidRPr="004035FE">
              <w:rPr>
                <w:b/>
                <w:bCs/>
                <w:color w:val="000000"/>
                <w:sz w:val="18"/>
                <w:szCs w:val="18"/>
              </w:rPr>
              <w:t xml:space="preserve">Spolu výdavky na spolufinancovanie zo ŠR </w:t>
            </w:r>
            <w:r w:rsidRPr="004035FE">
              <w:rPr>
                <w:b/>
                <w:bCs/>
                <w:color w:val="000000"/>
                <w:sz w:val="18"/>
                <w:szCs w:val="18"/>
              </w:rPr>
              <w:br/>
              <w:t>k prostriedkom EÚ</w:t>
            </w:r>
          </w:p>
        </w:tc>
        <w:tc>
          <w:tcPr>
            <w:tcW w:w="531" w:type="pct"/>
            <w:tcBorders>
              <w:top w:val="single" w:sz="4" w:space="0" w:color="auto"/>
              <w:left w:val="nil"/>
              <w:bottom w:val="single" w:sz="4" w:space="0" w:color="auto"/>
              <w:right w:val="nil"/>
            </w:tcBorders>
            <w:shd w:val="clear" w:color="000000" w:fill="FFFFFF"/>
            <w:noWrap/>
            <w:vAlign w:val="center"/>
          </w:tcPr>
          <w:p w14:paraId="401D1476" w14:textId="77777777" w:rsidR="004035FE" w:rsidRPr="004035FE" w:rsidRDefault="004035FE" w:rsidP="00B6745A">
            <w:pPr>
              <w:jc w:val="right"/>
              <w:rPr>
                <w:b/>
                <w:sz w:val="18"/>
                <w:szCs w:val="18"/>
              </w:rPr>
            </w:pPr>
            <w:r w:rsidRPr="004035FE">
              <w:rPr>
                <w:b/>
                <w:bCs/>
                <w:color w:val="000000"/>
                <w:sz w:val="18"/>
                <w:szCs w:val="18"/>
              </w:rPr>
              <w:t>724 210</w:t>
            </w:r>
          </w:p>
        </w:tc>
        <w:tc>
          <w:tcPr>
            <w:tcW w:w="531" w:type="pct"/>
            <w:tcBorders>
              <w:top w:val="single" w:sz="4" w:space="0" w:color="auto"/>
              <w:left w:val="nil"/>
              <w:bottom w:val="single" w:sz="4" w:space="0" w:color="auto"/>
              <w:right w:val="nil"/>
            </w:tcBorders>
            <w:shd w:val="clear" w:color="000000" w:fill="FFFFFF"/>
            <w:noWrap/>
            <w:vAlign w:val="center"/>
          </w:tcPr>
          <w:p w14:paraId="36A6C2E4" w14:textId="77777777" w:rsidR="004035FE" w:rsidRPr="004035FE" w:rsidRDefault="004035FE" w:rsidP="00B6745A">
            <w:pPr>
              <w:jc w:val="right"/>
              <w:rPr>
                <w:b/>
                <w:sz w:val="18"/>
                <w:szCs w:val="18"/>
              </w:rPr>
            </w:pPr>
            <w:r w:rsidRPr="004035FE">
              <w:rPr>
                <w:b/>
                <w:bCs/>
                <w:color w:val="000000"/>
                <w:sz w:val="18"/>
                <w:szCs w:val="18"/>
              </w:rPr>
              <w:t>523 083</w:t>
            </w:r>
          </w:p>
        </w:tc>
        <w:tc>
          <w:tcPr>
            <w:tcW w:w="531" w:type="pct"/>
            <w:tcBorders>
              <w:top w:val="single" w:sz="4" w:space="0" w:color="auto"/>
              <w:left w:val="nil"/>
              <w:bottom w:val="single" w:sz="4" w:space="0" w:color="auto"/>
              <w:right w:val="nil"/>
            </w:tcBorders>
            <w:shd w:val="clear" w:color="000000" w:fill="FFFFFF"/>
            <w:noWrap/>
            <w:vAlign w:val="center"/>
          </w:tcPr>
          <w:p w14:paraId="368F7E5E" w14:textId="77777777" w:rsidR="004035FE" w:rsidRPr="004035FE" w:rsidRDefault="004035FE" w:rsidP="00B6745A">
            <w:pPr>
              <w:jc w:val="right"/>
              <w:rPr>
                <w:b/>
                <w:sz w:val="18"/>
                <w:szCs w:val="18"/>
              </w:rPr>
            </w:pPr>
            <w:r w:rsidRPr="004035FE">
              <w:rPr>
                <w:b/>
                <w:bCs/>
                <w:color w:val="000000"/>
                <w:sz w:val="18"/>
                <w:szCs w:val="18"/>
              </w:rPr>
              <w:t>447 849</w:t>
            </w:r>
          </w:p>
        </w:tc>
        <w:tc>
          <w:tcPr>
            <w:tcW w:w="531" w:type="pct"/>
            <w:tcBorders>
              <w:top w:val="single" w:sz="4" w:space="0" w:color="auto"/>
              <w:left w:val="nil"/>
              <w:bottom w:val="single" w:sz="4" w:space="0" w:color="auto"/>
              <w:right w:val="nil"/>
            </w:tcBorders>
            <w:shd w:val="clear" w:color="000000" w:fill="FFFFFF"/>
            <w:noWrap/>
            <w:vAlign w:val="center"/>
          </w:tcPr>
          <w:p w14:paraId="39EFB850" w14:textId="77777777" w:rsidR="004035FE" w:rsidRPr="004035FE" w:rsidRDefault="004035FE" w:rsidP="00B6745A">
            <w:pPr>
              <w:jc w:val="right"/>
              <w:rPr>
                <w:b/>
                <w:sz w:val="18"/>
                <w:szCs w:val="18"/>
              </w:rPr>
            </w:pPr>
            <w:r w:rsidRPr="004035FE">
              <w:rPr>
                <w:b/>
                <w:bCs/>
                <w:color w:val="000000"/>
                <w:sz w:val="18"/>
                <w:szCs w:val="18"/>
              </w:rPr>
              <w:t>563 940</w:t>
            </w:r>
          </w:p>
        </w:tc>
        <w:tc>
          <w:tcPr>
            <w:tcW w:w="531" w:type="pct"/>
            <w:tcBorders>
              <w:top w:val="single" w:sz="4" w:space="0" w:color="auto"/>
              <w:left w:val="nil"/>
              <w:bottom w:val="single" w:sz="4" w:space="0" w:color="auto"/>
              <w:right w:val="nil"/>
            </w:tcBorders>
            <w:shd w:val="clear" w:color="000000" w:fill="FFFFFF"/>
            <w:noWrap/>
            <w:vAlign w:val="center"/>
          </w:tcPr>
          <w:p w14:paraId="3C7E9893" w14:textId="77777777" w:rsidR="004035FE" w:rsidRPr="004035FE" w:rsidRDefault="004035FE" w:rsidP="00B6745A">
            <w:pPr>
              <w:jc w:val="right"/>
              <w:rPr>
                <w:b/>
                <w:sz w:val="18"/>
                <w:szCs w:val="18"/>
              </w:rPr>
            </w:pPr>
            <w:r w:rsidRPr="004035FE">
              <w:rPr>
                <w:b/>
                <w:bCs/>
                <w:color w:val="000000"/>
                <w:sz w:val="18"/>
                <w:szCs w:val="18"/>
              </w:rPr>
              <w:t>116 091</w:t>
            </w:r>
          </w:p>
        </w:tc>
        <w:tc>
          <w:tcPr>
            <w:tcW w:w="390" w:type="pct"/>
            <w:tcBorders>
              <w:top w:val="single" w:sz="4" w:space="0" w:color="auto"/>
              <w:left w:val="nil"/>
              <w:bottom w:val="single" w:sz="4" w:space="0" w:color="auto"/>
              <w:right w:val="nil"/>
            </w:tcBorders>
            <w:shd w:val="clear" w:color="000000" w:fill="FFFFFF"/>
            <w:noWrap/>
            <w:vAlign w:val="center"/>
          </w:tcPr>
          <w:p w14:paraId="5FB00C21" w14:textId="77777777" w:rsidR="004035FE" w:rsidRPr="004035FE" w:rsidRDefault="004035FE" w:rsidP="00B6745A">
            <w:pPr>
              <w:jc w:val="right"/>
              <w:rPr>
                <w:b/>
                <w:sz w:val="18"/>
                <w:szCs w:val="18"/>
              </w:rPr>
            </w:pPr>
            <w:r w:rsidRPr="004035FE">
              <w:rPr>
                <w:b/>
                <w:bCs/>
                <w:color w:val="000000"/>
                <w:sz w:val="18"/>
                <w:szCs w:val="18"/>
              </w:rPr>
              <w:t>25,9</w:t>
            </w:r>
          </w:p>
        </w:tc>
      </w:tr>
      <w:tr w:rsidR="004035FE" w:rsidRPr="004035FE" w14:paraId="3B2A3C87" w14:textId="77777777" w:rsidTr="004035FE">
        <w:trPr>
          <w:trHeight w:val="329"/>
        </w:trPr>
        <w:tc>
          <w:tcPr>
            <w:tcW w:w="1955" w:type="pct"/>
            <w:tcBorders>
              <w:top w:val="single" w:sz="4" w:space="0" w:color="auto"/>
              <w:bottom w:val="single" w:sz="4" w:space="0" w:color="auto"/>
            </w:tcBorders>
            <w:shd w:val="clear" w:color="000000" w:fill="FFFFFF"/>
            <w:vAlign w:val="center"/>
          </w:tcPr>
          <w:p w14:paraId="22DAC1B1" w14:textId="77777777" w:rsidR="004035FE" w:rsidRPr="004035FE" w:rsidRDefault="004035FE" w:rsidP="00B6745A">
            <w:pPr>
              <w:rPr>
                <w:sz w:val="18"/>
                <w:szCs w:val="18"/>
              </w:rPr>
            </w:pPr>
            <w:r w:rsidRPr="004035FE">
              <w:rPr>
                <w:color w:val="000000"/>
                <w:sz w:val="18"/>
                <w:szCs w:val="18"/>
              </w:rPr>
              <w:t xml:space="preserve">Výdavky na spolufinancovanie zo ŠR </w:t>
            </w:r>
            <w:r w:rsidRPr="004035FE">
              <w:rPr>
                <w:color w:val="000000"/>
                <w:sz w:val="18"/>
                <w:szCs w:val="18"/>
              </w:rPr>
              <w:br/>
              <w:t>k zahraničným grantom poskytnutým z EÚ</w:t>
            </w:r>
          </w:p>
        </w:tc>
        <w:tc>
          <w:tcPr>
            <w:tcW w:w="531" w:type="pct"/>
            <w:tcBorders>
              <w:top w:val="single" w:sz="4" w:space="0" w:color="auto"/>
              <w:left w:val="nil"/>
              <w:bottom w:val="single" w:sz="4" w:space="0" w:color="auto"/>
              <w:right w:val="nil"/>
            </w:tcBorders>
            <w:shd w:val="clear" w:color="000000" w:fill="FFFFFF"/>
            <w:noWrap/>
            <w:vAlign w:val="center"/>
          </w:tcPr>
          <w:p w14:paraId="3D45567A" w14:textId="77777777" w:rsidR="004035FE" w:rsidRPr="004035FE" w:rsidRDefault="004035FE" w:rsidP="00B6745A">
            <w:pPr>
              <w:jc w:val="right"/>
              <w:rPr>
                <w:sz w:val="18"/>
                <w:szCs w:val="18"/>
              </w:rPr>
            </w:pPr>
            <w:r w:rsidRPr="004035FE">
              <w:rPr>
                <w:color w:val="000000"/>
                <w:sz w:val="18"/>
                <w:szCs w:val="18"/>
              </w:rPr>
              <w:t>5 677</w:t>
            </w:r>
          </w:p>
        </w:tc>
        <w:tc>
          <w:tcPr>
            <w:tcW w:w="531" w:type="pct"/>
            <w:tcBorders>
              <w:top w:val="single" w:sz="4" w:space="0" w:color="auto"/>
              <w:left w:val="nil"/>
              <w:bottom w:val="single" w:sz="4" w:space="0" w:color="auto"/>
              <w:right w:val="nil"/>
            </w:tcBorders>
            <w:shd w:val="clear" w:color="000000" w:fill="FFFFFF"/>
            <w:noWrap/>
            <w:vAlign w:val="center"/>
          </w:tcPr>
          <w:p w14:paraId="2813627C" w14:textId="77777777" w:rsidR="004035FE" w:rsidRPr="004035FE" w:rsidRDefault="004035FE" w:rsidP="00B6745A">
            <w:pPr>
              <w:jc w:val="right"/>
              <w:rPr>
                <w:sz w:val="18"/>
                <w:szCs w:val="18"/>
              </w:rPr>
            </w:pPr>
            <w:r w:rsidRPr="004035FE">
              <w:rPr>
                <w:color w:val="000000"/>
                <w:sz w:val="18"/>
                <w:szCs w:val="18"/>
              </w:rPr>
              <w:t>9 039</w:t>
            </w:r>
          </w:p>
        </w:tc>
        <w:tc>
          <w:tcPr>
            <w:tcW w:w="531" w:type="pct"/>
            <w:tcBorders>
              <w:top w:val="single" w:sz="4" w:space="0" w:color="auto"/>
              <w:left w:val="nil"/>
              <w:bottom w:val="single" w:sz="4" w:space="0" w:color="auto"/>
              <w:right w:val="nil"/>
            </w:tcBorders>
            <w:shd w:val="clear" w:color="000000" w:fill="FFFFFF"/>
            <w:noWrap/>
            <w:vAlign w:val="center"/>
          </w:tcPr>
          <w:p w14:paraId="0AB5F290" w14:textId="77777777" w:rsidR="004035FE" w:rsidRPr="004035FE" w:rsidRDefault="004035FE" w:rsidP="00B6745A">
            <w:pPr>
              <w:jc w:val="right"/>
              <w:rPr>
                <w:sz w:val="18"/>
                <w:szCs w:val="18"/>
              </w:rPr>
            </w:pPr>
            <w:r w:rsidRPr="004035FE">
              <w:rPr>
                <w:color w:val="000000"/>
                <w:sz w:val="18"/>
                <w:szCs w:val="18"/>
              </w:rPr>
              <w:t>3 565</w:t>
            </w:r>
          </w:p>
        </w:tc>
        <w:tc>
          <w:tcPr>
            <w:tcW w:w="531" w:type="pct"/>
            <w:tcBorders>
              <w:top w:val="single" w:sz="4" w:space="0" w:color="auto"/>
              <w:left w:val="nil"/>
              <w:bottom w:val="single" w:sz="4" w:space="0" w:color="auto"/>
              <w:right w:val="nil"/>
            </w:tcBorders>
            <w:noWrap/>
            <w:vAlign w:val="center"/>
          </w:tcPr>
          <w:p w14:paraId="012724AE" w14:textId="77777777" w:rsidR="004035FE" w:rsidRPr="004035FE" w:rsidRDefault="004035FE" w:rsidP="00B6745A">
            <w:pPr>
              <w:jc w:val="right"/>
              <w:rPr>
                <w:sz w:val="18"/>
                <w:szCs w:val="18"/>
              </w:rPr>
            </w:pPr>
            <w:r w:rsidRPr="004035FE">
              <w:rPr>
                <w:color w:val="000000"/>
                <w:sz w:val="18"/>
                <w:szCs w:val="18"/>
              </w:rPr>
              <w:t>4 412</w:t>
            </w:r>
          </w:p>
        </w:tc>
        <w:tc>
          <w:tcPr>
            <w:tcW w:w="531" w:type="pct"/>
            <w:tcBorders>
              <w:top w:val="single" w:sz="4" w:space="0" w:color="auto"/>
              <w:left w:val="nil"/>
              <w:bottom w:val="single" w:sz="4" w:space="0" w:color="auto"/>
              <w:right w:val="nil"/>
            </w:tcBorders>
            <w:shd w:val="clear" w:color="000000" w:fill="FFFFFF"/>
            <w:noWrap/>
            <w:vAlign w:val="center"/>
          </w:tcPr>
          <w:p w14:paraId="55B6DAB0" w14:textId="77777777" w:rsidR="004035FE" w:rsidRPr="004035FE" w:rsidRDefault="004035FE" w:rsidP="00B6745A">
            <w:pPr>
              <w:jc w:val="right"/>
              <w:rPr>
                <w:sz w:val="18"/>
                <w:szCs w:val="18"/>
              </w:rPr>
            </w:pPr>
            <w:r w:rsidRPr="004035FE">
              <w:rPr>
                <w:color w:val="000000"/>
                <w:sz w:val="18"/>
                <w:szCs w:val="18"/>
              </w:rPr>
              <w:t>847</w:t>
            </w:r>
          </w:p>
        </w:tc>
        <w:tc>
          <w:tcPr>
            <w:tcW w:w="390" w:type="pct"/>
            <w:tcBorders>
              <w:top w:val="single" w:sz="4" w:space="0" w:color="auto"/>
              <w:left w:val="nil"/>
              <w:bottom w:val="single" w:sz="4" w:space="0" w:color="auto"/>
              <w:right w:val="nil"/>
            </w:tcBorders>
            <w:shd w:val="clear" w:color="000000" w:fill="FFFFFF"/>
            <w:noWrap/>
            <w:vAlign w:val="center"/>
          </w:tcPr>
          <w:p w14:paraId="62F0639C" w14:textId="77777777" w:rsidR="004035FE" w:rsidRPr="004035FE" w:rsidRDefault="004035FE" w:rsidP="00B6745A">
            <w:pPr>
              <w:jc w:val="right"/>
              <w:rPr>
                <w:sz w:val="18"/>
                <w:szCs w:val="18"/>
              </w:rPr>
            </w:pPr>
            <w:r w:rsidRPr="004035FE">
              <w:rPr>
                <w:color w:val="000000"/>
                <w:sz w:val="18"/>
                <w:szCs w:val="18"/>
              </w:rPr>
              <w:t>23,8</w:t>
            </w:r>
          </w:p>
        </w:tc>
      </w:tr>
      <w:tr w:rsidR="004035FE" w:rsidRPr="004035FE" w14:paraId="3C83CDFC" w14:textId="77777777" w:rsidTr="004035FE">
        <w:trPr>
          <w:trHeight w:val="329"/>
        </w:trPr>
        <w:tc>
          <w:tcPr>
            <w:tcW w:w="1955" w:type="pct"/>
            <w:tcBorders>
              <w:top w:val="single" w:sz="4" w:space="0" w:color="auto"/>
              <w:bottom w:val="single" w:sz="4" w:space="0" w:color="auto"/>
            </w:tcBorders>
            <w:shd w:val="clear" w:color="000000" w:fill="FFFFFF"/>
            <w:vAlign w:val="center"/>
          </w:tcPr>
          <w:p w14:paraId="5E60CD40" w14:textId="77777777" w:rsidR="004035FE" w:rsidRPr="004035FE" w:rsidRDefault="004035FE" w:rsidP="00B6745A">
            <w:pPr>
              <w:rPr>
                <w:b/>
                <w:sz w:val="18"/>
                <w:szCs w:val="18"/>
              </w:rPr>
            </w:pPr>
            <w:r w:rsidRPr="004035FE">
              <w:rPr>
                <w:color w:val="000000"/>
                <w:sz w:val="18"/>
                <w:szCs w:val="18"/>
              </w:rPr>
              <w:t xml:space="preserve">Výdavky na spolufinancovanie zo ŠR </w:t>
            </w:r>
            <w:r w:rsidRPr="004035FE">
              <w:rPr>
                <w:color w:val="000000"/>
                <w:sz w:val="18"/>
                <w:szCs w:val="18"/>
              </w:rPr>
              <w:br/>
              <w:t>k zahraničným grantom poskytnutým na základe medzinárodných zmlúv</w:t>
            </w:r>
          </w:p>
        </w:tc>
        <w:tc>
          <w:tcPr>
            <w:tcW w:w="531" w:type="pct"/>
            <w:tcBorders>
              <w:top w:val="single" w:sz="4" w:space="0" w:color="auto"/>
              <w:left w:val="nil"/>
              <w:bottom w:val="single" w:sz="4" w:space="0" w:color="auto"/>
              <w:right w:val="nil"/>
            </w:tcBorders>
            <w:shd w:val="clear" w:color="000000" w:fill="FFFFFF"/>
            <w:noWrap/>
            <w:vAlign w:val="center"/>
          </w:tcPr>
          <w:p w14:paraId="42AEF1A8" w14:textId="77777777" w:rsidR="004035FE" w:rsidRPr="004035FE" w:rsidRDefault="004035FE" w:rsidP="00B6745A">
            <w:pPr>
              <w:jc w:val="right"/>
              <w:rPr>
                <w:b/>
                <w:sz w:val="18"/>
                <w:szCs w:val="18"/>
              </w:rPr>
            </w:pPr>
            <w:r w:rsidRPr="004035FE">
              <w:rPr>
                <w:color w:val="000000"/>
                <w:sz w:val="18"/>
                <w:szCs w:val="18"/>
              </w:rPr>
              <w:t>1 377</w:t>
            </w:r>
          </w:p>
        </w:tc>
        <w:tc>
          <w:tcPr>
            <w:tcW w:w="531" w:type="pct"/>
            <w:tcBorders>
              <w:top w:val="single" w:sz="4" w:space="0" w:color="auto"/>
              <w:left w:val="nil"/>
              <w:bottom w:val="single" w:sz="4" w:space="0" w:color="auto"/>
              <w:right w:val="nil"/>
            </w:tcBorders>
            <w:shd w:val="clear" w:color="000000" w:fill="FFFFFF"/>
            <w:noWrap/>
            <w:vAlign w:val="center"/>
          </w:tcPr>
          <w:p w14:paraId="4C7998F7" w14:textId="77777777" w:rsidR="004035FE" w:rsidRPr="004035FE" w:rsidRDefault="004035FE" w:rsidP="00B6745A">
            <w:pPr>
              <w:jc w:val="right"/>
              <w:rPr>
                <w:b/>
                <w:sz w:val="18"/>
                <w:szCs w:val="18"/>
              </w:rPr>
            </w:pPr>
            <w:r w:rsidRPr="004035FE">
              <w:rPr>
                <w:color w:val="000000"/>
                <w:sz w:val="18"/>
                <w:szCs w:val="18"/>
              </w:rPr>
              <w:t>6 442</w:t>
            </w:r>
          </w:p>
        </w:tc>
        <w:tc>
          <w:tcPr>
            <w:tcW w:w="531" w:type="pct"/>
            <w:tcBorders>
              <w:top w:val="single" w:sz="4" w:space="0" w:color="auto"/>
              <w:left w:val="nil"/>
              <w:bottom w:val="single" w:sz="4" w:space="0" w:color="auto"/>
              <w:right w:val="nil"/>
            </w:tcBorders>
            <w:shd w:val="clear" w:color="000000" w:fill="FFFFFF"/>
            <w:noWrap/>
            <w:vAlign w:val="center"/>
          </w:tcPr>
          <w:p w14:paraId="6FEE1AE3" w14:textId="77777777" w:rsidR="004035FE" w:rsidRPr="004035FE" w:rsidRDefault="004035FE" w:rsidP="00B6745A">
            <w:pPr>
              <w:jc w:val="right"/>
              <w:rPr>
                <w:b/>
                <w:sz w:val="18"/>
                <w:szCs w:val="18"/>
              </w:rPr>
            </w:pPr>
            <w:r w:rsidRPr="004035FE">
              <w:rPr>
                <w:color w:val="000000"/>
                <w:sz w:val="18"/>
                <w:szCs w:val="18"/>
              </w:rPr>
              <w:t>5 485</w:t>
            </w:r>
          </w:p>
        </w:tc>
        <w:tc>
          <w:tcPr>
            <w:tcW w:w="531" w:type="pct"/>
            <w:tcBorders>
              <w:top w:val="single" w:sz="4" w:space="0" w:color="auto"/>
              <w:left w:val="nil"/>
              <w:bottom w:val="single" w:sz="4" w:space="0" w:color="auto"/>
              <w:right w:val="nil"/>
            </w:tcBorders>
            <w:shd w:val="clear" w:color="000000" w:fill="FFFFFF"/>
            <w:noWrap/>
            <w:vAlign w:val="center"/>
          </w:tcPr>
          <w:p w14:paraId="1C8A6A88" w14:textId="77777777" w:rsidR="004035FE" w:rsidRPr="004035FE" w:rsidRDefault="004035FE" w:rsidP="00B6745A">
            <w:pPr>
              <w:jc w:val="right"/>
              <w:rPr>
                <w:b/>
                <w:sz w:val="18"/>
                <w:szCs w:val="18"/>
              </w:rPr>
            </w:pPr>
            <w:r w:rsidRPr="004035FE">
              <w:rPr>
                <w:color w:val="000000"/>
                <w:sz w:val="18"/>
                <w:szCs w:val="18"/>
              </w:rPr>
              <w:t>5 485</w:t>
            </w:r>
          </w:p>
        </w:tc>
        <w:tc>
          <w:tcPr>
            <w:tcW w:w="531" w:type="pct"/>
            <w:tcBorders>
              <w:top w:val="single" w:sz="4" w:space="0" w:color="auto"/>
              <w:left w:val="nil"/>
              <w:bottom w:val="single" w:sz="4" w:space="0" w:color="auto"/>
              <w:right w:val="nil"/>
            </w:tcBorders>
            <w:shd w:val="clear" w:color="000000" w:fill="FFFFFF"/>
            <w:noWrap/>
            <w:vAlign w:val="center"/>
          </w:tcPr>
          <w:p w14:paraId="0525A4D3" w14:textId="77777777" w:rsidR="004035FE" w:rsidRPr="004035FE" w:rsidRDefault="004035FE" w:rsidP="00B6745A">
            <w:pPr>
              <w:jc w:val="right"/>
              <w:rPr>
                <w:b/>
                <w:sz w:val="18"/>
                <w:szCs w:val="18"/>
              </w:rPr>
            </w:pPr>
            <w:r w:rsidRPr="004035FE">
              <w:rPr>
                <w:color w:val="000000"/>
                <w:sz w:val="18"/>
                <w:szCs w:val="18"/>
              </w:rPr>
              <w:t>0</w:t>
            </w:r>
          </w:p>
        </w:tc>
        <w:tc>
          <w:tcPr>
            <w:tcW w:w="390" w:type="pct"/>
            <w:tcBorders>
              <w:top w:val="single" w:sz="4" w:space="0" w:color="auto"/>
              <w:left w:val="nil"/>
              <w:bottom w:val="single" w:sz="4" w:space="0" w:color="auto"/>
              <w:right w:val="nil"/>
            </w:tcBorders>
            <w:shd w:val="clear" w:color="000000" w:fill="FFFFFF"/>
            <w:noWrap/>
            <w:vAlign w:val="center"/>
          </w:tcPr>
          <w:p w14:paraId="1030D5B9" w14:textId="77777777" w:rsidR="004035FE" w:rsidRPr="004035FE" w:rsidRDefault="004035FE" w:rsidP="00B6745A">
            <w:pPr>
              <w:jc w:val="right"/>
              <w:rPr>
                <w:b/>
                <w:sz w:val="18"/>
                <w:szCs w:val="18"/>
              </w:rPr>
            </w:pPr>
            <w:r w:rsidRPr="004035FE">
              <w:rPr>
                <w:color w:val="000000"/>
                <w:sz w:val="18"/>
                <w:szCs w:val="18"/>
              </w:rPr>
              <w:t>0,0</w:t>
            </w:r>
          </w:p>
        </w:tc>
      </w:tr>
      <w:tr w:rsidR="004035FE" w:rsidRPr="004035FE" w14:paraId="46C55EAD" w14:textId="77777777" w:rsidTr="004035FE">
        <w:trPr>
          <w:trHeight w:val="329"/>
        </w:trPr>
        <w:tc>
          <w:tcPr>
            <w:tcW w:w="1955" w:type="pct"/>
            <w:tcBorders>
              <w:top w:val="single" w:sz="4" w:space="0" w:color="auto"/>
              <w:bottom w:val="single" w:sz="4" w:space="0" w:color="auto"/>
            </w:tcBorders>
            <w:shd w:val="clear" w:color="000000" w:fill="FFFFFF"/>
            <w:vAlign w:val="center"/>
          </w:tcPr>
          <w:p w14:paraId="278203BB" w14:textId="77777777" w:rsidR="004035FE" w:rsidRPr="004035FE" w:rsidRDefault="004035FE" w:rsidP="00B6745A">
            <w:pPr>
              <w:rPr>
                <w:b/>
                <w:sz w:val="18"/>
                <w:szCs w:val="18"/>
              </w:rPr>
            </w:pPr>
            <w:r w:rsidRPr="004035FE">
              <w:rPr>
                <w:b/>
                <w:bCs/>
                <w:color w:val="000000"/>
                <w:sz w:val="18"/>
                <w:szCs w:val="18"/>
              </w:rPr>
              <w:t>Výdavky na spolufinancovanie zo ŠR</w:t>
            </w:r>
          </w:p>
        </w:tc>
        <w:tc>
          <w:tcPr>
            <w:tcW w:w="531" w:type="pct"/>
            <w:tcBorders>
              <w:top w:val="single" w:sz="4" w:space="0" w:color="auto"/>
              <w:left w:val="nil"/>
              <w:bottom w:val="single" w:sz="4" w:space="0" w:color="auto"/>
              <w:right w:val="nil"/>
            </w:tcBorders>
            <w:shd w:val="clear" w:color="000000" w:fill="FFFFFF"/>
            <w:noWrap/>
            <w:vAlign w:val="center"/>
          </w:tcPr>
          <w:p w14:paraId="41D5E5D7" w14:textId="77777777" w:rsidR="004035FE" w:rsidRPr="004035FE" w:rsidRDefault="004035FE" w:rsidP="00B6745A">
            <w:pPr>
              <w:jc w:val="right"/>
              <w:rPr>
                <w:b/>
                <w:bCs/>
                <w:color w:val="000000"/>
                <w:sz w:val="18"/>
                <w:szCs w:val="18"/>
              </w:rPr>
            </w:pPr>
            <w:r w:rsidRPr="004035FE">
              <w:rPr>
                <w:b/>
                <w:bCs/>
                <w:color w:val="000000"/>
                <w:sz w:val="18"/>
                <w:szCs w:val="18"/>
              </w:rPr>
              <w:t>731 264</w:t>
            </w:r>
          </w:p>
        </w:tc>
        <w:tc>
          <w:tcPr>
            <w:tcW w:w="531" w:type="pct"/>
            <w:tcBorders>
              <w:top w:val="single" w:sz="4" w:space="0" w:color="auto"/>
              <w:left w:val="nil"/>
              <w:bottom w:val="single" w:sz="4" w:space="0" w:color="auto"/>
              <w:right w:val="nil"/>
            </w:tcBorders>
            <w:shd w:val="clear" w:color="000000" w:fill="FFFFFF"/>
            <w:noWrap/>
            <w:vAlign w:val="center"/>
          </w:tcPr>
          <w:p w14:paraId="45DF38D4" w14:textId="77777777" w:rsidR="004035FE" w:rsidRPr="004035FE" w:rsidRDefault="004035FE" w:rsidP="00B6745A">
            <w:pPr>
              <w:jc w:val="right"/>
              <w:rPr>
                <w:b/>
                <w:bCs/>
                <w:color w:val="000000"/>
                <w:sz w:val="18"/>
                <w:szCs w:val="18"/>
              </w:rPr>
            </w:pPr>
            <w:r w:rsidRPr="004035FE">
              <w:rPr>
                <w:b/>
                <w:bCs/>
                <w:color w:val="000000"/>
                <w:sz w:val="18"/>
                <w:szCs w:val="18"/>
              </w:rPr>
              <w:t>538 564</w:t>
            </w:r>
          </w:p>
        </w:tc>
        <w:tc>
          <w:tcPr>
            <w:tcW w:w="531" w:type="pct"/>
            <w:tcBorders>
              <w:top w:val="single" w:sz="4" w:space="0" w:color="auto"/>
              <w:left w:val="nil"/>
              <w:bottom w:val="single" w:sz="4" w:space="0" w:color="auto"/>
              <w:right w:val="nil"/>
            </w:tcBorders>
            <w:shd w:val="clear" w:color="000000" w:fill="FFFFFF"/>
            <w:noWrap/>
            <w:vAlign w:val="center"/>
          </w:tcPr>
          <w:p w14:paraId="1F94010C" w14:textId="77777777" w:rsidR="004035FE" w:rsidRPr="004035FE" w:rsidRDefault="004035FE" w:rsidP="00B6745A">
            <w:pPr>
              <w:jc w:val="right"/>
              <w:rPr>
                <w:b/>
                <w:bCs/>
                <w:color w:val="000000"/>
                <w:sz w:val="18"/>
                <w:szCs w:val="18"/>
              </w:rPr>
            </w:pPr>
            <w:r w:rsidRPr="004035FE">
              <w:rPr>
                <w:b/>
                <w:bCs/>
                <w:color w:val="000000"/>
                <w:sz w:val="18"/>
                <w:szCs w:val="18"/>
              </w:rPr>
              <w:t>456 899</w:t>
            </w:r>
          </w:p>
        </w:tc>
        <w:tc>
          <w:tcPr>
            <w:tcW w:w="531" w:type="pct"/>
            <w:tcBorders>
              <w:top w:val="single" w:sz="4" w:space="0" w:color="auto"/>
              <w:left w:val="nil"/>
              <w:bottom w:val="single" w:sz="4" w:space="0" w:color="auto"/>
              <w:right w:val="nil"/>
            </w:tcBorders>
            <w:shd w:val="clear" w:color="000000" w:fill="FFFFFF"/>
            <w:noWrap/>
            <w:vAlign w:val="center"/>
          </w:tcPr>
          <w:p w14:paraId="0BF8EFA5" w14:textId="77777777" w:rsidR="004035FE" w:rsidRPr="004035FE" w:rsidRDefault="004035FE" w:rsidP="00B6745A">
            <w:pPr>
              <w:jc w:val="right"/>
              <w:rPr>
                <w:b/>
                <w:bCs/>
                <w:color w:val="000000"/>
                <w:sz w:val="18"/>
                <w:szCs w:val="18"/>
              </w:rPr>
            </w:pPr>
            <w:r w:rsidRPr="004035FE">
              <w:rPr>
                <w:b/>
                <w:bCs/>
                <w:color w:val="000000"/>
                <w:sz w:val="18"/>
                <w:szCs w:val="18"/>
              </w:rPr>
              <w:t>573 837</w:t>
            </w:r>
          </w:p>
        </w:tc>
        <w:tc>
          <w:tcPr>
            <w:tcW w:w="531" w:type="pct"/>
            <w:tcBorders>
              <w:top w:val="single" w:sz="4" w:space="0" w:color="auto"/>
              <w:left w:val="nil"/>
              <w:bottom w:val="single" w:sz="4" w:space="0" w:color="auto"/>
              <w:right w:val="nil"/>
            </w:tcBorders>
            <w:shd w:val="clear" w:color="000000" w:fill="FFFFFF"/>
            <w:noWrap/>
            <w:vAlign w:val="center"/>
          </w:tcPr>
          <w:p w14:paraId="680E4EF3" w14:textId="77777777" w:rsidR="004035FE" w:rsidRPr="004035FE" w:rsidRDefault="004035FE" w:rsidP="00B6745A">
            <w:pPr>
              <w:jc w:val="right"/>
              <w:rPr>
                <w:b/>
                <w:bCs/>
                <w:color w:val="000000"/>
                <w:sz w:val="18"/>
                <w:szCs w:val="18"/>
              </w:rPr>
            </w:pPr>
            <w:r w:rsidRPr="004035FE">
              <w:rPr>
                <w:b/>
                <w:bCs/>
                <w:color w:val="000000"/>
                <w:sz w:val="18"/>
                <w:szCs w:val="18"/>
              </w:rPr>
              <w:t>116 938</w:t>
            </w:r>
          </w:p>
        </w:tc>
        <w:tc>
          <w:tcPr>
            <w:tcW w:w="390" w:type="pct"/>
            <w:tcBorders>
              <w:top w:val="single" w:sz="4" w:space="0" w:color="auto"/>
              <w:left w:val="nil"/>
              <w:bottom w:val="single" w:sz="4" w:space="0" w:color="auto"/>
              <w:right w:val="nil"/>
            </w:tcBorders>
            <w:shd w:val="clear" w:color="000000" w:fill="FFFFFF"/>
            <w:noWrap/>
            <w:vAlign w:val="center"/>
          </w:tcPr>
          <w:p w14:paraId="07F7C175" w14:textId="77777777" w:rsidR="004035FE" w:rsidRPr="004035FE" w:rsidRDefault="004035FE" w:rsidP="00B6745A">
            <w:pPr>
              <w:jc w:val="right"/>
              <w:rPr>
                <w:b/>
                <w:bCs/>
                <w:color w:val="000000"/>
                <w:sz w:val="18"/>
                <w:szCs w:val="18"/>
              </w:rPr>
            </w:pPr>
            <w:r w:rsidRPr="004035FE">
              <w:rPr>
                <w:b/>
                <w:bCs/>
                <w:color w:val="000000"/>
                <w:sz w:val="18"/>
                <w:szCs w:val="18"/>
              </w:rPr>
              <w:t>25,6</w:t>
            </w:r>
          </w:p>
        </w:tc>
      </w:tr>
      <w:tr w:rsidR="004035FE" w:rsidRPr="004035FE" w14:paraId="74A57501" w14:textId="77777777" w:rsidTr="00AD6FB9">
        <w:trPr>
          <w:trHeight w:val="329"/>
        </w:trPr>
        <w:tc>
          <w:tcPr>
            <w:tcW w:w="1955" w:type="pct"/>
            <w:tcBorders>
              <w:top w:val="single" w:sz="4" w:space="0" w:color="auto"/>
              <w:bottom w:val="single" w:sz="4" w:space="0" w:color="auto"/>
            </w:tcBorders>
            <w:shd w:val="clear" w:color="000000" w:fill="FFFFFF"/>
            <w:vAlign w:val="center"/>
          </w:tcPr>
          <w:p w14:paraId="1CCDDD07" w14:textId="77777777" w:rsidR="004035FE" w:rsidRPr="004035FE" w:rsidRDefault="004035FE" w:rsidP="00B6745A">
            <w:pPr>
              <w:rPr>
                <w:b/>
                <w:sz w:val="18"/>
                <w:szCs w:val="18"/>
              </w:rPr>
            </w:pPr>
            <w:r w:rsidRPr="004035FE">
              <w:rPr>
                <w:color w:val="000000"/>
                <w:sz w:val="18"/>
                <w:szCs w:val="18"/>
              </w:rPr>
              <w:t>Vnútorné politiky EÚ</w:t>
            </w:r>
          </w:p>
        </w:tc>
        <w:tc>
          <w:tcPr>
            <w:tcW w:w="531" w:type="pct"/>
            <w:tcBorders>
              <w:top w:val="single" w:sz="4" w:space="0" w:color="auto"/>
              <w:left w:val="nil"/>
              <w:bottom w:val="single" w:sz="4" w:space="0" w:color="auto"/>
              <w:right w:val="nil"/>
            </w:tcBorders>
            <w:shd w:val="clear" w:color="000000" w:fill="FFFFFF"/>
            <w:noWrap/>
            <w:vAlign w:val="center"/>
          </w:tcPr>
          <w:p w14:paraId="20A528A4" w14:textId="77777777" w:rsidR="004035FE" w:rsidRPr="004035FE" w:rsidRDefault="004035FE" w:rsidP="00B6745A">
            <w:pPr>
              <w:jc w:val="right"/>
              <w:rPr>
                <w:b/>
                <w:bCs/>
                <w:color w:val="000000"/>
                <w:sz w:val="18"/>
                <w:szCs w:val="18"/>
              </w:rPr>
            </w:pPr>
            <w:r w:rsidRPr="004035FE">
              <w:rPr>
                <w:color w:val="000000"/>
                <w:sz w:val="18"/>
                <w:szCs w:val="18"/>
              </w:rPr>
              <w:t>325</w:t>
            </w:r>
          </w:p>
        </w:tc>
        <w:tc>
          <w:tcPr>
            <w:tcW w:w="531" w:type="pct"/>
            <w:tcBorders>
              <w:top w:val="single" w:sz="4" w:space="0" w:color="auto"/>
              <w:left w:val="nil"/>
              <w:bottom w:val="single" w:sz="4" w:space="0" w:color="auto"/>
              <w:right w:val="nil"/>
            </w:tcBorders>
            <w:shd w:val="clear" w:color="000000" w:fill="FFFFFF"/>
            <w:noWrap/>
            <w:vAlign w:val="center"/>
          </w:tcPr>
          <w:p w14:paraId="7B14DFE9" w14:textId="77777777" w:rsidR="004035FE" w:rsidRPr="004035FE" w:rsidRDefault="004035FE" w:rsidP="00B6745A">
            <w:pPr>
              <w:jc w:val="right"/>
              <w:rPr>
                <w:b/>
                <w:bCs/>
                <w:color w:val="000000"/>
                <w:sz w:val="18"/>
                <w:szCs w:val="18"/>
              </w:rPr>
            </w:pPr>
            <w:r w:rsidRPr="004035FE">
              <w:rPr>
                <w:color w:val="000000"/>
                <w:sz w:val="18"/>
                <w:szCs w:val="18"/>
              </w:rPr>
              <w:t>25</w:t>
            </w:r>
          </w:p>
        </w:tc>
        <w:tc>
          <w:tcPr>
            <w:tcW w:w="531" w:type="pct"/>
            <w:tcBorders>
              <w:top w:val="single" w:sz="4" w:space="0" w:color="auto"/>
              <w:left w:val="nil"/>
              <w:bottom w:val="single" w:sz="4" w:space="0" w:color="auto"/>
              <w:right w:val="nil"/>
            </w:tcBorders>
            <w:shd w:val="clear" w:color="000000" w:fill="FFFFFF"/>
            <w:noWrap/>
            <w:vAlign w:val="center"/>
          </w:tcPr>
          <w:p w14:paraId="6ADEE0A8" w14:textId="77777777" w:rsidR="004035FE" w:rsidRPr="004035FE" w:rsidRDefault="004035FE" w:rsidP="00B6745A">
            <w:pPr>
              <w:jc w:val="right"/>
              <w:rPr>
                <w:b/>
                <w:bCs/>
                <w:color w:val="000000"/>
                <w:sz w:val="18"/>
                <w:szCs w:val="18"/>
              </w:rPr>
            </w:pPr>
            <w:r w:rsidRPr="004035FE">
              <w:rPr>
                <w:color w:val="000000"/>
                <w:sz w:val="18"/>
                <w:szCs w:val="18"/>
              </w:rPr>
              <w:t>150</w:t>
            </w:r>
          </w:p>
        </w:tc>
        <w:tc>
          <w:tcPr>
            <w:tcW w:w="531" w:type="pct"/>
            <w:tcBorders>
              <w:top w:val="single" w:sz="4" w:space="0" w:color="auto"/>
              <w:left w:val="nil"/>
              <w:bottom w:val="single" w:sz="4" w:space="0" w:color="auto"/>
              <w:right w:val="nil"/>
            </w:tcBorders>
            <w:shd w:val="clear" w:color="000000" w:fill="FFFFFF"/>
            <w:noWrap/>
            <w:vAlign w:val="center"/>
          </w:tcPr>
          <w:p w14:paraId="035D8658" w14:textId="77777777" w:rsidR="004035FE" w:rsidRPr="004035FE" w:rsidRDefault="004035FE" w:rsidP="00B6745A">
            <w:pPr>
              <w:jc w:val="right"/>
              <w:rPr>
                <w:b/>
                <w:bCs/>
                <w:color w:val="000000"/>
                <w:sz w:val="18"/>
                <w:szCs w:val="18"/>
              </w:rPr>
            </w:pPr>
            <w:r w:rsidRPr="004035FE">
              <w:rPr>
                <w:color w:val="000000"/>
                <w:sz w:val="18"/>
                <w:szCs w:val="18"/>
              </w:rPr>
              <w:t>50</w:t>
            </w:r>
          </w:p>
        </w:tc>
        <w:tc>
          <w:tcPr>
            <w:tcW w:w="531" w:type="pct"/>
            <w:tcBorders>
              <w:top w:val="single" w:sz="4" w:space="0" w:color="auto"/>
              <w:left w:val="nil"/>
              <w:bottom w:val="single" w:sz="4" w:space="0" w:color="auto"/>
              <w:right w:val="nil"/>
            </w:tcBorders>
            <w:shd w:val="clear" w:color="000000" w:fill="FFFFFF"/>
            <w:noWrap/>
            <w:vAlign w:val="center"/>
          </w:tcPr>
          <w:p w14:paraId="35F79471" w14:textId="77777777" w:rsidR="004035FE" w:rsidRPr="004035FE" w:rsidRDefault="004035FE" w:rsidP="00B6745A">
            <w:pPr>
              <w:jc w:val="right"/>
              <w:rPr>
                <w:b/>
                <w:bCs/>
                <w:color w:val="000000"/>
                <w:sz w:val="18"/>
                <w:szCs w:val="18"/>
              </w:rPr>
            </w:pPr>
            <w:r w:rsidRPr="004035FE">
              <w:rPr>
                <w:color w:val="000000"/>
                <w:sz w:val="18"/>
                <w:szCs w:val="18"/>
              </w:rPr>
              <w:t>-100</w:t>
            </w:r>
          </w:p>
        </w:tc>
        <w:tc>
          <w:tcPr>
            <w:tcW w:w="390" w:type="pct"/>
            <w:tcBorders>
              <w:top w:val="single" w:sz="4" w:space="0" w:color="auto"/>
              <w:left w:val="nil"/>
              <w:bottom w:val="single" w:sz="4" w:space="0" w:color="auto"/>
              <w:right w:val="nil"/>
            </w:tcBorders>
            <w:shd w:val="clear" w:color="000000" w:fill="FFFFFF"/>
            <w:noWrap/>
            <w:vAlign w:val="center"/>
          </w:tcPr>
          <w:p w14:paraId="76068EE9" w14:textId="77777777" w:rsidR="004035FE" w:rsidRPr="004035FE" w:rsidRDefault="004035FE" w:rsidP="00B6745A">
            <w:pPr>
              <w:jc w:val="right"/>
              <w:rPr>
                <w:b/>
                <w:bCs/>
                <w:color w:val="000000"/>
                <w:sz w:val="18"/>
                <w:szCs w:val="18"/>
              </w:rPr>
            </w:pPr>
            <w:r w:rsidRPr="004035FE">
              <w:rPr>
                <w:color w:val="000000"/>
                <w:sz w:val="18"/>
                <w:szCs w:val="18"/>
              </w:rPr>
              <w:t>-66,7</w:t>
            </w:r>
          </w:p>
        </w:tc>
      </w:tr>
      <w:tr w:rsidR="004035FE" w:rsidRPr="004035FE" w14:paraId="3E1A5DCA" w14:textId="77777777" w:rsidTr="00AD6FB9">
        <w:trPr>
          <w:trHeight w:val="482"/>
        </w:trPr>
        <w:tc>
          <w:tcPr>
            <w:tcW w:w="1955" w:type="pct"/>
            <w:tcBorders>
              <w:top w:val="single" w:sz="4" w:space="0" w:color="auto"/>
              <w:bottom w:val="single" w:sz="4" w:space="0" w:color="auto"/>
            </w:tcBorders>
            <w:shd w:val="clear" w:color="000000" w:fill="FFFFFF"/>
            <w:vAlign w:val="center"/>
            <w:hideMark/>
          </w:tcPr>
          <w:p w14:paraId="0A86AB04" w14:textId="77777777" w:rsidR="004035FE" w:rsidRPr="004035FE" w:rsidRDefault="004035FE" w:rsidP="00B6745A">
            <w:pPr>
              <w:rPr>
                <w:b/>
                <w:sz w:val="18"/>
                <w:szCs w:val="18"/>
              </w:rPr>
            </w:pPr>
            <w:r w:rsidRPr="004035FE">
              <w:rPr>
                <w:b/>
                <w:bCs/>
                <w:color w:val="000000"/>
                <w:sz w:val="18"/>
                <w:szCs w:val="18"/>
              </w:rPr>
              <w:t>Spolu (vrátane vnútorných politík EÚ)</w:t>
            </w:r>
          </w:p>
        </w:tc>
        <w:tc>
          <w:tcPr>
            <w:tcW w:w="531" w:type="pct"/>
            <w:tcBorders>
              <w:top w:val="single" w:sz="4" w:space="0" w:color="auto"/>
              <w:left w:val="nil"/>
              <w:bottom w:val="single" w:sz="4" w:space="0" w:color="auto"/>
              <w:right w:val="nil"/>
            </w:tcBorders>
            <w:shd w:val="clear" w:color="000000" w:fill="FFFFFF"/>
            <w:noWrap/>
            <w:vAlign w:val="center"/>
          </w:tcPr>
          <w:p w14:paraId="6B5B7179" w14:textId="77777777" w:rsidR="004035FE" w:rsidRPr="004035FE" w:rsidRDefault="004035FE" w:rsidP="00B6745A">
            <w:pPr>
              <w:jc w:val="right"/>
              <w:rPr>
                <w:b/>
                <w:sz w:val="18"/>
                <w:szCs w:val="18"/>
              </w:rPr>
            </w:pPr>
            <w:r w:rsidRPr="004035FE">
              <w:rPr>
                <w:b/>
                <w:bCs/>
                <w:color w:val="000000"/>
                <w:sz w:val="18"/>
                <w:szCs w:val="18"/>
              </w:rPr>
              <w:t>731 589</w:t>
            </w:r>
          </w:p>
        </w:tc>
        <w:tc>
          <w:tcPr>
            <w:tcW w:w="531" w:type="pct"/>
            <w:tcBorders>
              <w:top w:val="single" w:sz="4" w:space="0" w:color="auto"/>
              <w:left w:val="nil"/>
              <w:bottom w:val="single" w:sz="4" w:space="0" w:color="auto"/>
              <w:right w:val="nil"/>
            </w:tcBorders>
            <w:shd w:val="clear" w:color="000000" w:fill="FFFFFF"/>
            <w:noWrap/>
            <w:vAlign w:val="center"/>
          </w:tcPr>
          <w:p w14:paraId="2E1D1190" w14:textId="77777777" w:rsidR="004035FE" w:rsidRPr="004035FE" w:rsidRDefault="004035FE" w:rsidP="00B6745A">
            <w:pPr>
              <w:jc w:val="right"/>
              <w:rPr>
                <w:b/>
                <w:sz w:val="18"/>
                <w:szCs w:val="18"/>
              </w:rPr>
            </w:pPr>
            <w:r w:rsidRPr="004035FE">
              <w:rPr>
                <w:b/>
                <w:bCs/>
                <w:color w:val="000000"/>
                <w:sz w:val="18"/>
                <w:szCs w:val="18"/>
              </w:rPr>
              <w:t>538 589</w:t>
            </w:r>
          </w:p>
        </w:tc>
        <w:tc>
          <w:tcPr>
            <w:tcW w:w="531" w:type="pct"/>
            <w:tcBorders>
              <w:top w:val="single" w:sz="4" w:space="0" w:color="auto"/>
              <w:left w:val="nil"/>
              <w:bottom w:val="single" w:sz="4" w:space="0" w:color="auto"/>
              <w:right w:val="nil"/>
            </w:tcBorders>
            <w:shd w:val="clear" w:color="000000" w:fill="FFFFFF"/>
            <w:noWrap/>
            <w:vAlign w:val="center"/>
          </w:tcPr>
          <w:p w14:paraId="2C379CA7" w14:textId="77777777" w:rsidR="004035FE" w:rsidRPr="004035FE" w:rsidRDefault="004035FE" w:rsidP="00B6745A">
            <w:pPr>
              <w:jc w:val="right"/>
              <w:rPr>
                <w:b/>
                <w:sz w:val="18"/>
                <w:szCs w:val="18"/>
              </w:rPr>
            </w:pPr>
            <w:r w:rsidRPr="004035FE">
              <w:rPr>
                <w:b/>
                <w:bCs/>
                <w:color w:val="000000"/>
                <w:sz w:val="18"/>
                <w:szCs w:val="18"/>
              </w:rPr>
              <w:t>457 049</w:t>
            </w:r>
          </w:p>
        </w:tc>
        <w:tc>
          <w:tcPr>
            <w:tcW w:w="531" w:type="pct"/>
            <w:tcBorders>
              <w:top w:val="single" w:sz="4" w:space="0" w:color="auto"/>
              <w:left w:val="nil"/>
              <w:bottom w:val="single" w:sz="4" w:space="0" w:color="auto"/>
              <w:right w:val="nil"/>
            </w:tcBorders>
            <w:shd w:val="clear" w:color="000000" w:fill="FFFFFF"/>
            <w:noWrap/>
            <w:vAlign w:val="center"/>
          </w:tcPr>
          <w:p w14:paraId="6C817640" w14:textId="77777777" w:rsidR="004035FE" w:rsidRPr="004035FE" w:rsidRDefault="004035FE" w:rsidP="00B6745A">
            <w:pPr>
              <w:jc w:val="right"/>
              <w:rPr>
                <w:b/>
                <w:sz w:val="18"/>
                <w:szCs w:val="18"/>
              </w:rPr>
            </w:pPr>
            <w:r w:rsidRPr="004035FE">
              <w:rPr>
                <w:b/>
                <w:bCs/>
                <w:color w:val="000000"/>
                <w:sz w:val="18"/>
                <w:szCs w:val="18"/>
              </w:rPr>
              <w:t>573 887</w:t>
            </w:r>
          </w:p>
        </w:tc>
        <w:tc>
          <w:tcPr>
            <w:tcW w:w="531" w:type="pct"/>
            <w:tcBorders>
              <w:top w:val="single" w:sz="4" w:space="0" w:color="auto"/>
              <w:left w:val="nil"/>
              <w:bottom w:val="single" w:sz="4" w:space="0" w:color="auto"/>
              <w:right w:val="nil"/>
            </w:tcBorders>
            <w:shd w:val="clear" w:color="000000" w:fill="FFFFFF"/>
            <w:noWrap/>
            <w:vAlign w:val="center"/>
          </w:tcPr>
          <w:p w14:paraId="3DA26F4F" w14:textId="77777777" w:rsidR="004035FE" w:rsidRPr="004035FE" w:rsidRDefault="004035FE" w:rsidP="00B6745A">
            <w:pPr>
              <w:jc w:val="right"/>
              <w:rPr>
                <w:b/>
                <w:sz w:val="18"/>
                <w:szCs w:val="18"/>
              </w:rPr>
            </w:pPr>
            <w:r w:rsidRPr="004035FE">
              <w:rPr>
                <w:b/>
                <w:bCs/>
                <w:color w:val="000000"/>
                <w:sz w:val="18"/>
                <w:szCs w:val="18"/>
              </w:rPr>
              <w:t>116 838</w:t>
            </w:r>
          </w:p>
        </w:tc>
        <w:tc>
          <w:tcPr>
            <w:tcW w:w="390" w:type="pct"/>
            <w:tcBorders>
              <w:top w:val="single" w:sz="4" w:space="0" w:color="auto"/>
              <w:left w:val="nil"/>
              <w:bottom w:val="single" w:sz="4" w:space="0" w:color="auto"/>
              <w:right w:val="nil"/>
            </w:tcBorders>
            <w:shd w:val="clear" w:color="000000" w:fill="FFFFFF"/>
            <w:noWrap/>
            <w:vAlign w:val="center"/>
          </w:tcPr>
          <w:p w14:paraId="1B94FF7F" w14:textId="77777777" w:rsidR="004035FE" w:rsidRPr="004035FE" w:rsidRDefault="004035FE" w:rsidP="00B6745A">
            <w:pPr>
              <w:jc w:val="right"/>
              <w:rPr>
                <w:b/>
                <w:sz w:val="18"/>
                <w:szCs w:val="18"/>
              </w:rPr>
            </w:pPr>
            <w:r w:rsidRPr="004035FE">
              <w:rPr>
                <w:b/>
                <w:bCs/>
                <w:color w:val="000000"/>
                <w:sz w:val="18"/>
                <w:szCs w:val="18"/>
              </w:rPr>
              <w:t>25,6</w:t>
            </w:r>
          </w:p>
        </w:tc>
      </w:tr>
    </w:tbl>
    <w:p w14:paraId="15D5FF89" w14:textId="3A2BECFE" w:rsidR="004D69BF" w:rsidRPr="004035FE" w:rsidRDefault="004D69BF" w:rsidP="009A6D81">
      <w:pPr>
        <w:tabs>
          <w:tab w:val="right" w:pos="9070"/>
        </w:tabs>
        <w:spacing w:line="240" w:lineRule="auto"/>
        <w:jc w:val="both"/>
        <w:rPr>
          <w:sz w:val="18"/>
          <w:szCs w:val="18"/>
        </w:rPr>
      </w:pPr>
      <w:r w:rsidRPr="004035FE">
        <w:rPr>
          <w:i/>
          <w:sz w:val="16"/>
          <w:szCs w:val="16"/>
        </w:rPr>
        <w:tab/>
      </w:r>
      <w:r w:rsidRPr="004035FE">
        <w:rPr>
          <w:sz w:val="18"/>
          <w:szCs w:val="18"/>
        </w:rPr>
        <w:t>Zdroj: MF SR</w:t>
      </w:r>
    </w:p>
    <w:p w14:paraId="493BB360" w14:textId="77777777" w:rsidR="00D46A5E" w:rsidRPr="004035FE" w:rsidRDefault="00D46A5E" w:rsidP="00532D85">
      <w:pPr>
        <w:tabs>
          <w:tab w:val="left" w:pos="284"/>
        </w:tabs>
        <w:spacing w:line="240" w:lineRule="auto"/>
        <w:jc w:val="both"/>
        <w:rPr>
          <w:b/>
          <w:szCs w:val="24"/>
        </w:rPr>
      </w:pPr>
    </w:p>
    <w:p w14:paraId="4DB8F745" w14:textId="20C53980" w:rsidR="004D69BF" w:rsidRPr="006645E5" w:rsidRDefault="004D69BF" w:rsidP="00532D85">
      <w:pPr>
        <w:tabs>
          <w:tab w:val="left" w:pos="284"/>
        </w:tabs>
        <w:spacing w:line="240" w:lineRule="auto"/>
        <w:jc w:val="both"/>
        <w:rPr>
          <w:b/>
          <w:szCs w:val="24"/>
        </w:rPr>
      </w:pPr>
      <w:r w:rsidRPr="006645E5">
        <w:rPr>
          <w:b/>
          <w:szCs w:val="24"/>
        </w:rPr>
        <w:t>Spolufinancovanie zo štátneho rozpočtu k prostriedkom EÚ</w:t>
      </w:r>
    </w:p>
    <w:p w14:paraId="39678101" w14:textId="05828D8A" w:rsidR="006645E5" w:rsidRDefault="006645E5" w:rsidP="006645E5">
      <w:pPr>
        <w:spacing w:line="240" w:lineRule="auto"/>
        <w:jc w:val="both"/>
        <w:rPr>
          <w:rFonts w:eastAsia="Times New Roman" w:cs="Times New Roman"/>
          <w:szCs w:val="24"/>
          <w:lang w:eastAsia="sk-SK"/>
        </w:rPr>
      </w:pPr>
      <w:r w:rsidRPr="006645E5">
        <w:rPr>
          <w:rFonts w:eastAsia="Times New Roman" w:cs="Times New Roman"/>
          <w:b/>
          <w:szCs w:val="24"/>
          <w:lang w:eastAsia="sk-SK"/>
        </w:rPr>
        <w:t xml:space="preserve">Prostriedky za štrukturálne operácie – MF SR </w:t>
      </w:r>
      <w:r w:rsidRPr="006645E5">
        <w:rPr>
          <w:rFonts w:eastAsia="Times New Roman" w:cs="Times New Roman"/>
          <w:szCs w:val="24"/>
          <w:lang w:eastAsia="sk-SK"/>
        </w:rPr>
        <w:t>už neboli rozpočtované za 3.</w:t>
      </w:r>
      <w:r>
        <w:rPr>
          <w:rFonts w:eastAsia="Times New Roman" w:cs="Times New Roman"/>
          <w:szCs w:val="24"/>
          <w:lang w:eastAsia="sk-SK"/>
        </w:rPr>
        <w:t> </w:t>
      </w:r>
      <w:r w:rsidRPr="006645E5">
        <w:rPr>
          <w:rFonts w:eastAsia="Times New Roman" w:cs="Times New Roman"/>
          <w:szCs w:val="24"/>
          <w:lang w:eastAsia="sk-SK"/>
        </w:rPr>
        <w:t>programové obdobie 2014-2020 v dôsledku ukončenia obdobia oprávnenosti k 31.12.2023, avšak preplatenie realizovaných výdavkov z úrovne platobnej jednotky prijímateľom pokračovalo aj v roku 2025, a to výlučne už len v prípade výdavkov za dodatočný príspevok, ktorý bol schválený v rámci fázovaných projektov z programového obdobia 2014-2020 do</w:t>
      </w:r>
      <w:r>
        <w:rPr>
          <w:rFonts w:eastAsia="Times New Roman" w:cs="Times New Roman"/>
          <w:szCs w:val="24"/>
          <w:lang w:eastAsia="sk-SK"/>
        </w:rPr>
        <w:t> </w:t>
      </w:r>
      <w:r w:rsidRPr="006645E5">
        <w:rPr>
          <w:rFonts w:eastAsia="Times New Roman" w:cs="Times New Roman"/>
          <w:szCs w:val="24"/>
          <w:lang w:eastAsia="sk-SK"/>
        </w:rPr>
        <w:t>programového obdobia 2021-2027. Rozpočet výdavkov bol upravený o nepoužité prostriedky z predchádzajúcich rokov v zmysle §</w:t>
      </w:r>
      <w:r>
        <w:rPr>
          <w:rFonts w:eastAsia="Times New Roman" w:cs="Times New Roman"/>
          <w:szCs w:val="24"/>
          <w:lang w:eastAsia="sk-SK"/>
        </w:rPr>
        <w:t> </w:t>
      </w:r>
      <w:r w:rsidRPr="006645E5">
        <w:rPr>
          <w:rFonts w:eastAsia="Times New Roman" w:cs="Times New Roman"/>
          <w:szCs w:val="24"/>
          <w:lang w:eastAsia="sk-SK"/>
        </w:rPr>
        <w:t>8 zákona o rozpočtových pravidlách na</w:t>
      </w:r>
      <w:r>
        <w:rPr>
          <w:rFonts w:eastAsia="Times New Roman" w:cs="Times New Roman"/>
          <w:szCs w:val="24"/>
          <w:lang w:eastAsia="sk-SK"/>
        </w:rPr>
        <w:t> </w:t>
      </w:r>
      <w:r w:rsidRPr="006645E5">
        <w:rPr>
          <w:rFonts w:eastAsia="Times New Roman" w:cs="Times New Roman"/>
          <w:szCs w:val="24"/>
          <w:lang w:eastAsia="sk-SK"/>
        </w:rPr>
        <w:t xml:space="preserve">úroveň </w:t>
      </w:r>
      <w:r w:rsidRPr="006645E5">
        <w:rPr>
          <w:rFonts w:eastAsia="Times New Roman" w:cs="Times New Roman"/>
          <w:i/>
          <w:iCs/>
          <w:szCs w:val="24"/>
          <w:lang w:eastAsia="sk-SK"/>
        </w:rPr>
        <w:t>105</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Skutočné čerpanie výdavkov v roku 2025 bolo vo výške </w:t>
      </w:r>
      <w:r w:rsidRPr="006645E5">
        <w:rPr>
          <w:rFonts w:eastAsia="Times New Roman" w:cs="Times New Roman"/>
          <w:i/>
          <w:iCs/>
          <w:szCs w:val="24"/>
          <w:lang w:eastAsia="sk-SK"/>
        </w:rPr>
        <w:t>93</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Zvyšné prostriedky už neboli zaviazané z dôvodu pominutia účelu použitia prostriedkov.</w:t>
      </w:r>
    </w:p>
    <w:p w14:paraId="71D565AC" w14:textId="77777777" w:rsidR="006645E5" w:rsidRPr="006645E5" w:rsidRDefault="006645E5" w:rsidP="006645E5">
      <w:pPr>
        <w:spacing w:line="240" w:lineRule="auto"/>
        <w:jc w:val="both"/>
        <w:rPr>
          <w:rFonts w:eastAsia="Times New Roman" w:cs="Times New Roman"/>
          <w:szCs w:val="24"/>
          <w:lang w:eastAsia="sk-SK"/>
        </w:rPr>
      </w:pPr>
    </w:p>
    <w:p w14:paraId="52CCCE5E" w14:textId="6466C69D" w:rsidR="006645E5" w:rsidRDefault="006645E5" w:rsidP="006645E5">
      <w:pPr>
        <w:spacing w:line="240" w:lineRule="auto"/>
        <w:jc w:val="both"/>
        <w:rPr>
          <w:rFonts w:eastAsia="Times New Roman" w:cs="Times New Roman"/>
          <w:szCs w:val="24"/>
          <w:lang w:eastAsia="sk-SK"/>
        </w:rPr>
      </w:pPr>
      <w:r w:rsidRPr="006645E5">
        <w:rPr>
          <w:rFonts w:eastAsia="Times New Roman" w:cs="Times New Roman"/>
          <w:szCs w:val="24"/>
          <w:lang w:eastAsia="sk-SK"/>
        </w:rPr>
        <w:lastRenderedPageBreak/>
        <w:t>V roku 2025 boli rozpočtované prostriedky za 4.</w:t>
      </w:r>
      <w:r>
        <w:rPr>
          <w:rFonts w:eastAsia="Times New Roman" w:cs="Times New Roman"/>
          <w:szCs w:val="24"/>
          <w:lang w:eastAsia="sk-SK"/>
        </w:rPr>
        <w:t> </w:t>
      </w:r>
      <w:r w:rsidRPr="006645E5">
        <w:rPr>
          <w:rFonts w:eastAsia="Times New Roman" w:cs="Times New Roman"/>
          <w:szCs w:val="24"/>
          <w:lang w:eastAsia="sk-SK"/>
        </w:rPr>
        <w:t>programové obdobie 2021-2027 za</w:t>
      </w:r>
      <w:r>
        <w:rPr>
          <w:rFonts w:eastAsia="Times New Roman" w:cs="Times New Roman"/>
          <w:szCs w:val="24"/>
          <w:lang w:eastAsia="sk-SK"/>
        </w:rPr>
        <w:t> </w:t>
      </w:r>
      <w:r w:rsidRPr="006645E5">
        <w:rPr>
          <w:rFonts w:eastAsia="Times New Roman" w:cs="Times New Roman"/>
          <w:szCs w:val="24"/>
          <w:u w:val="single"/>
          <w:lang w:eastAsia="sk-SK"/>
        </w:rPr>
        <w:t>štrukturálne operácie MF SR</w:t>
      </w:r>
      <w:r w:rsidRPr="006645E5">
        <w:rPr>
          <w:rFonts w:eastAsia="Times New Roman" w:cs="Times New Roman"/>
          <w:szCs w:val="24"/>
          <w:lang w:eastAsia="sk-SK"/>
        </w:rPr>
        <w:t xml:space="preserve"> vo výške </w:t>
      </w:r>
      <w:r w:rsidRPr="006645E5">
        <w:rPr>
          <w:rFonts w:eastAsia="Times New Roman" w:cs="Times New Roman"/>
          <w:i/>
          <w:iCs/>
          <w:szCs w:val="24"/>
          <w:lang w:eastAsia="sk-SK"/>
        </w:rPr>
        <w:t>306</w:t>
      </w:r>
      <w:r>
        <w:rPr>
          <w:rFonts w:eastAsia="Times New Roman" w:cs="Times New Roman"/>
          <w:i/>
          <w:iCs/>
          <w:szCs w:val="24"/>
          <w:lang w:eastAsia="sk-SK"/>
        </w:rPr>
        <w:t> </w:t>
      </w:r>
      <w:r w:rsidRPr="006645E5">
        <w:rPr>
          <w:rFonts w:eastAsia="Times New Roman" w:cs="Times New Roman"/>
          <w:i/>
          <w:iCs/>
          <w:szCs w:val="24"/>
          <w:lang w:eastAsia="sk-SK"/>
        </w:rPr>
        <w:t>420</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z toho za</w:t>
      </w:r>
      <w:r>
        <w:rPr>
          <w:rFonts w:eastAsia="Times New Roman" w:cs="Times New Roman"/>
          <w:szCs w:val="24"/>
          <w:lang w:eastAsia="sk-SK"/>
        </w:rPr>
        <w:t> </w:t>
      </w:r>
      <w:r w:rsidRPr="006645E5">
        <w:rPr>
          <w:rFonts w:eastAsia="Times New Roman" w:cs="Times New Roman"/>
          <w:szCs w:val="24"/>
          <w:lang w:eastAsia="sk-SK"/>
        </w:rPr>
        <w:t>Program Slovensko vo</w:t>
      </w:r>
      <w:r>
        <w:rPr>
          <w:rFonts w:eastAsia="Times New Roman" w:cs="Times New Roman"/>
          <w:szCs w:val="24"/>
          <w:lang w:eastAsia="sk-SK"/>
        </w:rPr>
        <w:t> </w:t>
      </w:r>
      <w:r w:rsidRPr="006645E5">
        <w:rPr>
          <w:rFonts w:eastAsia="Times New Roman" w:cs="Times New Roman"/>
          <w:szCs w:val="24"/>
          <w:lang w:eastAsia="sk-SK"/>
        </w:rPr>
        <w:t>výške 302</w:t>
      </w:r>
      <w:r>
        <w:rPr>
          <w:rFonts w:eastAsia="Times New Roman" w:cs="Times New Roman"/>
          <w:szCs w:val="24"/>
          <w:lang w:eastAsia="sk-SK"/>
        </w:rPr>
        <w:t> </w:t>
      </w:r>
      <w:r w:rsidRPr="006645E5">
        <w:rPr>
          <w:rFonts w:eastAsia="Times New Roman" w:cs="Times New Roman"/>
          <w:szCs w:val="24"/>
          <w:lang w:eastAsia="sk-SK"/>
        </w:rPr>
        <w:t>535</w:t>
      </w:r>
      <w:r>
        <w:rPr>
          <w:rFonts w:eastAsia="Times New Roman" w:cs="Times New Roman"/>
          <w:szCs w:val="24"/>
          <w:lang w:eastAsia="sk-SK"/>
        </w:rPr>
        <w:t> </w:t>
      </w:r>
      <w:r w:rsidRPr="006645E5">
        <w:rPr>
          <w:rFonts w:eastAsia="Times New Roman" w:cs="Times New Roman"/>
          <w:szCs w:val="24"/>
          <w:lang w:eastAsia="sk-SK"/>
        </w:rPr>
        <w:t>tis.</w:t>
      </w:r>
      <w:r>
        <w:rPr>
          <w:rFonts w:eastAsia="Times New Roman" w:cs="Times New Roman"/>
          <w:szCs w:val="24"/>
          <w:lang w:eastAsia="sk-SK"/>
        </w:rPr>
        <w:t> </w:t>
      </w:r>
      <w:r w:rsidRPr="006645E5">
        <w:rPr>
          <w:rFonts w:eastAsia="Times New Roman" w:cs="Times New Roman"/>
          <w:szCs w:val="24"/>
          <w:lang w:eastAsia="sk-SK"/>
        </w:rPr>
        <w:t xml:space="preserve">eur, za Program Rybné hospodárstvo vo výške </w:t>
      </w:r>
      <w:r w:rsidRPr="006645E5">
        <w:rPr>
          <w:rFonts w:eastAsia="Times New Roman" w:cs="Times New Roman"/>
          <w:i/>
          <w:iCs/>
          <w:szCs w:val="24"/>
          <w:lang w:eastAsia="sk-SK"/>
        </w:rPr>
        <w:t>2</w:t>
      </w:r>
      <w:r>
        <w:rPr>
          <w:rFonts w:eastAsia="Times New Roman" w:cs="Times New Roman"/>
          <w:i/>
          <w:iCs/>
          <w:szCs w:val="24"/>
          <w:lang w:eastAsia="sk-SK"/>
        </w:rPr>
        <w:t> </w:t>
      </w:r>
      <w:r w:rsidRPr="006645E5">
        <w:rPr>
          <w:rFonts w:eastAsia="Times New Roman" w:cs="Times New Roman"/>
          <w:i/>
          <w:iCs/>
          <w:szCs w:val="24"/>
          <w:lang w:eastAsia="sk-SK"/>
        </w:rPr>
        <w:t>498</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a</w:t>
      </w:r>
      <w:r>
        <w:rPr>
          <w:rFonts w:eastAsia="Times New Roman" w:cs="Times New Roman"/>
          <w:szCs w:val="24"/>
          <w:lang w:eastAsia="sk-SK"/>
        </w:rPr>
        <w:t> </w:t>
      </w:r>
      <w:r w:rsidRPr="006645E5">
        <w:rPr>
          <w:rFonts w:eastAsia="Times New Roman" w:cs="Times New Roman"/>
          <w:szCs w:val="24"/>
          <w:lang w:eastAsia="sk-SK"/>
        </w:rPr>
        <w:t>za</w:t>
      </w:r>
      <w:r>
        <w:rPr>
          <w:rFonts w:eastAsia="Times New Roman" w:cs="Times New Roman"/>
          <w:szCs w:val="24"/>
          <w:lang w:eastAsia="sk-SK"/>
        </w:rPr>
        <w:t> </w:t>
      </w:r>
      <w:r w:rsidRPr="006645E5">
        <w:rPr>
          <w:rFonts w:eastAsia="Times New Roman" w:cs="Times New Roman"/>
          <w:szCs w:val="24"/>
          <w:lang w:eastAsia="sk-SK"/>
        </w:rPr>
        <w:t xml:space="preserve">programy európskej územnej spolupráce, pre ktoré je MF SR platobným orgánom (Interreg VI-A SK-AT 2021-2027, Interreg VI-A SK-CZ 2021-2027), vo výške </w:t>
      </w:r>
      <w:r w:rsidRPr="006645E5">
        <w:rPr>
          <w:rFonts w:eastAsia="Times New Roman" w:cs="Times New Roman"/>
          <w:i/>
          <w:iCs/>
          <w:szCs w:val="24"/>
          <w:lang w:eastAsia="sk-SK"/>
        </w:rPr>
        <w:t>1</w:t>
      </w:r>
      <w:r>
        <w:rPr>
          <w:rFonts w:eastAsia="Times New Roman" w:cs="Times New Roman"/>
          <w:i/>
          <w:iCs/>
          <w:szCs w:val="24"/>
          <w:lang w:eastAsia="sk-SK"/>
        </w:rPr>
        <w:t> </w:t>
      </w:r>
      <w:r w:rsidRPr="006645E5">
        <w:rPr>
          <w:rFonts w:eastAsia="Times New Roman" w:cs="Times New Roman"/>
          <w:i/>
          <w:iCs/>
          <w:szCs w:val="24"/>
          <w:lang w:eastAsia="sk-SK"/>
        </w:rPr>
        <w:t>387</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Rozpočet bol upravený na úroveň </w:t>
      </w:r>
      <w:r w:rsidRPr="006645E5">
        <w:rPr>
          <w:rFonts w:eastAsia="Times New Roman" w:cs="Times New Roman"/>
          <w:i/>
          <w:iCs/>
          <w:szCs w:val="24"/>
          <w:lang w:eastAsia="sk-SK"/>
        </w:rPr>
        <w:t>310</w:t>
      </w:r>
      <w:r>
        <w:rPr>
          <w:rFonts w:eastAsia="Times New Roman" w:cs="Times New Roman"/>
          <w:i/>
          <w:iCs/>
          <w:szCs w:val="24"/>
          <w:lang w:eastAsia="sk-SK"/>
        </w:rPr>
        <w:t> </w:t>
      </w:r>
      <w:r w:rsidRPr="006645E5">
        <w:rPr>
          <w:rFonts w:eastAsia="Times New Roman" w:cs="Times New Roman"/>
          <w:i/>
          <w:iCs/>
          <w:szCs w:val="24"/>
          <w:lang w:eastAsia="sk-SK"/>
        </w:rPr>
        <w:t>514</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 xml:space="preserve">eur </w:t>
      </w:r>
      <w:r w:rsidRPr="006645E5">
        <w:rPr>
          <w:rFonts w:eastAsia="Times New Roman" w:cs="Times New Roman"/>
          <w:szCs w:val="24"/>
          <w:lang w:eastAsia="sk-SK"/>
        </w:rPr>
        <w:t>zohľadňujúc prostriedky zaviazané na</w:t>
      </w:r>
      <w:r>
        <w:rPr>
          <w:rFonts w:eastAsia="Times New Roman" w:cs="Times New Roman"/>
          <w:szCs w:val="24"/>
          <w:lang w:eastAsia="sk-SK"/>
        </w:rPr>
        <w:t> </w:t>
      </w:r>
      <w:r w:rsidRPr="006645E5">
        <w:rPr>
          <w:rFonts w:eastAsia="Times New Roman" w:cs="Times New Roman"/>
          <w:szCs w:val="24"/>
          <w:lang w:eastAsia="sk-SK"/>
        </w:rPr>
        <w:t>použitie v nasledujúcich rokoch a prostriedky z dôvodu vysporiadania finančných prostriedkov za</w:t>
      </w:r>
      <w:r>
        <w:rPr>
          <w:rFonts w:eastAsia="Times New Roman" w:cs="Times New Roman"/>
          <w:szCs w:val="24"/>
          <w:lang w:eastAsia="sk-SK"/>
        </w:rPr>
        <w:t> </w:t>
      </w:r>
      <w:r w:rsidRPr="006645E5">
        <w:rPr>
          <w:rFonts w:eastAsia="Times New Roman" w:cs="Times New Roman"/>
          <w:szCs w:val="24"/>
          <w:lang w:eastAsia="sk-SK"/>
        </w:rPr>
        <w:t>nezrovnalosti a vratky</w:t>
      </w:r>
      <w:r w:rsidRPr="006645E5">
        <w:rPr>
          <w:rFonts w:eastAsia="Times New Roman" w:cs="Times New Roman"/>
          <w:szCs w:val="24"/>
          <w:vertAlign w:val="superscript"/>
          <w:lang w:eastAsia="sk-SK"/>
        </w:rPr>
        <w:footnoteReference w:id="40"/>
      </w:r>
      <w:r w:rsidRPr="006645E5">
        <w:rPr>
          <w:rFonts w:eastAsia="Times New Roman" w:cs="Times New Roman"/>
          <w:szCs w:val="24"/>
          <w:lang w:eastAsia="sk-SK"/>
        </w:rPr>
        <w:t>, z toho rozpočet za Program Slovensko bol upravený na</w:t>
      </w:r>
      <w:r>
        <w:rPr>
          <w:rFonts w:eastAsia="Times New Roman" w:cs="Times New Roman"/>
          <w:szCs w:val="24"/>
          <w:lang w:eastAsia="sk-SK"/>
        </w:rPr>
        <w:t> </w:t>
      </w:r>
      <w:r w:rsidRPr="006645E5">
        <w:rPr>
          <w:rFonts w:eastAsia="Times New Roman" w:cs="Times New Roman"/>
          <w:szCs w:val="24"/>
          <w:lang w:eastAsia="sk-SK"/>
        </w:rPr>
        <w:t xml:space="preserve">úroveň </w:t>
      </w:r>
      <w:r w:rsidRPr="006645E5">
        <w:rPr>
          <w:rFonts w:eastAsia="Times New Roman" w:cs="Times New Roman"/>
          <w:i/>
          <w:iCs/>
          <w:szCs w:val="24"/>
          <w:lang w:eastAsia="sk-SK"/>
        </w:rPr>
        <w:t>309</w:t>
      </w:r>
      <w:r>
        <w:rPr>
          <w:rFonts w:eastAsia="Times New Roman" w:cs="Times New Roman"/>
          <w:i/>
          <w:iCs/>
          <w:szCs w:val="24"/>
          <w:lang w:eastAsia="sk-SK"/>
        </w:rPr>
        <w:t> </w:t>
      </w:r>
      <w:r w:rsidRPr="006645E5">
        <w:rPr>
          <w:rFonts w:eastAsia="Times New Roman" w:cs="Times New Roman"/>
          <w:i/>
          <w:iCs/>
          <w:szCs w:val="24"/>
          <w:lang w:eastAsia="sk-SK"/>
        </w:rPr>
        <w:t>303</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za Program Rybné hospodárstvo na úroveň </w:t>
      </w:r>
      <w:r w:rsidRPr="006645E5">
        <w:rPr>
          <w:rFonts w:eastAsia="Times New Roman" w:cs="Times New Roman"/>
          <w:i/>
          <w:iCs/>
          <w:szCs w:val="24"/>
          <w:lang w:eastAsia="sk-SK"/>
        </w:rPr>
        <w:t>0</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a</w:t>
      </w:r>
      <w:r>
        <w:rPr>
          <w:rFonts w:eastAsia="Times New Roman" w:cs="Times New Roman"/>
          <w:szCs w:val="24"/>
          <w:lang w:eastAsia="sk-SK"/>
        </w:rPr>
        <w:t> </w:t>
      </w:r>
      <w:r w:rsidRPr="006645E5">
        <w:rPr>
          <w:rFonts w:eastAsia="Times New Roman" w:cs="Times New Roman"/>
          <w:szCs w:val="24"/>
          <w:lang w:eastAsia="sk-SK"/>
        </w:rPr>
        <w:t>za</w:t>
      </w:r>
      <w:r>
        <w:rPr>
          <w:rFonts w:eastAsia="Times New Roman" w:cs="Times New Roman"/>
          <w:szCs w:val="24"/>
          <w:lang w:eastAsia="sk-SK"/>
        </w:rPr>
        <w:t> </w:t>
      </w:r>
      <w:r w:rsidRPr="006645E5">
        <w:rPr>
          <w:rFonts w:eastAsia="Times New Roman" w:cs="Times New Roman"/>
          <w:szCs w:val="24"/>
          <w:lang w:eastAsia="sk-SK"/>
        </w:rPr>
        <w:t xml:space="preserve">programy európskej územnej spolupráce, pre ktoré je MF SR platobným orgánom, na úroveň </w:t>
      </w:r>
      <w:r w:rsidRPr="006645E5">
        <w:rPr>
          <w:rFonts w:eastAsia="Times New Roman" w:cs="Times New Roman"/>
          <w:i/>
          <w:iCs/>
          <w:szCs w:val="24"/>
          <w:lang w:eastAsia="sk-SK"/>
        </w:rPr>
        <w:t>1</w:t>
      </w:r>
      <w:r>
        <w:rPr>
          <w:rFonts w:eastAsia="Times New Roman" w:cs="Times New Roman"/>
          <w:i/>
          <w:iCs/>
          <w:szCs w:val="24"/>
          <w:lang w:eastAsia="sk-SK"/>
        </w:rPr>
        <w:t> </w:t>
      </w:r>
      <w:r w:rsidRPr="006645E5">
        <w:rPr>
          <w:rFonts w:eastAsia="Times New Roman" w:cs="Times New Roman"/>
          <w:i/>
          <w:iCs/>
          <w:szCs w:val="24"/>
          <w:lang w:eastAsia="sk-SK"/>
        </w:rPr>
        <w:t>211</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Skutočné čerpanie výdavkov v roku 2025 bolo vo výške </w:t>
      </w:r>
      <w:r w:rsidRPr="006645E5">
        <w:rPr>
          <w:rFonts w:eastAsia="Times New Roman" w:cs="Times New Roman"/>
          <w:i/>
          <w:iCs/>
          <w:szCs w:val="24"/>
          <w:lang w:eastAsia="sk-SK"/>
        </w:rPr>
        <w:t>309</w:t>
      </w:r>
      <w:r>
        <w:rPr>
          <w:rFonts w:eastAsia="Times New Roman" w:cs="Times New Roman"/>
          <w:i/>
          <w:iCs/>
          <w:szCs w:val="24"/>
          <w:lang w:eastAsia="sk-SK"/>
        </w:rPr>
        <w:t> </w:t>
      </w:r>
      <w:r w:rsidRPr="006645E5">
        <w:rPr>
          <w:rFonts w:eastAsia="Times New Roman" w:cs="Times New Roman"/>
          <w:i/>
          <w:iCs/>
          <w:szCs w:val="24"/>
          <w:lang w:eastAsia="sk-SK"/>
        </w:rPr>
        <w:t>911</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 xml:space="preserve">eur, </w:t>
      </w:r>
      <w:r w:rsidRPr="006645E5">
        <w:rPr>
          <w:rFonts w:eastAsia="Times New Roman" w:cs="Times New Roman"/>
          <w:szCs w:val="24"/>
          <w:lang w:eastAsia="sk-SK"/>
        </w:rPr>
        <w:t>z toho</w:t>
      </w:r>
      <w:r w:rsidRPr="006645E5">
        <w:rPr>
          <w:rFonts w:eastAsia="Times New Roman" w:cs="Times New Roman"/>
          <w:i/>
          <w:iCs/>
          <w:szCs w:val="24"/>
          <w:lang w:eastAsia="sk-SK"/>
        </w:rPr>
        <w:t xml:space="preserve"> </w:t>
      </w:r>
      <w:r w:rsidRPr="006645E5">
        <w:rPr>
          <w:rFonts w:eastAsia="Times New Roman" w:cs="Times New Roman"/>
          <w:szCs w:val="24"/>
          <w:lang w:eastAsia="sk-SK"/>
        </w:rPr>
        <w:t>za</w:t>
      </w:r>
      <w:r>
        <w:rPr>
          <w:rFonts w:eastAsia="Times New Roman" w:cs="Times New Roman"/>
          <w:szCs w:val="24"/>
          <w:lang w:eastAsia="sk-SK"/>
        </w:rPr>
        <w:t> </w:t>
      </w:r>
      <w:r w:rsidRPr="006645E5">
        <w:rPr>
          <w:rFonts w:eastAsia="Times New Roman" w:cs="Times New Roman"/>
          <w:szCs w:val="24"/>
          <w:lang w:eastAsia="sk-SK"/>
        </w:rPr>
        <w:t xml:space="preserve">Program Slovensko vo výške </w:t>
      </w:r>
      <w:r w:rsidRPr="006645E5">
        <w:rPr>
          <w:rFonts w:eastAsia="Times New Roman" w:cs="Times New Roman"/>
          <w:i/>
          <w:iCs/>
          <w:szCs w:val="24"/>
          <w:lang w:eastAsia="sk-SK"/>
        </w:rPr>
        <w:t>308</w:t>
      </w:r>
      <w:r>
        <w:rPr>
          <w:rFonts w:eastAsia="Times New Roman" w:cs="Times New Roman"/>
          <w:i/>
          <w:iCs/>
          <w:szCs w:val="24"/>
          <w:lang w:eastAsia="sk-SK"/>
        </w:rPr>
        <w:t> </w:t>
      </w:r>
      <w:r w:rsidRPr="006645E5">
        <w:rPr>
          <w:rFonts w:eastAsia="Times New Roman" w:cs="Times New Roman"/>
          <w:i/>
          <w:iCs/>
          <w:szCs w:val="24"/>
          <w:lang w:eastAsia="sk-SK"/>
        </w:rPr>
        <w:t>700</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a za programy európskej územnej spolupráce, pre</w:t>
      </w:r>
      <w:r>
        <w:rPr>
          <w:rFonts w:eastAsia="Times New Roman" w:cs="Times New Roman"/>
          <w:szCs w:val="24"/>
          <w:lang w:eastAsia="sk-SK"/>
        </w:rPr>
        <w:t> </w:t>
      </w:r>
      <w:r w:rsidRPr="006645E5">
        <w:rPr>
          <w:rFonts w:eastAsia="Times New Roman" w:cs="Times New Roman"/>
          <w:szCs w:val="24"/>
          <w:lang w:eastAsia="sk-SK"/>
        </w:rPr>
        <w:t xml:space="preserve">ktoré je MF SR platobným orgánom, vo výške </w:t>
      </w:r>
      <w:r w:rsidRPr="006645E5">
        <w:rPr>
          <w:rFonts w:eastAsia="Times New Roman" w:cs="Times New Roman"/>
          <w:i/>
          <w:iCs/>
          <w:szCs w:val="24"/>
          <w:lang w:eastAsia="sk-SK"/>
        </w:rPr>
        <w:t>1</w:t>
      </w:r>
      <w:r>
        <w:rPr>
          <w:rFonts w:eastAsia="Times New Roman" w:cs="Times New Roman"/>
          <w:i/>
          <w:iCs/>
          <w:szCs w:val="24"/>
          <w:lang w:eastAsia="sk-SK"/>
        </w:rPr>
        <w:t> </w:t>
      </w:r>
      <w:r w:rsidRPr="006645E5">
        <w:rPr>
          <w:rFonts w:eastAsia="Times New Roman" w:cs="Times New Roman"/>
          <w:i/>
          <w:iCs/>
          <w:szCs w:val="24"/>
          <w:lang w:eastAsia="sk-SK"/>
        </w:rPr>
        <w:t>211</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Za Program Rybné hospodárstvo nedošlo v roku 2025 k čerpaniu.</w:t>
      </w:r>
    </w:p>
    <w:p w14:paraId="50F9E5B4" w14:textId="77777777" w:rsidR="006645E5" w:rsidRPr="006645E5" w:rsidRDefault="006645E5" w:rsidP="006645E5">
      <w:pPr>
        <w:spacing w:line="240" w:lineRule="auto"/>
        <w:jc w:val="both"/>
        <w:rPr>
          <w:rFonts w:eastAsia="Times New Roman" w:cs="Times New Roman"/>
          <w:szCs w:val="24"/>
          <w:lang w:eastAsia="sk-SK"/>
        </w:rPr>
      </w:pPr>
    </w:p>
    <w:p w14:paraId="1615BF2C" w14:textId="6B4B3B10" w:rsidR="006645E5" w:rsidRPr="006645E5" w:rsidRDefault="006645E5" w:rsidP="006645E5">
      <w:pPr>
        <w:spacing w:line="240" w:lineRule="auto"/>
        <w:jc w:val="both"/>
        <w:rPr>
          <w:rFonts w:eastAsia="Times New Roman" w:cs="Times New Roman"/>
          <w:szCs w:val="24"/>
          <w:lang w:eastAsia="sk-SK"/>
        </w:rPr>
      </w:pPr>
      <w:r w:rsidRPr="006645E5">
        <w:rPr>
          <w:rFonts w:eastAsia="Times New Roman" w:cs="Times New Roman"/>
          <w:szCs w:val="24"/>
          <w:lang w:eastAsia="sk-SK"/>
        </w:rPr>
        <w:t>Výdavky za 4.</w:t>
      </w:r>
      <w:r>
        <w:rPr>
          <w:rFonts w:eastAsia="Times New Roman" w:cs="Times New Roman"/>
          <w:szCs w:val="24"/>
          <w:lang w:eastAsia="sk-SK"/>
        </w:rPr>
        <w:t> </w:t>
      </w:r>
      <w:r w:rsidRPr="006645E5">
        <w:rPr>
          <w:rFonts w:eastAsia="Times New Roman" w:cs="Times New Roman"/>
          <w:szCs w:val="24"/>
          <w:lang w:eastAsia="sk-SK"/>
        </w:rPr>
        <w:t>programové obdobie na opatrenia súvisiace s vojnovým konfliktom na</w:t>
      </w:r>
      <w:r>
        <w:rPr>
          <w:rFonts w:eastAsia="Times New Roman" w:cs="Times New Roman"/>
          <w:szCs w:val="24"/>
          <w:lang w:eastAsia="sk-SK"/>
        </w:rPr>
        <w:t> </w:t>
      </w:r>
      <w:r w:rsidRPr="006645E5">
        <w:rPr>
          <w:rFonts w:eastAsia="Times New Roman" w:cs="Times New Roman"/>
          <w:szCs w:val="24"/>
          <w:lang w:eastAsia="sk-SK"/>
        </w:rPr>
        <w:t>Ukrajine realizované prostredníctvom kapitol MV SR, MŠVVM SR, MPSVR SR a MD SR boli vo</w:t>
      </w:r>
      <w:r>
        <w:rPr>
          <w:rFonts w:eastAsia="Times New Roman" w:cs="Times New Roman"/>
          <w:szCs w:val="24"/>
          <w:lang w:eastAsia="sk-SK"/>
        </w:rPr>
        <w:t> </w:t>
      </w:r>
      <w:r w:rsidRPr="006645E5">
        <w:rPr>
          <w:rFonts w:eastAsia="Times New Roman" w:cs="Times New Roman"/>
          <w:szCs w:val="24"/>
          <w:lang w:eastAsia="sk-SK"/>
        </w:rPr>
        <w:t xml:space="preserve">výške </w:t>
      </w:r>
      <w:r w:rsidRPr="006645E5">
        <w:rPr>
          <w:rFonts w:eastAsia="Times New Roman" w:cs="Times New Roman"/>
          <w:i/>
          <w:iCs/>
          <w:szCs w:val="24"/>
          <w:lang w:eastAsia="sk-SK"/>
        </w:rPr>
        <w:t>4</w:t>
      </w:r>
      <w:r>
        <w:rPr>
          <w:rFonts w:eastAsia="Times New Roman" w:cs="Times New Roman"/>
          <w:i/>
          <w:iCs/>
          <w:szCs w:val="24"/>
          <w:lang w:eastAsia="sk-SK"/>
        </w:rPr>
        <w:t> </w:t>
      </w:r>
      <w:r w:rsidRPr="006645E5">
        <w:rPr>
          <w:rFonts w:eastAsia="Times New Roman" w:cs="Times New Roman"/>
          <w:i/>
          <w:iCs/>
          <w:szCs w:val="24"/>
          <w:lang w:eastAsia="sk-SK"/>
        </w:rPr>
        <w:t>935</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w:t>
      </w:r>
      <w:r w:rsidRPr="006645E5">
        <w:rPr>
          <w:rFonts w:eastAsia="Times New Roman" w:cs="Times New Roman"/>
          <w:szCs w:val="24"/>
          <w:vertAlign w:val="superscript"/>
          <w:lang w:eastAsia="sk-SK"/>
        </w:rPr>
        <w:footnoteReference w:id="41"/>
      </w:r>
    </w:p>
    <w:p w14:paraId="5B53B859" w14:textId="04D27F6B" w:rsidR="006645E5" w:rsidRDefault="006645E5" w:rsidP="006645E5">
      <w:pPr>
        <w:spacing w:line="240" w:lineRule="auto"/>
        <w:jc w:val="both"/>
        <w:rPr>
          <w:rFonts w:eastAsia="Times New Roman" w:cs="Times New Roman"/>
          <w:szCs w:val="24"/>
          <w:lang w:eastAsia="sk-SK"/>
        </w:rPr>
      </w:pPr>
      <w:r w:rsidRPr="006645E5">
        <w:rPr>
          <w:rFonts w:eastAsia="Times New Roman" w:cs="Times New Roman"/>
          <w:b/>
          <w:szCs w:val="24"/>
          <w:lang w:eastAsia="sk-SK"/>
        </w:rPr>
        <w:t>Prostriedky za štrukturálne operácie MV SR</w:t>
      </w:r>
      <w:r w:rsidRPr="006645E5">
        <w:rPr>
          <w:rFonts w:eastAsia="Times New Roman" w:cs="Times New Roman"/>
          <w:szCs w:val="24"/>
          <w:lang w:eastAsia="sk-SK"/>
        </w:rPr>
        <w:t xml:space="preserve"> boli rozpočtované za 4.</w:t>
      </w:r>
      <w:r>
        <w:rPr>
          <w:rFonts w:eastAsia="Times New Roman" w:cs="Times New Roman"/>
          <w:szCs w:val="24"/>
          <w:lang w:eastAsia="sk-SK"/>
        </w:rPr>
        <w:t> </w:t>
      </w:r>
      <w:r w:rsidRPr="006645E5">
        <w:rPr>
          <w:rFonts w:eastAsia="Times New Roman" w:cs="Times New Roman"/>
          <w:szCs w:val="24"/>
          <w:lang w:eastAsia="sk-SK"/>
        </w:rPr>
        <w:t xml:space="preserve">programové obdobie 2021-2027 vo výške </w:t>
      </w:r>
      <w:r w:rsidRPr="006645E5">
        <w:rPr>
          <w:rFonts w:eastAsia="Times New Roman" w:cs="Times New Roman"/>
          <w:i/>
          <w:iCs/>
          <w:szCs w:val="24"/>
          <w:lang w:eastAsia="sk-SK"/>
        </w:rPr>
        <w:t>3</w:t>
      </w:r>
      <w:r>
        <w:rPr>
          <w:rFonts w:eastAsia="Times New Roman" w:cs="Times New Roman"/>
          <w:i/>
          <w:iCs/>
          <w:szCs w:val="24"/>
          <w:lang w:eastAsia="sk-SK"/>
        </w:rPr>
        <w:t> </w:t>
      </w:r>
      <w:r w:rsidRPr="006645E5">
        <w:rPr>
          <w:rFonts w:eastAsia="Times New Roman" w:cs="Times New Roman"/>
          <w:i/>
          <w:iCs/>
          <w:szCs w:val="24"/>
          <w:lang w:eastAsia="sk-SK"/>
        </w:rPr>
        <w:t>766</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za Fondy pre oblasť vnútorných záležitostí (Fond pre</w:t>
      </w:r>
      <w:r>
        <w:rPr>
          <w:rFonts w:eastAsia="Times New Roman" w:cs="Times New Roman"/>
          <w:szCs w:val="24"/>
          <w:lang w:eastAsia="sk-SK"/>
        </w:rPr>
        <w:t> </w:t>
      </w:r>
      <w:r w:rsidRPr="006645E5">
        <w:rPr>
          <w:rFonts w:eastAsia="Times New Roman" w:cs="Times New Roman"/>
          <w:szCs w:val="24"/>
          <w:lang w:eastAsia="sk-SK"/>
        </w:rPr>
        <w:t>azyl, migráciu a integráciu, Fond pre integrované riadenie hraníc, Fond pre vnútornú bezpečnosť). Rozpočet výdavkov bol upravený zohľadňujúc prostriedky zaviazané na</w:t>
      </w:r>
      <w:r>
        <w:rPr>
          <w:rFonts w:eastAsia="Times New Roman" w:cs="Times New Roman"/>
          <w:szCs w:val="24"/>
          <w:lang w:eastAsia="sk-SK"/>
        </w:rPr>
        <w:t> </w:t>
      </w:r>
      <w:r w:rsidRPr="006645E5">
        <w:rPr>
          <w:rFonts w:eastAsia="Times New Roman" w:cs="Times New Roman"/>
          <w:szCs w:val="24"/>
          <w:lang w:eastAsia="sk-SK"/>
        </w:rPr>
        <w:t xml:space="preserve">použitie v nasledujúcich rokoch na úroveň </w:t>
      </w:r>
      <w:r w:rsidRPr="006645E5">
        <w:rPr>
          <w:rFonts w:eastAsia="Times New Roman" w:cs="Times New Roman"/>
          <w:i/>
          <w:iCs/>
          <w:szCs w:val="24"/>
          <w:lang w:eastAsia="sk-SK"/>
        </w:rPr>
        <w:t>1</w:t>
      </w:r>
      <w:r>
        <w:rPr>
          <w:rFonts w:eastAsia="Times New Roman" w:cs="Times New Roman"/>
          <w:i/>
          <w:iCs/>
          <w:szCs w:val="24"/>
          <w:lang w:eastAsia="sk-SK"/>
        </w:rPr>
        <w:t> </w:t>
      </w:r>
      <w:r w:rsidRPr="006645E5">
        <w:rPr>
          <w:rFonts w:eastAsia="Times New Roman" w:cs="Times New Roman"/>
          <w:i/>
          <w:iCs/>
          <w:szCs w:val="24"/>
          <w:lang w:eastAsia="sk-SK"/>
        </w:rPr>
        <w:t>613</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 xml:space="preserve">eur </w:t>
      </w:r>
      <w:r w:rsidRPr="006645E5">
        <w:rPr>
          <w:rFonts w:eastAsia="Times New Roman" w:cs="Times New Roman"/>
          <w:szCs w:val="24"/>
          <w:lang w:eastAsia="sk-SK"/>
        </w:rPr>
        <w:t>a skutočné čerpanie výdavkov bolo na</w:t>
      </w:r>
      <w:r>
        <w:rPr>
          <w:rFonts w:eastAsia="Times New Roman" w:cs="Times New Roman"/>
          <w:szCs w:val="24"/>
          <w:lang w:eastAsia="sk-SK"/>
        </w:rPr>
        <w:t> </w:t>
      </w:r>
      <w:r w:rsidRPr="006645E5">
        <w:rPr>
          <w:rFonts w:eastAsia="Times New Roman" w:cs="Times New Roman"/>
          <w:szCs w:val="24"/>
          <w:lang w:eastAsia="sk-SK"/>
        </w:rPr>
        <w:t xml:space="preserve">úrovni </w:t>
      </w:r>
      <w:r w:rsidRPr="006645E5">
        <w:rPr>
          <w:rFonts w:eastAsia="Times New Roman" w:cs="Times New Roman"/>
          <w:i/>
          <w:iCs/>
          <w:szCs w:val="24"/>
          <w:lang w:eastAsia="sk-SK"/>
        </w:rPr>
        <w:t>1</w:t>
      </w:r>
      <w:r>
        <w:rPr>
          <w:rFonts w:eastAsia="Times New Roman" w:cs="Times New Roman"/>
          <w:i/>
          <w:iCs/>
          <w:szCs w:val="24"/>
          <w:lang w:eastAsia="sk-SK"/>
        </w:rPr>
        <w:t> </w:t>
      </w:r>
      <w:r w:rsidRPr="006645E5">
        <w:rPr>
          <w:rFonts w:eastAsia="Times New Roman" w:cs="Times New Roman"/>
          <w:i/>
          <w:iCs/>
          <w:szCs w:val="24"/>
          <w:lang w:eastAsia="sk-SK"/>
        </w:rPr>
        <w:t>613</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w:t>
      </w:r>
    </w:p>
    <w:p w14:paraId="27D7A966" w14:textId="77777777" w:rsidR="006645E5" w:rsidRPr="006645E5" w:rsidRDefault="006645E5" w:rsidP="006645E5">
      <w:pPr>
        <w:spacing w:line="240" w:lineRule="auto"/>
        <w:jc w:val="both"/>
        <w:rPr>
          <w:rFonts w:eastAsia="Times New Roman" w:cs="Times New Roman"/>
          <w:szCs w:val="24"/>
          <w:lang w:eastAsia="sk-SK"/>
        </w:rPr>
      </w:pPr>
    </w:p>
    <w:p w14:paraId="35D42578" w14:textId="11AB351B" w:rsidR="006645E5" w:rsidRDefault="006645E5" w:rsidP="006645E5">
      <w:pPr>
        <w:spacing w:line="240" w:lineRule="auto"/>
        <w:jc w:val="both"/>
        <w:rPr>
          <w:rFonts w:eastAsia="Times New Roman" w:cs="Times New Roman"/>
          <w:szCs w:val="24"/>
          <w:lang w:eastAsia="sk-SK"/>
        </w:rPr>
      </w:pPr>
      <w:r w:rsidRPr="006645E5">
        <w:rPr>
          <w:rFonts w:eastAsia="Times New Roman" w:cs="Times New Roman"/>
          <w:b/>
          <w:szCs w:val="24"/>
          <w:lang w:eastAsia="sk-SK"/>
        </w:rPr>
        <w:t>Prostriedky za poľnohospodárske fondy</w:t>
      </w:r>
      <w:r w:rsidRPr="006645E5">
        <w:rPr>
          <w:rFonts w:eastAsia="Times New Roman" w:cs="Times New Roman"/>
          <w:szCs w:val="24"/>
          <w:lang w:eastAsia="sk-SK"/>
        </w:rPr>
        <w:t xml:space="preserve"> za 3.</w:t>
      </w:r>
      <w:r>
        <w:rPr>
          <w:rFonts w:eastAsia="Times New Roman" w:cs="Times New Roman"/>
          <w:szCs w:val="24"/>
          <w:lang w:eastAsia="sk-SK"/>
        </w:rPr>
        <w:t> </w:t>
      </w:r>
      <w:r w:rsidRPr="006645E5">
        <w:rPr>
          <w:rFonts w:eastAsia="Times New Roman" w:cs="Times New Roman"/>
          <w:szCs w:val="24"/>
          <w:lang w:eastAsia="sk-SK"/>
        </w:rPr>
        <w:t>programové obdobie 2014-2022 už neboli v roku v roku 2025 rozpočtované, nakoľko boli narozpočtované do 100</w:t>
      </w:r>
      <w:r>
        <w:rPr>
          <w:rFonts w:eastAsia="Times New Roman" w:cs="Times New Roman"/>
          <w:szCs w:val="24"/>
          <w:lang w:eastAsia="sk-SK"/>
        </w:rPr>
        <w:t> </w:t>
      </w:r>
      <w:r w:rsidRPr="006645E5">
        <w:rPr>
          <w:rFonts w:eastAsia="Times New Roman" w:cs="Times New Roman"/>
          <w:szCs w:val="24"/>
          <w:lang w:eastAsia="sk-SK"/>
        </w:rPr>
        <w:t>% alokácie už v roku 2024. Úprava rozpočtu o nepoužité prostriedky z predchádzajúcich rokov v zmysle §</w:t>
      </w:r>
      <w:r>
        <w:rPr>
          <w:rFonts w:eastAsia="Times New Roman" w:cs="Times New Roman"/>
          <w:szCs w:val="24"/>
          <w:lang w:eastAsia="sk-SK"/>
        </w:rPr>
        <w:t> </w:t>
      </w:r>
      <w:r w:rsidRPr="006645E5">
        <w:rPr>
          <w:rFonts w:eastAsia="Times New Roman" w:cs="Times New Roman"/>
          <w:szCs w:val="24"/>
          <w:lang w:eastAsia="sk-SK"/>
        </w:rPr>
        <w:t>8 zákona o rozpočtových pravidlách a o vysporiadané finančné prostriedky za nezrovnalosti a vratky</w:t>
      </w:r>
      <w:r w:rsidRPr="006645E5">
        <w:rPr>
          <w:rFonts w:eastAsia="Times New Roman" w:cs="Times New Roman"/>
          <w:szCs w:val="24"/>
          <w:vertAlign w:val="superscript"/>
          <w:lang w:eastAsia="sk-SK"/>
        </w:rPr>
        <w:footnoteReference w:id="42"/>
      </w:r>
      <w:r w:rsidRPr="006645E5">
        <w:rPr>
          <w:rFonts w:eastAsia="Times New Roman" w:cs="Times New Roman"/>
          <w:szCs w:val="24"/>
          <w:lang w:eastAsia="sk-SK"/>
        </w:rPr>
        <w:t xml:space="preserve"> predstavovala úroveň </w:t>
      </w:r>
      <w:r w:rsidRPr="006645E5">
        <w:rPr>
          <w:rFonts w:eastAsia="Times New Roman" w:cs="Times New Roman"/>
          <w:i/>
          <w:iCs/>
          <w:szCs w:val="24"/>
          <w:lang w:eastAsia="sk-SK"/>
        </w:rPr>
        <w:t>218</w:t>
      </w:r>
      <w:r>
        <w:rPr>
          <w:rFonts w:eastAsia="Times New Roman" w:cs="Times New Roman"/>
          <w:i/>
          <w:iCs/>
          <w:szCs w:val="24"/>
          <w:lang w:eastAsia="sk-SK"/>
        </w:rPr>
        <w:t> </w:t>
      </w:r>
      <w:r w:rsidRPr="006645E5">
        <w:rPr>
          <w:rFonts w:eastAsia="Times New Roman" w:cs="Times New Roman"/>
          <w:i/>
          <w:iCs/>
          <w:szCs w:val="24"/>
          <w:lang w:eastAsia="sk-SK"/>
        </w:rPr>
        <w:t>389</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a to za Európsky poľnohospodársky fond pre</w:t>
      </w:r>
      <w:r>
        <w:rPr>
          <w:rFonts w:eastAsia="Times New Roman" w:cs="Times New Roman"/>
          <w:szCs w:val="24"/>
          <w:lang w:eastAsia="sk-SK"/>
        </w:rPr>
        <w:t> </w:t>
      </w:r>
      <w:r w:rsidRPr="006645E5">
        <w:rPr>
          <w:rFonts w:eastAsia="Times New Roman" w:cs="Times New Roman"/>
          <w:szCs w:val="24"/>
          <w:lang w:eastAsia="sk-SK"/>
        </w:rPr>
        <w:t>rozvoj vidieka, nakoľko legislatíva EÚ umožňovala prostriedky Programu rozvoja vidieka 3.</w:t>
      </w:r>
      <w:r>
        <w:rPr>
          <w:rFonts w:eastAsia="Times New Roman" w:cs="Times New Roman"/>
          <w:szCs w:val="24"/>
          <w:lang w:eastAsia="sk-SK"/>
        </w:rPr>
        <w:t> </w:t>
      </w:r>
      <w:r w:rsidRPr="006645E5">
        <w:rPr>
          <w:rFonts w:eastAsia="Times New Roman" w:cs="Times New Roman"/>
          <w:szCs w:val="24"/>
          <w:lang w:eastAsia="sk-SK"/>
        </w:rPr>
        <w:t>programového obdobia čerpať až do</w:t>
      </w:r>
      <w:r>
        <w:rPr>
          <w:rFonts w:eastAsia="Times New Roman" w:cs="Times New Roman"/>
          <w:szCs w:val="24"/>
          <w:lang w:eastAsia="sk-SK"/>
        </w:rPr>
        <w:t> </w:t>
      </w:r>
      <w:r w:rsidRPr="006645E5">
        <w:rPr>
          <w:rFonts w:eastAsia="Times New Roman" w:cs="Times New Roman"/>
          <w:szCs w:val="24"/>
          <w:lang w:eastAsia="sk-SK"/>
        </w:rPr>
        <w:t xml:space="preserve">31.12.2025. Skutočné čerpanie výdavkov bolo v roku 2025 vo výške </w:t>
      </w:r>
      <w:r w:rsidRPr="006645E5">
        <w:rPr>
          <w:rFonts w:eastAsia="Times New Roman" w:cs="Times New Roman"/>
          <w:i/>
          <w:iCs/>
          <w:szCs w:val="24"/>
          <w:lang w:eastAsia="sk-SK"/>
        </w:rPr>
        <w:t>132</w:t>
      </w:r>
      <w:r>
        <w:rPr>
          <w:rFonts w:eastAsia="Times New Roman" w:cs="Times New Roman"/>
          <w:i/>
          <w:iCs/>
          <w:szCs w:val="24"/>
          <w:lang w:eastAsia="sk-SK"/>
        </w:rPr>
        <w:t> </w:t>
      </w:r>
      <w:r w:rsidRPr="006645E5">
        <w:rPr>
          <w:rFonts w:eastAsia="Times New Roman" w:cs="Times New Roman"/>
          <w:i/>
          <w:iCs/>
          <w:szCs w:val="24"/>
          <w:lang w:eastAsia="sk-SK"/>
        </w:rPr>
        <w:t>847</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Zvyšné prostriedky neboli zaviazané z dôvodu pominutia účelu použitia prostriedkov.</w:t>
      </w:r>
    </w:p>
    <w:p w14:paraId="3EB86F4F" w14:textId="77777777" w:rsidR="006645E5" w:rsidRPr="006645E5" w:rsidRDefault="006645E5" w:rsidP="006645E5">
      <w:pPr>
        <w:spacing w:line="240" w:lineRule="auto"/>
        <w:jc w:val="both"/>
        <w:rPr>
          <w:rFonts w:eastAsia="Times New Roman" w:cs="Times New Roman"/>
          <w:szCs w:val="24"/>
          <w:lang w:eastAsia="sk-SK"/>
        </w:rPr>
      </w:pPr>
    </w:p>
    <w:p w14:paraId="26AE3F17" w14:textId="50F075BA" w:rsidR="006645E5" w:rsidRDefault="006645E5" w:rsidP="006645E5">
      <w:pPr>
        <w:spacing w:line="240" w:lineRule="auto"/>
        <w:jc w:val="both"/>
        <w:rPr>
          <w:rFonts w:eastAsia="Times New Roman" w:cs="Times New Roman"/>
          <w:i/>
          <w:iCs/>
          <w:szCs w:val="24"/>
          <w:lang w:eastAsia="sk-SK"/>
        </w:rPr>
      </w:pPr>
      <w:r w:rsidRPr="006645E5">
        <w:rPr>
          <w:rFonts w:eastAsia="Times New Roman" w:cs="Times New Roman"/>
          <w:szCs w:val="24"/>
          <w:lang w:eastAsia="sk-SK"/>
        </w:rPr>
        <w:t>V roku 2025 boli rozpočtované prostriedky za 4.</w:t>
      </w:r>
      <w:r>
        <w:rPr>
          <w:rFonts w:eastAsia="Times New Roman" w:cs="Times New Roman"/>
          <w:szCs w:val="24"/>
          <w:lang w:eastAsia="sk-SK"/>
        </w:rPr>
        <w:t> </w:t>
      </w:r>
      <w:r w:rsidRPr="006645E5">
        <w:rPr>
          <w:rFonts w:eastAsia="Times New Roman" w:cs="Times New Roman"/>
          <w:szCs w:val="24"/>
          <w:lang w:eastAsia="sk-SK"/>
        </w:rPr>
        <w:t>programové obdobie 2023-2027 za</w:t>
      </w:r>
      <w:r>
        <w:rPr>
          <w:rFonts w:eastAsia="Times New Roman" w:cs="Times New Roman"/>
          <w:szCs w:val="24"/>
          <w:lang w:eastAsia="sk-SK"/>
        </w:rPr>
        <w:t> </w:t>
      </w:r>
      <w:r w:rsidRPr="006645E5">
        <w:rPr>
          <w:rFonts w:eastAsia="Times New Roman" w:cs="Times New Roman"/>
          <w:szCs w:val="24"/>
          <w:lang w:eastAsia="sk-SK"/>
        </w:rPr>
        <w:t>Európsky poľnohospodársky záručný fond (Priame platby a Trhovo orientované výdavky) a</w:t>
      </w:r>
      <w:r>
        <w:rPr>
          <w:rFonts w:eastAsia="Times New Roman" w:cs="Times New Roman"/>
          <w:szCs w:val="24"/>
          <w:lang w:eastAsia="sk-SK"/>
        </w:rPr>
        <w:t> </w:t>
      </w:r>
      <w:r w:rsidRPr="006645E5">
        <w:rPr>
          <w:rFonts w:eastAsia="Times New Roman" w:cs="Times New Roman"/>
          <w:szCs w:val="24"/>
          <w:lang w:eastAsia="sk-SK"/>
        </w:rPr>
        <w:t>za</w:t>
      </w:r>
      <w:r>
        <w:rPr>
          <w:rFonts w:eastAsia="Times New Roman" w:cs="Times New Roman"/>
          <w:szCs w:val="24"/>
          <w:lang w:eastAsia="sk-SK"/>
        </w:rPr>
        <w:t> </w:t>
      </w:r>
      <w:r w:rsidRPr="006645E5">
        <w:rPr>
          <w:rFonts w:eastAsia="Times New Roman" w:cs="Times New Roman"/>
          <w:szCs w:val="24"/>
          <w:lang w:eastAsia="sk-SK"/>
        </w:rPr>
        <w:t xml:space="preserve">Európsky poľnohospodársky fond pre rozvoj vidieka vo výške </w:t>
      </w:r>
      <w:r w:rsidRPr="006645E5">
        <w:rPr>
          <w:rFonts w:eastAsia="Times New Roman" w:cs="Times New Roman"/>
          <w:i/>
          <w:iCs/>
          <w:szCs w:val="24"/>
          <w:lang w:eastAsia="sk-SK"/>
        </w:rPr>
        <w:t>137</w:t>
      </w:r>
      <w:r>
        <w:rPr>
          <w:rFonts w:eastAsia="Times New Roman" w:cs="Times New Roman"/>
          <w:i/>
          <w:iCs/>
          <w:szCs w:val="24"/>
          <w:lang w:eastAsia="sk-SK"/>
        </w:rPr>
        <w:t> </w:t>
      </w:r>
      <w:r w:rsidRPr="006645E5">
        <w:rPr>
          <w:rFonts w:eastAsia="Times New Roman" w:cs="Times New Roman"/>
          <w:i/>
          <w:iCs/>
          <w:szCs w:val="24"/>
          <w:lang w:eastAsia="sk-SK"/>
        </w:rPr>
        <w:t>663</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p>
    <w:p w14:paraId="65B81B37" w14:textId="77777777" w:rsidR="006645E5" w:rsidRPr="006645E5" w:rsidRDefault="006645E5" w:rsidP="006645E5">
      <w:pPr>
        <w:spacing w:line="240" w:lineRule="auto"/>
        <w:jc w:val="both"/>
        <w:rPr>
          <w:rFonts w:eastAsia="Times New Roman" w:cs="Times New Roman"/>
          <w:szCs w:val="24"/>
          <w:lang w:eastAsia="sk-SK"/>
        </w:rPr>
      </w:pPr>
    </w:p>
    <w:p w14:paraId="05B72EAD" w14:textId="7261ECF4" w:rsidR="006645E5" w:rsidRDefault="006645E5" w:rsidP="006645E5">
      <w:pPr>
        <w:spacing w:line="240" w:lineRule="auto"/>
        <w:jc w:val="both"/>
        <w:rPr>
          <w:rFonts w:eastAsia="Times New Roman" w:cs="Times New Roman"/>
          <w:szCs w:val="24"/>
          <w:lang w:eastAsia="sk-SK"/>
        </w:rPr>
      </w:pPr>
      <w:r w:rsidRPr="006645E5">
        <w:rPr>
          <w:rFonts w:eastAsia="Times New Roman" w:cs="Times New Roman"/>
          <w:szCs w:val="24"/>
          <w:lang w:eastAsia="sk-SK"/>
        </w:rPr>
        <w:t>Rozpočet výdavkov bol upravený o nepoužité prostriedky z predchádzajúcich rokov v zmysle §</w:t>
      </w:r>
      <w:r>
        <w:rPr>
          <w:rFonts w:eastAsia="Times New Roman" w:cs="Times New Roman"/>
          <w:szCs w:val="24"/>
          <w:lang w:eastAsia="sk-SK"/>
        </w:rPr>
        <w:t> </w:t>
      </w:r>
      <w:r w:rsidRPr="006645E5">
        <w:rPr>
          <w:rFonts w:eastAsia="Times New Roman" w:cs="Times New Roman"/>
          <w:szCs w:val="24"/>
          <w:lang w:eastAsia="sk-SK"/>
        </w:rPr>
        <w:t>8 zákona o rozpočtových pravidlách, o vysporiadané finančné prostriedky z</w:t>
      </w:r>
      <w:r>
        <w:rPr>
          <w:rFonts w:eastAsia="Times New Roman" w:cs="Times New Roman"/>
          <w:szCs w:val="24"/>
          <w:lang w:eastAsia="sk-SK"/>
        </w:rPr>
        <w:t>a </w:t>
      </w:r>
      <w:r w:rsidRPr="006645E5">
        <w:rPr>
          <w:rFonts w:eastAsia="Times New Roman" w:cs="Times New Roman"/>
          <w:szCs w:val="24"/>
          <w:lang w:eastAsia="sk-SK"/>
        </w:rPr>
        <w:t xml:space="preserve">nezrovnalosti </w:t>
      </w:r>
      <w:r w:rsidRPr="006645E5">
        <w:rPr>
          <w:rFonts w:eastAsia="Times New Roman" w:cs="Times New Roman"/>
          <w:szCs w:val="24"/>
          <w:lang w:eastAsia="sk-SK"/>
        </w:rPr>
        <w:lastRenderedPageBreak/>
        <w:t>a vratky</w:t>
      </w:r>
      <w:r w:rsidRPr="006645E5">
        <w:rPr>
          <w:rFonts w:eastAsia="Times New Roman" w:cs="Times New Roman"/>
          <w:szCs w:val="24"/>
          <w:vertAlign w:val="superscript"/>
          <w:lang w:eastAsia="sk-SK"/>
        </w:rPr>
        <w:footnoteReference w:id="43"/>
      </w:r>
      <w:r w:rsidRPr="006645E5">
        <w:rPr>
          <w:rFonts w:eastAsia="Times New Roman" w:cs="Times New Roman"/>
          <w:szCs w:val="24"/>
          <w:lang w:eastAsia="sk-SK"/>
        </w:rPr>
        <w:t xml:space="preserve"> a o presuny z dôvodu zmeny účelu použitia v rámci prechodnej vnútroštátnej pomoci na výšku </w:t>
      </w:r>
      <w:r w:rsidRPr="006645E5">
        <w:rPr>
          <w:rFonts w:eastAsia="Times New Roman" w:cs="Times New Roman"/>
          <w:i/>
          <w:iCs/>
          <w:szCs w:val="24"/>
          <w:lang w:eastAsia="sk-SK"/>
        </w:rPr>
        <w:t>119</w:t>
      </w:r>
      <w:r>
        <w:rPr>
          <w:rFonts w:eastAsia="Times New Roman" w:cs="Times New Roman"/>
          <w:i/>
          <w:iCs/>
          <w:szCs w:val="24"/>
          <w:lang w:eastAsia="sk-SK"/>
        </w:rPr>
        <w:t> </w:t>
      </w:r>
      <w:r w:rsidRPr="006645E5">
        <w:rPr>
          <w:rFonts w:eastAsia="Times New Roman" w:cs="Times New Roman"/>
          <w:i/>
          <w:iCs/>
          <w:szCs w:val="24"/>
          <w:lang w:eastAsia="sk-SK"/>
        </w:rPr>
        <w:t>476</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a skutočné čerpanie výdavkov bolo v roku 2025 vo</w:t>
      </w:r>
      <w:r>
        <w:rPr>
          <w:rFonts w:eastAsia="Times New Roman" w:cs="Times New Roman"/>
          <w:szCs w:val="24"/>
          <w:lang w:eastAsia="sk-SK"/>
        </w:rPr>
        <w:t> </w:t>
      </w:r>
      <w:r w:rsidRPr="006645E5">
        <w:rPr>
          <w:rFonts w:eastAsia="Times New Roman" w:cs="Times New Roman"/>
          <w:szCs w:val="24"/>
          <w:lang w:eastAsia="sk-SK"/>
        </w:rPr>
        <w:t xml:space="preserve">výške </w:t>
      </w:r>
      <w:r w:rsidRPr="006645E5">
        <w:rPr>
          <w:rFonts w:eastAsia="Times New Roman" w:cs="Times New Roman"/>
          <w:i/>
          <w:iCs/>
          <w:szCs w:val="24"/>
          <w:lang w:eastAsia="sk-SK"/>
        </w:rPr>
        <w:t>119</w:t>
      </w:r>
      <w:r>
        <w:rPr>
          <w:rFonts w:eastAsia="Times New Roman" w:cs="Times New Roman"/>
          <w:i/>
          <w:iCs/>
          <w:szCs w:val="24"/>
          <w:lang w:eastAsia="sk-SK"/>
        </w:rPr>
        <w:t> </w:t>
      </w:r>
      <w:r w:rsidRPr="006645E5">
        <w:rPr>
          <w:rFonts w:eastAsia="Times New Roman" w:cs="Times New Roman"/>
          <w:i/>
          <w:iCs/>
          <w:szCs w:val="24"/>
          <w:lang w:eastAsia="sk-SK"/>
        </w:rPr>
        <w:t>476</w:t>
      </w:r>
      <w:r>
        <w:rPr>
          <w:rFonts w:eastAsia="Times New Roman" w:cs="Times New Roman"/>
          <w:i/>
          <w:iCs/>
          <w:szCs w:val="24"/>
          <w:lang w:eastAsia="sk-SK"/>
        </w:rPr>
        <w:t> </w:t>
      </w:r>
      <w:r w:rsidRPr="006645E5">
        <w:rPr>
          <w:rFonts w:eastAsia="Times New Roman" w:cs="Times New Roman"/>
          <w:i/>
          <w:iCs/>
          <w:szCs w:val="24"/>
          <w:lang w:eastAsia="sk-SK"/>
        </w:rPr>
        <w:t>tis.</w:t>
      </w:r>
      <w:r>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w:t>
      </w:r>
    </w:p>
    <w:p w14:paraId="5F8643BD" w14:textId="77777777" w:rsidR="006645E5" w:rsidRDefault="006645E5" w:rsidP="006645E5">
      <w:pPr>
        <w:spacing w:line="240" w:lineRule="auto"/>
        <w:jc w:val="both"/>
        <w:rPr>
          <w:rFonts w:eastAsia="Times New Roman" w:cs="Times New Roman"/>
          <w:b/>
          <w:szCs w:val="24"/>
          <w:lang w:eastAsia="sk-SK"/>
        </w:rPr>
      </w:pPr>
      <w:r w:rsidRPr="006645E5">
        <w:rPr>
          <w:rFonts w:eastAsia="Times New Roman" w:cs="Times New Roman"/>
          <w:b/>
          <w:szCs w:val="24"/>
          <w:lang w:eastAsia="sk-SK"/>
        </w:rPr>
        <w:t>Spolufinancovanie zo štátneho rozpočtu k zahraničným grantom z prostriedkov EÚ a k zahraničným grantom poskytnutým na základe medzinárodných zmlúv</w:t>
      </w:r>
    </w:p>
    <w:p w14:paraId="3CE19FE6" w14:textId="588B81A9" w:rsidR="006645E5" w:rsidRDefault="006645E5" w:rsidP="006645E5">
      <w:pPr>
        <w:spacing w:line="240" w:lineRule="auto"/>
        <w:jc w:val="both"/>
        <w:rPr>
          <w:rFonts w:eastAsia="Times New Roman" w:cs="Times New Roman"/>
          <w:color w:val="000000" w:themeColor="text1"/>
          <w:szCs w:val="24"/>
          <w:lang w:eastAsia="sk-SK"/>
        </w:rPr>
      </w:pPr>
      <w:r w:rsidRPr="006645E5">
        <w:rPr>
          <w:rFonts w:eastAsia="Times New Roman" w:cs="Times New Roman"/>
          <w:color w:val="000000" w:themeColor="text1"/>
          <w:szCs w:val="24"/>
          <w:lang w:eastAsia="sk-SK"/>
        </w:rPr>
        <w:t>Schválený rozpočet výdavkov na spolufinancovanie zo štátneho rozpočtu k</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 xml:space="preserve">zahraničným grantom z prostriedkov EÚ a k zahraničným grantom poskytnutým na základe medzinárodných zmlúv na rok 2025 bol vo výške </w:t>
      </w:r>
      <w:r w:rsidRPr="006645E5">
        <w:rPr>
          <w:rFonts w:eastAsia="Times New Roman" w:cs="Times New Roman"/>
          <w:b/>
          <w:bCs/>
          <w:color w:val="000000" w:themeColor="text1"/>
          <w:szCs w:val="24"/>
          <w:lang w:eastAsia="sk-SK"/>
        </w:rPr>
        <w:t>9</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050</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tis.</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eur</w:t>
      </w:r>
      <w:r w:rsidRPr="006645E5">
        <w:rPr>
          <w:rFonts w:eastAsia="Times New Roman" w:cs="Times New Roman"/>
          <w:color w:val="000000" w:themeColor="text1"/>
          <w:szCs w:val="24"/>
          <w:lang w:eastAsia="sk-SK"/>
        </w:rPr>
        <w:t xml:space="preserve"> (z toho spolufinancovanie zo</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štátneho rozpočtu k zahraničným grantom z prostriedkov EÚ vo výške 3</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565</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tis.</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eur a spolufinancovanie k zahraničným grantom poskytnutým na základe medzinárodných zmlúv vo</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výške 5</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485</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tis.</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eur).</w:t>
      </w:r>
    </w:p>
    <w:p w14:paraId="294EAAAF" w14:textId="77777777" w:rsidR="006645E5" w:rsidRPr="006645E5" w:rsidRDefault="006645E5" w:rsidP="006645E5">
      <w:pPr>
        <w:spacing w:line="240" w:lineRule="auto"/>
        <w:jc w:val="both"/>
        <w:rPr>
          <w:rFonts w:eastAsia="Times New Roman" w:cs="Times New Roman"/>
          <w:color w:val="000000" w:themeColor="text1"/>
          <w:szCs w:val="24"/>
          <w:lang w:eastAsia="sk-SK"/>
        </w:rPr>
      </w:pPr>
    </w:p>
    <w:p w14:paraId="36C00629" w14:textId="6AB1BB4F" w:rsidR="006645E5" w:rsidRDefault="006645E5" w:rsidP="006645E5">
      <w:pPr>
        <w:spacing w:line="240" w:lineRule="auto"/>
        <w:jc w:val="both"/>
        <w:rPr>
          <w:rFonts w:eastAsia="Times New Roman" w:cs="Times New Roman"/>
          <w:color w:val="000000" w:themeColor="text1"/>
          <w:szCs w:val="24"/>
          <w:lang w:eastAsia="sk-SK"/>
        </w:rPr>
      </w:pPr>
      <w:r w:rsidRPr="006645E5">
        <w:rPr>
          <w:rFonts w:eastAsia="Times New Roman" w:cs="Times New Roman"/>
          <w:color w:val="000000" w:themeColor="text1"/>
          <w:szCs w:val="24"/>
          <w:lang w:eastAsia="sk-SK"/>
        </w:rPr>
        <w:t xml:space="preserve">Rozpočet výdavkov bol v prípade programov, ktorých výdavky neovplyvňujú LVV v roku 2025 upravený </w:t>
      </w:r>
      <w:r w:rsidRPr="006645E5">
        <w:rPr>
          <w:rFonts w:eastAsia="Times New Roman" w:cs="Times New Roman"/>
          <w:szCs w:val="24"/>
          <w:lang w:eastAsia="sk-SK"/>
        </w:rPr>
        <w:t>o nepoužité prostriedky z predchádzajúcich rokov v zmysle §</w:t>
      </w:r>
      <w:r>
        <w:rPr>
          <w:rFonts w:eastAsia="Times New Roman" w:cs="Times New Roman"/>
          <w:szCs w:val="24"/>
          <w:lang w:eastAsia="sk-SK"/>
        </w:rPr>
        <w:t> </w:t>
      </w:r>
      <w:r w:rsidRPr="006645E5">
        <w:rPr>
          <w:rFonts w:eastAsia="Times New Roman" w:cs="Times New Roman"/>
          <w:szCs w:val="24"/>
          <w:lang w:eastAsia="sk-SK"/>
        </w:rPr>
        <w:t xml:space="preserve">8 zákona o rozpočtových pravidlách </w:t>
      </w:r>
      <w:r w:rsidRPr="006645E5">
        <w:rPr>
          <w:rFonts w:eastAsia="Times New Roman" w:cs="Times New Roman"/>
          <w:color w:val="000000" w:themeColor="text1"/>
          <w:szCs w:val="24"/>
          <w:lang w:eastAsia="sk-SK"/>
        </w:rPr>
        <w:t xml:space="preserve">na úroveň </w:t>
      </w:r>
      <w:r w:rsidRPr="006645E5">
        <w:rPr>
          <w:rFonts w:eastAsia="Times New Roman" w:cs="Times New Roman"/>
          <w:b/>
          <w:bCs/>
          <w:color w:val="000000" w:themeColor="text1"/>
          <w:szCs w:val="24"/>
          <w:lang w:eastAsia="sk-SK"/>
        </w:rPr>
        <w:t>9</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897</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tis.</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eur</w:t>
      </w:r>
      <w:r w:rsidRPr="006645E5">
        <w:rPr>
          <w:rFonts w:eastAsia="Times New Roman" w:cs="Times New Roman"/>
          <w:color w:val="000000" w:themeColor="text1"/>
          <w:szCs w:val="24"/>
          <w:lang w:eastAsia="sk-SK"/>
        </w:rPr>
        <w:t xml:space="preserve"> (z toho spolufinancovanie zo</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štátneho rozpočtu k zahraničným grantom z prostriedkov EÚ vo výške 4</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412</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tis.</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eur a spolufinancovanie k zahraničným grantom poskytnutým na základe medzinárodných zmlúv zostal nezmenený a to vo výške 5</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485</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tis.</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eur).</w:t>
      </w:r>
    </w:p>
    <w:p w14:paraId="201ED3EF" w14:textId="77777777" w:rsidR="006645E5" w:rsidRPr="006645E5" w:rsidRDefault="006645E5" w:rsidP="006645E5">
      <w:pPr>
        <w:spacing w:line="240" w:lineRule="auto"/>
        <w:jc w:val="both"/>
        <w:rPr>
          <w:rFonts w:eastAsia="Times New Roman" w:cs="Times New Roman"/>
          <w:color w:val="000000" w:themeColor="text1"/>
          <w:szCs w:val="24"/>
          <w:lang w:eastAsia="sk-SK"/>
        </w:rPr>
      </w:pPr>
    </w:p>
    <w:p w14:paraId="7FB910EE" w14:textId="71B907D0" w:rsidR="006645E5" w:rsidRDefault="006645E5" w:rsidP="006645E5">
      <w:pPr>
        <w:spacing w:line="240" w:lineRule="auto"/>
        <w:jc w:val="both"/>
        <w:rPr>
          <w:rFonts w:eastAsia="Times New Roman" w:cs="Times New Roman"/>
          <w:color w:val="000000" w:themeColor="text1"/>
          <w:szCs w:val="24"/>
          <w:lang w:eastAsia="sk-SK"/>
        </w:rPr>
      </w:pPr>
      <w:r w:rsidRPr="006645E5">
        <w:rPr>
          <w:rFonts w:eastAsia="Times New Roman" w:cs="Times New Roman"/>
          <w:color w:val="000000" w:themeColor="text1"/>
          <w:szCs w:val="24"/>
          <w:lang w:eastAsia="sk-SK"/>
        </w:rPr>
        <w:t xml:space="preserve">Skutočné čerpanie výdavkov bolo vo výške </w:t>
      </w:r>
      <w:r w:rsidRPr="006645E5">
        <w:rPr>
          <w:rFonts w:eastAsia="Times New Roman" w:cs="Times New Roman"/>
          <w:b/>
          <w:bCs/>
          <w:color w:val="000000" w:themeColor="text1"/>
          <w:szCs w:val="24"/>
          <w:lang w:eastAsia="sk-SK"/>
        </w:rPr>
        <w:t>9</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897</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tis.</w:t>
      </w:r>
      <w:r>
        <w:rPr>
          <w:rFonts w:eastAsia="Times New Roman" w:cs="Times New Roman"/>
          <w:b/>
          <w:bCs/>
          <w:color w:val="000000" w:themeColor="text1"/>
          <w:szCs w:val="24"/>
          <w:lang w:eastAsia="sk-SK"/>
        </w:rPr>
        <w:t> </w:t>
      </w:r>
      <w:r w:rsidRPr="006645E5">
        <w:rPr>
          <w:rFonts w:eastAsia="Times New Roman" w:cs="Times New Roman"/>
          <w:b/>
          <w:bCs/>
          <w:color w:val="000000" w:themeColor="text1"/>
          <w:szCs w:val="24"/>
          <w:lang w:eastAsia="sk-SK"/>
        </w:rPr>
        <w:t>eur</w:t>
      </w:r>
      <w:r w:rsidRPr="006645E5">
        <w:rPr>
          <w:rFonts w:eastAsia="Times New Roman" w:cs="Times New Roman"/>
          <w:color w:val="000000" w:themeColor="text1"/>
          <w:szCs w:val="24"/>
          <w:lang w:eastAsia="sk-SK"/>
        </w:rPr>
        <w:t xml:space="preserve"> (z</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toho spolufinancovanie zo</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štátneho rozpočtu k zahraničným grantom z prostriedkov EÚ vo výške 4</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412</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tis.</w:t>
      </w:r>
      <w:r>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eur a spolufinancovanie k zahraničným grantom poskytnutým na základe medzinárodných zmlúv vo výške 5</w:t>
      </w:r>
      <w:r w:rsidR="00501FFE">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485</w:t>
      </w:r>
      <w:r w:rsidR="00501FFE">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tis. eur).</w:t>
      </w:r>
    </w:p>
    <w:p w14:paraId="2329700F" w14:textId="77777777" w:rsidR="00501FFE" w:rsidRPr="006645E5" w:rsidRDefault="00501FFE" w:rsidP="006645E5">
      <w:pPr>
        <w:spacing w:line="240" w:lineRule="auto"/>
        <w:jc w:val="both"/>
        <w:rPr>
          <w:rFonts w:eastAsia="Times New Roman" w:cs="Times New Roman"/>
          <w:color w:val="000000" w:themeColor="text1"/>
          <w:szCs w:val="24"/>
          <w:lang w:eastAsia="sk-SK"/>
        </w:rPr>
      </w:pPr>
    </w:p>
    <w:p w14:paraId="79CB89F2" w14:textId="0E0048EE" w:rsidR="006645E5" w:rsidRDefault="006645E5" w:rsidP="006645E5">
      <w:pPr>
        <w:spacing w:line="240" w:lineRule="auto"/>
        <w:jc w:val="both"/>
        <w:rPr>
          <w:rFonts w:eastAsia="Times New Roman" w:cs="Times New Roman"/>
          <w:color w:val="000000" w:themeColor="text1"/>
          <w:szCs w:val="24"/>
          <w:lang w:eastAsia="sk-SK"/>
        </w:rPr>
      </w:pPr>
      <w:r w:rsidRPr="006645E5">
        <w:rPr>
          <w:rFonts w:eastAsia="Times New Roman" w:cs="Times New Roman"/>
          <w:b/>
          <w:bCs/>
          <w:szCs w:val="24"/>
          <w:lang w:eastAsia="sk-SK"/>
        </w:rPr>
        <w:t>Spolufinancovanie k zahraničným grantom poskytnutým z prostriedkov EÚ</w:t>
      </w:r>
      <w:r w:rsidRPr="006645E5">
        <w:rPr>
          <w:rFonts w:eastAsia="Times New Roman" w:cs="Times New Roman"/>
          <w:szCs w:val="24"/>
          <w:lang w:eastAsia="sk-SK"/>
        </w:rPr>
        <w:t xml:space="preserve"> sa rozpočtuje v kapitolách zodpovedných za ich riadenie. </w:t>
      </w:r>
      <w:r w:rsidRPr="006645E5">
        <w:rPr>
          <w:rFonts w:eastAsia="Times New Roman" w:cs="Times New Roman"/>
          <w:szCs w:val="24"/>
          <w:u w:val="single"/>
          <w:lang w:eastAsia="sk-SK"/>
        </w:rPr>
        <w:t>Za programy európskej územnej spolupráce, pri</w:t>
      </w:r>
      <w:r w:rsidR="00501FFE">
        <w:rPr>
          <w:rFonts w:eastAsia="Times New Roman" w:cs="Times New Roman"/>
          <w:szCs w:val="24"/>
          <w:u w:val="single"/>
          <w:lang w:eastAsia="sk-SK"/>
        </w:rPr>
        <w:t> </w:t>
      </w:r>
      <w:r w:rsidRPr="006645E5">
        <w:rPr>
          <w:rFonts w:eastAsia="Times New Roman" w:cs="Times New Roman"/>
          <w:szCs w:val="24"/>
          <w:u w:val="single"/>
          <w:lang w:eastAsia="sk-SK"/>
        </w:rPr>
        <w:t>ktorých MF SR nie je platobným orgánom</w:t>
      </w:r>
      <w:r w:rsidRPr="006645E5">
        <w:rPr>
          <w:rFonts w:eastAsia="Times New Roman" w:cs="Times New Roman"/>
          <w:szCs w:val="24"/>
          <w:lang w:eastAsia="sk-SK"/>
        </w:rPr>
        <w:t>, sa rozpočtujú prostriedky na</w:t>
      </w:r>
      <w:r w:rsidR="00501FFE">
        <w:rPr>
          <w:rFonts w:eastAsia="Times New Roman" w:cs="Times New Roman"/>
          <w:szCs w:val="24"/>
          <w:lang w:eastAsia="sk-SK"/>
        </w:rPr>
        <w:t> </w:t>
      </w:r>
      <w:r w:rsidRPr="006645E5">
        <w:rPr>
          <w:rFonts w:eastAsia="Times New Roman" w:cs="Times New Roman"/>
          <w:szCs w:val="24"/>
          <w:lang w:eastAsia="sk-SK"/>
        </w:rPr>
        <w:t xml:space="preserve">spolufinancovanie v kapitole MIRRI SR, </w:t>
      </w:r>
      <w:r w:rsidRPr="006645E5">
        <w:rPr>
          <w:rFonts w:eastAsia="Times New Roman" w:cs="Times New Roman"/>
          <w:szCs w:val="24"/>
          <w:u w:val="single"/>
          <w:lang w:eastAsia="sk-SK"/>
        </w:rPr>
        <w:t>za programy medziregionálnej spolupráce</w:t>
      </w:r>
      <w:r w:rsidRPr="006645E5">
        <w:rPr>
          <w:rFonts w:eastAsia="Times New Roman" w:cs="Times New Roman"/>
          <w:szCs w:val="24"/>
          <w:lang w:eastAsia="sk-SK"/>
        </w:rPr>
        <w:t xml:space="preserve"> v kapitole MH SR a</w:t>
      </w:r>
      <w:r w:rsidR="00501FFE">
        <w:rPr>
          <w:rFonts w:eastAsia="Times New Roman" w:cs="Times New Roman"/>
          <w:szCs w:val="24"/>
          <w:lang w:eastAsia="sk-SK"/>
        </w:rPr>
        <w:t> </w:t>
      </w:r>
      <w:r w:rsidRPr="006645E5">
        <w:rPr>
          <w:rFonts w:eastAsia="Times New Roman" w:cs="Times New Roman"/>
          <w:szCs w:val="24"/>
          <w:u w:val="single"/>
          <w:lang w:eastAsia="sk-SK"/>
        </w:rPr>
        <w:t>za</w:t>
      </w:r>
      <w:r w:rsidR="00501FFE">
        <w:rPr>
          <w:rFonts w:eastAsia="Times New Roman" w:cs="Times New Roman"/>
          <w:szCs w:val="24"/>
          <w:u w:val="single"/>
          <w:lang w:eastAsia="sk-SK"/>
        </w:rPr>
        <w:t> </w:t>
      </w:r>
      <w:r w:rsidRPr="006645E5">
        <w:rPr>
          <w:rFonts w:eastAsia="Times New Roman" w:cs="Times New Roman"/>
          <w:szCs w:val="24"/>
          <w:u w:val="single"/>
          <w:lang w:eastAsia="sk-SK"/>
        </w:rPr>
        <w:t>programy nadnárodnej spolupráce</w:t>
      </w:r>
      <w:r w:rsidRPr="006645E5">
        <w:rPr>
          <w:rFonts w:eastAsia="Times New Roman" w:cs="Times New Roman"/>
          <w:szCs w:val="24"/>
          <w:lang w:eastAsia="sk-SK"/>
        </w:rPr>
        <w:t xml:space="preserve"> v kapitole MIRRI SR, pričom rozpočtované prostriedky sú v celkovej výške </w:t>
      </w:r>
      <w:r w:rsidRPr="006645E5">
        <w:rPr>
          <w:rFonts w:eastAsia="Times New Roman" w:cs="Times New Roman"/>
          <w:i/>
          <w:iCs/>
          <w:szCs w:val="24"/>
          <w:lang w:eastAsia="sk-SK"/>
        </w:rPr>
        <w:t>2</w:t>
      </w:r>
      <w:r w:rsidR="00501FFE">
        <w:rPr>
          <w:rFonts w:eastAsia="Times New Roman" w:cs="Times New Roman"/>
          <w:i/>
          <w:iCs/>
          <w:szCs w:val="24"/>
          <w:lang w:eastAsia="sk-SK"/>
        </w:rPr>
        <w:t> </w:t>
      </w:r>
      <w:r w:rsidRPr="006645E5">
        <w:rPr>
          <w:rFonts w:eastAsia="Times New Roman" w:cs="Times New Roman"/>
          <w:i/>
          <w:iCs/>
          <w:szCs w:val="24"/>
          <w:lang w:eastAsia="sk-SK"/>
        </w:rPr>
        <w:t>250</w:t>
      </w:r>
      <w:r w:rsidR="00501FFE">
        <w:rPr>
          <w:rFonts w:eastAsia="Times New Roman" w:cs="Times New Roman"/>
          <w:i/>
          <w:iCs/>
          <w:szCs w:val="24"/>
          <w:lang w:eastAsia="sk-SK"/>
        </w:rPr>
        <w:t> </w:t>
      </w:r>
      <w:r w:rsidRPr="006645E5">
        <w:rPr>
          <w:rFonts w:eastAsia="Times New Roman" w:cs="Times New Roman"/>
          <w:i/>
          <w:iCs/>
          <w:szCs w:val="24"/>
          <w:lang w:eastAsia="sk-SK"/>
        </w:rPr>
        <w:t>tis.</w:t>
      </w:r>
      <w:r w:rsidR="00501FFE">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w:t>
      </w:r>
      <w:r w:rsidRPr="006645E5">
        <w:rPr>
          <w:rFonts w:eastAsia="Times New Roman" w:cs="Times New Roman"/>
          <w:color w:val="000000" w:themeColor="text1"/>
          <w:szCs w:val="24"/>
          <w:lang w:eastAsia="sk-SK"/>
        </w:rPr>
        <w:t xml:space="preserve"> Rozpočet výdavkov bol v roku 2025 upravený na</w:t>
      </w:r>
      <w:r w:rsidR="00501FFE">
        <w:rPr>
          <w:rFonts w:eastAsia="Times New Roman" w:cs="Times New Roman"/>
          <w:color w:val="000000" w:themeColor="text1"/>
          <w:szCs w:val="24"/>
          <w:lang w:eastAsia="sk-SK"/>
        </w:rPr>
        <w:t> </w:t>
      </w:r>
      <w:r w:rsidRPr="006645E5">
        <w:rPr>
          <w:rFonts w:eastAsia="Times New Roman" w:cs="Times New Roman"/>
          <w:color w:val="000000" w:themeColor="text1"/>
          <w:szCs w:val="24"/>
          <w:lang w:eastAsia="sk-SK"/>
        </w:rPr>
        <w:t xml:space="preserve">úroveň </w:t>
      </w:r>
      <w:r w:rsidRPr="006645E5">
        <w:rPr>
          <w:rFonts w:eastAsia="Times New Roman" w:cs="Times New Roman"/>
          <w:i/>
          <w:iCs/>
          <w:color w:val="000000" w:themeColor="text1"/>
          <w:szCs w:val="24"/>
          <w:lang w:eastAsia="sk-SK"/>
        </w:rPr>
        <w:t>3</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106</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tis.</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 xml:space="preserve">eur </w:t>
      </w:r>
      <w:r w:rsidRPr="006645E5">
        <w:rPr>
          <w:rFonts w:eastAsia="Times New Roman" w:cs="Times New Roman"/>
          <w:color w:val="000000" w:themeColor="text1"/>
          <w:szCs w:val="24"/>
          <w:lang w:eastAsia="sk-SK"/>
        </w:rPr>
        <w:t>a</w:t>
      </w:r>
      <w:r w:rsidRPr="006645E5">
        <w:rPr>
          <w:rFonts w:eastAsia="Times New Roman" w:cs="Times New Roman"/>
          <w:i/>
          <w:iCs/>
          <w:color w:val="000000" w:themeColor="text1"/>
          <w:szCs w:val="24"/>
          <w:lang w:eastAsia="sk-SK"/>
        </w:rPr>
        <w:t xml:space="preserve"> </w:t>
      </w:r>
      <w:r w:rsidRPr="006645E5">
        <w:rPr>
          <w:rFonts w:eastAsia="Times New Roman" w:cs="Times New Roman"/>
          <w:color w:val="000000" w:themeColor="text1"/>
          <w:szCs w:val="24"/>
          <w:lang w:eastAsia="sk-SK"/>
        </w:rPr>
        <w:t xml:space="preserve">skutočné čerpanie výdavkov bolo vo výške </w:t>
      </w:r>
      <w:r w:rsidRPr="006645E5">
        <w:rPr>
          <w:rFonts w:eastAsia="Times New Roman" w:cs="Times New Roman"/>
          <w:i/>
          <w:iCs/>
          <w:color w:val="000000" w:themeColor="text1"/>
          <w:szCs w:val="24"/>
          <w:lang w:eastAsia="sk-SK"/>
        </w:rPr>
        <w:t>3</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106</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tis.</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eur.</w:t>
      </w:r>
      <w:r w:rsidRPr="006645E5">
        <w:rPr>
          <w:rFonts w:eastAsia="Times New Roman" w:cs="Times New Roman"/>
          <w:szCs w:val="24"/>
          <w:lang w:eastAsia="sk-SK"/>
        </w:rPr>
        <w:t xml:space="preserve"> </w:t>
      </w:r>
      <w:r w:rsidRPr="006645E5">
        <w:rPr>
          <w:rFonts w:eastAsia="Times New Roman" w:cs="Times New Roman"/>
          <w:szCs w:val="24"/>
          <w:u w:val="single"/>
          <w:lang w:eastAsia="sk-SK"/>
        </w:rPr>
        <w:t>Za</w:t>
      </w:r>
      <w:r w:rsidR="00501FFE">
        <w:rPr>
          <w:rFonts w:eastAsia="Times New Roman" w:cs="Times New Roman"/>
          <w:szCs w:val="24"/>
          <w:u w:val="single"/>
          <w:lang w:eastAsia="sk-SK"/>
        </w:rPr>
        <w:t> </w:t>
      </w:r>
      <w:r w:rsidRPr="006645E5">
        <w:rPr>
          <w:rFonts w:eastAsia="Times New Roman" w:cs="Times New Roman"/>
          <w:szCs w:val="24"/>
          <w:u w:val="single"/>
          <w:lang w:eastAsia="sk-SK"/>
        </w:rPr>
        <w:t>Program LIFE+</w:t>
      </w:r>
      <w:r w:rsidRPr="006645E5">
        <w:rPr>
          <w:rFonts w:eastAsia="Times New Roman" w:cs="Times New Roman"/>
          <w:szCs w:val="24"/>
          <w:lang w:eastAsia="sk-SK"/>
        </w:rPr>
        <w:t xml:space="preserve"> sa rozpočtujú prostriedky na spolufinancovanie v kapitole MŽP SR vo výške </w:t>
      </w:r>
      <w:r w:rsidRPr="006645E5">
        <w:rPr>
          <w:rFonts w:eastAsia="Times New Roman" w:cs="Times New Roman"/>
          <w:i/>
          <w:iCs/>
          <w:szCs w:val="24"/>
          <w:lang w:eastAsia="sk-SK"/>
        </w:rPr>
        <w:t>1</w:t>
      </w:r>
      <w:r w:rsidR="00501FFE">
        <w:rPr>
          <w:rFonts w:eastAsia="Times New Roman" w:cs="Times New Roman"/>
          <w:i/>
          <w:iCs/>
          <w:szCs w:val="24"/>
          <w:lang w:eastAsia="sk-SK"/>
        </w:rPr>
        <w:t> </w:t>
      </w:r>
      <w:r w:rsidRPr="006645E5">
        <w:rPr>
          <w:rFonts w:eastAsia="Times New Roman" w:cs="Times New Roman"/>
          <w:i/>
          <w:iCs/>
          <w:szCs w:val="24"/>
          <w:lang w:eastAsia="sk-SK"/>
        </w:rPr>
        <w:t>315</w:t>
      </w:r>
      <w:r w:rsidR="00501FFE">
        <w:rPr>
          <w:rFonts w:eastAsia="Times New Roman" w:cs="Times New Roman"/>
          <w:i/>
          <w:iCs/>
          <w:szCs w:val="24"/>
          <w:lang w:eastAsia="sk-SK"/>
        </w:rPr>
        <w:t> </w:t>
      </w:r>
      <w:r w:rsidRPr="006645E5">
        <w:rPr>
          <w:rFonts w:eastAsia="Times New Roman" w:cs="Times New Roman"/>
          <w:i/>
          <w:iCs/>
          <w:szCs w:val="24"/>
          <w:lang w:eastAsia="sk-SK"/>
        </w:rPr>
        <w:t>tis.</w:t>
      </w:r>
      <w:r w:rsidR="00501FFE">
        <w:rPr>
          <w:rFonts w:eastAsia="Times New Roman" w:cs="Times New Roman"/>
          <w:i/>
          <w:iCs/>
          <w:szCs w:val="24"/>
          <w:lang w:eastAsia="sk-SK"/>
        </w:rPr>
        <w:t> </w:t>
      </w:r>
      <w:r w:rsidRPr="006645E5">
        <w:rPr>
          <w:rFonts w:eastAsia="Times New Roman" w:cs="Times New Roman"/>
          <w:i/>
          <w:iCs/>
          <w:szCs w:val="24"/>
          <w:lang w:eastAsia="sk-SK"/>
        </w:rPr>
        <w:t>eur.</w:t>
      </w:r>
      <w:r w:rsidRPr="006645E5">
        <w:rPr>
          <w:rFonts w:eastAsia="Times New Roman" w:cs="Times New Roman"/>
          <w:szCs w:val="24"/>
          <w:lang w:eastAsia="sk-SK"/>
        </w:rPr>
        <w:t xml:space="preserve"> </w:t>
      </w:r>
      <w:r w:rsidRPr="006645E5">
        <w:rPr>
          <w:rFonts w:eastAsia="Times New Roman" w:cs="Times New Roman"/>
          <w:color w:val="000000" w:themeColor="text1"/>
          <w:szCs w:val="24"/>
          <w:lang w:eastAsia="sk-SK"/>
        </w:rPr>
        <w:t xml:space="preserve">Rozpočet výdavkov bol v roku 2025 upravený na úroveň </w:t>
      </w:r>
      <w:r w:rsidRPr="006645E5">
        <w:rPr>
          <w:rFonts w:eastAsia="Times New Roman" w:cs="Times New Roman"/>
          <w:i/>
          <w:iCs/>
          <w:color w:val="000000" w:themeColor="text1"/>
          <w:szCs w:val="24"/>
          <w:lang w:eastAsia="sk-SK"/>
        </w:rPr>
        <w:t>1</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306</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tis.</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 xml:space="preserve">eur </w:t>
      </w:r>
      <w:r w:rsidRPr="006645E5">
        <w:rPr>
          <w:rFonts w:eastAsia="Times New Roman" w:cs="Times New Roman"/>
          <w:color w:val="000000" w:themeColor="text1"/>
          <w:szCs w:val="24"/>
          <w:lang w:eastAsia="sk-SK"/>
        </w:rPr>
        <w:t xml:space="preserve">a skutočné čerpanie výdavkov bolo vo výške </w:t>
      </w:r>
      <w:r w:rsidRPr="006645E5">
        <w:rPr>
          <w:rFonts w:eastAsia="Times New Roman" w:cs="Times New Roman"/>
          <w:i/>
          <w:iCs/>
          <w:color w:val="000000" w:themeColor="text1"/>
          <w:szCs w:val="24"/>
          <w:lang w:eastAsia="sk-SK"/>
        </w:rPr>
        <w:t>1</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306</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tis.</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eur.</w:t>
      </w:r>
    </w:p>
    <w:p w14:paraId="1544761D" w14:textId="77777777" w:rsidR="00501FFE" w:rsidRPr="006645E5" w:rsidRDefault="00501FFE" w:rsidP="006645E5">
      <w:pPr>
        <w:spacing w:line="240" w:lineRule="auto"/>
        <w:jc w:val="both"/>
        <w:rPr>
          <w:rFonts w:eastAsia="Times New Roman" w:cs="Times New Roman"/>
          <w:szCs w:val="24"/>
          <w:lang w:eastAsia="sk-SK"/>
        </w:rPr>
      </w:pPr>
    </w:p>
    <w:p w14:paraId="35CA969D" w14:textId="63C8841C" w:rsidR="00501FFE" w:rsidRDefault="00DA3553" w:rsidP="006645E5">
      <w:pPr>
        <w:spacing w:line="240" w:lineRule="auto"/>
        <w:jc w:val="both"/>
        <w:rPr>
          <w:rFonts w:eastAsia="Times New Roman" w:cs="Times New Roman"/>
          <w:szCs w:val="24"/>
          <w:lang w:eastAsia="sk-SK"/>
        </w:rPr>
      </w:pPr>
      <w:r w:rsidRPr="00DA3553">
        <w:rPr>
          <w:rFonts w:eastAsia="Times New Roman" w:cs="Times New Roman"/>
          <w:b/>
          <w:bCs/>
          <w:szCs w:val="24"/>
          <w:lang w:eastAsia="sk-SK"/>
        </w:rPr>
        <w:t xml:space="preserve">Spolufinancovanie k zahraničným grantom poskytnutým na základe medzinárodných zmlúv </w:t>
      </w:r>
      <w:r w:rsidRPr="00860249">
        <w:rPr>
          <w:rFonts w:eastAsia="Times New Roman" w:cs="Times New Roman"/>
          <w:szCs w:val="24"/>
          <w:lang w:eastAsia="sk-SK"/>
        </w:rPr>
        <w:t>je alokované v kapitole VPS za programy Finančného mechanizmu EHP vo</w:t>
      </w:r>
      <w:r w:rsidR="00860249">
        <w:rPr>
          <w:rFonts w:eastAsia="Times New Roman" w:cs="Times New Roman"/>
          <w:szCs w:val="24"/>
          <w:lang w:eastAsia="sk-SK"/>
        </w:rPr>
        <w:t> </w:t>
      </w:r>
      <w:r w:rsidRPr="00860249">
        <w:rPr>
          <w:rFonts w:eastAsia="Times New Roman" w:cs="Times New Roman"/>
          <w:szCs w:val="24"/>
          <w:lang w:eastAsia="sk-SK"/>
        </w:rPr>
        <w:t xml:space="preserve">výške </w:t>
      </w:r>
      <w:r w:rsidRPr="00860249">
        <w:rPr>
          <w:rFonts w:eastAsia="Times New Roman" w:cs="Times New Roman"/>
          <w:i/>
          <w:iCs/>
          <w:szCs w:val="24"/>
          <w:lang w:eastAsia="sk-SK"/>
        </w:rPr>
        <w:t>163</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a NFM vo výške </w:t>
      </w:r>
      <w:r w:rsidRPr="00860249">
        <w:rPr>
          <w:rFonts w:eastAsia="Times New Roman" w:cs="Times New Roman"/>
          <w:i/>
          <w:iCs/>
          <w:szCs w:val="24"/>
          <w:lang w:eastAsia="sk-SK"/>
        </w:rPr>
        <w:t>175</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a v kapitole MIRRI SR za program ŠFM vo</w:t>
      </w:r>
      <w:r w:rsidR="00860249">
        <w:rPr>
          <w:rFonts w:eastAsia="Times New Roman" w:cs="Times New Roman"/>
          <w:szCs w:val="24"/>
          <w:lang w:eastAsia="sk-SK"/>
        </w:rPr>
        <w:t> </w:t>
      </w:r>
      <w:r w:rsidRPr="00860249">
        <w:rPr>
          <w:rFonts w:eastAsia="Times New Roman" w:cs="Times New Roman"/>
          <w:szCs w:val="24"/>
          <w:lang w:eastAsia="sk-SK"/>
        </w:rPr>
        <w:t xml:space="preserve">výške </w:t>
      </w:r>
      <w:r w:rsidRPr="00860249">
        <w:rPr>
          <w:rFonts w:eastAsia="Times New Roman" w:cs="Times New Roman"/>
          <w:i/>
          <w:iCs/>
          <w:szCs w:val="24"/>
          <w:lang w:eastAsia="sk-SK"/>
        </w:rPr>
        <w:t>5</w:t>
      </w:r>
      <w:r w:rsidR="00860249">
        <w:rPr>
          <w:rFonts w:eastAsia="Times New Roman" w:cs="Times New Roman"/>
          <w:i/>
          <w:iCs/>
          <w:szCs w:val="24"/>
          <w:lang w:eastAsia="sk-SK"/>
        </w:rPr>
        <w:t> </w:t>
      </w:r>
      <w:r w:rsidRPr="00860249">
        <w:rPr>
          <w:rFonts w:eastAsia="Times New Roman" w:cs="Times New Roman"/>
          <w:i/>
          <w:iCs/>
          <w:szCs w:val="24"/>
          <w:lang w:eastAsia="sk-SK"/>
        </w:rPr>
        <w:t>147</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(z toho vo výške </w:t>
      </w:r>
      <w:r w:rsidRPr="00860249">
        <w:rPr>
          <w:rFonts w:eastAsia="Times New Roman" w:cs="Times New Roman"/>
          <w:i/>
          <w:iCs/>
          <w:szCs w:val="24"/>
          <w:lang w:eastAsia="sk-SK"/>
        </w:rPr>
        <w:t>615</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na spolufinancovanie projektov a</w:t>
      </w:r>
      <w:r w:rsidR="00860249">
        <w:rPr>
          <w:rFonts w:eastAsia="Times New Roman" w:cs="Times New Roman"/>
          <w:szCs w:val="24"/>
          <w:lang w:eastAsia="sk-SK"/>
        </w:rPr>
        <w:t> </w:t>
      </w:r>
      <w:r w:rsidRPr="00860249">
        <w:rPr>
          <w:rFonts w:eastAsia="Times New Roman" w:cs="Times New Roman"/>
          <w:szCs w:val="24"/>
          <w:lang w:eastAsia="sk-SK"/>
        </w:rPr>
        <w:t>vo</w:t>
      </w:r>
      <w:r w:rsidR="00860249">
        <w:rPr>
          <w:rFonts w:eastAsia="Times New Roman" w:cs="Times New Roman"/>
          <w:szCs w:val="24"/>
          <w:lang w:eastAsia="sk-SK"/>
        </w:rPr>
        <w:t> </w:t>
      </w:r>
      <w:r w:rsidRPr="00860249">
        <w:rPr>
          <w:rFonts w:eastAsia="Times New Roman" w:cs="Times New Roman"/>
          <w:szCs w:val="24"/>
          <w:lang w:eastAsia="sk-SK"/>
        </w:rPr>
        <w:t xml:space="preserve">výške </w:t>
      </w:r>
      <w:r w:rsidRPr="00860249">
        <w:rPr>
          <w:rFonts w:eastAsia="Times New Roman" w:cs="Times New Roman"/>
          <w:i/>
          <w:iCs/>
          <w:szCs w:val="24"/>
          <w:lang w:eastAsia="sk-SK"/>
        </w:rPr>
        <w:t>4</w:t>
      </w:r>
      <w:r w:rsidR="00860249">
        <w:rPr>
          <w:rFonts w:eastAsia="Times New Roman" w:cs="Times New Roman"/>
          <w:i/>
          <w:iCs/>
          <w:szCs w:val="24"/>
          <w:lang w:eastAsia="sk-SK"/>
        </w:rPr>
        <w:t> </w:t>
      </w:r>
      <w:r w:rsidRPr="00860249">
        <w:rPr>
          <w:rFonts w:eastAsia="Times New Roman" w:cs="Times New Roman"/>
          <w:i/>
          <w:iCs/>
          <w:szCs w:val="24"/>
          <w:lang w:eastAsia="sk-SK"/>
        </w:rPr>
        <w:t>532</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na účel zabezpečenie predplatenia projektov). Upravený rozpočet bol v roku 2025 na úrovni schváleného rozpočtu a zároveň na úrovni skutočného čerpania a to vo</w:t>
      </w:r>
      <w:r w:rsidR="00860249">
        <w:rPr>
          <w:rFonts w:eastAsia="Times New Roman" w:cs="Times New Roman"/>
          <w:szCs w:val="24"/>
          <w:lang w:eastAsia="sk-SK"/>
        </w:rPr>
        <w:t> </w:t>
      </w:r>
      <w:r w:rsidRPr="00860249">
        <w:rPr>
          <w:rFonts w:eastAsia="Times New Roman" w:cs="Times New Roman"/>
          <w:szCs w:val="24"/>
          <w:lang w:eastAsia="sk-SK"/>
        </w:rPr>
        <w:t xml:space="preserve">výške </w:t>
      </w:r>
      <w:r w:rsidRPr="00860249">
        <w:rPr>
          <w:rFonts w:eastAsia="Times New Roman" w:cs="Times New Roman"/>
          <w:i/>
          <w:iCs/>
          <w:szCs w:val="24"/>
          <w:lang w:eastAsia="sk-SK"/>
        </w:rPr>
        <w:t>163</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v prípade EHP, </w:t>
      </w:r>
      <w:r w:rsidRPr="00860249">
        <w:rPr>
          <w:rFonts w:eastAsia="Times New Roman" w:cs="Times New Roman"/>
          <w:i/>
          <w:iCs/>
          <w:szCs w:val="24"/>
          <w:lang w:eastAsia="sk-SK"/>
        </w:rPr>
        <w:t>175</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t> </w:t>
      </w:r>
      <w:r w:rsidRPr="00860249">
        <w:rPr>
          <w:rFonts w:eastAsia="Times New Roman" w:cs="Times New Roman"/>
          <w:i/>
          <w:iCs/>
          <w:szCs w:val="24"/>
          <w:lang w:eastAsia="sk-SK"/>
        </w:rPr>
        <w:t>eur</w:t>
      </w:r>
      <w:r w:rsidRPr="00860249">
        <w:rPr>
          <w:rFonts w:eastAsia="Times New Roman" w:cs="Times New Roman"/>
          <w:szCs w:val="24"/>
          <w:lang w:eastAsia="sk-SK"/>
        </w:rPr>
        <w:t xml:space="preserve"> v prípade NFM a</w:t>
      </w:r>
      <w:r w:rsidRPr="00860249">
        <w:rPr>
          <w:rFonts w:eastAsia="Times New Roman" w:cs="Times New Roman"/>
          <w:i/>
          <w:iCs/>
          <w:szCs w:val="24"/>
          <w:lang w:eastAsia="sk-SK"/>
        </w:rPr>
        <w:t xml:space="preserve"> 5</w:t>
      </w:r>
      <w:r w:rsidR="00860249">
        <w:rPr>
          <w:rFonts w:eastAsia="Times New Roman" w:cs="Times New Roman"/>
          <w:i/>
          <w:iCs/>
          <w:szCs w:val="24"/>
          <w:lang w:eastAsia="sk-SK"/>
        </w:rPr>
        <w:t> </w:t>
      </w:r>
      <w:r w:rsidRPr="00860249">
        <w:rPr>
          <w:rFonts w:eastAsia="Times New Roman" w:cs="Times New Roman"/>
          <w:i/>
          <w:iCs/>
          <w:szCs w:val="24"/>
          <w:lang w:eastAsia="sk-SK"/>
        </w:rPr>
        <w:t>147</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 xml:space="preserve">eur </w:t>
      </w:r>
      <w:r w:rsidRPr="00860249">
        <w:rPr>
          <w:rFonts w:eastAsia="Times New Roman" w:cs="Times New Roman"/>
          <w:szCs w:val="24"/>
          <w:lang w:eastAsia="sk-SK"/>
        </w:rPr>
        <w:t>v prípade ŠFM</w:t>
      </w:r>
      <w:r w:rsidRPr="00860249">
        <w:rPr>
          <w:rFonts w:eastAsia="Times New Roman" w:cs="Times New Roman"/>
          <w:i/>
          <w:iCs/>
          <w:szCs w:val="24"/>
          <w:lang w:eastAsia="sk-SK"/>
        </w:rPr>
        <w:t xml:space="preserve">. </w:t>
      </w:r>
      <w:r w:rsidRPr="00860249">
        <w:rPr>
          <w:rFonts w:eastAsia="Times New Roman" w:cs="Times New Roman"/>
          <w:szCs w:val="24"/>
          <w:lang w:eastAsia="sk-SK"/>
        </w:rPr>
        <w:t>Prostriedky boli poukázané na samostatný účet certifikačného orgánu MF SR vo</w:t>
      </w:r>
      <w:r w:rsidR="00860249">
        <w:rPr>
          <w:rFonts w:eastAsia="Times New Roman" w:cs="Times New Roman"/>
          <w:szCs w:val="24"/>
          <w:lang w:eastAsia="sk-SK"/>
        </w:rPr>
        <w:t> </w:t>
      </w:r>
      <w:r w:rsidRPr="00860249">
        <w:rPr>
          <w:rFonts w:eastAsia="Times New Roman" w:cs="Times New Roman"/>
          <w:szCs w:val="24"/>
          <w:lang w:eastAsia="sk-SK"/>
        </w:rPr>
        <w:t xml:space="preserve">výške </w:t>
      </w:r>
      <w:r w:rsidRPr="00860249">
        <w:rPr>
          <w:rFonts w:eastAsia="Times New Roman" w:cs="Times New Roman"/>
          <w:i/>
          <w:iCs/>
          <w:szCs w:val="24"/>
          <w:lang w:eastAsia="sk-SK"/>
        </w:rPr>
        <w:t>163</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v prípade EHP a</w:t>
      </w:r>
      <w:r w:rsidR="00860249">
        <w:rPr>
          <w:rFonts w:eastAsia="Times New Roman" w:cs="Times New Roman"/>
          <w:szCs w:val="24"/>
          <w:lang w:eastAsia="sk-SK"/>
        </w:rPr>
        <w:t> </w:t>
      </w:r>
      <w:r w:rsidRPr="00860249">
        <w:rPr>
          <w:rFonts w:eastAsia="Times New Roman" w:cs="Times New Roman"/>
          <w:i/>
          <w:iCs/>
          <w:szCs w:val="24"/>
          <w:lang w:eastAsia="sk-SK"/>
        </w:rPr>
        <w:t>175</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v prípade NFM a na účet certifikačného platobného orgánu MIRRI SR</w:t>
      </w:r>
      <w:r w:rsidRPr="00860249">
        <w:rPr>
          <w:rFonts w:eastAsia="Times New Roman" w:cs="Times New Roman"/>
          <w:i/>
          <w:iCs/>
          <w:szCs w:val="24"/>
          <w:lang w:eastAsia="sk-SK"/>
        </w:rPr>
        <w:t xml:space="preserve"> vo výške 5</w:t>
      </w:r>
      <w:r w:rsidR="00860249">
        <w:rPr>
          <w:rFonts w:eastAsia="Times New Roman" w:cs="Times New Roman"/>
          <w:i/>
          <w:iCs/>
          <w:szCs w:val="24"/>
          <w:lang w:eastAsia="sk-SK"/>
        </w:rPr>
        <w:t> </w:t>
      </w:r>
      <w:r w:rsidRPr="00860249">
        <w:rPr>
          <w:rFonts w:eastAsia="Times New Roman" w:cs="Times New Roman"/>
          <w:i/>
          <w:iCs/>
          <w:szCs w:val="24"/>
          <w:lang w:eastAsia="sk-SK"/>
        </w:rPr>
        <w:t>147</w:t>
      </w:r>
      <w:r w:rsidR="00860249">
        <w:rPr>
          <w:rFonts w:eastAsia="Times New Roman" w:cs="Times New Roman"/>
          <w:i/>
          <w:iCs/>
          <w:szCs w:val="24"/>
          <w:lang w:eastAsia="sk-SK"/>
        </w:rPr>
        <w:t> </w:t>
      </w:r>
      <w:r w:rsidRPr="00860249">
        <w:rPr>
          <w:rFonts w:eastAsia="Times New Roman" w:cs="Times New Roman"/>
          <w:i/>
          <w:iCs/>
          <w:szCs w:val="24"/>
          <w:lang w:eastAsia="sk-SK"/>
        </w:rPr>
        <w:t>tis.</w:t>
      </w:r>
      <w:r w:rsidR="00860249">
        <w:rPr>
          <w:rFonts w:eastAsia="Times New Roman" w:cs="Times New Roman"/>
          <w:i/>
          <w:iCs/>
          <w:szCs w:val="24"/>
          <w:lang w:eastAsia="sk-SK"/>
        </w:rPr>
        <w:t> </w:t>
      </w:r>
      <w:r w:rsidRPr="00860249">
        <w:rPr>
          <w:rFonts w:eastAsia="Times New Roman" w:cs="Times New Roman"/>
          <w:i/>
          <w:iCs/>
          <w:szCs w:val="24"/>
          <w:lang w:eastAsia="sk-SK"/>
        </w:rPr>
        <w:t>eur</w:t>
      </w:r>
      <w:r w:rsidRPr="00860249">
        <w:rPr>
          <w:rFonts w:eastAsia="Times New Roman" w:cs="Times New Roman"/>
          <w:szCs w:val="24"/>
          <w:lang w:eastAsia="sk-SK"/>
        </w:rPr>
        <w:t xml:space="preserve"> v prípade ŠFM</w:t>
      </w:r>
      <w:r w:rsidR="00860249">
        <w:rPr>
          <w:rFonts w:eastAsia="Times New Roman" w:cs="Times New Roman"/>
          <w:szCs w:val="24"/>
          <w:lang w:eastAsia="sk-SK"/>
        </w:rPr>
        <w:t>.</w:t>
      </w:r>
    </w:p>
    <w:p w14:paraId="1B3E628D" w14:textId="77777777" w:rsidR="00860249" w:rsidRPr="006645E5" w:rsidRDefault="00860249" w:rsidP="006645E5">
      <w:pPr>
        <w:spacing w:line="240" w:lineRule="auto"/>
        <w:jc w:val="both"/>
        <w:rPr>
          <w:rFonts w:eastAsia="Times New Roman" w:cs="Times New Roman"/>
          <w:color w:val="000000" w:themeColor="text1"/>
          <w:szCs w:val="24"/>
          <w:lang w:eastAsia="sk-SK"/>
        </w:rPr>
      </w:pPr>
    </w:p>
    <w:p w14:paraId="671C9FFD" w14:textId="60257AD9" w:rsidR="006645E5" w:rsidRDefault="006645E5" w:rsidP="006645E5">
      <w:pPr>
        <w:spacing w:line="240" w:lineRule="auto"/>
        <w:jc w:val="both"/>
        <w:rPr>
          <w:rFonts w:eastAsia="Times New Roman" w:cs="Times New Roman"/>
          <w:color w:val="000000" w:themeColor="text1"/>
          <w:szCs w:val="24"/>
          <w:lang w:eastAsia="sk-SK"/>
        </w:rPr>
      </w:pPr>
      <w:r w:rsidRPr="006645E5">
        <w:rPr>
          <w:rFonts w:eastAsia="Times New Roman" w:cs="Times New Roman"/>
          <w:b/>
          <w:bCs/>
          <w:szCs w:val="24"/>
          <w:lang w:eastAsia="sk-SK"/>
        </w:rPr>
        <w:lastRenderedPageBreak/>
        <w:t xml:space="preserve">Spolufinancovanie k prostriedkom na spolufinancovanie Vnútorných politík EÚ </w:t>
      </w:r>
      <w:r w:rsidRPr="006645E5">
        <w:rPr>
          <w:rFonts w:eastAsia="Times New Roman" w:cs="Times New Roman"/>
          <w:szCs w:val="24"/>
          <w:lang w:eastAsia="sk-SK"/>
        </w:rPr>
        <w:t xml:space="preserve">(fondy pre </w:t>
      </w:r>
      <w:r w:rsidRPr="006645E5">
        <w:rPr>
          <w:rFonts w:eastAsia="Times New Roman" w:cs="Times New Roman"/>
          <w:bCs/>
          <w:szCs w:val="24"/>
          <w:lang w:eastAsia="sk-SK"/>
        </w:rPr>
        <w:t xml:space="preserve">oblasť vnútorných záležitostí na </w:t>
      </w:r>
      <w:r w:rsidRPr="006645E5">
        <w:rPr>
          <w:rFonts w:eastAsia="Times New Roman" w:cs="Times New Roman"/>
          <w:szCs w:val="24"/>
          <w:lang w:eastAsia="sk-SK"/>
        </w:rPr>
        <w:t>roky 2014 – 2020) sa rozpočtuje v kapitole zodpovednej za ich riadenie, ktorou je MV SR,</w:t>
      </w:r>
      <w:r w:rsidRPr="006645E5">
        <w:rPr>
          <w:rFonts w:eastAsia="Times New Roman" w:cs="Times New Roman"/>
          <w:color w:val="000000" w:themeColor="text1"/>
          <w:szCs w:val="24"/>
          <w:lang w:eastAsia="sk-SK"/>
        </w:rPr>
        <w:t xml:space="preserve"> vo výške </w:t>
      </w:r>
      <w:r w:rsidRPr="006645E5">
        <w:rPr>
          <w:rFonts w:eastAsia="Times New Roman" w:cs="Times New Roman"/>
          <w:i/>
          <w:iCs/>
          <w:color w:val="000000" w:themeColor="text1"/>
          <w:szCs w:val="24"/>
          <w:lang w:eastAsia="sk-SK"/>
        </w:rPr>
        <w:t>150</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tis.</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eur</w:t>
      </w:r>
      <w:r w:rsidRPr="006645E5">
        <w:rPr>
          <w:rFonts w:eastAsia="Times New Roman" w:cs="Times New Roman"/>
          <w:color w:val="000000" w:themeColor="text1"/>
          <w:szCs w:val="24"/>
          <w:lang w:eastAsia="sk-SK"/>
        </w:rPr>
        <w:t>. Rozpočet výdavkov bol v </w:t>
      </w:r>
      <w:r w:rsidRPr="006645E5">
        <w:rPr>
          <w:rFonts w:eastAsia="Times New Roman" w:cs="Times New Roman"/>
          <w:szCs w:val="24"/>
          <w:lang w:eastAsia="sk-SK"/>
        </w:rPr>
        <w:t xml:space="preserve">roku 2025 upravený na úroveň </w:t>
      </w:r>
      <w:r w:rsidRPr="006645E5">
        <w:rPr>
          <w:rFonts w:eastAsia="Times New Roman" w:cs="Times New Roman"/>
          <w:i/>
          <w:iCs/>
          <w:szCs w:val="24"/>
          <w:lang w:eastAsia="sk-SK"/>
        </w:rPr>
        <w:t>50</w:t>
      </w:r>
      <w:r w:rsidR="00501FFE">
        <w:rPr>
          <w:rFonts w:eastAsia="Times New Roman" w:cs="Times New Roman"/>
          <w:i/>
          <w:iCs/>
          <w:szCs w:val="24"/>
          <w:lang w:eastAsia="sk-SK"/>
        </w:rPr>
        <w:t> </w:t>
      </w:r>
      <w:r w:rsidRPr="006645E5">
        <w:rPr>
          <w:rFonts w:eastAsia="Times New Roman" w:cs="Times New Roman"/>
          <w:i/>
          <w:iCs/>
          <w:szCs w:val="24"/>
          <w:lang w:eastAsia="sk-SK"/>
        </w:rPr>
        <w:t>tis.</w:t>
      </w:r>
      <w:r w:rsidR="00501FFE">
        <w:rPr>
          <w:rFonts w:eastAsia="Times New Roman" w:cs="Times New Roman"/>
          <w:i/>
          <w:iCs/>
          <w:szCs w:val="24"/>
          <w:lang w:eastAsia="sk-SK"/>
        </w:rPr>
        <w:t> </w:t>
      </w:r>
      <w:r w:rsidRPr="006645E5">
        <w:rPr>
          <w:rFonts w:eastAsia="Times New Roman" w:cs="Times New Roman"/>
          <w:i/>
          <w:iCs/>
          <w:szCs w:val="24"/>
          <w:lang w:eastAsia="sk-SK"/>
        </w:rPr>
        <w:t xml:space="preserve">eur </w:t>
      </w:r>
      <w:r w:rsidRPr="006645E5">
        <w:rPr>
          <w:rFonts w:eastAsia="Times New Roman" w:cs="Times New Roman"/>
          <w:szCs w:val="24"/>
          <w:lang w:eastAsia="sk-SK"/>
        </w:rPr>
        <w:t xml:space="preserve">zohľadňujúc prostriedky zaviazané na použitie v nasledujúcich rokoch. </w:t>
      </w:r>
      <w:r w:rsidRPr="006645E5">
        <w:rPr>
          <w:rFonts w:eastAsia="Times New Roman" w:cs="Times New Roman"/>
          <w:color w:val="000000" w:themeColor="text1"/>
          <w:szCs w:val="24"/>
          <w:lang w:eastAsia="sk-SK"/>
        </w:rPr>
        <w:t xml:space="preserve">Skutočné čerpanie výdavkov bolo vo výške </w:t>
      </w:r>
      <w:r w:rsidRPr="006645E5">
        <w:rPr>
          <w:rFonts w:eastAsia="Times New Roman" w:cs="Times New Roman"/>
          <w:i/>
          <w:iCs/>
          <w:color w:val="000000" w:themeColor="text1"/>
          <w:szCs w:val="24"/>
          <w:lang w:eastAsia="sk-SK"/>
        </w:rPr>
        <w:t>50</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tis.</w:t>
      </w:r>
      <w:r w:rsidR="00501FFE">
        <w:rPr>
          <w:rFonts w:eastAsia="Times New Roman" w:cs="Times New Roman"/>
          <w:i/>
          <w:iCs/>
          <w:color w:val="000000" w:themeColor="text1"/>
          <w:szCs w:val="24"/>
          <w:lang w:eastAsia="sk-SK"/>
        </w:rPr>
        <w:t> </w:t>
      </w:r>
      <w:r w:rsidRPr="006645E5">
        <w:rPr>
          <w:rFonts w:eastAsia="Times New Roman" w:cs="Times New Roman"/>
          <w:i/>
          <w:iCs/>
          <w:color w:val="000000" w:themeColor="text1"/>
          <w:szCs w:val="24"/>
          <w:lang w:eastAsia="sk-SK"/>
        </w:rPr>
        <w:t>eur</w:t>
      </w:r>
      <w:r w:rsidRPr="006645E5">
        <w:rPr>
          <w:rFonts w:eastAsia="Times New Roman" w:cs="Times New Roman"/>
          <w:color w:val="000000" w:themeColor="text1"/>
          <w:szCs w:val="24"/>
          <w:lang w:eastAsia="sk-SK"/>
        </w:rPr>
        <w:t>.</w:t>
      </w:r>
    </w:p>
    <w:p w14:paraId="5032A40C" w14:textId="3536AB25" w:rsidR="006645E5" w:rsidRDefault="006645E5" w:rsidP="006645E5">
      <w:pPr>
        <w:spacing w:line="240" w:lineRule="auto"/>
        <w:jc w:val="both"/>
        <w:rPr>
          <w:rFonts w:eastAsia="Times New Roman" w:cs="Times New Roman"/>
          <w:szCs w:val="24"/>
          <w:lang w:eastAsia="sk-SK"/>
        </w:rPr>
      </w:pPr>
      <w:r w:rsidRPr="006645E5">
        <w:rPr>
          <w:rFonts w:eastAsia="Times New Roman" w:cs="Times New Roman"/>
          <w:szCs w:val="24"/>
          <w:lang w:eastAsia="sk-SK"/>
        </w:rPr>
        <w:t>Plnenie príjmov z prostriedkov EÚ a čerpanie výdavkov za prostriedky EÚ je uvedené v tabuľke č. 17. Čerpanie výdavkov na spolufinancovanie zo štátneho rozpočtu k prostriedkom EÚ, k zahraničným grantom z prostriedkov EÚ a k zahraničným grantom poskytnutým na</w:t>
      </w:r>
      <w:r w:rsidR="00501FFE" w:rsidRPr="00997931">
        <w:rPr>
          <w:rFonts w:eastAsia="Times New Roman" w:cs="Times New Roman"/>
          <w:szCs w:val="24"/>
          <w:lang w:eastAsia="sk-SK"/>
        </w:rPr>
        <w:t> </w:t>
      </w:r>
      <w:r w:rsidRPr="006645E5">
        <w:rPr>
          <w:rFonts w:eastAsia="Times New Roman" w:cs="Times New Roman"/>
          <w:szCs w:val="24"/>
          <w:lang w:eastAsia="sk-SK"/>
        </w:rPr>
        <w:t>základe medzinárodných zmlúv bez vnútorných politík EÚ je uvedené v tabuľke č.</w:t>
      </w:r>
      <w:r w:rsidR="002A6C35">
        <w:rPr>
          <w:rFonts w:eastAsia="Times New Roman" w:cs="Times New Roman"/>
          <w:szCs w:val="24"/>
          <w:lang w:eastAsia="sk-SK"/>
        </w:rPr>
        <w:t> </w:t>
      </w:r>
      <w:r w:rsidRPr="006645E5">
        <w:rPr>
          <w:rFonts w:eastAsia="Times New Roman" w:cs="Times New Roman"/>
          <w:szCs w:val="24"/>
          <w:lang w:eastAsia="sk-SK"/>
        </w:rPr>
        <w:t>18.</w:t>
      </w:r>
    </w:p>
    <w:p w14:paraId="41CC32DB" w14:textId="59EAE09D" w:rsidR="006645E5" w:rsidRDefault="006645E5" w:rsidP="006645E5">
      <w:pPr>
        <w:spacing w:line="240" w:lineRule="auto"/>
        <w:jc w:val="both"/>
        <w:rPr>
          <w:rFonts w:eastAsia="Times New Roman" w:cs="Times New Roman"/>
          <w:szCs w:val="24"/>
          <w:lang w:eastAsia="sk-SK"/>
        </w:rPr>
      </w:pPr>
      <w:r w:rsidRPr="006645E5">
        <w:rPr>
          <w:rFonts w:eastAsia="Times New Roman" w:cs="Times New Roman"/>
          <w:szCs w:val="24"/>
          <w:lang w:eastAsia="sk-SK"/>
        </w:rPr>
        <w:t>Informácie prezentované za príjmy za prostriedky EÚ, výdavky za prostriedky EÚ a výdavky na spolufinancovanie zo ŠR sú viazané výlučne na ich všeobecné ekonomické vyčíslenie. Detailnejší popis v členení podľa konkrétnych programov, cieľov atď. je predmetom hodnotenia v záverečných účtoch jednotlivých kapitol štátneho rozpočtu.</w:t>
      </w:r>
    </w:p>
    <w:p w14:paraId="42C9D87C" w14:textId="77777777" w:rsidR="00AF3D2E" w:rsidRPr="006645E5" w:rsidRDefault="00AF3D2E" w:rsidP="006645E5">
      <w:pPr>
        <w:spacing w:line="240" w:lineRule="auto"/>
        <w:jc w:val="both"/>
        <w:rPr>
          <w:rFonts w:eastAsia="Times New Roman" w:cs="Times New Roman"/>
          <w:szCs w:val="24"/>
          <w:lang w:eastAsia="sk-SK"/>
        </w:rPr>
      </w:pPr>
    </w:p>
    <w:p w14:paraId="0E005D67" w14:textId="0AB9D990" w:rsidR="004D69BF" w:rsidRPr="00DA100D" w:rsidRDefault="004D69BF" w:rsidP="00532D85">
      <w:pPr>
        <w:pStyle w:val="Nadpis3"/>
        <w:spacing w:before="0"/>
        <w:jc w:val="both"/>
      </w:pPr>
      <w:bookmarkStart w:id="163" w:name="_Toc449622847"/>
      <w:bookmarkStart w:id="164" w:name="_Toc227758916"/>
      <w:r w:rsidRPr="00DA100D">
        <w:t>Zhrnutie čerpania záväzkov programových období</w:t>
      </w:r>
      <w:r w:rsidRPr="00DA100D">
        <w:rPr>
          <w:rStyle w:val="Odkaznapoznmkupodiarou"/>
        </w:rPr>
        <w:footnoteReference w:id="44"/>
      </w:r>
      <w:r w:rsidRPr="00DA100D">
        <w:t xml:space="preserve"> po vstupe SR do</w:t>
      </w:r>
      <w:r w:rsidR="00F3718D" w:rsidRPr="00DA100D">
        <w:t> </w:t>
      </w:r>
      <w:bookmarkEnd w:id="163"/>
      <w:r w:rsidR="003B69D0" w:rsidRPr="00DA100D">
        <w:t>EÚ</w:t>
      </w:r>
      <w:bookmarkEnd w:id="164"/>
    </w:p>
    <w:p w14:paraId="1528EB0E" w14:textId="77777777" w:rsidR="00D46A5E" w:rsidRPr="0050710A" w:rsidRDefault="00D46A5E" w:rsidP="00532D85">
      <w:pPr>
        <w:spacing w:line="240" w:lineRule="auto"/>
        <w:jc w:val="both"/>
        <w:rPr>
          <w:color w:val="000000" w:themeColor="text1"/>
          <w:szCs w:val="24"/>
          <w:highlight w:val="yellow"/>
        </w:rPr>
      </w:pPr>
    </w:p>
    <w:p w14:paraId="1EBC0CCB" w14:textId="4106532F" w:rsidR="00B80136" w:rsidRPr="00B80136" w:rsidRDefault="00B80136" w:rsidP="00B80136">
      <w:pPr>
        <w:spacing w:line="240" w:lineRule="auto"/>
        <w:jc w:val="both"/>
        <w:rPr>
          <w:rFonts w:eastAsia="Times New Roman" w:cs="Times New Roman"/>
          <w:szCs w:val="24"/>
          <w:lang w:eastAsia="sk-SK"/>
        </w:rPr>
      </w:pPr>
      <w:bookmarkStart w:id="165" w:name="_Toc6415657"/>
      <w:bookmarkEnd w:id="147"/>
      <w:r w:rsidRPr="00B80136">
        <w:rPr>
          <w:rFonts w:eastAsia="Times New Roman" w:cs="Times New Roman"/>
          <w:szCs w:val="24"/>
          <w:lang w:eastAsia="sk-SK"/>
        </w:rPr>
        <w:t>Slovenská republika v roku 2025 realizovala výdavky v rámci 4. programového obdobia 2021 – 2027 a vzhľadom na ukončovanie 3.</w:t>
      </w:r>
      <w:r>
        <w:rPr>
          <w:rFonts w:eastAsia="Times New Roman" w:cs="Times New Roman"/>
          <w:szCs w:val="24"/>
          <w:lang w:eastAsia="sk-SK"/>
        </w:rPr>
        <w:t> </w:t>
      </w:r>
      <w:r w:rsidRPr="00B80136">
        <w:rPr>
          <w:rFonts w:eastAsia="Times New Roman" w:cs="Times New Roman"/>
          <w:szCs w:val="24"/>
          <w:lang w:eastAsia="sk-SK"/>
        </w:rPr>
        <w:t>programového obdobia 2014 – 2020 pokračovalo deklarovanie výdavkov na EK a zároveň spracovanie záverečných Účtov za</w:t>
      </w:r>
      <w:r>
        <w:rPr>
          <w:rFonts w:eastAsia="Times New Roman" w:cs="Times New Roman"/>
          <w:szCs w:val="24"/>
          <w:lang w:eastAsia="sk-SK"/>
        </w:rPr>
        <w:t> </w:t>
      </w:r>
      <w:r w:rsidRPr="00B80136">
        <w:rPr>
          <w:rFonts w:eastAsia="Times New Roman" w:cs="Times New Roman"/>
          <w:szCs w:val="24"/>
          <w:lang w:eastAsia="sk-SK"/>
        </w:rPr>
        <w:t>vybrané operačné programy. Uvedené bolo v súlade s nariadením EP a Rady (EÚ) č. 2024/795 z 29.02.2024, ktoré o. i. umožnilo posuny termínov záverečných žiadostí o platbu a záverečného balíka uistenia o 1 rok.</w:t>
      </w:r>
    </w:p>
    <w:p w14:paraId="2F438184" w14:textId="4DB460FE" w:rsidR="00B80136" w:rsidRDefault="00B80136" w:rsidP="00B80136">
      <w:pPr>
        <w:spacing w:line="240" w:lineRule="auto"/>
        <w:jc w:val="both"/>
        <w:rPr>
          <w:rFonts w:eastAsia="Times New Roman" w:cs="Times New Roman"/>
          <w:szCs w:val="24"/>
          <w:lang w:eastAsia="sk-SK"/>
        </w:rPr>
      </w:pPr>
      <w:r w:rsidRPr="00B80136">
        <w:rPr>
          <w:rFonts w:eastAsia="Times New Roman" w:cs="Times New Roman"/>
          <w:b/>
          <w:bCs/>
          <w:szCs w:val="24"/>
          <w:lang w:eastAsia="sk-SK"/>
        </w:rPr>
        <w:t>V rámci 3. programového obdobia 2014 – 2020</w:t>
      </w:r>
      <w:r w:rsidRPr="00B80136">
        <w:rPr>
          <w:rFonts w:eastAsia="Times New Roman" w:cs="Times New Roman"/>
          <w:szCs w:val="24"/>
          <w:lang w:eastAsia="sk-SK"/>
        </w:rPr>
        <w:t xml:space="preserve"> z celkového záväzku 10 operačných programov vyčerpala SR na národnej úrovni k</w:t>
      </w:r>
      <w:r w:rsidR="00B17261">
        <w:rPr>
          <w:rFonts w:eastAsia="Times New Roman" w:cs="Times New Roman"/>
          <w:szCs w:val="24"/>
          <w:lang w:eastAsia="sk-SK"/>
        </w:rPr>
        <w:t> </w:t>
      </w:r>
      <w:r w:rsidRPr="00B80136">
        <w:rPr>
          <w:rFonts w:eastAsia="Times New Roman" w:cs="Times New Roman"/>
          <w:szCs w:val="24"/>
          <w:lang w:eastAsia="sk-SK"/>
        </w:rPr>
        <w:t>31.12.2025 prostriedky EÚ vo výške 15</w:t>
      </w:r>
      <w:r w:rsidR="00B17261">
        <w:rPr>
          <w:rFonts w:eastAsia="Times New Roman" w:cs="Times New Roman"/>
          <w:szCs w:val="24"/>
          <w:lang w:eastAsia="sk-SK"/>
        </w:rPr>
        <w:t> </w:t>
      </w:r>
      <w:r w:rsidRPr="00B80136">
        <w:rPr>
          <w:rFonts w:eastAsia="Times New Roman" w:cs="Times New Roman"/>
          <w:szCs w:val="24"/>
          <w:lang w:eastAsia="sk-SK"/>
        </w:rPr>
        <w:t>480 tis. eur, čo predstavuje čerpanie na úrovni 110,21 % z celkovej alokácie záväzku.</w:t>
      </w:r>
    </w:p>
    <w:p w14:paraId="5894EEAA" w14:textId="77777777" w:rsidR="00B17261" w:rsidRPr="00B80136" w:rsidRDefault="00B17261" w:rsidP="00B80136">
      <w:pPr>
        <w:spacing w:line="240" w:lineRule="auto"/>
        <w:jc w:val="both"/>
        <w:rPr>
          <w:rFonts w:eastAsia="Times New Roman" w:cs="Times New Roman"/>
          <w:szCs w:val="24"/>
          <w:lang w:eastAsia="sk-SK"/>
        </w:rPr>
      </w:pPr>
    </w:p>
    <w:p w14:paraId="4BCC8084" w14:textId="03C3FF5E" w:rsidR="00B80136" w:rsidRDefault="00B80136" w:rsidP="00B80136">
      <w:pPr>
        <w:spacing w:line="240" w:lineRule="auto"/>
        <w:jc w:val="both"/>
        <w:rPr>
          <w:rFonts w:eastAsia="Times New Roman" w:cs="Times New Roman"/>
          <w:szCs w:val="24"/>
          <w:lang w:eastAsia="sk-SK"/>
        </w:rPr>
      </w:pPr>
      <w:r w:rsidRPr="00B80136">
        <w:rPr>
          <w:rFonts w:eastAsia="Times New Roman" w:cs="Times New Roman"/>
          <w:szCs w:val="24"/>
          <w:lang w:eastAsia="sk-SK"/>
        </w:rPr>
        <w:t>Zmena legislatívy EÚ vo vzťahu k možnosti preplácania 100 % deklarovaných výdavkov zo</w:t>
      </w:r>
      <w:r w:rsidR="00B17261">
        <w:rPr>
          <w:rFonts w:eastAsia="Times New Roman" w:cs="Times New Roman"/>
          <w:szCs w:val="24"/>
          <w:lang w:eastAsia="sk-SK"/>
        </w:rPr>
        <w:t> </w:t>
      </w:r>
      <w:r w:rsidRPr="00B80136">
        <w:rPr>
          <w:rFonts w:eastAsia="Times New Roman" w:cs="Times New Roman"/>
          <w:szCs w:val="24"/>
          <w:lang w:eastAsia="sk-SK"/>
        </w:rPr>
        <w:t>strany EK mala pozitívny dopad na príjmy z EK a vyčerpanie celej alokácie.</w:t>
      </w:r>
    </w:p>
    <w:p w14:paraId="55F61224" w14:textId="77777777" w:rsidR="00B17261" w:rsidRPr="00B80136" w:rsidRDefault="00B17261" w:rsidP="00B80136">
      <w:pPr>
        <w:spacing w:line="240" w:lineRule="auto"/>
        <w:jc w:val="both"/>
        <w:rPr>
          <w:rFonts w:eastAsia="Times New Roman" w:cs="Times New Roman"/>
          <w:szCs w:val="24"/>
          <w:lang w:eastAsia="sk-SK"/>
        </w:rPr>
      </w:pPr>
    </w:p>
    <w:p w14:paraId="7F6B2071" w14:textId="5AB64539" w:rsidR="00B80136" w:rsidRPr="00B80136" w:rsidRDefault="00B80136" w:rsidP="00B80136">
      <w:pPr>
        <w:spacing w:line="240" w:lineRule="auto"/>
        <w:jc w:val="both"/>
        <w:rPr>
          <w:rFonts w:eastAsia="Times New Roman" w:cs="Times New Roman"/>
          <w:color w:val="000000" w:themeColor="text1"/>
          <w:szCs w:val="24"/>
          <w:lang w:eastAsia="sk-SK"/>
        </w:rPr>
      </w:pPr>
      <w:r w:rsidRPr="00B80136">
        <w:rPr>
          <w:rFonts w:eastAsia="Times New Roman" w:cs="Times New Roman"/>
          <w:color w:val="000000" w:themeColor="text1"/>
          <w:szCs w:val="24"/>
          <w:lang w:eastAsia="sk-SK"/>
        </w:rPr>
        <w:t>V priebehu apríla 2025 boli na EK zaslané posledné záverečné žiadosti o platbu za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OP Integrovaná infraštruktúra a Program Interreg SK – AT. Zároveň počas roka 2025 boli spracované záverečné Účty za OP Technická pomoc, OP Rybné hospodárstvo 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Program Interreg SK – CZ účelom ich odoslania na EK najneskôr do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15.02.2026.</w:t>
      </w:r>
    </w:p>
    <w:p w14:paraId="4BC87CBF" w14:textId="77777777" w:rsidR="00B80136" w:rsidRPr="00B80136" w:rsidRDefault="00B80136" w:rsidP="00B80136">
      <w:pPr>
        <w:spacing w:line="240" w:lineRule="auto"/>
        <w:jc w:val="both"/>
        <w:rPr>
          <w:rFonts w:eastAsia="Times New Roman" w:cs="Times New Roman"/>
          <w:szCs w:val="24"/>
          <w:lang w:eastAsia="sk-SK"/>
        </w:rPr>
      </w:pPr>
    </w:p>
    <w:p w14:paraId="6566823A" w14:textId="39D19FA5" w:rsidR="00B80136" w:rsidRDefault="00B80136" w:rsidP="00B80136">
      <w:pPr>
        <w:spacing w:line="240" w:lineRule="auto"/>
        <w:jc w:val="both"/>
        <w:rPr>
          <w:rFonts w:eastAsia="Times New Roman" w:cs="Times New Roman"/>
          <w:color w:val="000000" w:themeColor="text1"/>
          <w:szCs w:val="24"/>
          <w:lang w:eastAsia="sk-SK"/>
        </w:rPr>
      </w:pPr>
      <w:r w:rsidRPr="00B80136">
        <w:rPr>
          <w:rFonts w:eastAsia="Times New Roman" w:cs="Times New Roman"/>
          <w:b/>
          <w:bCs/>
          <w:color w:val="000000" w:themeColor="text1"/>
          <w:szCs w:val="24"/>
          <w:lang w:eastAsia="sk-SK"/>
        </w:rPr>
        <w:t>V rámci 4.</w:t>
      </w:r>
      <w:r w:rsidR="00B17261">
        <w:rPr>
          <w:rFonts w:eastAsia="Times New Roman" w:cs="Times New Roman"/>
          <w:b/>
          <w:bCs/>
          <w:color w:val="000000" w:themeColor="text1"/>
          <w:szCs w:val="24"/>
          <w:lang w:eastAsia="sk-SK"/>
        </w:rPr>
        <w:t> </w:t>
      </w:r>
      <w:r w:rsidRPr="00B80136">
        <w:rPr>
          <w:rFonts w:eastAsia="Times New Roman" w:cs="Times New Roman"/>
          <w:b/>
          <w:bCs/>
          <w:color w:val="000000" w:themeColor="text1"/>
          <w:szCs w:val="24"/>
          <w:lang w:eastAsia="sk-SK"/>
        </w:rPr>
        <w:t>programového obdobia 2021 – 2027</w:t>
      </w:r>
      <w:r w:rsidRPr="00B80136">
        <w:rPr>
          <w:rFonts w:eastAsia="Times New Roman" w:cs="Times New Roman"/>
          <w:color w:val="000000" w:themeColor="text1"/>
          <w:szCs w:val="24"/>
          <w:lang w:eastAsia="sk-SK"/>
        </w:rPr>
        <w:t xml:space="preserve"> </w:t>
      </w:r>
      <w:r w:rsidRPr="00B80136">
        <w:rPr>
          <w:rFonts w:eastAsia="Times New Roman" w:cs="Times New Roman"/>
          <w:szCs w:val="24"/>
          <w:lang w:eastAsia="sk-SK"/>
        </w:rPr>
        <w:t>sa prostriedky z rozpočtu EÚ implementujú prostredníctvom hlavného Programu Slovensko s najvyššou alokáciou 12 593</w:t>
      </w:r>
      <w:r w:rsidR="00B17261">
        <w:rPr>
          <w:rFonts w:eastAsia="Times New Roman" w:cs="Times New Roman"/>
          <w:szCs w:val="24"/>
          <w:lang w:eastAsia="sk-SK"/>
        </w:rPr>
        <w:t> </w:t>
      </w:r>
      <w:r w:rsidRPr="00B80136">
        <w:rPr>
          <w:rFonts w:eastAsia="Times New Roman" w:cs="Times New Roman"/>
          <w:szCs w:val="24"/>
          <w:lang w:eastAsia="sk-SK"/>
        </w:rPr>
        <w:t>735</w:t>
      </w:r>
      <w:r w:rsidR="00B17261">
        <w:rPr>
          <w:rFonts w:eastAsia="Times New Roman" w:cs="Times New Roman"/>
          <w:szCs w:val="24"/>
          <w:lang w:eastAsia="sk-SK"/>
        </w:rPr>
        <w:t> </w:t>
      </w:r>
      <w:r w:rsidRPr="00B80136">
        <w:rPr>
          <w:rFonts w:eastAsia="Times New Roman" w:cs="Times New Roman"/>
          <w:szCs w:val="24"/>
          <w:lang w:eastAsia="sk-SK"/>
        </w:rPr>
        <w:t>tis.</w:t>
      </w:r>
      <w:r w:rsidR="00B17261">
        <w:rPr>
          <w:rFonts w:eastAsia="Times New Roman" w:cs="Times New Roman"/>
          <w:szCs w:val="24"/>
          <w:lang w:eastAsia="sk-SK"/>
        </w:rPr>
        <w:t> </w:t>
      </w:r>
      <w:r w:rsidRPr="00B80136">
        <w:rPr>
          <w:rFonts w:eastAsia="Times New Roman" w:cs="Times New Roman"/>
          <w:szCs w:val="24"/>
          <w:lang w:eastAsia="sk-SK"/>
        </w:rPr>
        <w:t>eur a</w:t>
      </w:r>
      <w:r w:rsidR="00B17261">
        <w:rPr>
          <w:rFonts w:eastAsia="Times New Roman" w:cs="Times New Roman"/>
          <w:szCs w:val="24"/>
          <w:lang w:eastAsia="sk-SK"/>
        </w:rPr>
        <w:t> </w:t>
      </w:r>
      <w:r w:rsidRPr="00B80136">
        <w:rPr>
          <w:rFonts w:eastAsia="Times New Roman" w:cs="Times New Roman"/>
          <w:szCs w:val="24"/>
          <w:lang w:eastAsia="sk-SK"/>
        </w:rPr>
        <w:t>štyroch menších programov: Interreg VI-A SK-CZ 2021-2027 (85</w:t>
      </w:r>
      <w:r w:rsidR="00B17261">
        <w:rPr>
          <w:rFonts w:eastAsia="Times New Roman" w:cs="Times New Roman"/>
          <w:szCs w:val="24"/>
          <w:lang w:eastAsia="sk-SK"/>
        </w:rPr>
        <w:t> </w:t>
      </w:r>
      <w:r w:rsidRPr="00B80136">
        <w:rPr>
          <w:rFonts w:eastAsia="Times New Roman" w:cs="Times New Roman"/>
          <w:szCs w:val="24"/>
          <w:lang w:eastAsia="sk-SK"/>
        </w:rPr>
        <w:t>324</w:t>
      </w:r>
      <w:r w:rsidR="00B17261">
        <w:rPr>
          <w:rFonts w:eastAsia="Times New Roman" w:cs="Times New Roman"/>
          <w:szCs w:val="24"/>
          <w:lang w:eastAsia="sk-SK"/>
        </w:rPr>
        <w:t> </w:t>
      </w:r>
      <w:r w:rsidRPr="00B80136">
        <w:rPr>
          <w:rFonts w:eastAsia="Times New Roman" w:cs="Times New Roman"/>
          <w:szCs w:val="24"/>
          <w:lang w:eastAsia="sk-SK"/>
        </w:rPr>
        <w:t>tis.</w:t>
      </w:r>
      <w:r w:rsidR="00B17261">
        <w:rPr>
          <w:rFonts w:eastAsia="Times New Roman" w:cs="Times New Roman"/>
          <w:szCs w:val="24"/>
          <w:lang w:eastAsia="sk-SK"/>
        </w:rPr>
        <w:t> </w:t>
      </w:r>
      <w:r w:rsidRPr="00B80136">
        <w:rPr>
          <w:rFonts w:eastAsia="Times New Roman" w:cs="Times New Roman"/>
          <w:szCs w:val="24"/>
          <w:lang w:eastAsia="sk-SK"/>
        </w:rPr>
        <w:t>eur), Interreg VI-A SK-AT 2021-2027 (55</w:t>
      </w:r>
      <w:r w:rsidR="00B17261">
        <w:rPr>
          <w:rFonts w:eastAsia="Times New Roman" w:cs="Times New Roman"/>
          <w:szCs w:val="24"/>
          <w:lang w:eastAsia="sk-SK"/>
        </w:rPr>
        <w:t> </w:t>
      </w:r>
      <w:r w:rsidRPr="00B80136">
        <w:rPr>
          <w:rFonts w:eastAsia="Times New Roman" w:cs="Times New Roman"/>
          <w:szCs w:val="24"/>
          <w:lang w:eastAsia="sk-SK"/>
        </w:rPr>
        <w:t>500</w:t>
      </w:r>
      <w:r w:rsidR="00B17261">
        <w:rPr>
          <w:rFonts w:eastAsia="Times New Roman" w:cs="Times New Roman"/>
          <w:szCs w:val="24"/>
          <w:lang w:eastAsia="sk-SK"/>
        </w:rPr>
        <w:t> </w:t>
      </w:r>
      <w:r w:rsidRPr="00B80136">
        <w:rPr>
          <w:rFonts w:eastAsia="Times New Roman" w:cs="Times New Roman"/>
          <w:szCs w:val="24"/>
          <w:lang w:eastAsia="sk-SK"/>
        </w:rPr>
        <w:t>tis.</w:t>
      </w:r>
      <w:r w:rsidR="00B17261">
        <w:rPr>
          <w:rFonts w:eastAsia="Times New Roman" w:cs="Times New Roman"/>
          <w:szCs w:val="24"/>
          <w:lang w:eastAsia="sk-SK"/>
        </w:rPr>
        <w:t> </w:t>
      </w:r>
      <w:r w:rsidRPr="00B80136">
        <w:rPr>
          <w:rFonts w:eastAsia="Times New Roman" w:cs="Times New Roman"/>
          <w:szCs w:val="24"/>
          <w:lang w:eastAsia="sk-SK"/>
        </w:rPr>
        <w:t>eur), INTERACT IV (45</w:t>
      </w:r>
      <w:r w:rsidR="00B17261">
        <w:rPr>
          <w:rFonts w:eastAsia="Times New Roman" w:cs="Times New Roman"/>
          <w:szCs w:val="24"/>
          <w:lang w:eastAsia="sk-SK"/>
        </w:rPr>
        <w:t> </w:t>
      </w:r>
      <w:r w:rsidRPr="00B80136">
        <w:rPr>
          <w:rFonts w:eastAsia="Times New Roman" w:cs="Times New Roman"/>
          <w:szCs w:val="24"/>
          <w:lang w:eastAsia="sk-SK"/>
        </w:rPr>
        <w:t>000</w:t>
      </w:r>
      <w:r w:rsidR="00B17261">
        <w:rPr>
          <w:rFonts w:eastAsia="Times New Roman" w:cs="Times New Roman"/>
          <w:szCs w:val="24"/>
          <w:lang w:eastAsia="sk-SK"/>
        </w:rPr>
        <w:t> </w:t>
      </w:r>
      <w:r w:rsidRPr="00B80136">
        <w:rPr>
          <w:rFonts w:eastAsia="Times New Roman" w:cs="Times New Roman"/>
          <w:szCs w:val="24"/>
          <w:lang w:eastAsia="sk-SK"/>
        </w:rPr>
        <w:t>tis.</w:t>
      </w:r>
      <w:r w:rsidR="00B17261">
        <w:rPr>
          <w:rFonts w:eastAsia="Times New Roman" w:cs="Times New Roman"/>
          <w:szCs w:val="24"/>
          <w:lang w:eastAsia="sk-SK"/>
        </w:rPr>
        <w:t> </w:t>
      </w:r>
      <w:r w:rsidRPr="00B80136">
        <w:rPr>
          <w:rFonts w:eastAsia="Times New Roman" w:cs="Times New Roman"/>
          <w:szCs w:val="24"/>
          <w:lang w:eastAsia="sk-SK"/>
        </w:rPr>
        <w:t>eur) a Programu Rybné hospodárstvo 2021 – 2027 (15</w:t>
      </w:r>
      <w:r w:rsidR="00B17261">
        <w:rPr>
          <w:rFonts w:eastAsia="Times New Roman" w:cs="Times New Roman"/>
          <w:szCs w:val="24"/>
          <w:lang w:eastAsia="sk-SK"/>
        </w:rPr>
        <w:t> </w:t>
      </w:r>
      <w:r w:rsidRPr="00B80136">
        <w:rPr>
          <w:rFonts w:eastAsia="Times New Roman" w:cs="Times New Roman"/>
          <w:szCs w:val="24"/>
          <w:lang w:eastAsia="sk-SK"/>
        </w:rPr>
        <w:t>225</w:t>
      </w:r>
      <w:r w:rsidR="00B17261">
        <w:rPr>
          <w:rFonts w:eastAsia="Times New Roman" w:cs="Times New Roman"/>
          <w:szCs w:val="24"/>
          <w:lang w:eastAsia="sk-SK"/>
        </w:rPr>
        <w:t> </w:t>
      </w:r>
      <w:r w:rsidRPr="00B80136">
        <w:rPr>
          <w:rFonts w:eastAsia="Times New Roman" w:cs="Times New Roman"/>
          <w:szCs w:val="24"/>
          <w:lang w:eastAsia="sk-SK"/>
        </w:rPr>
        <w:t>tis.</w:t>
      </w:r>
      <w:r w:rsidR="00B17261">
        <w:rPr>
          <w:rFonts w:eastAsia="Times New Roman" w:cs="Times New Roman"/>
          <w:szCs w:val="24"/>
          <w:lang w:eastAsia="sk-SK"/>
        </w:rPr>
        <w:t> </w:t>
      </w:r>
      <w:r w:rsidRPr="00B80136">
        <w:rPr>
          <w:rFonts w:eastAsia="Times New Roman" w:cs="Times New Roman"/>
          <w:szCs w:val="24"/>
          <w:lang w:eastAsia="sk-SK"/>
        </w:rPr>
        <w:t>eur). Z celkovej alokácie 4.</w:t>
      </w:r>
      <w:r w:rsidR="00B17261">
        <w:rPr>
          <w:rFonts w:eastAsia="Times New Roman" w:cs="Times New Roman"/>
          <w:szCs w:val="24"/>
          <w:lang w:eastAsia="sk-SK"/>
        </w:rPr>
        <w:t> </w:t>
      </w:r>
      <w:r w:rsidRPr="00B80136">
        <w:rPr>
          <w:rFonts w:eastAsia="Times New Roman" w:cs="Times New Roman"/>
          <w:szCs w:val="24"/>
          <w:lang w:eastAsia="sk-SK"/>
        </w:rPr>
        <w:t>programového obdobia 2021 – 2027 (vo výške 12 794 784 tis. eur za zdroj EÚ) boli k</w:t>
      </w:r>
      <w:r w:rsidR="00B17261">
        <w:rPr>
          <w:rFonts w:eastAsia="Times New Roman" w:cs="Times New Roman"/>
          <w:szCs w:val="24"/>
          <w:lang w:eastAsia="sk-SK"/>
        </w:rPr>
        <w:t> </w:t>
      </w:r>
      <w:r w:rsidRPr="00B80136">
        <w:rPr>
          <w:rFonts w:eastAsia="Times New Roman" w:cs="Times New Roman"/>
          <w:color w:val="000000" w:themeColor="text1"/>
          <w:szCs w:val="24"/>
          <w:lang w:eastAsia="sk-SK"/>
        </w:rPr>
        <w:t>31.12.2025 vyčerpané finančné prostriedky vo výške 1</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639</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002 tis. eur (za zdroj EÚ), čo predstavovalo čerpanie na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úrovni 12,81</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w:t>
      </w:r>
    </w:p>
    <w:p w14:paraId="54AD478D" w14:textId="77777777" w:rsidR="00B17261" w:rsidRPr="00B80136" w:rsidRDefault="00B17261" w:rsidP="00B80136">
      <w:pPr>
        <w:spacing w:line="240" w:lineRule="auto"/>
        <w:jc w:val="both"/>
        <w:rPr>
          <w:rFonts w:eastAsia="Times New Roman" w:cs="Times New Roman"/>
          <w:color w:val="000000" w:themeColor="text1"/>
          <w:szCs w:val="24"/>
          <w:lang w:eastAsia="sk-SK"/>
        </w:rPr>
      </w:pPr>
    </w:p>
    <w:p w14:paraId="289ED8EB" w14:textId="38AF943E" w:rsidR="00B80136" w:rsidRDefault="00B80136" w:rsidP="00B80136">
      <w:pPr>
        <w:spacing w:line="240" w:lineRule="auto"/>
        <w:jc w:val="both"/>
        <w:rPr>
          <w:rFonts w:eastAsia="Times New Roman" w:cs="Times New Roman"/>
          <w:color w:val="000000" w:themeColor="text1"/>
          <w:szCs w:val="24"/>
          <w:lang w:eastAsia="sk-SK"/>
        </w:rPr>
      </w:pPr>
      <w:r w:rsidRPr="00B80136">
        <w:rPr>
          <w:rFonts w:eastAsia="Times New Roman" w:cs="Times New Roman"/>
          <w:color w:val="000000" w:themeColor="text1"/>
          <w:szCs w:val="24"/>
          <w:lang w:eastAsia="sk-SK"/>
        </w:rPr>
        <w:t xml:space="preserve">Prvý míľnik </w:t>
      </w:r>
      <w:r w:rsidRPr="00B80136">
        <w:rPr>
          <w:rFonts w:eastAsia="Times New Roman" w:cs="Times New Roman"/>
          <w:szCs w:val="24"/>
          <w:lang w:eastAsia="sk-SK"/>
        </w:rPr>
        <w:t xml:space="preserve">(platný pre všetky programy okrem Programu Rybné hospodárstvo 2021 – 2027, ktorý má prvý míľnik až v roku 2026) </w:t>
      </w:r>
      <w:r w:rsidRPr="00B80136">
        <w:rPr>
          <w:rFonts w:eastAsia="Times New Roman" w:cs="Times New Roman"/>
          <w:color w:val="000000" w:themeColor="text1"/>
          <w:szCs w:val="24"/>
          <w:lang w:eastAsia="sk-SK"/>
        </w:rPr>
        <w:t>v zmysle pravidla N+3 k 31.12.2025 vo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výške 1</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478</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647 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eur bol voči EK splnený. Ďalší míľnik, ktorý bude potrebné splniť za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všetky programy do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31.12.2026</w:t>
      </w:r>
      <w:r w:rsidRPr="00B80136">
        <w:rPr>
          <w:rFonts w:eastAsia="Times New Roman" w:cs="Times New Roman"/>
          <w:szCs w:val="24"/>
          <w:lang w:eastAsia="sk-SK"/>
        </w:rPr>
        <w:t xml:space="preserve"> (vrátane Programu Rybné hospodárstvo 2021 – 2027) </w:t>
      </w:r>
      <w:r w:rsidRPr="00B80136">
        <w:rPr>
          <w:rFonts w:eastAsia="Times New Roman" w:cs="Times New Roman"/>
          <w:color w:val="000000" w:themeColor="text1"/>
          <w:szCs w:val="24"/>
          <w:lang w:eastAsia="sk-SK"/>
        </w:rPr>
        <w:t>je vo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výške 2 148</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031</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eur.</w:t>
      </w:r>
    </w:p>
    <w:p w14:paraId="70F46DC9" w14:textId="5694588E" w:rsidR="00B80136" w:rsidRDefault="00B80136" w:rsidP="00B80136">
      <w:pPr>
        <w:spacing w:line="240" w:lineRule="auto"/>
        <w:jc w:val="both"/>
        <w:rPr>
          <w:rFonts w:eastAsia="Times New Roman" w:cs="Times New Roman"/>
          <w:color w:val="000000" w:themeColor="text1"/>
          <w:szCs w:val="24"/>
          <w:lang w:eastAsia="sk-SK"/>
        </w:rPr>
      </w:pPr>
      <w:r w:rsidRPr="00B80136">
        <w:rPr>
          <w:rFonts w:eastAsia="Times New Roman" w:cs="Times New Roman"/>
          <w:color w:val="000000" w:themeColor="text1"/>
          <w:szCs w:val="24"/>
          <w:lang w:eastAsia="sk-SK"/>
        </w:rPr>
        <w:lastRenderedPageBreak/>
        <w:t>Nad rámec pravidla N+3 je za účelom splnenia podmienky vyplatenia 100</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 prostriedkov alokovaných na Program Slovensko v rámci Fondu na spravodlivú transformáciu (čl.</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4 nariadenia EP a Rady (EÚ) 2021/1056) potrebné najneskôr do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30.10.2026 deklarovať na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EK 96</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191</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eur, aby EK tieto prostriedky uhradila členskému štátu najneskôr do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31.12.2026.</w:t>
      </w:r>
    </w:p>
    <w:p w14:paraId="6C249D9F" w14:textId="53E150C2" w:rsidR="00B80136" w:rsidRDefault="00B80136" w:rsidP="00B80136">
      <w:pPr>
        <w:spacing w:line="240" w:lineRule="auto"/>
        <w:jc w:val="both"/>
        <w:rPr>
          <w:rFonts w:eastAsia="Times New Roman" w:cs="Times New Roman"/>
          <w:color w:val="000000" w:themeColor="text1"/>
          <w:szCs w:val="24"/>
          <w:lang w:eastAsia="sk-SK"/>
        </w:rPr>
      </w:pPr>
      <w:r w:rsidRPr="00B80136">
        <w:rPr>
          <w:rFonts w:eastAsia="Times New Roman" w:cs="Times New Roman"/>
          <w:color w:val="000000" w:themeColor="text1"/>
          <w:szCs w:val="24"/>
          <w:lang w:eastAsia="sk-SK"/>
        </w:rPr>
        <w:t>Európska komisia v rámci strednodobého preskúmania politiky súdržnosti Programu Slovensko iniciovala v apríli 2025 novelizáciu existujúcich právnych rámcov pod</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názvom „</w:t>
      </w:r>
      <w:bookmarkStart w:id="166" w:name="_Hlk223425277"/>
      <w:r w:rsidRPr="00B80136">
        <w:rPr>
          <w:rFonts w:eastAsia="Times New Roman" w:cs="Times New Roman"/>
          <w:color w:val="000000" w:themeColor="text1"/>
          <w:szCs w:val="24"/>
          <w:lang w:eastAsia="sk-SK"/>
        </w:rPr>
        <w:t>Modernizovaná politika súdržnosti</w:t>
      </w:r>
      <w:bookmarkEnd w:id="166"/>
      <w:r w:rsidRPr="00B80136">
        <w:rPr>
          <w:rFonts w:eastAsia="Times New Roman" w:cs="Times New Roman"/>
          <w:color w:val="000000" w:themeColor="text1"/>
          <w:szCs w:val="24"/>
          <w:lang w:eastAsia="sk-SK"/>
        </w:rPr>
        <w:t>“. Slovenská republika v rámci revízie Programu Slovensko vyčlenila 10,05</w:t>
      </w:r>
      <w:r w:rsidR="00B17261">
        <w:rPr>
          <w:rFonts w:eastAsia="Times New Roman" w:cs="Times New Roman"/>
          <w:color w:val="000000" w:themeColor="text1"/>
          <w:szCs w:val="24"/>
          <w:lang w:eastAsia="sk-SK"/>
        </w:rPr>
        <w:t xml:space="preserve"> </w:t>
      </w:r>
      <w:r w:rsidRPr="00B80136">
        <w:rPr>
          <w:rFonts w:eastAsia="Times New Roman" w:cs="Times New Roman"/>
          <w:color w:val="000000" w:themeColor="text1"/>
          <w:szCs w:val="24"/>
          <w:lang w:eastAsia="sk-SK"/>
        </w:rPr>
        <w:t>% alokácie (1 239</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873</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eur) na nové strategické priority EÚ.</w:t>
      </w:r>
    </w:p>
    <w:p w14:paraId="1A05368D" w14:textId="77777777" w:rsidR="00B17261" w:rsidRPr="00B80136" w:rsidRDefault="00B17261" w:rsidP="00B80136">
      <w:pPr>
        <w:spacing w:line="240" w:lineRule="auto"/>
        <w:jc w:val="both"/>
        <w:rPr>
          <w:rFonts w:eastAsia="Times New Roman" w:cs="Times New Roman"/>
          <w:color w:val="000000" w:themeColor="text1"/>
          <w:szCs w:val="24"/>
          <w:lang w:eastAsia="sk-SK"/>
        </w:rPr>
      </w:pPr>
    </w:p>
    <w:p w14:paraId="53BFC24A" w14:textId="550A8B80" w:rsidR="00B80136" w:rsidRDefault="00B80136" w:rsidP="00B80136">
      <w:pPr>
        <w:spacing w:line="240" w:lineRule="auto"/>
        <w:jc w:val="both"/>
        <w:rPr>
          <w:rFonts w:eastAsia="Times New Roman" w:cs="Times New Roman"/>
          <w:color w:val="000000" w:themeColor="text1"/>
          <w:szCs w:val="24"/>
          <w:lang w:eastAsia="sk-SK"/>
        </w:rPr>
      </w:pPr>
      <w:r w:rsidRPr="00B80136">
        <w:rPr>
          <w:rFonts w:eastAsia="Times New Roman" w:cs="Times New Roman"/>
          <w:color w:val="000000" w:themeColor="text1"/>
          <w:szCs w:val="24"/>
          <w:lang w:eastAsia="sk-SK"/>
        </w:rPr>
        <w:t>Revízia Programu Slovensko bola predložená EK dňa 22.12.2025 a schválená dňa 18.03.2026.</w:t>
      </w:r>
    </w:p>
    <w:p w14:paraId="794EAC39" w14:textId="77777777" w:rsidR="00B17261" w:rsidRPr="00B80136" w:rsidRDefault="00B17261" w:rsidP="00B80136">
      <w:pPr>
        <w:spacing w:line="240" w:lineRule="auto"/>
        <w:jc w:val="both"/>
        <w:rPr>
          <w:rFonts w:eastAsia="Times New Roman" w:cs="Times New Roman"/>
          <w:color w:val="000000" w:themeColor="text1"/>
          <w:szCs w:val="24"/>
          <w:lang w:eastAsia="sk-SK"/>
        </w:rPr>
      </w:pPr>
    </w:p>
    <w:p w14:paraId="7E8D6F84" w14:textId="679901BF" w:rsidR="00B80136" w:rsidRDefault="00B80136" w:rsidP="00B80136">
      <w:pPr>
        <w:spacing w:line="240" w:lineRule="auto"/>
        <w:jc w:val="both"/>
        <w:rPr>
          <w:rFonts w:eastAsia="Times New Roman" w:cs="Times New Roman"/>
          <w:szCs w:val="24"/>
          <w:lang w:eastAsia="sk-SK"/>
        </w:rPr>
      </w:pPr>
      <w:r w:rsidRPr="00B80136">
        <w:rPr>
          <w:rFonts w:eastAsia="Times New Roman" w:cs="Times New Roman"/>
          <w:color w:val="000000" w:themeColor="text1"/>
          <w:szCs w:val="24"/>
          <w:lang w:eastAsia="sk-SK"/>
        </w:rPr>
        <w:t>Schválenie revízie Programu Slovensko malo dopad na splnenie pravidla N+3 pre</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rok 2025 za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všetky programy programového obdobia 2021-2027, pri ktorom došlo k zníženiu na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sumu 282</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242</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eur a pre rok 2026, ktorý bol znížený na sumu 1 972</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419</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eur. Rovnako sa znížila suma potrebná deklarovať EK do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30.10.2026 za Program Slovensko v rámci Fondu na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spravodlivú transformáciu (čl.</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4) na 39</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963</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 xml:space="preserve">eur. </w:t>
      </w:r>
      <w:r w:rsidRPr="00B80136">
        <w:rPr>
          <w:rFonts w:eastAsia="Times New Roman" w:cs="Times New Roman"/>
          <w:szCs w:val="24"/>
          <w:lang w:eastAsia="sk-SK"/>
        </w:rPr>
        <w:t>Celkovo sa očakávajú zálohové platby vo výške 1,37</w:t>
      </w:r>
      <w:r w:rsidR="00B17261">
        <w:rPr>
          <w:rFonts w:eastAsia="Times New Roman" w:cs="Times New Roman"/>
          <w:szCs w:val="24"/>
          <w:lang w:eastAsia="sk-SK"/>
        </w:rPr>
        <w:t> </w:t>
      </w:r>
      <w:r w:rsidRPr="00B80136">
        <w:rPr>
          <w:rFonts w:eastAsia="Times New Roman" w:cs="Times New Roman"/>
          <w:szCs w:val="24"/>
          <w:lang w:eastAsia="sk-SK"/>
        </w:rPr>
        <w:t>mld.</w:t>
      </w:r>
      <w:r w:rsidR="00B17261">
        <w:rPr>
          <w:rFonts w:eastAsia="Times New Roman" w:cs="Times New Roman"/>
          <w:szCs w:val="24"/>
          <w:lang w:eastAsia="sk-SK"/>
        </w:rPr>
        <w:t> </w:t>
      </w:r>
      <w:r w:rsidRPr="00B80136">
        <w:rPr>
          <w:rFonts w:eastAsia="Times New Roman" w:cs="Times New Roman"/>
          <w:szCs w:val="24"/>
          <w:lang w:eastAsia="sk-SK"/>
        </w:rPr>
        <w:t>eur, čo pozitívne ovplyvní likviditu Účtov a prispeje k rýchlejšiemu plneniu pravidla N+3, a tým sa eliminuje riziko dekomitmentu pre rok 2026.</w:t>
      </w:r>
    </w:p>
    <w:p w14:paraId="2E6B3031" w14:textId="77777777" w:rsidR="00B17261" w:rsidRPr="00B80136" w:rsidRDefault="00B17261" w:rsidP="00B80136">
      <w:pPr>
        <w:spacing w:line="240" w:lineRule="auto"/>
        <w:jc w:val="both"/>
        <w:rPr>
          <w:rFonts w:eastAsia="Times New Roman" w:cs="Times New Roman"/>
          <w:color w:val="000000" w:themeColor="text1"/>
          <w:szCs w:val="24"/>
          <w:lang w:eastAsia="sk-SK"/>
        </w:rPr>
      </w:pPr>
    </w:p>
    <w:p w14:paraId="6AD273D1" w14:textId="6B225975" w:rsidR="0061083A" w:rsidRDefault="00B80136" w:rsidP="00B80136">
      <w:pPr>
        <w:spacing w:line="240" w:lineRule="auto"/>
        <w:jc w:val="both"/>
        <w:rPr>
          <w:rFonts w:eastAsia="Times New Roman" w:cs="Times New Roman"/>
          <w:szCs w:val="24"/>
          <w:lang w:eastAsia="sk-SK"/>
        </w:rPr>
      </w:pPr>
      <w:r w:rsidRPr="00B80136">
        <w:rPr>
          <w:rFonts w:eastAsia="Times New Roman" w:cs="Times New Roman"/>
          <w:color w:val="000000" w:themeColor="text1"/>
          <w:szCs w:val="24"/>
          <w:lang w:eastAsia="sk-SK"/>
        </w:rPr>
        <w:t>Aktuálne, k</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31.03.2026 je pre splnenie pravidla N+3 potrebné vyčerpať na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národnej úrovni za</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všetky programy programového obdobia 2021-2027 oprávnené výdavky vo</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výške 292</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089</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tis.</w:t>
      </w:r>
      <w:r w:rsidR="00B17261">
        <w:rPr>
          <w:rFonts w:eastAsia="Times New Roman" w:cs="Times New Roman"/>
          <w:color w:val="000000" w:themeColor="text1"/>
          <w:szCs w:val="24"/>
          <w:lang w:eastAsia="sk-SK"/>
        </w:rPr>
        <w:t> </w:t>
      </w:r>
      <w:r w:rsidRPr="00B80136">
        <w:rPr>
          <w:rFonts w:eastAsia="Times New Roman" w:cs="Times New Roman"/>
          <w:color w:val="000000" w:themeColor="text1"/>
          <w:szCs w:val="24"/>
          <w:lang w:eastAsia="sk-SK"/>
        </w:rPr>
        <w:t>eur</w:t>
      </w:r>
      <w:r w:rsidRPr="00B80136">
        <w:rPr>
          <w:rFonts w:eastAsia="Times New Roman" w:cs="Times New Roman"/>
          <w:szCs w:val="24"/>
          <w:lang w:eastAsia="sk-SK"/>
        </w:rPr>
        <w:t>. V rámci Programu INTERACT IV je splnený prvý aj druhý míľnik.</w:t>
      </w:r>
    </w:p>
    <w:p w14:paraId="5D30851B" w14:textId="77777777" w:rsidR="00895789" w:rsidRDefault="00895789" w:rsidP="00B80136">
      <w:pPr>
        <w:spacing w:line="240" w:lineRule="auto"/>
        <w:jc w:val="both"/>
        <w:rPr>
          <w:rFonts w:eastAsia="Times New Roman" w:cs="Times New Roman"/>
          <w:szCs w:val="24"/>
          <w:lang w:eastAsia="sk-SK"/>
        </w:rPr>
      </w:pPr>
    </w:p>
    <w:p w14:paraId="164A7D77" w14:textId="5B50F6DD" w:rsidR="0061083A" w:rsidRPr="00D22AAB" w:rsidRDefault="0061083A" w:rsidP="00895789">
      <w:pPr>
        <w:pStyle w:val="Nadpis3"/>
        <w:spacing w:before="0"/>
      </w:pPr>
      <w:bookmarkStart w:id="167" w:name="_Toc227758917"/>
      <w:r w:rsidRPr="00D22AAB">
        <w:t>Zhrnutie čerpania prostriedkov Plánu obnovy a</w:t>
      </w:r>
      <w:r w:rsidR="00E50EF7">
        <w:t> </w:t>
      </w:r>
      <w:r w:rsidRPr="00D22AAB">
        <w:t>odolnosti</w:t>
      </w:r>
      <w:r w:rsidR="00E50EF7">
        <w:t xml:space="preserve"> (POO)</w:t>
      </w:r>
      <w:bookmarkEnd w:id="167"/>
    </w:p>
    <w:p w14:paraId="5F20C636" w14:textId="77777777" w:rsidR="00955D7D" w:rsidRDefault="00955D7D" w:rsidP="00467C94">
      <w:pPr>
        <w:spacing w:line="240" w:lineRule="auto"/>
        <w:jc w:val="both"/>
        <w:rPr>
          <w:lang w:eastAsia="sk-SK"/>
        </w:rPr>
      </w:pPr>
    </w:p>
    <w:p w14:paraId="0AB8E03C" w14:textId="01FDA77F" w:rsidR="00A4283A" w:rsidRPr="007203CE" w:rsidRDefault="00E50EF7" w:rsidP="007203CE">
      <w:pPr>
        <w:spacing w:line="240" w:lineRule="auto"/>
        <w:jc w:val="both"/>
        <w:rPr>
          <w:szCs w:val="24"/>
        </w:rPr>
      </w:pPr>
      <w:r>
        <w:rPr>
          <w:szCs w:val="24"/>
        </w:rPr>
        <w:t>POO</w:t>
      </w:r>
      <w:r w:rsidR="00A4283A" w:rsidRPr="007203CE">
        <w:rPr>
          <w:szCs w:val="24"/>
        </w:rPr>
        <w:t xml:space="preserve"> Slovenskej republiky spolu s kapitolou REPowerEU je komplexnou odpoveďou na</w:t>
      </w:r>
      <w:r w:rsidR="00E67125">
        <w:rPr>
          <w:szCs w:val="24"/>
        </w:rPr>
        <w:t> </w:t>
      </w:r>
      <w:r w:rsidR="00A4283A" w:rsidRPr="007203CE">
        <w:rPr>
          <w:szCs w:val="24"/>
        </w:rPr>
        <w:t>dôsledky krízy spojenej s pandémiou COVID-19, ťažkosti a narušenie globálneho trhu s</w:t>
      </w:r>
      <w:r w:rsidR="00E67125">
        <w:rPr>
          <w:szCs w:val="24"/>
        </w:rPr>
        <w:t> </w:t>
      </w:r>
      <w:r w:rsidR="00A4283A" w:rsidRPr="007203CE">
        <w:rPr>
          <w:szCs w:val="24"/>
        </w:rPr>
        <w:t>energiou spôsobené ruskou inváziou na</w:t>
      </w:r>
      <w:r w:rsidR="006671FD">
        <w:rPr>
          <w:szCs w:val="24"/>
        </w:rPr>
        <w:t> </w:t>
      </w:r>
      <w:r w:rsidR="00A4283A" w:rsidRPr="007203CE">
        <w:rPr>
          <w:szCs w:val="24"/>
        </w:rPr>
        <w:t>Ukrajinu, ako aj reakciou na identifikované výzvy a</w:t>
      </w:r>
      <w:r w:rsidR="00E67125">
        <w:rPr>
          <w:szCs w:val="24"/>
        </w:rPr>
        <w:t> </w:t>
      </w:r>
      <w:r w:rsidR="00A4283A" w:rsidRPr="007203CE">
        <w:rPr>
          <w:szCs w:val="24"/>
        </w:rPr>
        <w:t>systémové nedostatky slovenskej ekonomiky.</w:t>
      </w:r>
    </w:p>
    <w:p w14:paraId="717F24C0" w14:textId="77777777" w:rsidR="00A4283A" w:rsidRPr="007203CE" w:rsidRDefault="00A4283A" w:rsidP="007203CE">
      <w:pPr>
        <w:spacing w:line="240" w:lineRule="auto"/>
        <w:jc w:val="both"/>
        <w:rPr>
          <w:szCs w:val="24"/>
        </w:rPr>
      </w:pPr>
    </w:p>
    <w:p w14:paraId="35B1DA7A" w14:textId="3B23A7DA" w:rsidR="00A4283A" w:rsidRPr="007203CE" w:rsidRDefault="00A4283A" w:rsidP="007203CE">
      <w:pPr>
        <w:spacing w:line="240" w:lineRule="auto"/>
        <w:jc w:val="both"/>
        <w:rPr>
          <w:szCs w:val="24"/>
        </w:rPr>
      </w:pPr>
      <w:r w:rsidRPr="007203CE">
        <w:rPr>
          <w:szCs w:val="24"/>
        </w:rPr>
        <w:t>Je založený na globálnej vízii Slovenska ako moderného štátu, ktorý poskytuje občanom kvalitné verejné služby a Slovenska ako zdravej krajiny, ktorá vytvára predpoklad na</w:t>
      </w:r>
      <w:r w:rsidR="00B00EB7" w:rsidRPr="007203CE">
        <w:rPr>
          <w:szCs w:val="24"/>
        </w:rPr>
        <w:t> </w:t>
      </w:r>
      <w:r w:rsidRPr="007203CE">
        <w:rPr>
          <w:szCs w:val="24"/>
        </w:rPr>
        <w:t>plnohodnotné využívanie ľudského a prírodného kapitálu.</w:t>
      </w:r>
    </w:p>
    <w:p w14:paraId="03175690" w14:textId="77777777" w:rsidR="00A4283A" w:rsidRPr="007203CE" w:rsidRDefault="00A4283A" w:rsidP="007203CE">
      <w:pPr>
        <w:spacing w:line="240" w:lineRule="auto"/>
        <w:jc w:val="both"/>
        <w:rPr>
          <w:szCs w:val="24"/>
        </w:rPr>
      </w:pPr>
    </w:p>
    <w:p w14:paraId="3160766E" w14:textId="77777777" w:rsidR="00A4283A" w:rsidRPr="007203CE" w:rsidRDefault="00A4283A" w:rsidP="007203CE">
      <w:pPr>
        <w:spacing w:line="240" w:lineRule="auto"/>
        <w:jc w:val="both"/>
        <w:rPr>
          <w:szCs w:val="24"/>
        </w:rPr>
      </w:pPr>
      <w:r w:rsidRPr="007203CE">
        <w:rPr>
          <w:szCs w:val="24"/>
        </w:rPr>
        <w:t>Plán vo svojich devätnástich tematických komponentoch zahŕňa rozsiahly súbor vzájomne sa posilňujúcich reforiem a investícií, ktoré prispievajú k účinnému riešeniu významnej podskupiny hospodárskych a sociálnych výziev uvedených v odporúčaniach, ktoré Európska komisia adresovala Slovensku v rámci európskeho semestra.</w:t>
      </w:r>
    </w:p>
    <w:p w14:paraId="5CAC2291" w14:textId="77777777" w:rsidR="00A4283A" w:rsidRPr="00467C94" w:rsidRDefault="00A4283A" w:rsidP="00467C94">
      <w:pPr>
        <w:spacing w:line="240" w:lineRule="auto"/>
        <w:jc w:val="both"/>
        <w:rPr>
          <w:rFonts w:cs="Times New Roman"/>
          <w:szCs w:val="24"/>
        </w:rPr>
      </w:pPr>
    </w:p>
    <w:p w14:paraId="220E22E6" w14:textId="1BEF6EF6" w:rsidR="00467C94" w:rsidRDefault="00467C94" w:rsidP="00467C94">
      <w:pPr>
        <w:pStyle w:val="Popis"/>
        <w:keepNext/>
      </w:pPr>
      <w:bookmarkStart w:id="168" w:name="_Toc227670179"/>
      <w:r>
        <w:t xml:space="preserve">Tabuľka </w:t>
      </w:r>
      <w:r>
        <w:fldChar w:fldCharType="begin"/>
      </w:r>
      <w:r>
        <w:instrText xml:space="preserve"> SEQ Tabuľka \* ARABIC </w:instrText>
      </w:r>
      <w:r>
        <w:fldChar w:fldCharType="separate"/>
      </w:r>
      <w:r w:rsidR="00396BE8">
        <w:rPr>
          <w:noProof/>
        </w:rPr>
        <w:t>43</w:t>
      </w:r>
      <w:r>
        <w:fldChar w:fldCharType="end"/>
      </w:r>
      <w:r>
        <w:t xml:space="preserve"> – Prehľad komponentov </w:t>
      </w:r>
      <w:bookmarkEnd w:id="168"/>
      <w:r w:rsidR="00E50EF7">
        <w:t>POO</w:t>
      </w:r>
    </w:p>
    <w:tbl>
      <w:tblPr>
        <w:tblW w:w="5000" w:type="pct"/>
        <w:tblCellMar>
          <w:left w:w="70" w:type="dxa"/>
          <w:right w:w="70" w:type="dxa"/>
        </w:tblCellMar>
        <w:tblLook w:val="04A0" w:firstRow="1" w:lastRow="0" w:firstColumn="1" w:lastColumn="0" w:noHBand="0" w:noVBand="1"/>
      </w:tblPr>
      <w:tblGrid>
        <w:gridCol w:w="575"/>
        <w:gridCol w:w="6792"/>
        <w:gridCol w:w="1703"/>
      </w:tblGrid>
      <w:tr w:rsidR="00A4283A" w:rsidRPr="00F339BE" w14:paraId="482A9F97" w14:textId="77777777" w:rsidTr="00B00EB7">
        <w:trPr>
          <w:trHeight w:val="340"/>
          <w:tblHeader/>
        </w:trPr>
        <w:tc>
          <w:tcPr>
            <w:tcW w:w="317" w:type="pct"/>
            <w:tcBorders>
              <w:top w:val="single" w:sz="4" w:space="0" w:color="auto"/>
              <w:bottom w:val="single" w:sz="4" w:space="0" w:color="auto"/>
              <w:right w:val="single" w:sz="4" w:space="0" w:color="auto"/>
            </w:tcBorders>
            <w:vAlign w:val="center"/>
            <w:hideMark/>
          </w:tcPr>
          <w:p w14:paraId="5269E746" w14:textId="77777777" w:rsidR="00A4283A" w:rsidRPr="005E1D4F" w:rsidRDefault="00A4283A" w:rsidP="00F339BE">
            <w:pPr>
              <w:rPr>
                <w:rFonts w:cs="Times New Roman"/>
                <w:b/>
                <w:bCs/>
                <w:sz w:val="18"/>
                <w:szCs w:val="18"/>
                <w:lang w:eastAsia="sk-SK"/>
              </w:rPr>
            </w:pPr>
            <w:r w:rsidRPr="005E1D4F">
              <w:rPr>
                <w:rFonts w:cs="Times New Roman"/>
                <w:b/>
                <w:bCs/>
                <w:sz w:val="18"/>
                <w:szCs w:val="18"/>
                <w:lang w:eastAsia="sk-SK"/>
              </w:rPr>
              <w:t>Číslo</w:t>
            </w:r>
          </w:p>
        </w:tc>
        <w:tc>
          <w:tcPr>
            <w:tcW w:w="3744" w:type="pct"/>
            <w:tcBorders>
              <w:top w:val="single" w:sz="4" w:space="0" w:color="auto"/>
              <w:left w:val="single" w:sz="4" w:space="0" w:color="auto"/>
              <w:bottom w:val="single" w:sz="4" w:space="0" w:color="auto"/>
            </w:tcBorders>
            <w:vAlign w:val="center"/>
            <w:hideMark/>
          </w:tcPr>
          <w:p w14:paraId="43DA5467" w14:textId="77777777" w:rsidR="00A4283A" w:rsidRPr="005E1D4F" w:rsidRDefault="00A4283A" w:rsidP="00F339BE">
            <w:pPr>
              <w:rPr>
                <w:rFonts w:cs="Times New Roman"/>
                <w:b/>
                <w:bCs/>
                <w:sz w:val="18"/>
                <w:szCs w:val="18"/>
                <w:lang w:eastAsia="sk-SK"/>
              </w:rPr>
            </w:pPr>
            <w:r w:rsidRPr="005E1D4F">
              <w:rPr>
                <w:rFonts w:cs="Times New Roman"/>
                <w:b/>
                <w:bCs/>
                <w:sz w:val="18"/>
                <w:szCs w:val="18"/>
                <w:lang w:eastAsia="sk-SK"/>
              </w:rPr>
              <w:t>NÁZOV KOMPONENTU</w:t>
            </w:r>
          </w:p>
        </w:tc>
        <w:tc>
          <w:tcPr>
            <w:tcW w:w="939" w:type="pct"/>
            <w:tcBorders>
              <w:top w:val="single" w:sz="4" w:space="0" w:color="auto"/>
              <w:left w:val="single" w:sz="4" w:space="0" w:color="auto"/>
              <w:bottom w:val="single" w:sz="4" w:space="0" w:color="auto"/>
            </w:tcBorders>
          </w:tcPr>
          <w:p w14:paraId="313FE2A5" w14:textId="77777777" w:rsidR="00A4283A" w:rsidRPr="005E1D4F" w:rsidRDefault="00A4283A" w:rsidP="00F339BE">
            <w:pPr>
              <w:rPr>
                <w:rFonts w:cs="Times New Roman"/>
                <w:b/>
                <w:bCs/>
                <w:sz w:val="18"/>
                <w:szCs w:val="18"/>
                <w:lang w:eastAsia="sk-SK"/>
              </w:rPr>
            </w:pPr>
            <w:r w:rsidRPr="005E1D4F">
              <w:rPr>
                <w:rFonts w:cs="Times New Roman"/>
                <w:b/>
                <w:bCs/>
                <w:sz w:val="18"/>
                <w:szCs w:val="18"/>
                <w:lang w:eastAsia="sk-SK"/>
              </w:rPr>
              <w:t>Celková alokácia</w:t>
            </w:r>
          </w:p>
          <w:p w14:paraId="29E4C371" w14:textId="70CADAFC" w:rsidR="00A4283A" w:rsidRPr="005E1D4F" w:rsidRDefault="00A4283A" w:rsidP="00F339BE">
            <w:pPr>
              <w:rPr>
                <w:rFonts w:cs="Times New Roman"/>
                <w:b/>
                <w:bCs/>
                <w:sz w:val="18"/>
                <w:szCs w:val="18"/>
                <w:lang w:eastAsia="sk-SK"/>
              </w:rPr>
            </w:pPr>
            <w:r w:rsidRPr="005E1D4F">
              <w:rPr>
                <w:rFonts w:cs="Times New Roman"/>
                <w:b/>
                <w:bCs/>
                <w:sz w:val="18"/>
                <w:szCs w:val="18"/>
                <w:lang w:eastAsia="sk-SK"/>
              </w:rPr>
              <w:t>(v mil. eur)</w:t>
            </w:r>
          </w:p>
        </w:tc>
      </w:tr>
      <w:tr w:rsidR="00A4283A" w:rsidRPr="00F339BE" w14:paraId="6572365C" w14:textId="77777777" w:rsidTr="00B00EB7">
        <w:trPr>
          <w:trHeight w:val="340"/>
        </w:trPr>
        <w:tc>
          <w:tcPr>
            <w:tcW w:w="317" w:type="pct"/>
            <w:tcBorders>
              <w:top w:val="single" w:sz="4" w:space="0" w:color="auto"/>
              <w:right w:val="single" w:sz="4" w:space="0" w:color="auto"/>
            </w:tcBorders>
            <w:vAlign w:val="center"/>
            <w:hideMark/>
          </w:tcPr>
          <w:p w14:paraId="26394005" w14:textId="77777777" w:rsidR="00A4283A" w:rsidRPr="00F339BE" w:rsidRDefault="00A4283A" w:rsidP="00F339BE">
            <w:pPr>
              <w:rPr>
                <w:rFonts w:cs="Times New Roman"/>
                <w:sz w:val="18"/>
                <w:szCs w:val="18"/>
                <w:lang w:eastAsia="sk-SK"/>
              </w:rPr>
            </w:pPr>
          </w:p>
        </w:tc>
        <w:tc>
          <w:tcPr>
            <w:tcW w:w="3744" w:type="pct"/>
            <w:tcBorders>
              <w:top w:val="single" w:sz="4" w:space="0" w:color="auto"/>
              <w:left w:val="single" w:sz="4" w:space="0" w:color="auto"/>
            </w:tcBorders>
            <w:noWrap/>
            <w:vAlign w:val="center"/>
            <w:hideMark/>
          </w:tcPr>
          <w:p w14:paraId="7D59C353"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Zelená ekonomika</w:t>
            </w:r>
          </w:p>
        </w:tc>
        <w:tc>
          <w:tcPr>
            <w:tcW w:w="939" w:type="pct"/>
            <w:tcBorders>
              <w:top w:val="single" w:sz="4" w:space="0" w:color="auto"/>
              <w:left w:val="single" w:sz="4" w:space="0" w:color="auto"/>
            </w:tcBorders>
          </w:tcPr>
          <w:p w14:paraId="77A73A3D" w14:textId="77777777" w:rsidR="00A4283A" w:rsidRPr="00F339BE" w:rsidRDefault="00A4283A" w:rsidP="00F339BE">
            <w:pPr>
              <w:rPr>
                <w:rFonts w:cs="Times New Roman"/>
                <w:sz w:val="18"/>
                <w:szCs w:val="18"/>
                <w:lang w:eastAsia="sk-SK"/>
              </w:rPr>
            </w:pPr>
          </w:p>
        </w:tc>
      </w:tr>
      <w:tr w:rsidR="00A4283A" w:rsidRPr="00F339BE" w14:paraId="1BDE6BD4" w14:textId="77777777" w:rsidTr="00B00EB7">
        <w:trPr>
          <w:trHeight w:val="340"/>
        </w:trPr>
        <w:tc>
          <w:tcPr>
            <w:tcW w:w="317" w:type="pct"/>
            <w:tcBorders>
              <w:right w:val="single" w:sz="4" w:space="0" w:color="auto"/>
            </w:tcBorders>
            <w:vAlign w:val="center"/>
            <w:hideMark/>
          </w:tcPr>
          <w:p w14:paraId="699C5F88"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w:t>
            </w:r>
          </w:p>
        </w:tc>
        <w:tc>
          <w:tcPr>
            <w:tcW w:w="3744" w:type="pct"/>
            <w:tcBorders>
              <w:left w:val="single" w:sz="4" w:space="0" w:color="auto"/>
            </w:tcBorders>
            <w:vAlign w:val="center"/>
            <w:hideMark/>
          </w:tcPr>
          <w:p w14:paraId="2F09C4C4"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Obnoviteľné zdroje energie a energetická infraštruktúra</w:t>
            </w:r>
          </w:p>
        </w:tc>
        <w:tc>
          <w:tcPr>
            <w:tcW w:w="939" w:type="pct"/>
            <w:tcBorders>
              <w:left w:val="single" w:sz="4" w:space="0" w:color="auto"/>
            </w:tcBorders>
          </w:tcPr>
          <w:p w14:paraId="24CE5D4F"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239,45</w:t>
            </w:r>
          </w:p>
        </w:tc>
      </w:tr>
      <w:tr w:rsidR="00A4283A" w:rsidRPr="00F339BE" w14:paraId="0D2219D7" w14:textId="77777777" w:rsidTr="00B00EB7">
        <w:trPr>
          <w:trHeight w:val="340"/>
        </w:trPr>
        <w:tc>
          <w:tcPr>
            <w:tcW w:w="317" w:type="pct"/>
            <w:tcBorders>
              <w:right w:val="single" w:sz="4" w:space="0" w:color="auto"/>
            </w:tcBorders>
            <w:vAlign w:val="center"/>
            <w:hideMark/>
          </w:tcPr>
          <w:p w14:paraId="3EDB6C79"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2</w:t>
            </w:r>
          </w:p>
        </w:tc>
        <w:tc>
          <w:tcPr>
            <w:tcW w:w="3744" w:type="pct"/>
            <w:tcBorders>
              <w:left w:val="single" w:sz="4" w:space="0" w:color="auto"/>
            </w:tcBorders>
            <w:vAlign w:val="center"/>
            <w:hideMark/>
          </w:tcPr>
          <w:p w14:paraId="02DD2A3D"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Obnova budov</w:t>
            </w:r>
          </w:p>
        </w:tc>
        <w:tc>
          <w:tcPr>
            <w:tcW w:w="939" w:type="pct"/>
            <w:tcBorders>
              <w:left w:val="single" w:sz="4" w:space="0" w:color="auto"/>
            </w:tcBorders>
          </w:tcPr>
          <w:p w14:paraId="79AA1630"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629,67</w:t>
            </w:r>
          </w:p>
        </w:tc>
      </w:tr>
      <w:tr w:rsidR="00A4283A" w:rsidRPr="00F339BE" w14:paraId="2FE99D68" w14:textId="77777777" w:rsidTr="00B00EB7">
        <w:trPr>
          <w:trHeight w:val="340"/>
        </w:trPr>
        <w:tc>
          <w:tcPr>
            <w:tcW w:w="317" w:type="pct"/>
            <w:tcBorders>
              <w:right w:val="single" w:sz="4" w:space="0" w:color="auto"/>
            </w:tcBorders>
            <w:vAlign w:val="center"/>
            <w:hideMark/>
          </w:tcPr>
          <w:p w14:paraId="704614F6"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3</w:t>
            </w:r>
          </w:p>
        </w:tc>
        <w:tc>
          <w:tcPr>
            <w:tcW w:w="3744" w:type="pct"/>
            <w:tcBorders>
              <w:left w:val="single" w:sz="4" w:space="0" w:color="auto"/>
            </w:tcBorders>
            <w:vAlign w:val="center"/>
            <w:hideMark/>
          </w:tcPr>
          <w:p w14:paraId="4B9F02A0"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Udržateľná doprava</w:t>
            </w:r>
          </w:p>
        </w:tc>
        <w:tc>
          <w:tcPr>
            <w:tcW w:w="939" w:type="pct"/>
            <w:tcBorders>
              <w:left w:val="single" w:sz="4" w:space="0" w:color="auto"/>
            </w:tcBorders>
          </w:tcPr>
          <w:p w14:paraId="2E348546"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808,22</w:t>
            </w:r>
          </w:p>
        </w:tc>
      </w:tr>
      <w:tr w:rsidR="00A4283A" w:rsidRPr="00F339BE" w14:paraId="22D07587" w14:textId="77777777" w:rsidTr="00B00EB7">
        <w:trPr>
          <w:trHeight w:val="340"/>
        </w:trPr>
        <w:tc>
          <w:tcPr>
            <w:tcW w:w="317" w:type="pct"/>
            <w:tcBorders>
              <w:right w:val="single" w:sz="4" w:space="0" w:color="auto"/>
            </w:tcBorders>
            <w:vAlign w:val="center"/>
            <w:hideMark/>
          </w:tcPr>
          <w:p w14:paraId="3048637E"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4</w:t>
            </w:r>
          </w:p>
        </w:tc>
        <w:tc>
          <w:tcPr>
            <w:tcW w:w="3744" w:type="pct"/>
            <w:tcBorders>
              <w:left w:val="single" w:sz="4" w:space="0" w:color="auto"/>
            </w:tcBorders>
            <w:vAlign w:val="center"/>
            <w:hideMark/>
          </w:tcPr>
          <w:p w14:paraId="641DA1E7"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Dekarbonizácia priemyslu</w:t>
            </w:r>
          </w:p>
        </w:tc>
        <w:tc>
          <w:tcPr>
            <w:tcW w:w="939" w:type="pct"/>
            <w:tcBorders>
              <w:left w:val="single" w:sz="4" w:space="0" w:color="auto"/>
            </w:tcBorders>
          </w:tcPr>
          <w:p w14:paraId="5FD8FF8C"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41,08</w:t>
            </w:r>
          </w:p>
        </w:tc>
      </w:tr>
      <w:tr w:rsidR="00A4283A" w:rsidRPr="00F339BE" w14:paraId="4456A722" w14:textId="77777777" w:rsidTr="00B00EB7">
        <w:trPr>
          <w:trHeight w:val="340"/>
        </w:trPr>
        <w:tc>
          <w:tcPr>
            <w:tcW w:w="317" w:type="pct"/>
            <w:tcBorders>
              <w:bottom w:val="single" w:sz="4" w:space="0" w:color="auto"/>
              <w:right w:val="single" w:sz="4" w:space="0" w:color="auto"/>
            </w:tcBorders>
            <w:vAlign w:val="center"/>
          </w:tcPr>
          <w:p w14:paraId="32398373"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5</w:t>
            </w:r>
          </w:p>
        </w:tc>
        <w:tc>
          <w:tcPr>
            <w:tcW w:w="3744" w:type="pct"/>
            <w:tcBorders>
              <w:left w:val="single" w:sz="4" w:space="0" w:color="auto"/>
              <w:bottom w:val="single" w:sz="4" w:space="0" w:color="auto"/>
            </w:tcBorders>
            <w:vAlign w:val="center"/>
          </w:tcPr>
          <w:p w14:paraId="6374B096"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Adaptácia na zmenu klímy</w:t>
            </w:r>
          </w:p>
        </w:tc>
        <w:tc>
          <w:tcPr>
            <w:tcW w:w="939" w:type="pct"/>
            <w:tcBorders>
              <w:left w:val="single" w:sz="4" w:space="0" w:color="auto"/>
              <w:bottom w:val="single" w:sz="4" w:space="0" w:color="auto"/>
            </w:tcBorders>
          </w:tcPr>
          <w:p w14:paraId="0EA75438"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116,35</w:t>
            </w:r>
          </w:p>
        </w:tc>
      </w:tr>
      <w:tr w:rsidR="00A4283A" w:rsidRPr="00F339BE" w14:paraId="3FDA0BDD" w14:textId="77777777" w:rsidTr="00B00EB7">
        <w:trPr>
          <w:trHeight w:val="340"/>
        </w:trPr>
        <w:tc>
          <w:tcPr>
            <w:tcW w:w="317" w:type="pct"/>
            <w:tcBorders>
              <w:top w:val="single" w:sz="4" w:space="0" w:color="auto"/>
              <w:right w:val="single" w:sz="4" w:space="0" w:color="auto"/>
            </w:tcBorders>
            <w:vAlign w:val="center"/>
            <w:hideMark/>
          </w:tcPr>
          <w:p w14:paraId="4B56A56F" w14:textId="77777777" w:rsidR="00A4283A" w:rsidRPr="00F339BE" w:rsidRDefault="00A4283A" w:rsidP="00F339BE">
            <w:pPr>
              <w:rPr>
                <w:rFonts w:cs="Times New Roman"/>
                <w:sz w:val="18"/>
                <w:szCs w:val="18"/>
                <w:lang w:eastAsia="sk-SK"/>
              </w:rPr>
            </w:pPr>
          </w:p>
        </w:tc>
        <w:tc>
          <w:tcPr>
            <w:tcW w:w="3744" w:type="pct"/>
            <w:tcBorders>
              <w:top w:val="single" w:sz="4" w:space="0" w:color="auto"/>
              <w:left w:val="single" w:sz="4" w:space="0" w:color="auto"/>
            </w:tcBorders>
            <w:noWrap/>
            <w:vAlign w:val="center"/>
            <w:hideMark/>
          </w:tcPr>
          <w:p w14:paraId="5615643F"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Vzdelávanie</w:t>
            </w:r>
          </w:p>
        </w:tc>
        <w:tc>
          <w:tcPr>
            <w:tcW w:w="939" w:type="pct"/>
            <w:tcBorders>
              <w:top w:val="single" w:sz="4" w:space="0" w:color="auto"/>
              <w:left w:val="single" w:sz="4" w:space="0" w:color="auto"/>
            </w:tcBorders>
          </w:tcPr>
          <w:p w14:paraId="0DB3A553" w14:textId="77777777" w:rsidR="00A4283A" w:rsidRPr="00F339BE" w:rsidRDefault="00A4283A" w:rsidP="00F339BE">
            <w:pPr>
              <w:rPr>
                <w:rFonts w:cs="Times New Roman"/>
                <w:sz w:val="18"/>
                <w:szCs w:val="18"/>
                <w:lang w:eastAsia="sk-SK"/>
              </w:rPr>
            </w:pPr>
          </w:p>
        </w:tc>
      </w:tr>
      <w:tr w:rsidR="00A4283A" w:rsidRPr="00F339BE" w14:paraId="74C97EF7" w14:textId="77777777" w:rsidTr="00B00EB7">
        <w:trPr>
          <w:trHeight w:val="340"/>
        </w:trPr>
        <w:tc>
          <w:tcPr>
            <w:tcW w:w="317" w:type="pct"/>
            <w:tcBorders>
              <w:right w:val="single" w:sz="4" w:space="0" w:color="auto"/>
            </w:tcBorders>
            <w:vAlign w:val="center"/>
            <w:hideMark/>
          </w:tcPr>
          <w:p w14:paraId="2B05E54B"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lastRenderedPageBreak/>
              <w:t>6</w:t>
            </w:r>
          </w:p>
        </w:tc>
        <w:tc>
          <w:tcPr>
            <w:tcW w:w="3744" w:type="pct"/>
            <w:tcBorders>
              <w:left w:val="single" w:sz="4" w:space="0" w:color="auto"/>
            </w:tcBorders>
            <w:vAlign w:val="center"/>
            <w:hideMark/>
          </w:tcPr>
          <w:p w14:paraId="1C3A3714"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Dostupnosť, rozvoj a kvalita inkluzívneho vzdelávania</w:t>
            </w:r>
          </w:p>
        </w:tc>
        <w:tc>
          <w:tcPr>
            <w:tcW w:w="939" w:type="pct"/>
            <w:tcBorders>
              <w:left w:val="single" w:sz="4" w:space="0" w:color="auto"/>
            </w:tcBorders>
          </w:tcPr>
          <w:p w14:paraId="005FC306"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223,49</w:t>
            </w:r>
          </w:p>
        </w:tc>
      </w:tr>
      <w:tr w:rsidR="00A4283A" w:rsidRPr="00F339BE" w14:paraId="4336441A" w14:textId="77777777" w:rsidTr="00B00EB7">
        <w:trPr>
          <w:trHeight w:val="340"/>
        </w:trPr>
        <w:tc>
          <w:tcPr>
            <w:tcW w:w="317" w:type="pct"/>
            <w:tcBorders>
              <w:right w:val="single" w:sz="4" w:space="0" w:color="auto"/>
            </w:tcBorders>
            <w:vAlign w:val="center"/>
            <w:hideMark/>
          </w:tcPr>
          <w:p w14:paraId="7118B600"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7</w:t>
            </w:r>
          </w:p>
        </w:tc>
        <w:tc>
          <w:tcPr>
            <w:tcW w:w="3744" w:type="pct"/>
            <w:tcBorders>
              <w:left w:val="single" w:sz="4" w:space="0" w:color="auto"/>
            </w:tcBorders>
            <w:vAlign w:val="center"/>
            <w:hideMark/>
          </w:tcPr>
          <w:p w14:paraId="5C0B185B"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Vzdelávanie pre 21. storočie</w:t>
            </w:r>
          </w:p>
        </w:tc>
        <w:tc>
          <w:tcPr>
            <w:tcW w:w="939" w:type="pct"/>
            <w:tcBorders>
              <w:left w:val="single" w:sz="4" w:space="0" w:color="auto"/>
            </w:tcBorders>
          </w:tcPr>
          <w:p w14:paraId="30B24CBA"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465,33</w:t>
            </w:r>
          </w:p>
        </w:tc>
      </w:tr>
      <w:tr w:rsidR="00A4283A" w:rsidRPr="00F339BE" w14:paraId="1A8AF243" w14:textId="77777777" w:rsidTr="00B00EB7">
        <w:trPr>
          <w:trHeight w:val="340"/>
        </w:trPr>
        <w:tc>
          <w:tcPr>
            <w:tcW w:w="317" w:type="pct"/>
            <w:tcBorders>
              <w:bottom w:val="single" w:sz="4" w:space="0" w:color="auto"/>
              <w:right w:val="single" w:sz="4" w:space="0" w:color="auto"/>
            </w:tcBorders>
            <w:vAlign w:val="center"/>
            <w:hideMark/>
          </w:tcPr>
          <w:p w14:paraId="13DF6CB2"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8</w:t>
            </w:r>
          </w:p>
        </w:tc>
        <w:tc>
          <w:tcPr>
            <w:tcW w:w="3744" w:type="pct"/>
            <w:tcBorders>
              <w:left w:val="single" w:sz="4" w:space="0" w:color="auto"/>
              <w:bottom w:val="single" w:sz="4" w:space="0" w:color="auto"/>
            </w:tcBorders>
            <w:vAlign w:val="center"/>
            <w:hideMark/>
          </w:tcPr>
          <w:p w14:paraId="7D599492"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Zvýšenie výkonnosti slovenských vysokých škôl</w:t>
            </w:r>
          </w:p>
        </w:tc>
        <w:tc>
          <w:tcPr>
            <w:tcW w:w="939" w:type="pct"/>
            <w:tcBorders>
              <w:left w:val="single" w:sz="4" w:space="0" w:color="auto"/>
              <w:bottom w:val="single" w:sz="4" w:space="0" w:color="auto"/>
            </w:tcBorders>
          </w:tcPr>
          <w:p w14:paraId="70A58FCF"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167,22</w:t>
            </w:r>
          </w:p>
        </w:tc>
      </w:tr>
      <w:tr w:rsidR="00A4283A" w:rsidRPr="00F339BE" w14:paraId="01E1DFBD" w14:textId="77777777" w:rsidTr="00B00EB7">
        <w:trPr>
          <w:trHeight w:val="340"/>
        </w:trPr>
        <w:tc>
          <w:tcPr>
            <w:tcW w:w="317" w:type="pct"/>
            <w:tcBorders>
              <w:top w:val="single" w:sz="4" w:space="0" w:color="auto"/>
              <w:right w:val="single" w:sz="4" w:space="0" w:color="auto"/>
            </w:tcBorders>
            <w:vAlign w:val="center"/>
            <w:hideMark/>
          </w:tcPr>
          <w:p w14:paraId="5F7CA3C5" w14:textId="77777777" w:rsidR="00A4283A" w:rsidRPr="00F339BE" w:rsidRDefault="00A4283A" w:rsidP="00F339BE">
            <w:pPr>
              <w:rPr>
                <w:rFonts w:cs="Times New Roman"/>
                <w:sz w:val="18"/>
                <w:szCs w:val="18"/>
                <w:lang w:eastAsia="sk-SK"/>
              </w:rPr>
            </w:pPr>
          </w:p>
        </w:tc>
        <w:tc>
          <w:tcPr>
            <w:tcW w:w="3744" w:type="pct"/>
            <w:tcBorders>
              <w:top w:val="single" w:sz="4" w:space="0" w:color="auto"/>
              <w:left w:val="single" w:sz="4" w:space="0" w:color="auto"/>
            </w:tcBorders>
            <w:noWrap/>
            <w:vAlign w:val="center"/>
            <w:hideMark/>
          </w:tcPr>
          <w:p w14:paraId="4BA39595"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Veda, výskum, inovácie</w:t>
            </w:r>
          </w:p>
        </w:tc>
        <w:tc>
          <w:tcPr>
            <w:tcW w:w="939" w:type="pct"/>
            <w:tcBorders>
              <w:top w:val="single" w:sz="4" w:space="0" w:color="auto"/>
              <w:left w:val="single" w:sz="4" w:space="0" w:color="auto"/>
            </w:tcBorders>
          </w:tcPr>
          <w:p w14:paraId="5DAE46E0" w14:textId="77777777" w:rsidR="00A4283A" w:rsidRPr="00F339BE" w:rsidRDefault="00A4283A" w:rsidP="00F339BE">
            <w:pPr>
              <w:rPr>
                <w:rFonts w:cs="Times New Roman"/>
                <w:sz w:val="18"/>
                <w:szCs w:val="18"/>
                <w:lang w:eastAsia="sk-SK"/>
              </w:rPr>
            </w:pPr>
          </w:p>
        </w:tc>
      </w:tr>
      <w:tr w:rsidR="00A4283A" w:rsidRPr="00F339BE" w14:paraId="36976F00" w14:textId="77777777" w:rsidTr="00B00EB7">
        <w:trPr>
          <w:trHeight w:val="340"/>
        </w:trPr>
        <w:tc>
          <w:tcPr>
            <w:tcW w:w="317" w:type="pct"/>
            <w:tcBorders>
              <w:right w:val="single" w:sz="4" w:space="0" w:color="auto"/>
            </w:tcBorders>
            <w:vAlign w:val="center"/>
            <w:hideMark/>
          </w:tcPr>
          <w:p w14:paraId="5150F966"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9</w:t>
            </w:r>
          </w:p>
        </w:tc>
        <w:tc>
          <w:tcPr>
            <w:tcW w:w="3744" w:type="pct"/>
            <w:tcBorders>
              <w:left w:val="single" w:sz="4" w:space="0" w:color="auto"/>
            </w:tcBorders>
            <w:vAlign w:val="center"/>
            <w:hideMark/>
          </w:tcPr>
          <w:p w14:paraId="2A7CB08D"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Efektívnejšie riadenie a posilnenie financovania vedy, výskumu a inovácií</w:t>
            </w:r>
          </w:p>
        </w:tc>
        <w:tc>
          <w:tcPr>
            <w:tcW w:w="939" w:type="pct"/>
            <w:tcBorders>
              <w:left w:val="single" w:sz="4" w:space="0" w:color="auto"/>
            </w:tcBorders>
          </w:tcPr>
          <w:p w14:paraId="0C8DCA52"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576,24</w:t>
            </w:r>
          </w:p>
        </w:tc>
      </w:tr>
      <w:tr w:rsidR="00A4283A" w:rsidRPr="00F339BE" w14:paraId="73AE1CB3" w14:textId="77777777" w:rsidTr="00B00EB7">
        <w:trPr>
          <w:trHeight w:val="340"/>
        </w:trPr>
        <w:tc>
          <w:tcPr>
            <w:tcW w:w="317" w:type="pct"/>
            <w:tcBorders>
              <w:bottom w:val="single" w:sz="4" w:space="0" w:color="auto"/>
              <w:right w:val="single" w:sz="4" w:space="0" w:color="auto"/>
            </w:tcBorders>
            <w:vAlign w:val="center"/>
            <w:hideMark/>
          </w:tcPr>
          <w:p w14:paraId="6A8A2A37"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10</w:t>
            </w:r>
          </w:p>
        </w:tc>
        <w:tc>
          <w:tcPr>
            <w:tcW w:w="3744" w:type="pct"/>
            <w:tcBorders>
              <w:left w:val="single" w:sz="4" w:space="0" w:color="auto"/>
              <w:bottom w:val="single" w:sz="4" w:space="0" w:color="auto"/>
            </w:tcBorders>
            <w:vAlign w:val="center"/>
            <w:hideMark/>
          </w:tcPr>
          <w:p w14:paraId="51826A4E"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Prilákanie a udržanie talentov</w:t>
            </w:r>
          </w:p>
        </w:tc>
        <w:tc>
          <w:tcPr>
            <w:tcW w:w="939" w:type="pct"/>
            <w:tcBorders>
              <w:left w:val="single" w:sz="4" w:space="0" w:color="auto"/>
              <w:bottom w:val="single" w:sz="4" w:space="0" w:color="auto"/>
            </w:tcBorders>
          </w:tcPr>
          <w:p w14:paraId="13350283"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94,09</w:t>
            </w:r>
          </w:p>
        </w:tc>
      </w:tr>
      <w:tr w:rsidR="00A4283A" w:rsidRPr="00F339BE" w14:paraId="527A6F9B" w14:textId="77777777" w:rsidTr="00B00EB7">
        <w:trPr>
          <w:trHeight w:val="340"/>
        </w:trPr>
        <w:tc>
          <w:tcPr>
            <w:tcW w:w="317" w:type="pct"/>
            <w:tcBorders>
              <w:top w:val="single" w:sz="4" w:space="0" w:color="auto"/>
              <w:right w:val="single" w:sz="4" w:space="0" w:color="auto"/>
            </w:tcBorders>
            <w:vAlign w:val="center"/>
            <w:hideMark/>
          </w:tcPr>
          <w:p w14:paraId="798FF94F" w14:textId="77777777" w:rsidR="00A4283A" w:rsidRPr="00F339BE" w:rsidRDefault="00A4283A" w:rsidP="00F339BE">
            <w:pPr>
              <w:rPr>
                <w:rFonts w:cs="Times New Roman"/>
                <w:sz w:val="18"/>
                <w:szCs w:val="18"/>
                <w:lang w:eastAsia="sk-SK"/>
              </w:rPr>
            </w:pPr>
          </w:p>
        </w:tc>
        <w:tc>
          <w:tcPr>
            <w:tcW w:w="3744" w:type="pct"/>
            <w:tcBorders>
              <w:top w:val="single" w:sz="4" w:space="0" w:color="auto"/>
              <w:left w:val="single" w:sz="4" w:space="0" w:color="auto"/>
            </w:tcBorders>
            <w:noWrap/>
            <w:vAlign w:val="center"/>
            <w:hideMark/>
          </w:tcPr>
          <w:p w14:paraId="235C3653"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Zdravie</w:t>
            </w:r>
          </w:p>
        </w:tc>
        <w:tc>
          <w:tcPr>
            <w:tcW w:w="939" w:type="pct"/>
            <w:tcBorders>
              <w:top w:val="single" w:sz="4" w:space="0" w:color="auto"/>
              <w:left w:val="single" w:sz="4" w:space="0" w:color="auto"/>
            </w:tcBorders>
          </w:tcPr>
          <w:p w14:paraId="239CD3EA" w14:textId="77777777" w:rsidR="00A4283A" w:rsidRPr="00F339BE" w:rsidRDefault="00A4283A" w:rsidP="00F339BE">
            <w:pPr>
              <w:rPr>
                <w:rFonts w:cs="Times New Roman"/>
                <w:sz w:val="18"/>
                <w:szCs w:val="18"/>
                <w:lang w:eastAsia="sk-SK"/>
              </w:rPr>
            </w:pPr>
          </w:p>
        </w:tc>
      </w:tr>
      <w:tr w:rsidR="00A4283A" w:rsidRPr="00F339BE" w14:paraId="71933839" w14:textId="77777777" w:rsidTr="00B00EB7">
        <w:trPr>
          <w:trHeight w:val="340"/>
        </w:trPr>
        <w:tc>
          <w:tcPr>
            <w:tcW w:w="317" w:type="pct"/>
            <w:tcBorders>
              <w:right w:val="single" w:sz="4" w:space="0" w:color="auto"/>
            </w:tcBorders>
            <w:vAlign w:val="center"/>
            <w:hideMark/>
          </w:tcPr>
          <w:p w14:paraId="3E185E9B"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11</w:t>
            </w:r>
          </w:p>
        </w:tc>
        <w:tc>
          <w:tcPr>
            <w:tcW w:w="3744" w:type="pct"/>
            <w:tcBorders>
              <w:left w:val="single" w:sz="4" w:space="0" w:color="auto"/>
            </w:tcBorders>
            <w:vAlign w:val="center"/>
            <w:hideMark/>
          </w:tcPr>
          <w:p w14:paraId="47F23D38"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Moderná a dostupná zdravotná starostlivosť</w:t>
            </w:r>
          </w:p>
        </w:tc>
        <w:tc>
          <w:tcPr>
            <w:tcW w:w="939" w:type="pct"/>
            <w:tcBorders>
              <w:left w:val="single" w:sz="4" w:space="0" w:color="auto"/>
            </w:tcBorders>
          </w:tcPr>
          <w:p w14:paraId="3323702D"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1 284,60</w:t>
            </w:r>
          </w:p>
        </w:tc>
      </w:tr>
      <w:tr w:rsidR="00A4283A" w:rsidRPr="00F339BE" w14:paraId="2410C62F" w14:textId="77777777" w:rsidTr="00B00EB7">
        <w:trPr>
          <w:trHeight w:val="340"/>
        </w:trPr>
        <w:tc>
          <w:tcPr>
            <w:tcW w:w="317" w:type="pct"/>
            <w:tcBorders>
              <w:right w:val="single" w:sz="4" w:space="0" w:color="auto"/>
            </w:tcBorders>
            <w:vAlign w:val="center"/>
            <w:hideMark/>
          </w:tcPr>
          <w:p w14:paraId="37E0E6A8"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12</w:t>
            </w:r>
          </w:p>
        </w:tc>
        <w:tc>
          <w:tcPr>
            <w:tcW w:w="3744" w:type="pct"/>
            <w:tcBorders>
              <w:left w:val="single" w:sz="4" w:space="0" w:color="auto"/>
            </w:tcBorders>
            <w:vAlign w:val="center"/>
            <w:hideMark/>
          </w:tcPr>
          <w:p w14:paraId="49FD8FED"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Humánna, moderná a dostupná starostlivosť o duševné zdravie</w:t>
            </w:r>
          </w:p>
        </w:tc>
        <w:tc>
          <w:tcPr>
            <w:tcW w:w="939" w:type="pct"/>
            <w:tcBorders>
              <w:left w:val="single" w:sz="4" w:space="0" w:color="auto"/>
            </w:tcBorders>
          </w:tcPr>
          <w:p w14:paraId="1F874939"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76,21</w:t>
            </w:r>
          </w:p>
        </w:tc>
      </w:tr>
      <w:tr w:rsidR="00A4283A" w:rsidRPr="00F339BE" w14:paraId="3F0D37D4" w14:textId="77777777" w:rsidTr="00B00EB7">
        <w:trPr>
          <w:trHeight w:val="340"/>
        </w:trPr>
        <w:tc>
          <w:tcPr>
            <w:tcW w:w="317" w:type="pct"/>
            <w:tcBorders>
              <w:bottom w:val="single" w:sz="4" w:space="0" w:color="auto"/>
              <w:right w:val="single" w:sz="4" w:space="0" w:color="auto"/>
            </w:tcBorders>
            <w:vAlign w:val="center"/>
            <w:hideMark/>
          </w:tcPr>
          <w:p w14:paraId="328FAE93"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13</w:t>
            </w:r>
          </w:p>
        </w:tc>
        <w:tc>
          <w:tcPr>
            <w:tcW w:w="3744" w:type="pct"/>
            <w:tcBorders>
              <w:left w:val="single" w:sz="4" w:space="0" w:color="auto"/>
              <w:bottom w:val="single" w:sz="4" w:space="0" w:color="auto"/>
            </w:tcBorders>
            <w:vAlign w:val="center"/>
            <w:hideMark/>
          </w:tcPr>
          <w:p w14:paraId="4D290B67"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Dostupná a kvalitná dlhodobá sociálno-zdravotná starostlivosť</w:t>
            </w:r>
          </w:p>
        </w:tc>
        <w:tc>
          <w:tcPr>
            <w:tcW w:w="939" w:type="pct"/>
            <w:tcBorders>
              <w:left w:val="single" w:sz="4" w:space="0" w:color="auto"/>
              <w:bottom w:val="single" w:sz="4" w:space="0" w:color="auto"/>
            </w:tcBorders>
          </w:tcPr>
          <w:p w14:paraId="3AA74BA1"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303,34</w:t>
            </w:r>
          </w:p>
        </w:tc>
      </w:tr>
      <w:tr w:rsidR="00A4283A" w:rsidRPr="00F339BE" w14:paraId="1C22F4C5" w14:textId="77777777" w:rsidTr="00B00EB7">
        <w:trPr>
          <w:trHeight w:val="340"/>
        </w:trPr>
        <w:tc>
          <w:tcPr>
            <w:tcW w:w="317" w:type="pct"/>
            <w:tcBorders>
              <w:top w:val="single" w:sz="4" w:space="0" w:color="auto"/>
              <w:right w:val="single" w:sz="4" w:space="0" w:color="auto"/>
            </w:tcBorders>
            <w:vAlign w:val="center"/>
            <w:hideMark/>
          </w:tcPr>
          <w:p w14:paraId="79239FC5" w14:textId="77777777" w:rsidR="00A4283A" w:rsidRPr="00F339BE" w:rsidRDefault="00A4283A" w:rsidP="00F339BE">
            <w:pPr>
              <w:rPr>
                <w:rFonts w:cs="Times New Roman"/>
                <w:sz w:val="18"/>
                <w:szCs w:val="18"/>
                <w:lang w:eastAsia="sk-SK"/>
              </w:rPr>
            </w:pPr>
          </w:p>
        </w:tc>
        <w:tc>
          <w:tcPr>
            <w:tcW w:w="3744" w:type="pct"/>
            <w:tcBorders>
              <w:top w:val="single" w:sz="4" w:space="0" w:color="auto"/>
              <w:left w:val="single" w:sz="4" w:space="0" w:color="auto"/>
            </w:tcBorders>
            <w:noWrap/>
            <w:vAlign w:val="center"/>
            <w:hideMark/>
          </w:tcPr>
          <w:p w14:paraId="66B54E03"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Efektívna verejná správa a digitalizácia</w:t>
            </w:r>
          </w:p>
        </w:tc>
        <w:tc>
          <w:tcPr>
            <w:tcW w:w="939" w:type="pct"/>
            <w:tcBorders>
              <w:top w:val="single" w:sz="4" w:space="0" w:color="auto"/>
              <w:left w:val="single" w:sz="4" w:space="0" w:color="auto"/>
            </w:tcBorders>
          </w:tcPr>
          <w:p w14:paraId="547EB642" w14:textId="77777777" w:rsidR="00A4283A" w:rsidRPr="00F339BE" w:rsidRDefault="00A4283A" w:rsidP="00F339BE">
            <w:pPr>
              <w:rPr>
                <w:rFonts w:cs="Times New Roman"/>
                <w:sz w:val="18"/>
                <w:szCs w:val="18"/>
                <w:lang w:eastAsia="sk-SK"/>
              </w:rPr>
            </w:pPr>
          </w:p>
        </w:tc>
      </w:tr>
      <w:tr w:rsidR="00A4283A" w:rsidRPr="00F339BE" w14:paraId="39130134" w14:textId="77777777" w:rsidTr="00B00EB7">
        <w:trPr>
          <w:trHeight w:val="340"/>
        </w:trPr>
        <w:tc>
          <w:tcPr>
            <w:tcW w:w="317" w:type="pct"/>
            <w:tcBorders>
              <w:right w:val="single" w:sz="4" w:space="0" w:color="auto"/>
            </w:tcBorders>
            <w:vAlign w:val="center"/>
            <w:hideMark/>
          </w:tcPr>
          <w:p w14:paraId="0414E789"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14</w:t>
            </w:r>
          </w:p>
        </w:tc>
        <w:tc>
          <w:tcPr>
            <w:tcW w:w="3744" w:type="pct"/>
            <w:tcBorders>
              <w:left w:val="single" w:sz="4" w:space="0" w:color="auto"/>
            </w:tcBorders>
            <w:vAlign w:val="center"/>
            <w:hideMark/>
          </w:tcPr>
          <w:p w14:paraId="31032E90"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Zlepšenie podnikateľského prostredia</w:t>
            </w:r>
          </w:p>
        </w:tc>
        <w:tc>
          <w:tcPr>
            <w:tcW w:w="939" w:type="pct"/>
            <w:tcBorders>
              <w:left w:val="single" w:sz="4" w:space="0" w:color="auto"/>
            </w:tcBorders>
          </w:tcPr>
          <w:p w14:paraId="621E2234"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11,16</w:t>
            </w:r>
          </w:p>
        </w:tc>
      </w:tr>
      <w:tr w:rsidR="00A4283A" w:rsidRPr="00F339BE" w14:paraId="74EF458A" w14:textId="77777777" w:rsidTr="00B00EB7">
        <w:trPr>
          <w:trHeight w:val="340"/>
        </w:trPr>
        <w:tc>
          <w:tcPr>
            <w:tcW w:w="317" w:type="pct"/>
            <w:tcBorders>
              <w:right w:val="single" w:sz="4" w:space="0" w:color="auto"/>
            </w:tcBorders>
            <w:vAlign w:val="center"/>
            <w:hideMark/>
          </w:tcPr>
          <w:p w14:paraId="2921F957"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15</w:t>
            </w:r>
          </w:p>
        </w:tc>
        <w:tc>
          <w:tcPr>
            <w:tcW w:w="3744" w:type="pct"/>
            <w:tcBorders>
              <w:left w:val="single" w:sz="4" w:space="0" w:color="auto"/>
            </w:tcBorders>
            <w:vAlign w:val="center"/>
            <w:hideMark/>
          </w:tcPr>
          <w:p w14:paraId="17674318"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Reforma justície</w:t>
            </w:r>
          </w:p>
        </w:tc>
        <w:tc>
          <w:tcPr>
            <w:tcW w:w="939" w:type="pct"/>
            <w:tcBorders>
              <w:left w:val="single" w:sz="4" w:space="0" w:color="auto"/>
            </w:tcBorders>
          </w:tcPr>
          <w:p w14:paraId="6F85A3F1"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157,76</w:t>
            </w:r>
          </w:p>
        </w:tc>
      </w:tr>
      <w:tr w:rsidR="00A4283A" w:rsidRPr="00F339BE" w14:paraId="202DC940" w14:textId="77777777" w:rsidTr="00B00EB7">
        <w:trPr>
          <w:trHeight w:val="340"/>
        </w:trPr>
        <w:tc>
          <w:tcPr>
            <w:tcW w:w="317" w:type="pct"/>
            <w:tcBorders>
              <w:right w:val="single" w:sz="4" w:space="0" w:color="auto"/>
            </w:tcBorders>
            <w:vAlign w:val="center"/>
            <w:hideMark/>
          </w:tcPr>
          <w:p w14:paraId="1A4BBC0A"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16</w:t>
            </w:r>
          </w:p>
        </w:tc>
        <w:tc>
          <w:tcPr>
            <w:tcW w:w="3744" w:type="pct"/>
            <w:tcBorders>
              <w:left w:val="single" w:sz="4" w:space="0" w:color="auto"/>
            </w:tcBorders>
            <w:vAlign w:val="center"/>
            <w:hideMark/>
          </w:tcPr>
          <w:p w14:paraId="66799DAD"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Boj proti korupcii a praniu špinavých peňazí, bezpečnosť a ochrana obyvateľstva</w:t>
            </w:r>
          </w:p>
        </w:tc>
        <w:tc>
          <w:tcPr>
            <w:tcW w:w="939" w:type="pct"/>
            <w:tcBorders>
              <w:left w:val="single" w:sz="4" w:space="0" w:color="auto"/>
            </w:tcBorders>
          </w:tcPr>
          <w:p w14:paraId="62A2F214"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260,98</w:t>
            </w:r>
          </w:p>
        </w:tc>
      </w:tr>
      <w:tr w:rsidR="00A4283A" w:rsidRPr="00F339BE" w14:paraId="679570FF" w14:textId="77777777" w:rsidTr="00B00EB7">
        <w:trPr>
          <w:trHeight w:val="340"/>
        </w:trPr>
        <w:tc>
          <w:tcPr>
            <w:tcW w:w="317" w:type="pct"/>
            <w:tcBorders>
              <w:right w:val="single" w:sz="4" w:space="0" w:color="auto"/>
            </w:tcBorders>
            <w:vAlign w:val="center"/>
            <w:hideMark/>
          </w:tcPr>
          <w:p w14:paraId="178E69E1"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17</w:t>
            </w:r>
          </w:p>
        </w:tc>
        <w:tc>
          <w:tcPr>
            <w:tcW w:w="3744" w:type="pct"/>
            <w:tcBorders>
              <w:left w:val="single" w:sz="4" w:space="0" w:color="auto"/>
            </w:tcBorders>
            <w:vAlign w:val="center"/>
            <w:hideMark/>
          </w:tcPr>
          <w:p w14:paraId="4D80971B"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Digitálne Slovensko (štát v mobile, kybernetická bezpečnosť, rýchly internet pre každého, digitálna ekonomika)</w:t>
            </w:r>
          </w:p>
        </w:tc>
        <w:tc>
          <w:tcPr>
            <w:tcW w:w="939" w:type="pct"/>
            <w:tcBorders>
              <w:left w:val="single" w:sz="4" w:space="0" w:color="auto"/>
            </w:tcBorders>
          </w:tcPr>
          <w:p w14:paraId="5931D3C1"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549,14</w:t>
            </w:r>
          </w:p>
        </w:tc>
      </w:tr>
      <w:tr w:rsidR="00A4283A" w:rsidRPr="00F339BE" w14:paraId="2E98BBB3" w14:textId="77777777" w:rsidTr="00B00EB7">
        <w:trPr>
          <w:trHeight w:val="340"/>
        </w:trPr>
        <w:tc>
          <w:tcPr>
            <w:tcW w:w="317" w:type="pct"/>
            <w:tcBorders>
              <w:bottom w:val="single" w:sz="4" w:space="0" w:color="auto"/>
              <w:right w:val="single" w:sz="4" w:space="0" w:color="auto"/>
            </w:tcBorders>
            <w:vAlign w:val="center"/>
          </w:tcPr>
          <w:p w14:paraId="6B1CD754"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18</w:t>
            </w:r>
          </w:p>
        </w:tc>
        <w:tc>
          <w:tcPr>
            <w:tcW w:w="3744" w:type="pct"/>
            <w:tcBorders>
              <w:left w:val="single" w:sz="4" w:space="0" w:color="auto"/>
              <w:bottom w:val="single" w:sz="4" w:space="0" w:color="auto"/>
            </w:tcBorders>
            <w:vAlign w:val="center"/>
          </w:tcPr>
          <w:p w14:paraId="4C7D928C"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Zdravé, udržateľné a konkurencieschopné verejné financie</w:t>
            </w:r>
          </w:p>
        </w:tc>
        <w:tc>
          <w:tcPr>
            <w:tcW w:w="939" w:type="pct"/>
            <w:tcBorders>
              <w:left w:val="single" w:sz="4" w:space="0" w:color="auto"/>
              <w:bottom w:val="single" w:sz="4" w:space="0" w:color="auto"/>
            </w:tcBorders>
          </w:tcPr>
          <w:p w14:paraId="086BE765"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w:t>
            </w:r>
          </w:p>
        </w:tc>
      </w:tr>
      <w:tr w:rsidR="00A4283A" w:rsidRPr="00F339BE" w14:paraId="7FC4E5DD" w14:textId="77777777" w:rsidTr="00B00EB7">
        <w:trPr>
          <w:trHeight w:val="340"/>
        </w:trPr>
        <w:tc>
          <w:tcPr>
            <w:tcW w:w="317" w:type="pct"/>
            <w:tcBorders>
              <w:top w:val="single" w:sz="4" w:space="0" w:color="auto"/>
              <w:bottom w:val="single" w:sz="4" w:space="0" w:color="auto"/>
              <w:right w:val="single" w:sz="4" w:space="0" w:color="auto"/>
            </w:tcBorders>
            <w:vAlign w:val="center"/>
          </w:tcPr>
          <w:p w14:paraId="346589BC"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19</w:t>
            </w:r>
          </w:p>
        </w:tc>
        <w:tc>
          <w:tcPr>
            <w:tcW w:w="3744" w:type="pct"/>
            <w:tcBorders>
              <w:top w:val="single" w:sz="4" w:space="0" w:color="auto"/>
              <w:left w:val="single" w:sz="4" w:space="0" w:color="auto"/>
              <w:bottom w:val="single" w:sz="4" w:space="0" w:color="auto"/>
            </w:tcBorders>
            <w:vAlign w:val="center"/>
          </w:tcPr>
          <w:p w14:paraId="3661C49E"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REPowerEU</w:t>
            </w:r>
          </w:p>
        </w:tc>
        <w:tc>
          <w:tcPr>
            <w:tcW w:w="939" w:type="pct"/>
            <w:tcBorders>
              <w:top w:val="single" w:sz="4" w:space="0" w:color="auto"/>
              <w:left w:val="single" w:sz="4" w:space="0" w:color="auto"/>
              <w:bottom w:val="single" w:sz="4" w:space="0" w:color="auto"/>
            </w:tcBorders>
          </w:tcPr>
          <w:p w14:paraId="5FC0BAA3" w14:textId="77777777" w:rsidR="00A4283A" w:rsidRPr="00F339BE" w:rsidRDefault="00A4283A" w:rsidP="00F339BE">
            <w:pPr>
              <w:rPr>
                <w:rFonts w:cs="Times New Roman"/>
                <w:sz w:val="18"/>
                <w:szCs w:val="18"/>
                <w:lang w:eastAsia="sk-SK"/>
              </w:rPr>
            </w:pPr>
            <w:r w:rsidRPr="00F339BE">
              <w:rPr>
                <w:rFonts w:cs="Times New Roman"/>
                <w:sz w:val="18"/>
                <w:szCs w:val="18"/>
                <w:lang w:eastAsia="sk-SK"/>
              </w:rPr>
              <w:t>402,90</w:t>
            </w:r>
          </w:p>
        </w:tc>
      </w:tr>
    </w:tbl>
    <w:p w14:paraId="2B1E302C" w14:textId="63CDAB53" w:rsidR="00A4283A" w:rsidRPr="00B00EB7" w:rsidRDefault="00B00EB7" w:rsidP="00B00EB7">
      <w:pPr>
        <w:tabs>
          <w:tab w:val="right" w:pos="9070"/>
        </w:tabs>
        <w:jc w:val="both"/>
        <w:rPr>
          <w:rFonts w:eastAsia="Times New Roman" w:cs="Times New Roman"/>
          <w:iCs/>
          <w:sz w:val="18"/>
          <w:szCs w:val="18"/>
          <w:lang w:eastAsia="sk-SK"/>
        </w:rPr>
      </w:pPr>
      <w:r w:rsidRPr="00B00EB7">
        <w:rPr>
          <w:rFonts w:eastAsia="Times New Roman" w:cs="Times New Roman"/>
          <w:iCs/>
          <w:sz w:val="18"/>
          <w:szCs w:val="18"/>
          <w:lang w:eastAsia="sk-SK"/>
        </w:rPr>
        <w:tab/>
        <w:t>Zdroj: NIKA</w:t>
      </w:r>
    </w:p>
    <w:p w14:paraId="31F19583" w14:textId="77777777" w:rsidR="00895789" w:rsidRDefault="00895789" w:rsidP="00AC6002">
      <w:pPr>
        <w:spacing w:line="240" w:lineRule="auto"/>
        <w:jc w:val="both"/>
        <w:rPr>
          <w:rFonts w:eastAsia="Times New Roman" w:cs="Times New Roman"/>
          <w:iCs/>
          <w:szCs w:val="24"/>
          <w:lang w:eastAsia="sk-SK"/>
        </w:rPr>
      </w:pPr>
    </w:p>
    <w:p w14:paraId="402ACC8B" w14:textId="2596F819" w:rsidR="00A4283A" w:rsidRPr="00AC6002" w:rsidRDefault="00A4283A" w:rsidP="00AC6002">
      <w:pPr>
        <w:spacing w:line="240" w:lineRule="auto"/>
        <w:jc w:val="both"/>
        <w:rPr>
          <w:rFonts w:eastAsia="Times New Roman" w:cs="Times New Roman"/>
          <w:iCs/>
          <w:szCs w:val="24"/>
          <w:lang w:eastAsia="sk-SK"/>
        </w:rPr>
      </w:pPr>
      <w:r w:rsidRPr="00AC6002">
        <w:rPr>
          <w:rFonts w:eastAsia="Times New Roman" w:cs="Times New Roman"/>
          <w:iCs/>
          <w:szCs w:val="24"/>
          <w:lang w:eastAsia="sk-SK"/>
        </w:rPr>
        <w:t xml:space="preserve">Vykonávacie rozhodnutie Rady o schválení posúdenia </w:t>
      </w:r>
      <w:r w:rsidR="00E50EF7">
        <w:rPr>
          <w:rFonts w:eastAsia="Times New Roman" w:cs="Times New Roman"/>
          <w:iCs/>
          <w:szCs w:val="24"/>
          <w:lang w:eastAsia="sk-SK"/>
        </w:rPr>
        <w:t>POO</w:t>
      </w:r>
      <w:r w:rsidRPr="00AC6002">
        <w:rPr>
          <w:rFonts w:eastAsia="Times New Roman" w:cs="Times New Roman"/>
          <w:iCs/>
          <w:szCs w:val="24"/>
          <w:lang w:eastAsia="sk-SK"/>
        </w:rPr>
        <w:t xml:space="preserve"> Slovenska</w:t>
      </w:r>
      <w:r w:rsidRPr="00AC6002">
        <w:rPr>
          <w:rStyle w:val="Odkaznapoznmkupodiarou"/>
          <w:rFonts w:eastAsia="Times New Roman" w:cs="Times New Roman"/>
          <w:szCs w:val="24"/>
          <w:lang w:eastAsia="sk-SK"/>
        </w:rPr>
        <w:footnoteReference w:id="45"/>
      </w:r>
      <w:r w:rsidRPr="00AC6002">
        <w:rPr>
          <w:rFonts w:eastAsia="Times New Roman" w:cs="Times New Roman"/>
          <w:iCs/>
          <w:szCs w:val="24"/>
          <w:lang w:eastAsia="sk-SK"/>
        </w:rPr>
        <w:t xml:space="preserve"> a jeho príloha</w:t>
      </w:r>
      <w:r w:rsidRPr="00AC6002">
        <w:rPr>
          <w:rStyle w:val="Odkaznapoznmkupodiarou"/>
          <w:rFonts w:eastAsia="Times New Roman" w:cs="Times New Roman"/>
          <w:szCs w:val="24"/>
          <w:lang w:eastAsia="sk-SK"/>
        </w:rPr>
        <w:footnoteReference w:id="46"/>
      </w:r>
      <w:r w:rsidRPr="00AC6002">
        <w:rPr>
          <w:rFonts w:eastAsia="Times New Roman" w:cs="Times New Roman"/>
          <w:iCs/>
          <w:szCs w:val="24"/>
          <w:lang w:eastAsia="sk-SK"/>
        </w:rPr>
        <w:t xml:space="preserve"> (bolo predmetom v poradí prvej aktualizácie </w:t>
      </w:r>
      <w:r w:rsidR="00E50EF7">
        <w:rPr>
          <w:rFonts w:eastAsia="Times New Roman" w:cs="Times New Roman"/>
          <w:iCs/>
          <w:szCs w:val="24"/>
          <w:lang w:eastAsia="sk-SK"/>
        </w:rPr>
        <w:t>POO</w:t>
      </w:r>
      <w:r w:rsidRPr="00AC6002">
        <w:rPr>
          <w:rFonts w:eastAsia="Times New Roman" w:cs="Times New Roman"/>
          <w:iCs/>
          <w:szCs w:val="24"/>
          <w:lang w:eastAsia="sk-SK"/>
        </w:rPr>
        <w:t xml:space="preserve">) obsahujú záväzný zoznam míľnikov a cieľov korešpondujúcim k reformám a investíciám, ktoré sú v rokoch 2021-2026 implementované z aktuálnej finančnej alokácie </w:t>
      </w:r>
      <w:r w:rsidR="00E50EF7">
        <w:rPr>
          <w:rFonts w:eastAsia="Times New Roman" w:cs="Times New Roman"/>
          <w:iCs/>
          <w:szCs w:val="24"/>
          <w:lang w:eastAsia="sk-SK"/>
        </w:rPr>
        <w:t>POO</w:t>
      </w:r>
      <w:r w:rsidRPr="00AC6002">
        <w:rPr>
          <w:rFonts w:eastAsia="Times New Roman" w:cs="Times New Roman"/>
          <w:iCs/>
          <w:szCs w:val="24"/>
          <w:lang w:eastAsia="sk-SK"/>
        </w:rPr>
        <w:t xml:space="preserve">. Úprava </w:t>
      </w:r>
      <w:r w:rsidR="00E50EF7">
        <w:rPr>
          <w:rFonts w:eastAsia="Times New Roman" w:cs="Times New Roman"/>
          <w:iCs/>
          <w:szCs w:val="24"/>
          <w:lang w:eastAsia="sk-SK"/>
        </w:rPr>
        <w:t>POO</w:t>
      </w:r>
      <w:r w:rsidRPr="00AC6002">
        <w:rPr>
          <w:rFonts w:eastAsia="Times New Roman" w:cs="Times New Roman"/>
          <w:iCs/>
          <w:szCs w:val="24"/>
          <w:lang w:eastAsia="sk-SK"/>
        </w:rPr>
        <w:t xml:space="preserve"> postupne prebehla v dôsledku zahrnutia skutočných a agregovaných dát zmeny v reálnom HDP za obdobie rokov 2020-2021, zmenou geopolitickej situácie v súvislosti s vojenskou inváziou Ruskej federácie na Ukrajinu (a s tým spojený nárast cien ovplyvňujúci náklady </w:t>
      </w:r>
      <w:r w:rsidR="00E50EF7">
        <w:rPr>
          <w:rFonts w:eastAsia="Times New Roman" w:cs="Times New Roman"/>
          <w:iCs/>
          <w:szCs w:val="24"/>
          <w:lang w:eastAsia="sk-SK"/>
        </w:rPr>
        <w:t>POO</w:t>
      </w:r>
      <w:r w:rsidRPr="00AC6002">
        <w:rPr>
          <w:rFonts w:eastAsia="Times New Roman" w:cs="Times New Roman"/>
          <w:iCs/>
          <w:szCs w:val="24"/>
          <w:lang w:eastAsia="sk-SK"/>
        </w:rPr>
        <w:t>) a pridaním kapitoly REPowerEU.</w:t>
      </w:r>
    </w:p>
    <w:p w14:paraId="44F5D20E" w14:textId="77777777" w:rsidR="00A4283A" w:rsidRPr="00AC6002" w:rsidRDefault="00A4283A" w:rsidP="00AC6002">
      <w:pPr>
        <w:spacing w:line="240" w:lineRule="auto"/>
        <w:jc w:val="both"/>
        <w:rPr>
          <w:rFonts w:eastAsia="Times New Roman" w:cs="Times New Roman"/>
          <w:iCs/>
          <w:szCs w:val="24"/>
          <w:lang w:eastAsia="sk-SK"/>
        </w:rPr>
      </w:pPr>
    </w:p>
    <w:p w14:paraId="331B39DB" w14:textId="48A5F7D7" w:rsidR="00A4283A" w:rsidRPr="00AC6002" w:rsidRDefault="00A4283A" w:rsidP="00AC6002">
      <w:pPr>
        <w:spacing w:line="240" w:lineRule="auto"/>
        <w:jc w:val="both"/>
        <w:rPr>
          <w:rFonts w:cs="Times New Roman"/>
          <w:szCs w:val="24"/>
        </w:rPr>
      </w:pPr>
      <w:r w:rsidRPr="00AC6002">
        <w:rPr>
          <w:rFonts w:cs="Times New Roman"/>
          <w:bCs/>
          <w:szCs w:val="24"/>
        </w:rPr>
        <w:t xml:space="preserve">Slovensko tak v apríli 2023 odovzdalo Európskej komisii </w:t>
      </w:r>
      <w:hyperlink r:id="rId19" w:history="1">
        <w:r w:rsidRPr="00AC6002">
          <w:rPr>
            <w:rFonts w:cs="Times New Roman"/>
            <w:bCs/>
            <w:szCs w:val="24"/>
          </w:rPr>
          <w:t>aktualizovaný plán obnovy</w:t>
        </w:r>
      </w:hyperlink>
      <w:r w:rsidRPr="00AC6002">
        <w:rPr>
          <w:rFonts w:cs="Times New Roman"/>
          <w:bCs/>
          <w:szCs w:val="24"/>
        </w:rPr>
        <w:t>, ktorý bol následne schválený Radou EÚ 14.</w:t>
      </w:r>
      <w:r w:rsidR="00E736F9">
        <w:rPr>
          <w:rFonts w:cs="Times New Roman"/>
          <w:bCs/>
          <w:szCs w:val="24"/>
        </w:rPr>
        <w:t> </w:t>
      </w:r>
      <w:r w:rsidRPr="00AC6002">
        <w:rPr>
          <w:rFonts w:cs="Times New Roman"/>
          <w:bCs/>
          <w:szCs w:val="24"/>
        </w:rPr>
        <w:t>júla 2023.</w:t>
      </w:r>
      <w:r w:rsidRPr="00AC6002">
        <w:rPr>
          <w:rFonts w:cs="Times New Roman"/>
          <w:b/>
          <w:bCs/>
          <w:szCs w:val="24"/>
        </w:rPr>
        <w:t xml:space="preserve"> </w:t>
      </w:r>
      <w:r w:rsidRPr="00AC6002">
        <w:rPr>
          <w:rFonts w:cs="Times New Roman"/>
          <w:szCs w:val="24"/>
        </w:rPr>
        <w:t>V priebehu roka 2025 došlo v poradí druhej a</w:t>
      </w:r>
      <w:r w:rsidR="00E736F9">
        <w:rPr>
          <w:rFonts w:cs="Times New Roman"/>
          <w:szCs w:val="24"/>
        </w:rPr>
        <w:t> </w:t>
      </w:r>
      <w:r w:rsidRPr="00AC6002">
        <w:rPr>
          <w:rFonts w:cs="Times New Roman"/>
          <w:szCs w:val="24"/>
        </w:rPr>
        <w:t>tretej</w:t>
      </w:r>
      <w:r w:rsidRPr="00AC6002">
        <w:rPr>
          <w:rFonts w:cs="Times New Roman"/>
          <w:b/>
          <w:bCs/>
          <w:szCs w:val="24"/>
        </w:rPr>
        <w:t xml:space="preserve"> aktualizácii </w:t>
      </w:r>
      <w:r w:rsidR="00E50EF7">
        <w:rPr>
          <w:rFonts w:cs="Times New Roman"/>
          <w:b/>
          <w:bCs/>
          <w:szCs w:val="24"/>
        </w:rPr>
        <w:t>POO</w:t>
      </w:r>
      <w:r w:rsidRPr="00AC6002">
        <w:rPr>
          <w:rFonts w:cs="Times New Roman"/>
          <w:szCs w:val="24"/>
        </w:rPr>
        <w:t>, ktoré boli schválené Radou EÚ pre hospodárske a</w:t>
      </w:r>
      <w:r w:rsidR="006671FD">
        <w:rPr>
          <w:rFonts w:cs="Times New Roman"/>
          <w:szCs w:val="24"/>
        </w:rPr>
        <w:t> </w:t>
      </w:r>
      <w:r w:rsidRPr="00AC6002">
        <w:rPr>
          <w:rFonts w:cs="Times New Roman"/>
          <w:szCs w:val="24"/>
        </w:rPr>
        <w:t>finančné záležitosti dňa 13.</w:t>
      </w:r>
      <w:r w:rsidR="00E736F9">
        <w:rPr>
          <w:rFonts w:cs="Times New Roman"/>
          <w:szCs w:val="24"/>
        </w:rPr>
        <w:t> </w:t>
      </w:r>
      <w:r w:rsidRPr="00AC6002">
        <w:rPr>
          <w:rFonts w:cs="Times New Roman"/>
          <w:szCs w:val="24"/>
        </w:rPr>
        <w:t>mája 2025 a 13.</w:t>
      </w:r>
      <w:r w:rsidR="00E736F9">
        <w:rPr>
          <w:rFonts w:cs="Times New Roman"/>
          <w:szCs w:val="24"/>
        </w:rPr>
        <w:t> </w:t>
      </w:r>
      <w:r w:rsidRPr="00AC6002">
        <w:rPr>
          <w:rFonts w:cs="Times New Roman"/>
          <w:szCs w:val="24"/>
        </w:rPr>
        <w:t>novembra 2025.</w:t>
      </w:r>
    </w:p>
    <w:p w14:paraId="36876472" w14:textId="77777777" w:rsidR="00A4283A" w:rsidRPr="00AC6002" w:rsidRDefault="00A4283A" w:rsidP="00AC6002">
      <w:pPr>
        <w:spacing w:line="240" w:lineRule="auto"/>
        <w:jc w:val="both"/>
        <w:rPr>
          <w:rFonts w:cs="Times New Roman"/>
          <w:szCs w:val="24"/>
        </w:rPr>
      </w:pPr>
    </w:p>
    <w:p w14:paraId="03254AC0" w14:textId="051B51E0" w:rsidR="00A4283A" w:rsidRPr="00AC6002" w:rsidRDefault="00A4283A" w:rsidP="00AC6002">
      <w:pPr>
        <w:spacing w:line="240" w:lineRule="auto"/>
        <w:jc w:val="both"/>
        <w:rPr>
          <w:rFonts w:cs="Times New Roman"/>
          <w:szCs w:val="24"/>
        </w:rPr>
      </w:pPr>
      <w:r w:rsidRPr="00AC6002">
        <w:rPr>
          <w:rFonts w:cs="Times New Roman"/>
          <w:szCs w:val="24"/>
        </w:rPr>
        <w:t>V poradí druhá aktualizácia</w:t>
      </w:r>
      <w:r w:rsidRPr="00AC6002">
        <w:rPr>
          <w:rStyle w:val="Odkaznapoznmkupodiarou"/>
          <w:rFonts w:cs="Times New Roman"/>
          <w:szCs w:val="24"/>
        </w:rPr>
        <w:footnoteReference w:id="47"/>
      </w:r>
      <w:r w:rsidRPr="00AC6002">
        <w:rPr>
          <w:rFonts w:cs="Times New Roman"/>
          <w:szCs w:val="24"/>
        </w:rPr>
        <w:t xml:space="preserve"> vychádzala z priebežného vyhodnotenia implementácie opatrení a potreby zosúladiť míľniky a ciele s reálnymi implementačnými kapacitami a</w:t>
      </w:r>
      <w:r w:rsidR="00E736F9">
        <w:rPr>
          <w:rFonts w:cs="Times New Roman"/>
          <w:szCs w:val="24"/>
        </w:rPr>
        <w:t> </w:t>
      </w:r>
      <w:r w:rsidRPr="00AC6002">
        <w:rPr>
          <w:rFonts w:cs="Times New Roman"/>
          <w:szCs w:val="24"/>
        </w:rPr>
        <w:t>časovým rámcom Mechanizmu. Zahŕňala úpravy vybraných míľnikov a cieľov, vrátane ich zníženia tam, kde nebolo možné zabezpečiť ich splnenie v pôvodnom rozsahu alebo termíne, ako aj presuny finančných prostriedkov na opatrenia s vyššou mierou pripravenosti a absorpčnej kapacity. Súčasťou boli aj úpravy smerujúce k navýšeniu ambície vybraných opatrení, doplneniu nových alebo alternatívnych opatrení a technické zmeny zamerané na spresnenie ich nastavenia a</w:t>
      </w:r>
      <w:r w:rsidR="00E736F9">
        <w:rPr>
          <w:rFonts w:cs="Times New Roman"/>
          <w:szCs w:val="24"/>
        </w:rPr>
        <w:t> </w:t>
      </w:r>
      <w:r w:rsidRPr="00AC6002">
        <w:rPr>
          <w:rFonts w:cs="Times New Roman"/>
          <w:szCs w:val="24"/>
        </w:rPr>
        <w:t>zrýchlenie implementácie.</w:t>
      </w:r>
    </w:p>
    <w:p w14:paraId="56BDB4FA" w14:textId="7D611B60" w:rsidR="00A4283A" w:rsidRPr="00AC6002" w:rsidRDefault="00A4283A" w:rsidP="00AC6002">
      <w:pPr>
        <w:spacing w:line="240" w:lineRule="auto"/>
        <w:jc w:val="both"/>
        <w:rPr>
          <w:rFonts w:cs="Times New Roman"/>
          <w:szCs w:val="24"/>
        </w:rPr>
      </w:pPr>
      <w:r w:rsidRPr="00AC6002">
        <w:rPr>
          <w:rFonts w:cs="Times New Roman"/>
          <w:szCs w:val="24"/>
        </w:rPr>
        <w:lastRenderedPageBreak/>
        <w:t>Posledná aktualizácia</w:t>
      </w:r>
      <w:r w:rsidRPr="00AC6002">
        <w:rPr>
          <w:rStyle w:val="Odkaznapoznmkupodiarou"/>
          <w:rFonts w:cs="Times New Roman"/>
          <w:szCs w:val="24"/>
        </w:rPr>
        <w:footnoteReference w:id="48"/>
      </w:r>
      <w:r w:rsidRPr="00AC6002">
        <w:rPr>
          <w:rFonts w:cs="Times New Roman"/>
          <w:szCs w:val="24"/>
        </w:rPr>
        <w:t xml:space="preserve"> reflektovala potrebu zjednodušenia implementácie zostávajúcich opatrení a zníženia administratívnej náročnosti pri preukazovaní plnenia míľnikov a</w:t>
      </w:r>
      <w:r w:rsidR="00E736F9">
        <w:rPr>
          <w:rFonts w:cs="Times New Roman"/>
          <w:szCs w:val="24"/>
        </w:rPr>
        <w:t> </w:t>
      </w:r>
      <w:r w:rsidRPr="00AC6002">
        <w:rPr>
          <w:rFonts w:cs="Times New Roman"/>
          <w:szCs w:val="24"/>
        </w:rPr>
        <w:t>cieľov, a</w:t>
      </w:r>
      <w:r w:rsidR="00E736F9">
        <w:rPr>
          <w:rFonts w:cs="Times New Roman"/>
          <w:szCs w:val="24"/>
        </w:rPr>
        <w:t> </w:t>
      </w:r>
      <w:r w:rsidRPr="00AC6002">
        <w:rPr>
          <w:rFonts w:cs="Times New Roman"/>
          <w:szCs w:val="24"/>
        </w:rPr>
        <w:t>to aj na základe usmernení Európskej komisie. Súčasne umožnila úpravu alebo nahradenie vybraných míľnikov a cieľov v súlade s článkom 21 nariadenia (EÚ)</w:t>
      </w:r>
      <w:r w:rsidR="00E736F9">
        <w:rPr>
          <w:rFonts w:cs="Times New Roman"/>
          <w:szCs w:val="24"/>
        </w:rPr>
        <w:t> </w:t>
      </w:r>
      <w:r w:rsidRPr="00AC6002">
        <w:rPr>
          <w:rFonts w:cs="Times New Roman"/>
          <w:szCs w:val="24"/>
        </w:rPr>
        <w:t>2021/241. Zahŕňala najmä presuny finančných prostriedkov na opatrenia s vyššou absorpčnou kapacitou alebo na</w:t>
      </w:r>
      <w:r w:rsidR="00E736F9">
        <w:rPr>
          <w:rFonts w:cs="Times New Roman"/>
          <w:szCs w:val="24"/>
        </w:rPr>
        <w:t> </w:t>
      </w:r>
      <w:r w:rsidRPr="00AC6002">
        <w:rPr>
          <w:rFonts w:cs="Times New Roman"/>
          <w:szCs w:val="24"/>
        </w:rPr>
        <w:t xml:space="preserve">nové opatrenia, ako aj technické úpravy zamerané na zjednodušenie a jednoznačnejšie preukazovanie plnenia. Táto v poradí tretia aktualizácia zároveň zachovala súlad </w:t>
      </w:r>
      <w:r w:rsidR="00E50EF7">
        <w:rPr>
          <w:rFonts w:cs="Times New Roman"/>
          <w:szCs w:val="24"/>
        </w:rPr>
        <w:t>POO</w:t>
      </w:r>
      <w:r w:rsidRPr="00AC6002">
        <w:rPr>
          <w:rFonts w:cs="Times New Roman"/>
          <w:szCs w:val="24"/>
        </w:rPr>
        <w:t xml:space="preserve"> s</w:t>
      </w:r>
      <w:r w:rsidR="00E736F9">
        <w:rPr>
          <w:rFonts w:cs="Times New Roman"/>
          <w:szCs w:val="24"/>
        </w:rPr>
        <w:t> </w:t>
      </w:r>
      <w:r w:rsidRPr="00AC6002">
        <w:rPr>
          <w:rFonts w:cs="Times New Roman"/>
          <w:szCs w:val="24"/>
        </w:rPr>
        <w:t>požiadavkami Mechanizmu vrátane plnenia podielov výdavkov na digitálne a zelené ciele.</w:t>
      </w:r>
    </w:p>
    <w:p w14:paraId="46D4BF26" w14:textId="77777777" w:rsidR="00A4283A" w:rsidRPr="00AC6002" w:rsidRDefault="00A4283A" w:rsidP="00AC6002">
      <w:pPr>
        <w:spacing w:line="240" w:lineRule="auto"/>
        <w:jc w:val="both"/>
        <w:rPr>
          <w:rFonts w:cs="Times New Roman"/>
          <w:szCs w:val="24"/>
        </w:rPr>
      </w:pPr>
    </w:p>
    <w:p w14:paraId="6AB5F6F5" w14:textId="5315E29D" w:rsidR="00A4283A" w:rsidRPr="00AC6002" w:rsidRDefault="00A4283A" w:rsidP="00AC6002">
      <w:pPr>
        <w:spacing w:line="240" w:lineRule="auto"/>
        <w:jc w:val="both"/>
        <w:rPr>
          <w:rFonts w:cs="Times New Roman"/>
          <w:szCs w:val="24"/>
        </w:rPr>
      </w:pPr>
      <w:r w:rsidRPr="00AC6002">
        <w:rPr>
          <w:rFonts w:cs="Times New Roman"/>
          <w:szCs w:val="24"/>
        </w:rPr>
        <w:t>Celková finančná alokácia pre Slovenskú republiku vrátane kapitoly REPowerEU, po</w:t>
      </w:r>
      <w:r w:rsidR="00E736F9">
        <w:rPr>
          <w:rFonts w:cs="Times New Roman"/>
          <w:szCs w:val="24"/>
        </w:rPr>
        <w:t> </w:t>
      </w:r>
      <w:r w:rsidRPr="00AC6002">
        <w:rPr>
          <w:rFonts w:cs="Times New Roman"/>
          <w:szCs w:val="24"/>
        </w:rPr>
        <w:t>jej aktualizácii, dosahuje úroveň 6,407</w:t>
      </w:r>
      <w:r w:rsidR="00E736F9">
        <w:rPr>
          <w:rFonts w:cs="Times New Roman"/>
          <w:szCs w:val="24"/>
        </w:rPr>
        <w:t> </w:t>
      </w:r>
      <w:r w:rsidRPr="00AC6002">
        <w:rPr>
          <w:rFonts w:cs="Times New Roman"/>
          <w:szCs w:val="24"/>
        </w:rPr>
        <w:t>mld.</w:t>
      </w:r>
      <w:r w:rsidR="00E736F9">
        <w:rPr>
          <w:rFonts w:cs="Times New Roman"/>
          <w:szCs w:val="24"/>
        </w:rPr>
        <w:t> </w:t>
      </w:r>
      <w:r w:rsidRPr="00AC6002">
        <w:rPr>
          <w:rFonts w:cs="Times New Roman"/>
          <w:szCs w:val="24"/>
        </w:rPr>
        <w:t>eur, pričom prístup k týmto prostriedkom je podmienený splnením stanovených míľnikov a cieľov.</w:t>
      </w:r>
    </w:p>
    <w:p w14:paraId="61D01342" w14:textId="77777777" w:rsidR="00A4283A" w:rsidRPr="00AC6002" w:rsidRDefault="00A4283A" w:rsidP="00AC6002">
      <w:pPr>
        <w:spacing w:line="240" w:lineRule="auto"/>
        <w:jc w:val="both"/>
        <w:rPr>
          <w:rFonts w:cs="Times New Roman"/>
          <w:b/>
          <w:bCs/>
          <w:szCs w:val="24"/>
        </w:rPr>
      </w:pPr>
    </w:p>
    <w:p w14:paraId="6A419354" w14:textId="1B222CB8" w:rsidR="00A4283A" w:rsidRPr="00AC6002" w:rsidRDefault="00A4283A" w:rsidP="00AC6002">
      <w:pPr>
        <w:spacing w:line="240" w:lineRule="auto"/>
        <w:jc w:val="both"/>
        <w:rPr>
          <w:rFonts w:cs="Times New Roman"/>
          <w:b/>
          <w:bCs/>
          <w:szCs w:val="24"/>
        </w:rPr>
      </w:pPr>
      <w:r w:rsidRPr="00AC6002">
        <w:rPr>
          <w:rFonts w:cs="Times New Roman"/>
          <w:szCs w:val="24"/>
        </w:rPr>
        <w:t xml:space="preserve">Slovensko podalo v júni roku 2025 </w:t>
      </w:r>
      <w:r w:rsidRPr="00AC6002">
        <w:rPr>
          <w:rFonts w:cs="Times New Roman"/>
          <w:b/>
          <w:bCs/>
          <w:szCs w:val="24"/>
        </w:rPr>
        <w:t>6.</w:t>
      </w:r>
      <w:r w:rsidR="00E736F9">
        <w:rPr>
          <w:rFonts w:cs="Times New Roman"/>
          <w:b/>
          <w:bCs/>
          <w:szCs w:val="24"/>
        </w:rPr>
        <w:t> </w:t>
      </w:r>
      <w:r w:rsidRPr="00AC6002">
        <w:rPr>
          <w:rFonts w:cs="Times New Roman"/>
          <w:b/>
          <w:bCs/>
          <w:szCs w:val="24"/>
        </w:rPr>
        <w:t xml:space="preserve">žiadosť o platbu </w:t>
      </w:r>
      <w:r w:rsidRPr="00AC6002">
        <w:rPr>
          <w:rFonts w:cs="Times New Roman"/>
          <w:szCs w:val="24"/>
        </w:rPr>
        <w:t xml:space="preserve">z </w:t>
      </w:r>
      <w:r w:rsidR="00E50EF7">
        <w:rPr>
          <w:rFonts w:cs="Times New Roman"/>
          <w:szCs w:val="24"/>
        </w:rPr>
        <w:t>POO</w:t>
      </w:r>
      <w:r w:rsidRPr="00AC6002">
        <w:rPr>
          <w:rFonts w:cs="Times New Roman"/>
          <w:szCs w:val="24"/>
        </w:rPr>
        <w:t xml:space="preserve"> v</w:t>
      </w:r>
      <w:r w:rsidR="00E736F9">
        <w:rPr>
          <w:rFonts w:cs="Times New Roman"/>
          <w:szCs w:val="24"/>
        </w:rPr>
        <w:t> </w:t>
      </w:r>
      <w:r w:rsidRPr="00AC6002">
        <w:rPr>
          <w:rFonts w:cs="Times New Roman"/>
          <w:szCs w:val="24"/>
        </w:rPr>
        <w:t xml:space="preserve">hodnote </w:t>
      </w:r>
      <w:r w:rsidRPr="00AC6002">
        <w:rPr>
          <w:rFonts w:cs="Times New Roman"/>
          <w:b/>
          <w:bCs/>
          <w:szCs w:val="24"/>
        </w:rPr>
        <w:t>približne 683</w:t>
      </w:r>
      <w:r w:rsidR="00E736F9">
        <w:rPr>
          <w:rFonts w:cs="Times New Roman"/>
          <w:b/>
          <w:bCs/>
          <w:szCs w:val="24"/>
        </w:rPr>
        <w:t> </w:t>
      </w:r>
      <w:r w:rsidRPr="00AC6002">
        <w:rPr>
          <w:rFonts w:cs="Times New Roman"/>
          <w:b/>
          <w:bCs/>
          <w:szCs w:val="24"/>
        </w:rPr>
        <w:t>mil.</w:t>
      </w:r>
      <w:r w:rsidR="00E736F9">
        <w:rPr>
          <w:rFonts w:cs="Times New Roman"/>
          <w:b/>
          <w:bCs/>
          <w:szCs w:val="24"/>
        </w:rPr>
        <w:t> </w:t>
      </w:r>
      <w:r w:rsidRPr="00AC6002">
        <w:rPr>
          <w:rFonts w:cs="Times New Roman"/>
          <w:b/>
          <w:bCs/>
          <w:szCs w:val="24"/>
        </w:rPr>
        <w:t>eur</w:t>
      </w:r>
      <w:r w:rsidRPr="00AC6002">
        <w:rPr>
          <w:rFonts w:cs="Times New Roman"/>
          <w:szCs w:val="24"/>
        </w:rPr>
        <w:t>, po odrátaní predfinancovania činí suma</w:t>
      </w:r>
      <w:r w:rsidRPr="00AC6002">
        <w:rPr>
          <w:rFonts w:cs="Times New Roman"/>
          <w:b/>
          <w:bCs/>
          <w:szCs w:val="24"/>
        </w:rPr>
        <w:t xml:space="preserve"> 591</w:t>
      </w:r>
      <w:r w:rsidR="00E736F9">
        <w:rPr>
          <w:rFonts w:cs="Times New Roman"/>
          <w:b/>
          <w:bCs/>
          <w:szCs w:val="24"/>
        </w:rPr>
        <w:t> </w:t>
      </w:r>
      <w:r w:rsidRPr="00AC6002">
        <w:rPr>
          <w:rFonts w:cs="Times New Roman"/>
          <w:b/>
          <w:bCs/>
          <w:szCs w:val="24"/>
        </w:rPr>
        <w:t>mil.</w:t>
      </w:r>
      <w:r w:rsidR="00E736F9">
        <w:rPr>
          <w:rFonts w:cs="Times New Roman"/>
          <w:b/>
          <w:bCs/>
          <w:szCs w:val="24"/>
        </w:rPr>
        <w:t> </w:t>
      </w:r>
      <w:r w:rsidRPr="00AC6002">
        <w:rPr>
          <w:rFonts w:cs="Times New Roman"/>
          <w:b/>
          <w:bCs/>
          <w:szCs w:val="24"/>
        </w:rPr>
        <w:t>eur.</w:t>
      </w:r>
      <w:r w:rsidR="00305A97" w:rsidRPr="00AC6002">
        <w:rPr>
          <w:rFonts w:cs="Times New Roman"/>
          <w:b/>
          <w:bCs/>
          <w:szCs w:val="24"/>
        </w:rPr>
        <w:t xml:space="preserve"> </w:t>
      </w:r>
      <w:r w:rsidRPr="00AC6002">
        <w:rPr>
          <w:rFonts w:cs="Times New Roman"/>
          <w:szCs w:val="24"/>
        </w:rPr>
        <w:t xml:space="preserve">V tomto </w:t>
      </w:r>
      <w:r w:rsidR="00305A97" w:rsidRPr="00AC6002">
        <w:rPr>
          <w:rFonts w:cs="Times New Roman"/>
          <w:szCs w:val="24"/>
        </w:rPr>
        <w:t xml:space="preserve">istom </w:t>
      </w:r>
      <w:r w:rsidRPr="00AC6002">
        <w:rPr>
          <w:rFonts w:cs="Times New Roman"/>
          <w:szCs w:val="24"/>
        </w:rPr>
        <w:t xml:space="preserve">roku </w:t>
      </w:r>
      <w:r w:rsidR="00305A97" w:rsidRPr="00AC6002">
        <w:rPr>
          <w:rFonts w:cs="Times New Roman"/>
          <w:szCs w:val="24"/>
        </w:rPr>
        <w:t>v</w:t>
      </w:r>
      <w:r w:rsidR="00E67125">
        <w:rPr>
          <w:rFonts w:cs="Times New Roman"/>
          <w:szCs w:val="24"/>
        </w:rPr>
        <w:t> </w:t>
      </w:r>
      <w:r w:rsidR="00305A97" w:rsidRPr="00AC6002">
        <w:rPr>
          <w:rFonts w:cs="Times New Roman"/>
          <w:szCs w:val="24"/>
        </w:rPr>
        <w:t>novembri</w:t>
      </w:r>
      <w:r w:rsidRPr="00AC6002">
        <w:rPr>
          <w:rFonts w:cs="Times New Roman"/>
          <w:szCs w:val="24"/>
        </w:rPr>
        <w:t xml:space="preserve"> podalo Slovensko</w:t>
      </w:r>
      <w:r w:rsidRPr="00AC6002">
        <w:rPr>
          <w:rFonts w:cs="Times New Roman"/>
          <w:b/>
          <w:bCs/>
          <w:szCs w:val="24"/>
        </w:rPr>
        <w:t xml:space="preserve"> aj kľúčovú 7.</w:t>
      </w:r>
      <w:r w:rsidR="00E736F9">
        <w:rPr>
          <w:rFonts w:cs="Times New Roman"/>
          <w:b/>
          <w:bCs/>
          <w:szCs w:val="24"/>
        </w:rPr>
        <w:t> </w:t>
      </w:r>
      <w:r w:rsidRPr="00AC6002">
        <w:rPr>
          <w:rFonts w:cs="Times New Roman"/>
          <w:b/>
          <w:bCs/>
          <w:szCs w:val="24"/>
        </w:rPr>
        <w:t xml:space="preserve">žiadosť o platbu </w:t>
      </w:r>
      <w:r w:rsidRPr="00AC6002">
        <w:rPr>
          <w:rFonts w:cs="Times New Roman"/>
          <w:szCs w:val="24"/>
        </w:rPr>
        <w:t>z </w:t>
      </w:r>
      <w:r w:rsidR="00E50EF7">
        <w:rPr>
          <w:rFonts w:cs="Times New Roman"/>
          <w:szCs w:val="24"/>
        </w:rPr>
        <w:t>POO</w:t>
      </w:r>
      <w:r w:rsidRPr="00AC6002">
        <w:rPr>
          <w:rFonts w:cs="Times New Roman"/>
          <w:szCs w:val="24"/>
        </w:rPr>
        <w:t xml:space="preserve"> v hodnote približne</w:t>
      </w:r>
      <w:r w:rsidRPr="00AC6002">
        <w:rPr>
          <w:rFonts w:cs="Times New Roman"/>
          <w:b/>
          <w:bCs/>
          <w:szCs w:val="24"/>
        </w:rPr>
        <w:t xml:space="preserve"> 761</w:t>
      </w:r>
      <w:r w:rsidR="00E736F9">
        <w:rPr>
          <w:rFonts w:cs="Times New Roman"/>
          <w:b/>
          <w:bCs/>
          <w:szCs w:val="24"/>
        </w:rPr>
        <w:t> </w:t>
      </w:r>
      <w:r w:rsidRPr="00AC6002">
        <w:rPr>
          <w:rFonts w:cs="Times New Roman"/>
          <w:b/>
          <w:bCs/>
          <w:szCs w:val="24"/>
        </w:rPr>
        <w:t>mil.</w:t>
      </w:r>
      <w:r w:rsidR="00E736F9">
        <w:rPr>
          <w:rFonts w:cs="Times New Roman"/>
          <w:b/>
          <w:bCs/>
          <w:szCs w:val="24"/>
        </w:rPr>
        <w:t> </w:t>
      </w:r>
      <w:r w:rsidRPr="00AC6002">
        <w:rPr>
          <w:rFonts w:cs="Times New Roman"/>
          <w:b/>
          <w:bCs/>
          <w:szCs w:val="24"/>
        </w:rPr>
        <w:t>eur</w:t>
      </w:r>
      <w:r w:rsidRPr="00AC6002">
        <w:rPr>
          <w:rFonts w:cs="Times New Roman"/>
          <w:szCs w:val="24"/>
        </w:rPr>
        <w:t>, po odrátaní predfinancovania činí suma</w:t>
      </w:r>
      <w:r w:rsidRPr="00AC6002">
        <w:rPr>
          <w:rFonts w:cs="Times New Roman"/>
          <w:b/>
          <w:bCs/>
          <w:szCs w:val="24"/>
        </w:rPr>
        <w:t xml:space="preserve"> 658</w:t>
      </w:r>
      <w:r w:rsidR="00E736F9">
        <w:rPr>
          <w:rFonts w:cs="Times New Roman"/>
          <w:b/>
          <w:bCs/>
          <w:szCs w:val="24"/>
        </w:rPr>
        <w:t> </w:t>
      </w:r>
      <w:r w:rsidRPr="00AC6002">
        <w:rPr>
          <w:rFonts w:cs="Times New Roman"/>
          <w:b/>
          <w:bCs/>
          <w:szCs w:val="24"/>
        </w:rPr>
        <w:t>mil.</w:t>
      </w:r>
      <w:r w:rsidR="00E736F9">
        <w:rPr>
          <w:rFonts w:cs="Times New Roman"/>
          <w:b/>
          <w:bCs/>
          <w:szCs w:val="24"/>
        </w:rPr>
        <w:t> </w:t>
      </w:r>
      <w:r w:rsidRPr="00AC6002">
        <w:rPr>
          <w:rFonts w:cs="Times New Roman"/>
          <w:b/>
          <w:bCs/>
          <w:szCs w:val="24"/>
        </w:rPr>
        <w:t>eur.</w:t>
      </w:r>
    </w:p>
    <w:p w14:paraId="52C9618D" w14:textId="77777777" w:rsidR="00E736F9" w:rsidRDefault="00E736F9" w:rsidP="00AC6002">
      <w:pPr>
        <w:spacing w:line="240" w:lineRule="auto"/>
        <w:jc w:val="both"/>
        <w:rPr>
          <w:rFonts w:cs="Times New Roman"/>
          <w:szCs w:val="24"/>
        </w:rPr>
      </w:pPr>
    </w:p>
    <w:p w14:paraId="40881260" w14:textId="2121AA03" w:rsidR="00A4283A" w:rsidRPr="00AC6002" w:rsidRDefault="00A4283A" w:rsidP="00AC6002">
      <w:pPr>
        <w:spacing w:line="240" w:lineRule="auto"/>
        <w:jc w:val="both"/>
        <w:rPr>
          <w:rFonts w:cs="Times New Roman"/>
          <w:szCs w:val="24"/>
        </w:rPr>
      </w:pPr>
      <w:r w:rsidRPr="00AC6002">
        <w:rPr>
          <w:rFonts w:cs="Times New Roman"/>
          <w:szCs w:val="24"/>
        </w:rPr>
        <w:t xml:space="preserve">Slovenská republika podaním </w:t>
      </w:r>
      <w:r w:rsidRPr="00AC6002">
        <w:rPr>
          <w:rFonts w:cs="Times New Roman"/>
          <w:b/>
          <w:bCs/>
          <w:szCs w:val="24"/>
        </w:rPr>
        <w:t>7.</w:t>
      </w:r>
      <w:r w:rsidR="00E736F9">
        <w:rPr>
          <w:rFonts w:cs="Times New Roman"/>
          <w:b/>
          <w:bCs/>
          <w:szCs w:val="24"/>
        </w:rPr>
        <w:t> </w:t>
      </w:r>
      <w:r w:rsidRPr="00AC6002">
        <w:rPr>
          <w:rFonts w:cs="Times New Roman"/>
          <w:b/>
          <w:bCs/>
          <w:szCs w:val="24"/>
        </w:rPr>
        <w:t>žiadosti o platbu</w:t>
      </w:r>
      <w:r w:rsidR="008921B6" w:rsidRPr="00AC6002">
        <w:rPr>
          <w:rStyle w:val="Odkaznapoznmkupodiarou"/>
          <w:rFonts w:cs="Times New Roman"/>
          <w:b/>
          <w:bCs/>
          <w:szCs w:val="24"/>
        </w:rPr>
        <w:footnoteReference w:id="49"/>
      </w:r>
      <w:r w:rsidRPr="00AC6002">
        <w:rPr>
          <w:rFonts w:cs="Times New Roman"/>
          <w:szCs w:val="24"/>
        </w:rPr>
        <w:t xml:space="preserve"> predložila Európskej komisii </w:t>
      </w:r>
      <w:r w:rsidRPr="00AC6002">
        <w:rPr>
          <w:rFonts w:cs="Times New Roman"/>
          <w:b/>
          <w:bCs/>
          <w:szCs w:val="24"/>
        </w:rPr>
        <w:t>130 míľnikov a cieľov</w:t>
      </w:r>
      <w:r w:rsidRPr="00AC6002">
        <w:rPr>
          <w:rFonts w:cs="Times New Roman"/>
          <w:szCs w:val="24"/>
        </w:rPr>
        <w:t xml:space="preserve"> z celkového počtu 221, pričom k</w:t>
      </w:r>
      <w:r w:rsidR="00E736F9">
        <w:rPr>
          <w:rFonts w:cs="Times New Roman"/>
          <w:szCs w:val="24"/>
        </w:rPr>
        <w:t> </w:t>
      </w:r>
      <w:r w:rsidRPr="00AC6002">
        <w:rPr>
          <w:rFonts w:cs="Times New Roman"/>
          <w:szCs w:val="24"/>
        </w:rPr>
        <w:t>31.12.2025 bolo 37 míľnikov a</w:t>
      </w:r>
      <w:r w:rsidR="00E736F9">
        <w:rPr>
          <w:rFonts w:cs="Times New Roman"/>
          <w:szCs w:val="24"/>
        </w:rPr>
        <w:t> </w:t>
      </w:r>
      <w:r w:rsidRPr="00AC6002">
        <w:rPr>
          <w:rFonts w:cs="Times New Roman"/>
          <w:szCs w:val="24"/>
        </w:rPr>
        <w:t>cieľov predmetom posudzovania zo strany Európskej komisie.</w:t>
      </w:r>
    </w:p>
    <w:p w14:paraId="3F35B794" w14:textId="77777777" w:rsidR="00A4283A" w:rsidRPr="00AC6002" w:rsidRDefault="00A4283A" w:rsidP="00AC6002">
      <w:pPr>
        <w:spacing w:line="240" w:lineRule="auto"/>
        <w:jc w:val="both"/>
        <w:rPr>
          <w:rFonts w:cs="Times New Roman"/>
          <w:szCs w:val="24"/>
        </w:rPr>
      </w:pPr>
    </w:p>
    <w:p w14:paraId="7CBC1FA4" w14:textId="35068924" w:rsidR="00A4283A" w:rsidRPr="00AC6002" w:rsidRDefault="00A4283A" w:rsidP="00AC6002">
      <w:pPr>
        <w:spacing w:line="240" w:lineRule="auto"/>
        <w:jc w:val="both"/>
        <w:rPr>
          <w:rFonts w:cs="Times New Roman"/>
          <w:szCs w:val="24"/>
        </w:rPr>
      </w:pPr>
      <w:r w:rsidRPr="00AC6002">
        <w:rPr>
          <w:rFonts w:cs="Times New Roman"/>
          <w:szCs w:val="24"/>
        </w:rPr>
        <w:t>Z pohľadu finančného plnenia pri vykonávaní mechanizmu na podporu obnovy a</w:t>
      </w:r>
      <w:r w:rsidR="00E736F9">
        <w:rPr>
          <w:rFonts w:cs="Times New Roman"/>
          <w:szCs w:val="24"/>
        </w:rPr>
        <w:t> </w:t>
      </w:r>
      <w:r w:rsidRPr="00AC6002">
        <w:rPr>
          <w:rFonts w:cs="Times New Roman"/>
          <w:szCs w:val="24"/>
        </w:rPr>
        <w:t xml:space="preserve">odolnosti bolo Slovenskej republike (vrátane predfinancovania) vyplatených viac ako </w:t>
      </w:r>
      <w:r w:rsidRPr="00AC6002">
        <w:rPr>
          <w:rFonts w:cs="Times New Roman"/>
          <w:b/>
          <w:bCs/>
          <w:szCs w:val="24"/>
        </w:rPr>
        <w:t>3,96</w:t>
      </w:r>
      <w:r w:rsidR="00E736F9">
        <w:rPr>
          <w:rFonts w:cs="Times New Roman"/>
          <w:b/>
          <w:bCs/>
          <w:szCs w:val="24"/>
        </w:rPr>
        <w:t> </w:t>
      </w:r>
      <w:r w:rsidRPr="00AC6002">
        <w:rPr>
          <w:rFonts w:cs="Times New Roman"/>
          <w:b/>
          <w:bCs/>
          <w:szCs w:val="24"/>
        </w:rPr>
        <w:t>mld.</w:t>
      </w:r>
      <w:r w:rsidR="00E736F9">
        <w:rPr>
          <w:rFonts w:cs="Times New Roman"/>
          <w:b/>
          <w:bCs/>
          <w:szCs w:val="24"/>
        </w:rPr>
        <w:t> </w:t>
      </w:r>
      <w:r w:rsidRPr="00AC6002">
        <w:rPr>
          <w:rFonts w:cs="Times New Roman"/>
          <w:b/>
          <w:bCs/>
          <w:szCs w:val="24"/>
        </w:rPr>
        <w:t>eur</w:t>
      </w:r>
      <w:r w:rsidRPr="00AC6002">
        <w:rPr>
          <w:rFonts w:cs="Times New Roman"/>
          <w:szCs w:val="24"/>
        </w:rPr>
        <w:t xml:space="preserve">, čo predstavuje </w:t>
      </w:r>
      <w:r w:rsidRPr="00AC6002">
        <w:rPr>
          <w:rFonts w:cs="Times New Roman"/>
          <w:b/>
          <w:bCs/>
          <w:szCs w:val="24"/>
        </w:rPr>
        <w:t>61,86</w:t>
      </w:r>
      <w:r w:rsidR="00E736F9">
        <w:rPr>
          <w:rFonts w:cs="Times New Roman"/>
          <w:b/>
          <w:bCs/>
          <w:szCs w:val="24"/>
        </w:rPr>
        <w:t> </w:t>
      </w:r>
      <w:r w:rsidRPr="00AC6002">
        <w:rPr>
          <w:rFonts w:cs="Times New Roman"/>
          <w:b/>
          <w:bCs/>
          <w:szCs w:val="24"/>
        </w:rPr>
        <w:t>% z celkovej finančnej alokácie</w:t>
      </w:r>
      <w:r w:rsidRPr="00AC6002">
        <w:rPr>
          <w:rFonts w:cs="Times New Roman"/>
          <w:szCs w:val="24"/>
        </w:rPr>
        <w:t>.</w:t>
      </w:r>
      <w:r w:rsidR="00AF365B" w:rsidRPr="00AC6002">
        <w:rPr>
          <w:rFonts w:cs="Times New Roman"/>
          <w:szCs w:val="24"/>
        </w:rPr>
        <w:t xml:space="preserve"> </w:t>
      </w:r>
      <w:r w:rsidRPr="00AC6002">
        <w:rPr>
          <w:rFonts w:cs="Times New Roman"/>
          <w:szCs w:val="24"/>
        </w:rPr>
        <w:t>Po vyplatení 6.</w:t>
      </w:r>
      <w:r w:rsidR="00E736F9">
        <w:rPr>
          <w:rFonts w:cs="Times New Roman"/>
          <w:szCs w:val="24"/>
        </w:rPr>
        <w:t> </w:t>
      </w:r>
      <w:r w:rsidRPr="00AC6002">
        <w:rPr>
          <w:rFonts w:cs="Times New Roman"/>
          <w:szCs w:val="24"/>
        </w:rPr>
        <w:t>a</w:t>
      </w:r>
      <w:r w:rsidR="00E736F9">
        <w:rPr>
          <w:rFonts w:cs="Times New Roman"/>
          <w:szCs w:val="24"/>
        </w:rPr>
        <w:t> </w:t>
      </w:r>
      <w:r w:rsidRPr="00AC6002">
        <w:rPr>
          <w:rFonts w:cs="Times New Roman"/>
          <w:szCs w:val="24"/>
        </w:rPr>
        <w:t>7.</w:t>
      </w:r>
      <w:r w:rsidR="00E736F9">
        <w:rPr>
          <w:rFonts w:cs="Times New Roman"/>
          <w:szCs w:val="24"/>
        </w:rPr>
        <w:t> </w:t>
      </w:r>
      <w:r w:rsidRPr="00AC6002">
        <w:rPr>
          <w:rFonts w:cs="Times New Roman"/>
          <w:szCs w:val="24"/>
        </w:rPr>
        <w:t>žiadosti o</w:t>
      </w:r>
      <w:r w:rsidR="00E736F9">
        <w:rPr>
          <w:rFonts w:cs="Times New Roman"/>
          <w:szCs w:val="24"/>
        </w:rPr>
        <w:t> </w:t>
      </w:r>
      <w:r w:rsidRPr="00AC6002">
        <w:rPr>
          <w:rFonts w:cs="Times New Roman"/>
          <w:szCs w:val="24"/>
        </w:rPr>
        <w:t>platbu sa celkový objem disponibilných prostriedkov pre Slovensko zvýši na</w:t>
      </w:r>
      <w:r w:rsidR="00E736F9">
        <w:rPr>
          <w:rFonts w:cs="Times New Roman"/>
          <w:szCs w:val="24"/>
        </w:rPr>
        <w:t> </w:t>
      </w:r>
      <w:r w:rsidRPr="00AC6002">
        <w:rPr>
          <w:rFonts w:cs="Times New Roman"/>
          <w:b/>
          <w:bCs/>
          <w:szCs w:val="24"/>
        </w:rPr>
        <w:t>5,2</w:t>
      </w:r>
      <w:r w:rsidR="00E736F9">
        <w:rPr>
          <w:rFonts w:cs="Times New Roman"/>
          <w:b/>
          <w:bCs/>
          <w:szCs w:val="24"/>
        </w:rPr>
        <w:t> </w:t>
      </w:r>
      <w:r w:rsidRPr="00AC6002">
        <w:rPr>
          <w:rFonts w:cs="Times New Roman"/>
          <w:b/>
          <w:bCs/>
          <w:szCs w:val="24"/>
        </w:rPr>
        <w:t>mld.</w:t>
      </w:r>
      <w:r w:rsidR="00E736F9">
        <w:rPr>
          <w:rFonts w:cs="Times New Roman"/>
          <w:b/>
          <w:bCs/>
          <w:szCs w:val="24"/>
        </w:rPr>
        <w:t> </w:t>
      </w:r>
      <w:r w:rsidRPr="00AC6002">
        <w:rPr>
          <w:rFonts w:cs="Times New Roman"/>
          <w:b/>
          <w:bCs/>
          <w:szCs w:val="24"/>
        </w:rPr>
        <w:t>eur</w:t>
      </w:r>
      <w:r w:rsidRPr="00AC6002">
        <w:rPr>
          <w:rFonts w:cs="Times New Roman"/>
          <w:szCs w:val="24"/>
        </w:rPr>
        <w:t>.</w:t>
      </w:r>
    </w:p>
    <w:p w14:paraId="5816CC37" w14:textId="77777777" w:rsidR="00A4283A" w:rsidRPr="00AC6002" w:rsidRDefault="00A4283A" w:rsidP="00AC6002">
      <w:pPr>
        <w:spacing w:line="240" w:lineRule="auto"/>
        <w:jc w:val="both"/>
        <w:rPr>
          <w:rFonts w:cs="Times New Roman"/>
          <w:szCs w:val="24"/>
        </w:rPr>
      </w:pPr>
    </w:p>
    <w:p w14:paraId="7DA53AB6" w14:textId="1732C23C" w:rsidR="00A4283A" w:rsidRPr="00AC6002" w:rsidRDefault="00A4283A" w:rsidP="00AC6002">
      <w:pPr>
        <w:spacing w:line="240" w:lineRule="auto"/>
        <w:jc w:val="both"/>
        <w:rPr>
          <w:rFonts w:cs="Times New Roman"/>
          <w:szCs w:val="24"/>
        </w:rPr>
      </w:pPr>
      <w:r w:rsidRPr="00AC6002">
        <w:rPr>
          <w:rFonts w:cs="Times New Roman"/>
          <w:b/>
          <w:bCs/>
          <w:szCs w:val="24"/>
        </w:rPr>
        <w:t xml:space="preserve">Implementácia opatrení </w:t>
      </w:r>
      <w:r w:rsidR="00E50EF7">
        <w:rPr>
          <w:rFonts w:cs="Times New Roman"/>
          <w:b/>
          <w:bCs/>
          <w:szCs w:val="24"/>
        </w:rPr>
        <w:t>POO</w:t>
      </w:r>
      <w:r w:rsidRPr="00AC6002">
        <w:rPr>
          <w:rFonts w:cs="Times New Roman"/>
          <w:b/>
          <w:bCs/>
          <w:szCs w:val="24"/>
        </w:rPr>
        <w:t xml:space="preserve"> z pohľadu platieb Európskej komisie v</w:t>
      </w:r>
      <w:r w:rsidR="00E736F9">
        <w:rPr>
          <w:rFonts w:cs="Times New Roman"/>
          <w:b/>
          <w:bCs/>
          <w:szCs w:val="24"/>
        </w:rPr>
        <w:t> </w:t>
      </w:r>
      <w:r w:rsidRPr="00AC6002">
        <w:rPr>
          <w:rFonts w:cs="Times New Roman"/>
          <w:b/>
          <w:bCs/>
          <w:szCs w:val="24"/>
        </w:rPr>
        <w:t>rámci Mechanizmu na podporu obnovy a odolnosti, viazaných na dosiahnutie míľnikov a</w:t>
      </w:r>
      <w:r w:rsidR="00E736F9">
        <w:rPr>
          <w:rFonts w:cs="Times New Roman"/>
          <w:b/>
          <w:bCs/>
          <w:szCs w:val="24"/>
        </w:rPr>
        <w:t> </w:t>
      </w:r>
      <w:r w:rsidRPr="00AC6002">
        <w:rPr>
          <w:rFonts w:cs="Times New Roman"/>
          <w:b/>
          <w:bCs/>
          <w:szCs w:val="24"/>
        </w:rPr>
        <w:t>cieľov, prebiehala v sledovanom období vo väzbe na</w:t>
      </w:r>
      <w:r w:rsidR="00E736F9">
        <w:rPr>
          <w:rFonts w:cs="Times New Roman"/>
          <w:b/>
          <w:bCs/>
          <w:szCs w:val="24"/>
        </w:rPr>
        <w:t> </w:t>
      </w:r>
      <w:r w:rsidRPr="00AC6002">
        <w:rPr>
          <w:rFonts w:cs="Times New Roman"/>
          <w:b/>
          <w:bCs/>
          <w:szCs w:val="24"/>
        </w:rPr>
        <w:t>6. a</w:t>
      </w:r>
      <w:r w:rsidR="00E736F9">
        <w:rPr>
          <w:rFonts w:cs="Times New Roman"/>
          <w:b/>
          <w:bCs/>
          <w:szCs w:val="24"/>
        </w:rPr>
        <w:t> </w:t>
      </w:r>
      <w:r w:rsidRPr="00AC6002">
        <w:rPr>
          <w:rFonts w:cs="Times New Roman"/>
          <w:b/>
          <w:bCs/>
          <w:szCs w:val="24"/>
        </w:rPr>
        <w:t>7.</w:t>
      </w:r>
      <w:r w:rsidR="00E736F9">
        <w:rPr>
          <w:rFonts w:cs="Times New Roman"/>
          <w:b/>
          <w:bCs/>
          <w:szCs w:val="24"/>
        </w:rPr>
        <w:t> </w:t>
      </w:r>
      <w:r w:rsidRPr="00AC6002">
        <w:rPr>
          <w:rFonts w:cs="Times New Roman"/>
          <w:b/>
          <w:bCs/>
          <w:szCs w:val="24"/>
        </w:rPr>
        <w:t>žiadosť o</w:t>
      </w:r>
      <w:r w:rsidR="00E736F9">
        <w:rPr>
          <w:rFonts w:cs="Times New Roman"/>
          <w:b/>
          <w:bCs/>
          <w:szCs w:val="24"/>
        </w:rPr>
        <w:t> </w:t>
      </w:r>
      <w:r w:rsidRPr="00AC6002">
        <w:rPr>
          <w:rFonts w:cs="Times New Roman"/>
          <w:b/>
          <w:bCs/>
          <w:szCs w:val="24"/>
        </w:rPr>
        <w:t>platbu v</w:t>
      </w:r>
      <w:r w:rsidR="00E736F9">
        <w:rPr>
          <w:rFonts w:cs="Times New Roman"/>
          <w:b/>
          <w:bCs/>
          <w:szCs w:val="24"/>
        </w:rPr>
        <w:t> </w:t>
      </w:r>
      <w:r w:rsidRPr="00AC6002">
        <w:rPr>
          <w:rFonts w:cs="Times New Roman"/>
          <w:b/>
          <w:bCs/>
          <w:szCs w:val="24"/>
        </w:rPr>
        <w:t>súlade s</w:t>
      </w:r>
      <w:r w:rsidR="00E736F9">
        <w:rPr>
          <w:rFonts w:cs="Times New Roman"/>
          <w:b/>
          <w:bCs/>
          <w:szCs w:val="24"/>
        </w:rPr>
        <w:t> </w:t>
      </w:r>
      <w:r w:rsidRPr="00AC6002">
        <w:rPr>
          <w:rFonts w:cs="Times New Roman"/>
          <w:b/>
          <w:bCs/>
          <w:szCs w:val="24"/>
        </w:rPr>
        <w:t>nastaveným harmonogramom platieb</w:t>
      </w:r>
      <w:r w:rsidRPr="00AC6002">
        <w:rPr>
          <w:rFonts w:cs="Times New Roman"/>
          <w:szCs w:val="24"/>
        </w:rPr>
        <w:t>.</w:t>
      </w:r>
    </w:p>
    <w:p w14:paraId="46CA4510" w14:textId="77777777" w:rsidR="00A4283A" w:rsidRPr="00AC6002" w:rsidRDefault="00A4283A" w:rsidP="00AC6002">
      <w:pPr>
        <w:spacing w:line="240" w:lineRule="auto"/>
        <w:jc w:val="both"/>
        <w:rPr>
          <w:rFonts w:cs="Times New Roman"/>
          <w:szCs w:val="24"/>
        </w:rPr>
      </w:pPr>
    </w:p>
    <w:p w14:paraId="58C854D9" w14:textId="21765A62" w:rsidR="00A4283A" w:rsidRDefault="00A4283A" w:rsidP="00AC6002">
      <w:pPr>
        <w:spacing w:line="240" w:lineRule="auto"/>
        <w:jc w:val="both"/>
        <w:rPr>
          <w:rFonts w:cs="Times New Roman"/>
          <w:szCs w:val="24"/>
        </w:rPr>
      </w:pPr>
      <w:r w:rsidRPr="00AC6002">
        <w:rPr>
          <w:rFonts w:cs="Times New Roman"/>
          <w:b/>
          <w:bCs/>
          <w:szCs w:val="24"/>
        </w:rPr>
        <w:t xml:space="preserve">Vývoj čerpania prostriedkov mechanizmu </w:t>
      </w:r>
      <w:r w:rsidR="00E50EF7">
        <w:rPr>
          <w:rFonts w:cs="Times New Roman"/>
          <w:b/>
          <w:bCs/>
          <w:szCs w:val="24"/>
        </w:rPr>
        <w:t>POO</w:t>
      </w:r>
      <w:r w:rsidRPr="00AC6002">
        <w:rPr>
          <w:rFonts w:cs="Times New Roman"/>
          <w:szCs w:val="24"/>
        </w:rPr>
        <w:t xml:space="preserve"> v štátnom rozpočte mal v</w:t>
      </w:r>
      <w:r w:rsidR="00E736F9">
        <w:rPr>
          <w:rFonts w:cs="Times New Roman"/>
          <w:szCs w:val="24"/>
        </w:rPr>
        <w:t> </w:t>
      </w:r>
      <w:r w:rsidRPr="00AC6002">
        <w:rPr>
          <w:rFonts w:cs="Times New Roman"/>
          <w:szCs w:val="24"/>
        </w:rPr>
        <w:t>rokoch 2021 až 2025 rastúcu tendenciu, pričom rozhodujúci kľúčový nárast bol zaznamenaný v</w:t>
      </w:r>
      <w:r w:rsidR="00E736F9">
        <w:rPr>
          <w:rFonts w:cs="Times New Roman"/>
          <w:szCs w:val="24"/>
        </w:rPr>
        <w:t> </w:t>
      </w:r>
      <w:r w:rsidRPr="00AC6002">
        <w:rPr>
          <w:rFonts w:cs="Times New Roman"/>
          <w:szCs w:val="24"/>
        </w:rPr>
        <w:t>roku 2025. Čerpanie prostriedkov mechanizmu po odpočítaní príjmov dosiahlo v</w:t>
      </w:r>
      <w:r w:rsidR="00E736F9">
        <w:rPr>
          <w:rFonts w:cs="Times New Roman"/>
          <w:szCs w:val="24"/>
        </w:rPr>
        <w:t> </w:t>
      </w:r>
      <w:r w:rsidRPr="00AC6002">
        <w:rPr>
          <w:rFonts w:cs="Times New Roman"/>
          <w:szCs w:val="24"/>
        </w:rPr>
        <w:t xml:space="preserve">roku 2025 sumu </w:t>
      </w:r>
      <w:r w:rsidRPr="00AC6002">
        <w:rPr>
          <w:rFonts w:cs="Times New Roman"/>
          <w:b/>
          <w:bCs/>
          <w:szCs w:val="24"/>
        </w:rPr>
        <w:t>1,94</w:t>
      </w:r>
      <w:r w:rsidR="00E736F9">
        <w:rPr>
          <w:rFonts w:cs="Times New Roman"/>
          <w:b/>
          <w:bCs/>
          <w:szCs w:val="24"/>
        </w:rPr>
        <w:t> </w:t>
      </w:r>
      <w:r w:rsidRPr="00AC6002">
        <w:rPr>
          <w:rFonts w:cs="Times New Roman"/>
          <w:b/>
          <w:bCs/>
          <w:szCs w:val="24"/>
        </w:rPr>
        <w:t>mld.</w:t>
      </w:r>
      <w:r w:rsidR="00E736F9">
        <w:rPr>
          <w:rFonts w:cs="Times New Roman"/>
          <w:b/>
          <w:bCs/>
          <w:szCs w:val="24"/>
        </w:rPr>
        <w:t> </w:t>
      </w:r>
      <w:r w:rsidRPr="00AC6002">
        <w:rPr>
          <w:rFonts w:cs="Times New Roman"/>
          <w:b/>
          <w:bCs/>
          <w:szCs w:val="24"/>
        </w:rPr>
        <w:t>eur</w:t>
      </w:r>
      <w:r w:rsidRPr="00AC6002">
        <w:rPr>
          <w:rFonts w:cs="Times New Roman"/>
          <w:szCs w:val="24"/>
        </w:rPr>
        <w:t xml:space="preserve">, čo predstavuje </w:t>
      </w:r>
      <w:r w:rsidRPr="00AC6002">
        <w:rPr>
          <w:rFonts w:cs="Times New Roman"/>
          <w:b/>
          <w:bCs/>
          <w:szCs w:val="24"/>
        </w:rPr>
        <w:t>58,80</w:t>
      </w:r>
      <w:r w:rsidR="00E736F9">
        <w:rPr>
          <w:rFonts w:cs="Times New Roman"/>
          <w:b/>
          <w:bCs/>
          <w:szCs w:val="24"/>
        </w:rPr>
        <w:t> </w:t>
      </w:r>
      <w:r w:rsidRPr="00AC6002">
        <w:rPr>
          <w:rFonts w:cs="Times New Roman"/>
          <w:b/>
          <w:bCs/>
          <w:szCs w:val="24"/>
        </w:rPr>
        <w:t>%</w:t>
      </w:r>
      <w:r w:rsidRPr="00AC6002">
        <w:rPr>
          <w:rFonts w:cs="Times New Roman"/>
          <w:szCs w:val="24"/>
        </w:rPr>
        <w:t xml:space="preserve"> z celkového kumulatívneho čerpania evidovaného za</w:t>
      </w:r>
      <w:r w:rsidR="00E736F9">
        <w:rPr>
          <w:rFonts w:cs="Times New Roman"/>
          <w:szCs w:val="24"/>
        </w:rPr>
        <w:t> </w:t>
      </w:r>
      <w:r w:rsidRPr="00AC6002">
        <w:rPr>
          <w:rFonts w:cs="Times New Roman"/>
          <w:szCs w:val="24"/>
        </w:rPr>
        <w:t>roky 2021 až 2025. K</w:t>
      </w:r>
      <w:r w:rsidR="00E736F9">
        <w:rPr>
          <w:rFonts w:cs="Times New Roman"/>
          <w:szCs w:val="24"/>
        </w:rPr>
        <w:t> </w:t>
      </w:r>
      <w:r w:rsidRPr="00AC6002">
        <w:rPr>
          <w:rFonts w:cs="Times New Roman"/>
          <w:szCs w:val="24"/>
        </w:rPr>
        <w:t>31.12.2025 tak kumulatívne čerpanie v štátnom rozpočte dosiahlo 3,3</w:t>
      </w:r>
      <w:r w:rsidR="00E736F9">
        <w:rPr>
          <w:rFonts w:cs="Times New Roman"/>
          <w:szCs w:val="24"/>
        </w:rPr>
        <w:t> </w:t>
      </w:r>
      <w:r w:rsidRPr="00AC6002">
        <w:rPr>
          <w:rFonts w:cs="Times New Roman"/>
          <w:szCs w:val="24"/>
        </w:rPr>
        <w:t>mld.</w:t>
      </w:r>
      <w:r w:rsidR="00E736F9">
        <w:rPr>
          <w:rFonts w:cs="Times New Roman"/>
          <w:szCs w:val="24"/>
        </w:rPr>
        <w:t> </w:t>
      </w:r>
      <w:r w:rsidRPr="00AC6002">
        <w:rPr>
          <w:rFonts w:cs="Times New Roman"/>
          <w:szCs w:val="24"/>
        </w:rPr>
        <w:t>eur, t.</w:t>
      </w:r>
      <w:r w:rsidR="00E736F9">
        <w:rPr>
          <w:rFonts w:cs="Times New Roman"/>
          <w:szCs w:val="24"/>
        </w:rPr>
        <w:t> </w:t>
      </w:r>
      <w:r w:rsidRPr="00AC6002">
        <w:rPr>
          <w:rFonts w:cs="Times New Roman"/>
          <w:szCs w:val="24"/>
        </w:rPr>
        <w:t xml:space="preserve">j. približne </w:t>
      </w:r>
      <w:r w:rsidRPr="00AC6002">
        <w:rPr>
          <w:rFonts w:cs="Times New Roman"/>
          <w:b/>
          <w:bCs/>
          <w:szCs w:val="24"/>
        </w:rPr>
        <w:t>51,46</w:t>
      </w:r>
      <w:r w:rsidR="00E736F9">
        <w:rPr>
          <w:rFonts w:cs="Times New Roman"/>
          <w:b/>
          <w:bCs/>
          <w:szCs w:val="24"/>
        </w:rPr>
        <w:t> </w:t>
      </w:r>
      <w:r w:rsidRPr="00AC6002">
        <w:rPr>
          <w:rFonts w:cs="Times New Roman"/>
          <w:b/>
          <w:bCs/>
          <w:szCs w:val="24"/>
        </w:rPr>
        <w:t>%</w:t>
      </w:r>
      <w:r w:rsidRPr="00AC6002">
        <w:rPr>
          <w:rFonts w:cs="Times New Roman"/>
          <w:szCs w:val="24"/>
        </w:rPr>
        <w:t xml:space="preserve"> z celkovej alokácie </w:t>
      </w:r>
      <w:r w:rsidR="00E50EF7">
        <w:rPr>
          <w:rFonts w:cs="Times New Roman"/>
          <w:szCs w:val="24"/>
        </w:rPr>
        <w:t>POO</w:t>
      </w:r>
      <w:r w:rsidRPr="00AC6002">
        <w:rPr>
          <w:rFonts w:cs="Times New Roman"/>
          <w:szCs w:val="24"/>
        </w:rPr>
        <w:t>.</w:t>
      </w:r>
    </w:p>
    <w:p w14:paraId="445BB460" w14:textId="77777777" w:rsidR="00895789" w:rsidRPr="00AC6002" w:rsidRDefault="00895789" w:rsidP="00AC6002">
      <w:pPr>
        <w:spacing w:line="240" w:lineRule="auto"/>
        <w:jc w:val="both"/>
        <w:rPr>
          <w:rFonts w:cs="Times New Roman"/>
          <w:szCs w:val="24"/>
        </w:rPr>
      </w:pPr>
    </w:p>
    <w:p w14:paraId="31821735" w14:textId="19B14516" w:rsidR="00E736F9" w:rsidRDefault="00E736F9" w:rsidP="00E736F9">
      <w:pPr>
        <w:pStyle w:val="Popis"/>
        <w:keepNext/>
        <w:jc w:val="both"/>
      </w:pPr>
      <w:bookmarkStart w:id="169" w:name="_Toc227670129"/>
      <w:r>
        <w:lastRenderedPageBreak/>
        <w:t xml:space="preserve">Graf </w:t>
      </w:r>
      <w:r>
        <w:fldChar w:fldCharType="begin"/>
      </w:r>
      <w:r>
        <w:instrText xml:space="preserve"> SEQ Graf \* ARABIC </w:instrText>
      </w:r>
      <w:r>
        <w:fldChar w:fldCharType="separate"/>
      </w:r>
      <w:r w:rsidR="00396BE8">
        <w:rPr>
          <w:noProof/>
        </w:rPr>
        <w:t>7</w:t>
      </w:r>
      <w:r>
        <w:fldChar w:fldCharType="end"/>
      </w:r>
      <w:r>
        <w:t xml:space="preserve"> – Vývoj výdavkov ŠR na Plán obnovy po zohľadnení príjmov z EÚ</w:t>
      </w:r>
      <w:bookmarkEnd w:id="169"/>
    </w:p>
    <w:p w14:paraId="43FF1E2B" w14:textId="77777777" w:rsidR="00DE2F03" w:rsidRDefault="001D7E9B" w:rsidP="00A4283A">
      <w:pPr>
        <w:jc w:val="both"/>
        <w:rPr>
          <w:rFonts w:cs="Times New Roman"/>
          <w:sz w:val="18"/>
          <w:szCs w:val="18"/>
        </w:rPr>
      </w:pPr>
      <w:r>
        <w:rPr>
          <w:noProof/>
        </w:rPr>
        <w:drawing>
          <wp:inline distT="0" distB="0" distL="0" distR="0" wp14:anchorId="5697D6A5" wp14:editId="0B65B88E">
            <wp:extent cx="5760720" cy="1854200"/>
            <wp:effectExtent l="0" t="0" r="11430" b="12700"/>
            <wp:docPr id="1787070369" name="Graf 1">
              <a:extLst xmlns:a="http://schemas.openxmlformats.org/drawingml/2006/main">
                <a:ext uri="{FF2B5EF4-FFF2-40B4-BE49-F238E27FC236}">
                  <a16:creationId xmlns:a16="http://schemas.microsoft.com/office/drawing/2014/main" id="{49CE763F-4250-B437-7AC0-C770CDAAA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C56D9B" w14:textId="33B20848" w:rsidR="00E61700" w:rsidRDefault="00A4283A" w:rsidP="00E61700">
      <w:pPr>
        <w:tabs>
          <w:tab w:val="right" w:pos="9070"/>
        </w:tabs>
        <w:jc w:val="both"/>
        <w:rPr>
          <w:rFonts w:cs="Times New Roman"/>
          <w:sz w:val="18"/>
          <w:szCs w:val="18"/>
        </w:rPr>
      </w:pPr>
      <w:r w:rsidRPr="00DE2F03">
        <w:rPr>
          <w:rFonts w:cs="Times New Roman"/>
          <w:sz w:val="18"/>
          <w:szCs w:val="18"/>
        </w:rPr>
        <w:t>Pozn.: Údaje predstavujú výdavky štátneho rozpočtu evidované na zdrojoch 1P01 a 3P01</w:t>
      </w:r>
      <w:r w:rsidR="00E61700">
        <w:rPr>
          <w:rFonts w:cs="Times New Roman"/>
          <w:sz w:val="18"/>
          <w:szCs w:val="18"/>
        </w:rPr>
        <w:tab/>
      </w:r>
      <w:r w:rsidR="00E61700" w:rsidRPr="00BC6277">
        <w:rPr>
          <w:rFonts w:cs="Times New Roman"/>
          <w:sz w:val="18"/>
          <w:szCs w:val="18"/>
        </w:rPr>
        <w:t>Zdroj:</w:t>
      </w:r>
      <w:r w:rsidR="00BC6277" w:rsidRPr="00BC6277">
        <w:rPr>
          <w:rFonts w:cs="Times New Roman"/>
          <w:sz w:val="18"/>
          <w:szCs w:val="18"/>
        </w:rPr>
        <w:t xml:space="preserve"> NIKA</w:t>
      </w:r>
      <w:r w:rsidR="00E61700">
        <w:rPr>
          <w:rFonts w:cs="Times New Roman"/>
          <w:sz w:val="18"/>
          <w:szCs w:val="18"/>
        </w:rPr>
        <w:t xml:space="preserve"> </w:t>
      </w:r>
    </w:p>
    <w:p w14:paraId="29C6775B" w14:textId="3DDDA22B" w:rsidR="00E61700" w:rsidRPr="00DE2F03" w:rsidRDefault="00E61700" w:rsidP="00A4283A">
      <w:pPr>
        <w:jc w:val="both"/>
        <w:rPr>
          <w:rFonts w:cs="Times New Roman"/>
          <w:sz w:val="18"/>
          <w:szCs w:val="18"/>
          <w:highlight w:val="green"/>
        </w:rPr>
      </w:pPr>
      <w:r w:rsidRPr="00DE2F03">
        <w:rPr>
          <w:rFonts w:cs="Times New Roman"/>
          <w:sz w:val="18"/>
          <w:szCs w:val="18"/>
        </w:rPr>
        <w:t>po zohľadnení príjmov.</w:t>
      </w:r>
    </w:p>
    <w:p w14:paraId="685ED639" w14:textId="77777777" w:rsidR="006671FD" w:rsidRDefault="006671FD" w:rsidP="00AC6002">
      <w:pPr>
        <w:spacing w:line="240" w:lineRule="auto"/>
        <w:jc w:val="both"/>
        <w:rPr>
          <w:rFonts w:cs="Times New Roman"/>
          <w:szCs w:val="24"/>
        </w:rPr>
      </w:pPr>
    </w:p>
    <w:p w14:paraId="4CB3E56C" w14:textId="17C7D5B9" w:rsidR="00A4283A" w:rsidRPr="00C162E3" w:rsidRDefault="00A4283A" w:rsidP="00AC6002">
      <w:pPr>
        <w:spacing w:line="240" w:lineRule="auto"/>
        <w:jc w:val="both"/>
        <w:rPr>
          <w:rFonts w:cs="Times New Roman"/>
          <w:szCs w:val="24"/>
        </w:rPr>
      </w:pPr>
      <w:r w:rsidRPr="00C162E3">
        <w:rPr>
          <w:rFonts w:cs="Times New Roman"/>
          <w:szCs w:val="24"/>
        </w:rPr>
        <w:t>Súčasne platí, že vzhľadom na zostávajúci objem alokácie a potrebu ukončenia implementácie investícií a reforiem v stanovenom období bude z pohľadu absorpcie výdavkov a</w:t>
      </w:r>
      <w:r w:rsidR="00A743F2">
        <w:rPr>
          <w:rFonts w:cs="Times New Roman"/>
          <w:szCs w:val="24"/>
        </w:rPr>
        <w:t> </w:t>
      </w:r>
      <w:r w:rsidRPr="00C162E3">
        <w:rPr>
          <w:rFonts w:cs="Times New Roman"/>
          <w:szCs w:val="24"/>
        </w:rPr>
        <w:t>finančného uzatvárania implementácie mimoriadne významný rok 2026.</w:t>
      </w:r>
    </w:p>
    <w:p w14:paraId="29726EDE" w14:textId="77777777" w:rsidR="00A4283A" w:rsidRDefault="00A4283A" w:rsidP="00A4283A">
      <w:pPr>
        <w:jc w:val="both"/>
        <w:rPr>
          <w:rFonts w:cs="Times New Roman"/>
          <w:szCs w:val="24"/>
        </w:rPr>
      </w:pPr>
    </w:p>
    <w:p w14:paraId="7DAD60D8" w14:textId="6CE6450A" w:rsidR="00A743F2" w:rsidRDefault="00A743F2" w:rsidP="00A743F2">
      <w:pPr>
        <w:pStyle w:val="Popis"/>
        <w:keepNext/>
        <w:jc w:val="both"/>
      </w:pPr>
      <w:bookmarkStart w:id="170" w:name="_Toc227670130"/>
      <w:r>
        <w:t xml:space="preserve">Graf </w:t>
      </w:r>
      <w:r>
        <w:fldChar w:fldCharType="begin"/>
      </w:r>
      <w:r>
        <w:instrText xml:space="preserve"> SEQ Graf \* ARABIC </w:instrText>
      </w:r>
      <w:r>
        <w:fldChar w:fldCharType="separate"/>
      </w:r>
      <w:r w:rsidR="00396BE8">
        <w:rPr>
          <w:noProof/>
        </w:rPr>
        <w:t>8</w:t>
      </w:r>
      <w:r>
        <w:fldChar w:fldCharType="end"/>
      </w:r>
      <w:r>
        <w:t xml:space="preserve"> – Čerpanie prostriedkov POO podľa komponentov</w:t>
      </w:r>
      <w:bookmarkEnd w:id="170"/>
    </w:p>
    <w:p w14:paraId="26140534" w14:textId="77777777" w:rsidR="00A4283A" w:rsidRDefault="00A4283A" w:rsidP="00A4283A">
      <w:pPr>
        <w:jc w:val="both"/>
        <w:rPr>
          <w:rFonts w:cs="Times New Roman"/>
          <w:szCs w:val="24"/>
        </w:rPr>
      </w:pPr>
      <w:r>
        <w:rPr>
          <w:noProof/>
        </w:rPr>
        <w:drawing>
          <wp:inline distT="0" distB="0" distL="0" distR="0" wp14:anchorId="5319E5FF" wp14:editId="27B36A67">
            <wp:extent cx="5798820" cy="3909060"/>
            <wp:effectExtent l="0" t="0" r="11430" b="15240"/>
            <wp:docPr id="826325045" name="Graf 1">
              <a:extLst xmlns:a="http://schemas.openxmlformats.org/drawingml/2006/main">
                <a:ext uri="{FF2B5EF4-FFF2-40B4-BE49-F238E27FC236}">
                  <a16:creationId xmlns:a16="http://schemas.microsoft.com/office/drawing/2014/main" id="{78A3AC82-797C-E3B0-E543-979485FFE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186B76" w14:textId="7F97994F" w:rsidR="00A4283A" w:rsidRDefault="00A4283A" w:rsidP="00A743F2">
      <w:pPr>
        <w:tabs>
          <w:tab w:val="right" w:pos="9070"/>
        </w:tabs>
        <w:jc w:val="both"/>
        <w:rPr>
          <w:rFonts w:cs="Times New Roman"/>
          <w:sz w:val="18"/>
          <w:szCs w:val="18"/>
        </w:rPr>
      </w:pPr>
      <w:r w:rsidRPr="00A743F2">
        <w:rPr>
          <w:rFonts w:cs="Times New Roman"/>
          <w:sz w:val="18"/>
          <w:szCs w:val="18"/>
        </w:rPr>
        <w:t xml:space="preserve">Pozn.: Údaje predstavujú výdavky štátneho rozpočtu evidované na zdrojoch 1P01 a 3P01 </w:t>
      </w:r>
      <w:r w:rsidR="00A743F2">
        <w:rPr>
          <w:rFonts w:cs="Times New Roman"/>
          <w:sz w:val="18"/>
          <w:szCs w:val="18"/>
        </w:rPr>
        <w:tab/>
      </w:r>
      <w:r w:rsidR="00A743F2" w:rsidRPr="00BC6277">
        <w:rPr>
          <w:rFonts w:cs="Times New Roman"/>
          <w:sz w:val="18"/>
          <w:szCs w:val="18"/>
        </w:rPr>
        <w:t>Zdroj:</w:t>
      </w:r>
      <w:r w:rsidR="00CD6C32">
        <w:rPr>
          <w:rFonts w:cs="Times New Roman"/>
          <w:sz w:val="18"/>
          <w:szCs w:val="18"/>
        </w:rPr>
        <w:t xml:space="preserve"> </w:t>
      </w:r>
      <w:r w:rsidR="00BC6277" w:rsidRPr="00BC6277">
        <w:rPr>
          <w:rFonts w:cs="Times New Roman"/>
          <w:sz w:val="18"/>
          <w:szCs w:val="18"/>
        </w:rPr>
        <w:t>NIKA</w:t>
      </w:r>
      <w:r w:rsidR="00A743F2">
        <w:rPr>
          <w:rFonts w:cs="Times New Roman"/>
          <w:sz w:val="18"/>
          <w:szCs w:val="18"/>
        </w:rPr>
        <w:t xml:space="preserve"> </w:t>
      </w:r>
    </w:p>
    <w:p w14:paraId="5C063E1E" w14:textId="77777777" w:rsidR="00A743F2" w:rsidRPr="00A743F2" w:rsidRDefault="00A743F2" w:rsidP="00A743F2">
      <w:pPr>
        <w:jc w:val="both"/>
        <w:rPr>
          <w:rFonts w:cs="Times New Roman"/>
          <w:sz w:val="18"/>
          <w:szCs w:val="18"/>
          <w:highlight w:val="green"/>
        </w:rPr>
      </w:pPr>
      <w:r w:rsidRPr="00A743F2">
        <w:rPr>
          <w:rFonts w:cs="Times New Roman"/>
          <w:sz w:val="18"/>
          <w:szCs w:val="18"/>
        </w:rPr>
        <w:t>po zohľadnení príjmov.</w:t>
      </w:r>
    </w:p>
    <w:p w14:paraId="68DF8A52" w14:textId="77777777" w:rsidR="00A4283A" w:rsidRDefault="00A4283A" w:rsidP="00AC6002">
      <w:pPr>
        <w:spacing w:line="240" w:lineRule="auto"/>
        <w:jc w:val="both"/>
        <w:rPr>
          <w:rFonts w:cs="Times New Roman"/>
          <w:szCs w:val="24"/>
        </w:rPr>
      </w:pPr>
    </w:p>
    <w:p w14:paraId="08EBB47A" w14:textId="637B8BA2" w:rsidR="00A4283A" w:rsidRDefault="00A4283A" w:rsidP="00AC6002">
      <w:pPr>
        <w:spacing w:line="240" w:lineRule="auto"/>
        <w:jc w:val="both"/>
        <w:rPr>
          <w:rFonts w:cs="Times New Roman"/>
          <w:szCs w:val="24"/>
        </w:rPr>
      </w:pPr>
      <w:r w:rsidRPr="00C07EAF">
        <w:rPr>
          <w:rFonts w:cs="Times New Roman"/>
          <w:szCs w:val="24"/>
        </w:rPr>
        <w:t>Vývoj v plnení zostávajúcich míľnikov a cieľov môže ovplyvniť časovanie predkladania ďalších žiadostí o platbu Európskej komisii a nadväzne aj tempo čerpania prostriedkov v</w:t>
      </w:r>
      <w:r w:rsidR="00A743F2">
        <w:rPr>
          <w:rFonts w:cs="Times New Roman"/>
          <w:szCs w:val="24"/>
        </w:rPr>
        <w:t> </w:t>
      </w:r>
      <w:r w:rsidRPr="00C07EAF">
        <w:rPr>
          <w:rFonts w:cs="Times New Roman"/>
          <w:szCs w:val="24"/>
        </w:rPr>
        <w:t>štátnom rozpočte, pričom v ďalšom období možno očakávať jeho zvýšenú dynamiku aj v</w:t>
      </w:r>
      <w:r w:rsidR="00A743F2">
        <w:rPr>
          <w:rFonts w:cs="Times New Roman"/>
          <w:szCs w:val="24"/>
        </w:rPr>
        <w:t> </w:t>
      </w:r>
      <w:r w:rsidRPr="00C07EAF">
        <w:rPr>
          <w:rFonts w:cs="Times New Roman"/>
          <w:szCs w:val="24"/>
        </w:rPr>
        <w:t>nadväznosti na nižšiu úroveň čerpania v predchádzajúcich rokoch. V</w:t>
      </w:r>
      <w:r w:rsidR="006671FD">
        <w:rPr>
          <w:rFonts w:cs="Times New Roman"/>
          <w:szCs w:val="24"/>
        </w:rPr>
        <w:t> </w:t>
      </w:r>
      <w:r w:rsidRPr="00C07EAF">
        <w:rPr>
          <w:rFonts w:cs="Times New Roman"/>
          <w:szCs w:val="24"/>
        </w:rPr>
        <w:t xml:space="preserve">záverečnom období implementácie bude preto dôraz kladený najmä na opatrenia s identifikovanými odchýlkami </w:t>
      </w:r>
      <w:r w:rsidRPr="00C07EAF">
        <w:rPr>
          <w:rFonts w:cs="Times New Roman"/>
          <w:szCs w:val="24"/>
        </w:rPr>
        <w:lastRenderedPageBreak/>
        <w:t>od</w:t>
      </w:r>
      <w:r w:rsidR="00A743F2">
        <w:rPr>
          <w:rFonts w:cs="Times New Roman"/>
          <w:szCs w:val="24"/>
        </w:rPr>
        <w:t> </w:t>
      </w:r>
      <w:r w:rsidRPr="00C07EAF">
        <w:rPr>
          <w:rFonts w:cs="Times New Roman"/>
          <w:szCs w:val="24"/>
        </w:rPr>
        <w:t>plánovaného harmonogramu dotknutých projektov, ako aj na</w:t>
      </w:r>
      <w:r w:rsidR="006671FD">
        <w:rPr>
          <w:rFonts w:cs="Times New Roman"/>
          <w:szCs w:val="24"/>
        </w:rPr>
        <w:t> </w:t>
      </w:r>
      <w:r w:rsidRPr="00C07EAF">
        <w:rPr>
          <w:rFonts w:cs="Times New Roman"/>
          <w:szCs w:val="24"/>
        </w:rPr>
        <w:t>prijímanie opatrení na</w:t>
      </w:r>
      <w:r w:rsidR="00A743F2">
        <w:rPr>
          <w:rFonts w:cs="Times New Roman"/>
          <w:szCs w:val="24"/>
        </w:rPr>
        <w:t> </w:t>
      </w:r>
      <w:r w:rsidRPr="00C07EAF">
        <w:rPr>
          <w:rFonts w:cs="Times New Roman"/>
          <w:szCs w:val="24"/>
        </w:rPr>
        <w:t>elimináciu faktorov ovplyvňujúcich ich implementáciu zo strany vykonávateľov.</w:t>
      </w:r>
    </w:p>
    <w:p w14:paraId="60D678F1" w14:textId="77777777" w:rsidR="00A4283A" w:rsidRDefault="00A4283A" w:rsidP="00AC6002">
      <w:pPr>
        <w:spacing w:line="240" w:lineRule="auto"/>
        <w:jc w:val="both"/>
        <w:rPr>
          <w:rFonts w:cs="Times New Roman"/>
          <w:szCs w:val="24"/>
        </w:rPr>
      </w:pPr>
    </w:p>
    <w:p w14:paraId="5DD3FB03" w14:textId="027DF6CD" w:rsidR="00A4283A" w:rsidRPr="00E76A4E" w:rsidRDefault="00A4283A" w:rsidP="00AC6002">
      <w:pPr>
        <w:spacing w:line="240" w:lineRule="auto"/>
        <w:jc w:val="both"/>
        <w:rPr>
          <w:rFonts w:cs="Times New Roman"/>
          <w:szCs w:val="24"/>
        </w:rPr>
      </w:pPr>
      <w:r w:rsidRPr="00E76A4E">
        <w:rPr>
          <w:rFonts w:cs="Times New Roman"/>
          <w:szCs w:val="24"/>
        </w:rPr>
        <w:t xml:space="preserve">Za účelom </w:t>
      </w:r>
      <w:r w:rsidRPr="00E76A4E">
        <w:rPr>
          <w:rFonts w:cs="Times New Roman"/>
          <w:b/>
          <w:bCs/>
          <w:szCs w:val="24"/>
        </w:rPr>
        <w:t>pravidelného vyhodnocovania pokroku v implementácii opatrení z</w:t>
      </w:r>
      <w:r w:rsidR="00A743F2">
        <w:rPr>
          <w:rFonts w:cs="Times New Roman"/>
          <w:b/>
          <w:bCs/>
          <w:szCs w:val="24"/>
        </w:rPr>
        <w:t> </w:t>
      </w:r>
      <w:r w:rsidR="00E50EF7">
        <w:rPr>
          <w:rFonts w:cs="Times New Roman"/>
          <w:b/>
          <w:bCs/>
          <w:szCs w:val="24"/>
        </w:rPr>
        <w:t>POO</w:t>
      </w:r>
      <w:r w:rsidRPr="00E76A4E">
        <w:rPr>
          <w:rFonts w:cs="Times New Roman"/>
          <w:szCs w:val="24"/>
        </w:rPr>
        <w:t xml:space="preserve"> bolo ešte v roku 2023 schválené na rokovaní vlády SR uznesenie vlády č.</w:t>
      </w:r>
      <w:r w:rsidR="00A743F2">
        <w:rPr>
          <w:rFonts w:cs="Times New Roman"/>
          <w:szCs w:val="24"/>
        </w:rPr>
        <w:t> </w:t>
      </w:r>
      <w:r w:rsidRPr="00E76A4E">
        <w:rPr>
          <w:rFonts w:cs="Times New Roman"/>
          <w:szCs w:val="24"/>
        </w:rPr>
        <w:t>629 z</w:t>
      </w:r>
      <w:r w:rsidR="00A743F2">
        <w:rPr>
          <w:rFonts w:cs="Times New Roman"/>
          <w:szCs w:val="24"/>
        </w:rPr>
        <w:t> </w:t>
      </w:r>
      <w:r w:rsidRPr="00E76A4E">
        <w:rPr>
          <w:rFonts w:cs="Times New Roman"/>
          <w:szCs w:val="24"/>
        </w:rPr>
        <w:t>29.novembra 2023, v zmysle ktorého mala byť na rokovanie vlády predložená Správa o</w:t>
      </w:r>
      <w:r w:rsidR="00A743F2">
        <w:rPr>
          <w:rFonts w:cs="Times New Roman"/>
          <w:szCs w:val="24"/>
        </w:rPr>
        <w:t> </w:t>
      </w:r>
      <w:r w:rsidRPr="00E76A4E">
        <w:rPr>
          <w:rFonts w:cs="Times New Roman"/>
          <w:szCs w:val="24"/>
        </w:rPr>
        <w:t xml:space="preserve">pokroku pri implementácii </w:t>
      </w:r>
      <w:r w:rsidR="00E50EF7">
        <w:rPr>
          <w:rFonts w:cs="Times New Roman"/>
          <w:szCs w:val="24"/>
        </w:rPr>
        <w:t>POO</w:t>
      </w:r>
      <w:r w:rsidRPr="00E76A4E">
        <w:rPr>
          <w:rFonts w:cs="Times New Roman"/>
          <w:szCs w:val="24"/>
        </w:rPr>
        <w:t xml:space="preserve"> Slovenskej republiky spolu s</w:t>
      </w:r>
      <w:r w:rsidR="00A743F2">
        <w:rPr>
          <w:rFonts w:cs="Times New Roman"/>
          <w:szCs w:val="24"/>
        </w:rPr>
        <w:t> </w:t>
      </w:r>
      <w:r w:rsidRPr="00E76A4E">
        <w:rPr>
          <w:rFonts w:cs="Times New Roman"/>
          <w:szCs w:val="24"/>
        </w:rPr>
        <w:t>návrhom ďalšieho postupu. Hlavným cieľom tohto materiálu bolo na základe hĺbkovej analýzy aktuálneho stavu implementácie investícií a</w:t>
      </w:r>
      <w:r w:rsidR="00E67125">
        <w:rPr>
          <w:rFonts w:cs="Times New Roman"/>
          <w:szCs w:val="24"/>
        </w:rPr>
        <w:t> </w:t>
      </w:r>
      <w:r w:rsidRPr="00E76A4E">
        <w:rPr>
          <w:rFonts w:cs="Times New Roman"/>
          <w:szCs w:val="24"/>
        </w:rPr>
        <w:t xml:space="preserve">reforiem </w:t>
      </w:r>
      <w:r w:rsidR="00E50EF7">
        <w:rPr>
          <w:rFonts w:cs="Times New Roman"/>
          <w:szCs w:val="24"/>
        </w:rPr>
        <w:t>POO</w:t>
      </w:r>
      <w:r w:rsidRPr="00E76A4E">
        <w:rPr>
          <w:rFonts w:cs="Times New Roman"/>
          <w:szCs w:val="24"/>
        </w:rPr>
        <w:t xml:space="preserve"> poukázať na</w:t>
      </w:r>
      <w:r w:rsidR="00A743F2">
        <w:rPr>
          <w:rFonts w:cs="Times New Roman"/>
          <w:szCs w:val="24"/>
        </w:rPr>
        <w:t> </w:t>
      </w:r>
      <w:r w:rsidRPr="00E76A4E">
        <w:rPr>
          <w:rFonts w:cs="Times New Roman"/>
          <w:szCs w:val="24"/>
        </w:rPr>
        <w:t>problémy a</w:t>
      </w:r>
      <w:r w:rsidR="00A743F2">
        <w:rPr>
          <w:rFonts w:cs="Times New Roman"/>
          <w:szCs w:val="24"/>
        </w:rPr>
        <w:t> </w:t>
      </w:r>
      <w:r w:rsidRPr="00E76A4E">
        <w:rPr>
          <w:rFonts w:cs="Times New Roman"/>
          <w:szCs w:val="24"/>
        </w:rPr>
        <w:t>riziká pri ich implementácii na úrovni jednotlivých vykonávateľov. Rovnako boli v</w:t>
      </w:r>
      <w:r w:rsidR="00A743F2">
        <w:rPr>
          <w:rFonts w:cs="Times New Roman"/>
          <w:szCs w:val="24"/>
        </w:rPr>
        <w:t> </w:t>
      </w:r>
      <w:r w:rsidRPr="00E76A4E">
        <w:rPr>
          <w:rFonts w:cs="Times New Roman"/>
          <w:szCs w:val="24"/>
        </w:rPr>
        <w:t xml:space="preserve">predkladanom materiáli zadefinované návrhy konkrétnych riešení identifikovaných problémov a elimináciu rizík tak, aby míľniky a ciele </w:t>
      </w:r>
      <w:r w:rsidR="00E50EF7">
        <w:rPr>
          <w:rFonts w:cs="Times New Roman"/>
          <w:szCs w:val="24"/>
        </w:rPr>
        <w:t>POO</w:t>
      </w:r>
      <w:r w:rsidRPr="00E76A4E">
        <w:rPr>
          <w:rFonts w:cs="Times New Roman"/>
          <w:szCs w:val="24"/>
        </w:rPr>
        <w:t xml:space="preserve"> boli plnené riadne a</w:t>
      </w:r>
      <w:r w:rsidR="00A743F2">
        <w:rPr>
          <w:rFonts w:cs="Times New Roman"/>
          <w:szCs w:val="24"/>
        </w:rPr>
        <w:t> </w:t>
      </w:r>
      <w:r w:rsidRPr="00E76A4E">
        <w:rPr>
          <w:rFonts w:cs="Times New Roman"/>
          <w:szCs w:val="24"/>
        </w:rPr>
        <w:t>včas. Uvedené bolo realizované prijatím uznesenia vlády SR č.</w:t>
      </w:r>
      <w:r w:rsidR="00A743F2">
        <w:rPr>
          <w:rFonts w:cs="Times New Roman"/>
          <w:szCs w:val="24"/>
        </w:rPr>
        <w:t> </w:t>
      </w:r>
      <w:r w:rsidRPr="00E76A4E">
        <w:rPr>
          <w:rFonts w:cs="Times New Roman"/>
          <w:szCs w:val="24"/>
        </w:rPr>
        <w:t>125 zo</w:t>
      </w:r>
      <w:r w:rsidR="00A743F2">
        <w:rPr>
          <w:rFonts w:cs="Times New Roman"/>
          <w:szCs w:val="24"/>
        </w:rPr>
        <w:t> </w:t>
      </w:r>
      <w:r w:rsidRPr="00E76A4E">
        <w:rPr>
          <w:rFonts w:cs="Times New Roman"/>
          <w:szCs w:val="24"/>
        </w:rPr>
        <w:t>6.marca 2024 k</w:t>
      </w:r>
      <w:r w:rsidR="00A743F2">
        <w:rPr>
          <w:rFonts w:cs="Times New Roman"/>
          <w:szCs w:val="24"/>
        </w:rPr>
        <w:t> </w:t>
      </w:r>
      <w:r w:rsidRPr="00E76A4E">
        <w:rPr>
          <w:rFonts w:cs="Times New Roman"/>
          <w:szCs w:val="24"/>
        </w:rPr>
        <w:t>Správe o</w:t>
      </w:r>
      <w:r w:rsidR="00A743F2">
        <w:rPr>
          <w:rFonts w:cs="Times New Roman"/>
          <w:szCs w:val="24"/>
        </w:rPr>
        <w:t> </w:t>
      </w:r>
      <w:r w:rsidRPr="00E76A4E">
        <w:rPr>
          <w:rFonts w:cs="Times New Roman"/>
          <w:szCs w:val="24"/>
        </w:rPr>
        <w:t xml:space="preserve">pokroku v implementácii </w:t>
      </w:r>
      <w:r w:rsidR="00E50EF7">
        <w:rPr>
          <w:rFonts w:cs="Times New Roman"/>
          <w:szCs w:val="24"/>
        </w:rPr>
        <w:t>POO</w:t>
      </w:r>
      <w:r w:rsidRPr="00E76A4E">
        <w:rPr>
          <w:rFonts w:cs="Times New Roman"/>
          <w:szCs w:val="24"/>
        </w:rPr>
        <w:t xml:space="preserve"> Slovenskej republiky, v zmysle ktorého vláda SR pravidelne každé dva mesiace posudzuje pokrok pri implementácií </w:t>
      </w:r>
      <w:r w:rsidR="00E50EF7">
        <w:rPr>
          <w:rFonts w:cs="Times New Roman"/>
          <w:szCs w:val="24"/>
        </w:rPr>
        <w:t>POO</w:t>
      </w:r>
      <w:r w:rsidRPr="00E76A4E">
        <w:rPr>
          <w:rFonts w:cs="Times New Roman"/>
          <w:szCs w:val="24"/>
        </w:rPr>
        <w:t xml:space="preserve">. </w:t>
      </w:r>
      <w:r w:rsidRPr="00E76A4E">
        <w:rPr>
          <w:rFonts w:cs="Times New Roman"/>
          <w:b/>
          <w:bCs/>
          <w:szCs w:val="24"/>
        </w:rPr>
        <w:t>Posledná Správa o</w:t>
      </w:r>
      <w:r w:rsidR="00E67125">
        <w:rPr>
          <w:rFonts w:cs="Times New Roman"/>
          <w:b/>
          <w:bCs/>
          <w:szCs w:val="24"/>
        </w:rPr>
        <w:t> </w:t>
      </w:r>
      <w:r w:rsidRPr="00E76A4E">
        <w:rPr>
          <w:rFonts w:cs="Times New Roman"/>
          <w:b/>
          <w:bCs/>
          <w:szCs w:val="24"/>
        </w:rPr>
        <w:t>pokroku v</w:t>
      </w:r>
      <w:r w:rsidR="00E50EF7">
        <w:rPr>
          <w:rFonts w:cs="Times New Roman"/>
          <w:b/>
          <w:bCs/>
          <w:szCs w:val="24"/>
        </w:rPr>
        <w:t> </w:t>
      </w:r>
      <w:r w:rsidRPr="00E76A4E">
        <w:rPr>
          <w:rFonts w:cs="Times New Roman"/>
          <w:b/>
          <w:bCs/>
          <w:szCs w:val="24"/>
        </w:rPr>
        <w:t xml:space="preserve">implementácii </w:t>
      </w:r>
      <w:r w:rsidR="00E50EF7">
        <w:rPr>
          <w:rFonts w:cs="Times New Roman"/>
          <w:b/>
          <w:bCs/>
          <w:szCs w:val="24"/>
        </w:rPr>
        <w:t>POO</w:t>
      </w:r>
      <w:r w:rsidRPr="00E76A4E">
        <w:rPr>
          <w:rFonts w:cs="Times New Roman"/>
          <w:b/>
          <w:bCs/>
          <w:szCs w:val="24"/>
        </w:rPr>
        <w:t xml:space="preserve"> Slovenskej republiky</w:t>
      </w:r>
      <w:r w:rsidRPr="00E76A4E">
        <w:rPr>
          <w:rFonts w:cs="Times New Roman"/>
          <w:szCs w:val="24"/>
        </w:rPr>
        <w:t xml:space="preserve"> - aktualizácia k</w:t>
      </w:r>
      <w:r w:rsidR="00A743F2">
        <w:rPr>
          <w:rFonts w:cs="Times New Roman"/>
          <w:szCs w:val="24"/>
        </w:rPr>
        <w:t> </w:t>
      </w:r>
      <w:r w:rsidRPr="00E76A4E">
        <w:rPr>
          <w:rFonts w:cs="Times New Roman"/>
          <w:szCs w:val="24"/>
        </w:rPr>
        <w:t>31.3.2026 bola schválená na</w:t>
      </w:r>
      <w:r w:rsidR="00E50EF7">
        <w:rPr>
          <w:rFonts w:cs="Times New Roman"/>
          <w:szCs w:val="24"/>
        </w:rPr>
        <w:t> </w:t>
      </w:r>
      <w:r w:rsidRPr="00E76A4E">
        <w:rPr>
          <w:rFonts w:cs="Times New Roman"/>
          <w:szCs w:val="24"/>
        </w:rPr>
        <w:t>rokovaní vlády SR dňa 8.4.2026.</w:t>
      </w:r>
    </w:p>
    <w:p w14:paraId="28518A64" w14:textId="77777777" w:rsidR="00A4283A" w:rsidRPr="00895789" w:rsidRDefault="00A4283A" w:rsidP="00AC6002">
      <w:pPr>
        <w:spacing w:line="240" w:lineRule="auto"/>
        <w:jc w:val="both"/>
        <w:rPr>
          <w:rFonts w:cs="Times New Roman"/>
          <w:szCs w:val="24"/>
        </w:rPr>
      </w:pPr>
    </w:p>
    <w:p w14:paraId="5B36F22C" w14:textId="630FEB33" w:rsidR="00A4283A" w:rsidRPr="00546625" w:rsidRDefault="00A4283A" w:rsidP="00F339BE">
      <w:pPr>
        <w:pStyle w:val="Nadpis3"/>
        <w:spacing w:before="0"/>
        <w:ind w:left="0" w:firstLine="0"/>
        <w:jc w:val="both"/>
      </w:pPr>
      <w:bookmarkStart w:id="171" w:name="_Toc227758918"/>
      <w:r w:rsidRPr="00546625">
        <w:t>Stav implementácie Plánu obnovy vo väzbe na platby z EÚ</w:t>
      </w:r>
      <w:bookmarkEnd w:id="171"/>
    </w:p>
    <w:p w14:paraId="2D898133" w14:textId="77777777" w:rsidR="00AC6002" w:rsidRDefault="00AC6002" w:rsidP="00AC6002">
      <w:pPr>
        <w:spacing w:line="240" w:lineRule="auto"/>
        <w:jc w:val="both"/>
        <w:rPr>
          <w:rFonts w:cs="Times New Roman"/>
          <w:bCs/>
          <w:szCs w:val="24"/>
        </w:rPr>
      </w:pPr>
    </w:p>
    <w:p w14:paraId="65F565A3" w14:textId="2E907C82" w:rsidR="00A4283A" w:rsidRPr="00C07EAF" w:rsidRDefault="00A4283A" w:rsidP="00AC6002">
      <w:pPr>
        <w:spacing w:line="240" w:lineRule="auto"/>
        <w:jc w:val="both"/>
        <w:rPr>
          <w:rFonts w:cs="Times New Roman"/>
          <w:b/>
          <w:szCs w:val="24"/>
        </w:rPr>
      </w:pPr>
      <w:r>
        <w:rPr>
          <w:rFonts w:cs="Times New Roman"/>
          <w:bCs/>
          <w:szCs w:val="24"/>
        </w:rPr>
        <w:t>Slovenskej republike</w:t>
      </w:r>
      <w:r w:rsidRPr="008101CF">
        <w:rPr>
          <w:rFonts w:cs="Times New Roman"/>
          <w:bCs/>
          <w:szCs w:val="24"/>
        </w:rPr>
        <w:t xml:space="preserve"> bolo k</w:t>
      </w:r>
      <w:r w:rsidR="00A743F2">
        <w:rPr>
          <w:rFonts w:cs="Times New Roman"/>
          <w:bCs/>
          <w:szCs w:val="24"/>
        </w:rPr>
        <w:t> </w:t>
      </w:r>
      <w:r w:rsidRPr="008101CF">
        <w:rPr>
          <w:rFonts w:cs="Times New Roman"/>
          <w:bCs/>
          <w:szCs w:val="24"/>
        </w:rPr>
        <w:t xml:space="preserve">31.12.2025 vyplatených </w:t>
      </w:r>
      <w:r w:rsidRPr="00C07EAF">
        <w:rPr>
          <w:rFonts w:cs="Times New Roman"/>
          <w:b/>
          <w:szCs w:val="24"/>
        </w:rPr>
        <w:t>päť žiadostí o platbu.</w:t>
      </w:r>
    </w:p>
    <w:p w14:paraId="387E8FDB" w14:textId="77777777" w:rsidR="00520352" w:rsidRDefault="00520352" w:rsidP="00AC6002">
      <w:pPr>
        <w:spacing w:line="240" w:lineRule="auto"/>
        <w:jc w:val="both"/>
        <w:rPr>
          <w:rFonts w:cs="Times New Roman"/>
          <w:b/>
          <w:szCs w:val="24"/>
        </w:rPr>
      </w:pPr>
    </w:p>
    <w:p w14:paraId="12490E63" w14:textId="1D26EC3F" w:rsidR="00A4283A" w:rsidRPr="00C07EAF" w:rsidRDefault="00A4283A" w:rsidP="00AC6002">
      <w:pPr>
        <w:spacing w:line="240" w:lineRule="auto"/>
        <w:jc w:val="both"/>
        <w:rPr>
          <w:rFonts w:cs="Times New Roman"/>
          <w:szCs w:val="24"/>
        </w:rPr>
      </w:pPr>
      <w:r w:rsidRPr="00C07EAF">
        <w:rPr>
          <w:rFonts w:cs="Times New Roman"/>
          <w:b/>
          <w:szCs w:val="24"/>
        </w:rPr>
        <w:t>Prvá žiadosť o platbu</w:t>
      </w:r>
      <w:r w:rsidRPr="00C07EAF">
        <w:rPr>
          <w:rFonts w:cs="Times New Roman"/>
          <w:szCs w:val="24"/>
        </w:rPr>
        <w:t xml:space="preserve"> v celkovej výške </w:t>
      </w:r>
      <w:r w:rsidRPr="00C07EAF">
        <w:rPr>
          <w:rFonts w:cs="Times New Roman"/>
          <w:b/>
          <w:bCs/>
          <w:szCs w:val="24"/>
        </w:rPr>
        <w:t>458 277</w:t>
      </w:r>
      <w:r w:rsidR="00A743F2">
        <w:rPr>
          <w:rFonts w:cs="Times New Roman"/>
          <w:b/>
          <w:bCs/>
          <w:szCs w:val="24"/>
        </w:rPr>
        <w:t> </w:t>
      </w:r>
      <w:r w:rsidRPr="00C07EAF">
        <w:rPr>
          <w:rFonts w:cs="Times New Roman"/>
          <w:b/>
          <w:bCs/>
          <w:szCs w:val="24"/>
        </w:rPr>
        <w:t>000</w:t>
      </w:r>
      <w:r w:rsidR="00A743F2">
        <w:rPr>
          <w:rFonts w:cs="Times New Roman"/>
          <w:b/>
          <w:bCs/>
          <w:szCs w:val="24"/>
        </w:rPr>
        <w:t> </w:t>
      </w:r>
      <w:r w:rsidRPr="00C07EAF">
        <w:rPr>
          <w:rFonts w:cs="Times New Roman"/>
          <w:b/>
          <w:bCs/>
          <w:szCs w:val="24"/>
        </w:rPr>
        <w:t>eur</w:t>
      </w:r>
      <w:r w:rsidRPr="00C07EAF">
        <w:rPr>
          <w:rFonts w:cs="Times New Roman"/>
          <w:szCs w:val="24"/>
        </w:rPr>
        <w:t xml:space="preserve"> (398,7</w:t>
      </w:r>
      <w:r w:rsidR="00A743F2">
        <w:rPr>
          <w:rFonts w:cs="Times New Roman"/>
          <w:szCs w:val="24"/>
        </w:rPr>
        <w:t> </w:t>
      </w:r>
      <w:r w:rsidRPr="00C07EAF">
        <w:rPr>
          <w:rFonts w:cs="Times New Roman"/>
          <w:szCs w:val="24"/>
        </w:rPr>
        <w:t>mil.</w:t>
      </w:r>
      <w:r w:rsidR="00A743F2">
        <w:rPr>
          <w:rFonts w:cs="Times New Roman"/>
          <w:szCs w:val="24"/>
        </w:rPr>
        <w:t> eur</w:t>
      </w:r>
      <w:r w:rsidRPr="00C07EAF">
        <w:rPr>
          <w:rFonts w:cs="Times New Roman"/>
          <w:szCs w:val="24"/>
        </w:rPr>
        <w:t xml:space="preserve"> po</w:t>
      </w:r>
      <w:r w:rsidR="00A743F2">
        <w:rPr>
          <w:rFonts w:cs="Times New Roman"/>
          <w:szCs w:val="24"/>
        </w:rPr>
        <w:t> </w:t>
      </w:r>
      <w:r w:rsidRPr="00C07EAF">
        <w:rPr>
          <w:rFonts w:cs="Times New Roman"/>
          <w:szCs w:val="24"/>
        </w:rPr>
        <w:t xml:space="preserve">odrátaní predbežného financovania) bola založená na úspešnom splnení </w:t>
      </w:r>
      <w:r w:rsidRPr="00C07EAF">
        <w:rPr>
          <w:rFonts w:cs="Times New Roman"/>
          <w:b/>
          <w:szCs w:val="24"/>
        </w:rPr>
        <w:t>14 míľnikov</w:t>
      </w:r>
      <w:r w:rsidRPr="00C07EAF">
        <w:rPr>
          <w:rFonts w:cs="Times New Roman"/>
          <w:szCs w:val="24"/>
        </w:rPr>
        <w:t xml:space="preserve">. Tieto míľniky sa týkajú </w:t>
      </w:r>
      <w:r w:rsidRPr="00C07EAF">
        <w:rPr>
          <w:rFonts w:cs="Times New Roman"/>
          <w:b/>
          <w:szCs w:val="24"/>
        </w:rPr>
        <w:t>reformy justície, oblasti vysokoškolského vzdelávania, výskumu a</w:t>
      </w:r>
      <w:r w:rsidR="00A743F2">
        <w:rPr>
          <w:rFonts w:cs="Times New Roman"/>
          <w:b/>
          <w:szCs w:val="24"/>
        </w:rPr>
        <w:t> </w:t>
      </w:r>
      <w:r w:rsidRPr="00C07EAF">
        <w:rPr>
          <w:rFonts w:cs="Times New Roman"/>
          <w:b/>
          <w:szCs w:val="24"/>
        </w:rPr>
        <w:t>vzdelávania, fiškálneho rámca, energetiky, udržateľnej mobility, boja proti korupcii a</w:t>
      </w:r>
      <w:r w:rsidR="00A743F2">
        <w:rPr>
          <w:rFonts w:cs="Times New Roman"/>
          <w:b/>
          <w:szCs w:val="24"/>
        </w:rPr>
        <w:t> </w:t>
      </w:r>
      <w:r w:rsidRPr="00C07EAF">
        <w:rPr>
          <w:rFonts w:cs="Times New Roman"/>
          <w:b/>
          <w:szCs w:val="24"/>
        </w:rPr>
        <w:t>digitalizácie verejného sektora, ako aj systému auditu a kontroly Slovenska na</w:t>
      </w:r>
      <w:r w:rsidR="00A743F2">
        <w:rPr>
          <w:rFonts w:cs="Times New Roman"/>
          <w:b/>
          <w:szCs w:val="24"/>
        </w:rPr>
        <w:t> </w:t>
      </w:r>
      <w:r w:rsidRPr="00C07EAF">
        <w:rPr>
          <w:rFonts w:cs="Times New Roman"/>
          <w:b/>
          <w:szCs w:val="24"/>
        </w:rPr>
        <w:t>vykonávanie Mechanizmu na podporu obnovy a odolnosti</w:t>
      </w:r>
      <w:r w:rsidRPr="00C07EAF">
        <w:rPr>
          <w:rFonts w:cs="Times New Roman"/>
          <w:szCs w:val="24"/>
        </w:rPr>
        <w:t>.</w:t>
      </w:r>
    </w:p>
    <w:p w14:paraId="7C451573" w14:textId="77777777" w:rsidR="00A743F2" w:rsidRDefault="00A743F2" w:rsidP="00AC6002">
      <w:pPr>
        <w:spacing w:line="240" w:lineRule="auto"/>
        <w:jc w:val="both"/>
        <w:rPr>
          <w:rFonts w:cs="Times New Roman"/>
          <w:b/>
          <w:szCs w:val="24"/>
        </w:rPr>
      </w:pPr>
    </w:p>
    <w:p w14:paraId="46AAE949" w14:textId="638EF04C" w:rsidR="00A4283A" w:rsidRPr="00C07EAF" w:rsidRDefault="00A4283A" w:rsidP="00AC6002">
      <w:pPr>
        <w:spacing w:line="240" w:lineRule="auto"/>
        <w:jc w:val="both"/>
        <w:rPr>
          <w:rFonts w:cs="Times New Roman"/>
          <w:szCs w:val="24"/>
        </w:rPr>
      </w:pPr>
      <w:r w:rsidRPr="00C07EAF">
        <w:rPr>
          <w:rFonts w:cs="Times New Roman"/>
          <w:b/>
          <w:szCs w:val="24"/>
        </w:rPr>
        <w:t>Druhá žiadosť o platbu</w:t>
      </w:r>
      <w:r w:rsidRPr="00C07EAF">
        <w:rPr>
          <w:rFonts w:cs="Times New Roman"/>
          <w:szCs w:val="24"/>
        </w:rPr>
        <w:t xml:space="preserve"> v celkovej výške </w:t>
      </w:r>
      <w:r w:rsidRPr="00C07EAF">
        <w:rPr>
          <w:rFonts w:cs="Times New Roman"/>
          <w:b/>
          <w:szCs w:val="24"/>
        </w:rPr>
        <w:t>814 715</w:t>
      </w:r>
      <w:r w:rsidR="00A743F2">
        <w:rPr>
          <w:rFonts w:cs="Times New Roman"/>
          <w:b/>
          <w:szCs w:val="24"/>
        </w:rPr>
        <w:t> </w:t>
      </w:r>
      <w:r w:rsidRPr="00C07EAF">
        <w:rPr>
          <w:rFonts w:cs="Times New Roman"/>
          <w:b/>
          <w:szCs w:val="24"/>
        </w:rPr>
        <w:t>000</w:t>
      </w:r>
      <w:r w:rsidR="00A743F2">
        <w:rPr>
          <w:rFonts w:cs="Times New Roman"/>
          <w:b/>
          <w:szCs w:val="24"/>
        </w:rPr>
        <w:t> </w:t>
      </w:r>
      <w:r w:rsidRPr="00C07EAF">
        <w:rPr>
          <w:rFonts w:cs="Times New Roman"/>
          <w:b/>
          <w:szCs w:val="24"/>
        </w:rPr>
        <w:t>eur</w:t>
      </w:r>
      <w:r w:rsidRPr="00C07EAF">
        <w:rPr>
          <w:rFonts w:cs="Times New Roman"/>
          <w:szCs w:val="24"/>
        </w:rPr>
        <w:t xml:space="preserve"> (708,8</w:t>
      </w:r>
      <w:r w:rsidR="00A743F2">
        <w:rPr>
          <w:rFonts w:cs="Times New Roman"/>
          <w:szCs w:val="24"/>
        </w:rPr>
        <w:t> </w:t>
      </w:r>
      <w:r w:rsidRPr="00C07EAF">
        <w:rPr>
          <w:rFonts w:cs="Times New Roman"/>
          <w:szCs w:val="24"/>
        </w:rPr>
        <w:t>mil.</w:t>
      </w:r>
      <w:r w:rsidR="00A743F2">
        <w:rPr>
          <w:rFonts w:cs="Times New Roman"/>
          <w:szCs w:val="24"/>
        </w:rPr>
        <w:t> </w:t>
      </w:r>
      <w:r w:rsidRPr="00C07EAF">
        <w:rPr>
          <w:rFonts w:cs="Times New Roman"/>
          <w:szCs w:val="24"/>
        </w:rPr>
        <w:t>eur po</w:t>
      </w:r>
      <w:r w:rsidR="00A743F2">
        <w:rPr>
          <w:rFonts w:cs="Times New Roman"/>
          <w:szCs w:val="24"/>
        </w:rPr>
        <w:t> </w:t>
      </w:r>
      <w:r w:rsidRPr="00C07EAF">
        <w:rPr>
          <w:rFonts w:cs="Times New Roman"/>
          <w:szCs w:val="24"/>
        </w:rPr>
        <w:t xml:space="preserve">odrátaní predbežného financovania) bola vyplatená </w:t>
      </w:r>
      <w:r>
        <w:rPr>
          <w:rFonts w:cs="Times New Roman"/>
          <w:szCs w:val="24"/>
        </w:rPr>
        <w:t>Slovenskej republike</w:t>
      </w:r>
      <w:r w:rsidRPr="00C07EAF">
        <w:rPr>
          <w:rFonts w:cs="Times New Roman"/>
          <w:szCs w:val="24"/>
        </w:rPr>
        <w:t xml:space="preserve"> v marci 2023. Druhá žiadosť o platbu bola zložená zo </w:t>
      </w:r>
      <w:r w:rsidRPr="00C07EAF">
        <w:rPr>
          <w:rFonts w:cs="Times New Roman"/>
          <w:b/>
          <w:szCs w:val="24"/>
        </w:rPr>
        <w:t>16 míľnikov a cieľov</w:t>
      </w:r>
      <w:r w:rsidRPr="00C07EAF">
        <w:rPr>
          <w:rFonts w:cs="Times New Roman"/>
          <w:szCs w:val="24"/>
        </w:rPr>
        <w:t xml:space="preserve">, z ktorých ako kľúčové sa javia </w:t>
      </w:r>
      <w:r w:rsidRPr="00C07EAF">
        <w:rPr>
          <w:rFonts w:cs="Times New Roman"/>
          <w:b/>
          <w:szCs w:val="24"/>
        </w:rPr>
        <w:t>optimalizácia siete nemocníc, novela zákona o odpadoch, reforma dohľadu nad</w:t>
      </w:r>
      <w:r w:rsidR="00A743F2">
        <w:rPr>
          <w:rFonts w:cs="Times New Roman"/>
          <w:b/>
          <w:szCs w:val="24"/>
        </w:rPr>
        <w:t> </w:t>
      </w:r>
      <w:r w:rsidRPr="00C07EAF">
        <w:rPr>
          <w:rFonts w:cs="Times New Roman"/>
          <w:b/>
          <w:szCs w:val="24"/>
        </w:rPr>
        <w:t>sociálnou starostlivosťou, adaptácia regiónov na klimatickú zmenu, či reforma riadenia a podpory výskumu, vývoja a inovácií</w:t>
      </w:r>
      <w:r w:rsidRPr="00C07EAF">
        <w:rPr>
          <w:rFonts w:cs="Times New Roman"/>
          <w:szCs w:val="24"/>
        </w:rPr>
        <w:t xml:space="preserve">.  </w:t>
      </w:r>
    </w:p>
    <w:p w14:paraId="25C4604D" w14:textId="77777777" w:rsidR="00A4283A" w:rsidRPr="00C07EAF" w:rsidRDefault="00A4283A" w:rsidP="00AC6002">
      <w:pPr>
        <w:spacing w:line="240" w:lineRule="auto"/>
        <w:jc w:val="both"/>
        <w:rPr>
          <w:rFonts w:cs="Times New Roman"/>
          <w:szCs w:val="24"/>
        </w:rPr>
      </w:pPr>
    </w:p>
    <w:p w14:paraId="79AF2816" w14:textId="5215DC98" w:rsidR="00A4283A" w:rsidRPr="00D026D9" w:rsidRDefault="00A4283A" w:rsidP="00AC6002">
      <w:pPr>
        <w:spacing w:line="240" w:lineRule="auto"/>
        <w:jc w:val="both"/>
        <w:rPr>
          <w:rFonts w:cs="Times New Roman"/>
          <w:b/>
          <w:bCs/>
          <w:szCs w:val="24"/>
        </w:rPr>
      </w:pPr>
      <w:r w:rsidRPr="00C07EAF">
        <w:rPr>
          <w:rFonts w:cs="Times New Roman"/>
          <w:b/>
          <w:bCs/>
          <w:szCs w:val="24"/>
        </w:rPr>
        <w:t>Tretia žiadosť o platbu</w:t>
      </w:r>
      <w:r w:rsidRPr="00C07EAF">
        <w:rPr>
          <w:rFonts w:cs="Times New Roman"/>
          <w:szCs w:val="24"/>
        </w:rPr>
        <w:t xml:space="preserve"> v celkovej výške </w:t>
      </w:r>
      <w:r w:rsidRPr="00C07EAF">
        <w:rPr>
          <w:rFonts w:cs="Times New Roman"/>
          <w:b/>
          <w:bCs/>
          <w:szCs w:val="24"/>
        </w:rPr>
        <w:t>814 715</w:t>
      </w:r>
      <w:r w:rsidR="0023065C">
        <w:rPr>
          <w:rFonts w:cs="Times New Roman"/>
          <w:b/>
          <w:bCs/>
          <w:szCs w:val="24"/>
        </w:rPr>
        <w:t> </w:t>
      </w:r>
      <w:r w:rsidRPr="00C07EAF">
        <w:rPr>
          <w:rFonts w:cs="Times New Roman"/>
          <w:b/>
          <w:bCs/>
          <w:szCs w:val="24"/>
        </w:rPr>
        <w:t>000</w:t>
      </w:r>
      <w:r w:rsidR="0023065C">
        <w:rPr>
          <w:rFonts w:cs="Times New Roman"/>
          <w:b/>
          <w:bCs/>
          <w:szCs w:val="24"/>
        </w:rPr>
        <w:t> </w:t>
      </w:r>
      <w:r w:rsidRPr="00C07EAF">
        <w:rPr>
          <w:rFonts w:cs="Times New Roman"/>
          <w:b/>
          <w:bCs/>
          <w:szCs w:val="24"/>
        </w:rPr>
        <w:t>eur</w:t>
      </w:r>
      <w:r w:rsidRPr="00C07EAF">
        <w:rPr>
          <w:rFonts w:cs="Times New Roman"/>
          <w:szCs w:val="24"/>
        </w:rPr>
        <w:t xml:space="preserve"> (662,4</w:t>
      </w:r>
      <w:r w:rsidR="0023065C">
        <w:rPr>
          <w:rFonts w:cs="Times New Roman"/>
          <w:szCs w:val="24"/>
        </w:rPr>
        <w:t> </w:t>
      </w:r>
      <w:r w:rsidRPr="00C07EAF">
        <w:rPr>
          <w:rFonts w:cs="Times New Roman"/>
          <w:szCs w:val="24"/>
        </w:rPr>
        <w:t>mil.</w:t>
      </w:r>
      <w:r w:rsidR="0023065C">
        <w:rPr>
          <w:rFonts w:cs="Times New Roman"/>
          <w:szCs w:val="24"/>
        </w:rPr>
        <w:t> </w:t>
      </w:r>
      <w:r w:rsidRPr="00C07EAF">
        <w:rPr>
          <w:rFonts w:cs="Times New Roman"/>
          <w:szCs w:val="24"/>
        </w:rPr>
        <w:t>eur po</w:t>
      </w:r>
      <w:r w:rsidR="0023065C">
        <w:rPr>
          <w:rFonts w:cs="Times New Roman"/>
          <w:szCs w:val="24"/>
        </w:rPr>
        <w:t> </w:t>
      </w:r>
      <w:r w:rsidRPr="00C07EAF">
        <w:rPr>
          <w:rFonts w:cs="Times New Roman"/>
          <w:szCs w:val="24"/>
        </w:rPr>
        <w:t>odrátaní predbežného financovania) bola vyplatená Slovensk</w:t>
      </w:r>
      <w:r>
        <w:rPr>
          <w:rFonts w:cs="Times New Roman"/>
          <w:szCs w:val="24"/>
        </w:rPr>
        <w:t>ej republike</w:t>
      </w:r>
      <w:r w:rsidRPr="00C07EAF">
        <w:rPr>
          <w:rFonts w:cs="Times New Roman"/>
          <w:szCs w:val="24"/>
        </w:rPr>
        <w:t xml:space="preserve"> v decembri 2023. Tretia žiadosť o platbu bola zložená z </w:t>
      </w:r>
      <w:r w:rsidRPr="00C07EAF">
        <w:rPr>
          <w:rFonts w:cs="Times New Roman"/>
          <w:b/>
          <w:bCs/>
          <w:szCs w:val="24"/>
        </w:rPr>
        <w:t>27 míľnikov a cieľov</w:t>
      </w:r>
      <w:r w:rsidRPr="00C07EAF">
        <w:rPr>
          <w:rFonts w:cs="Times New Roman"/>
          <w:szCs w:val="24"/>
        </w:rPr>
        <w:t xml:space="preserve"> týkajúcich sa rôznorodých oblastí, od</w:t>
      </w:r>
      <w:r w:rsidR="0023065C">
        <w:rPr>
          <w:rFonts w:cs="Times New Roman"/>
          <w:szCs w:val="24"/>
        </w:rPr>
        <w:t> </w:t>
      </w:r>
      <w:r w:rsidRPr="00C07EAF">
        <w:rPr>
          <w:rFonts w:cs="Times New Roman"/>
          <w:b/>
          <w:bCs/>
          <w:szCs w:val="24"/>
        </w:rPr>
        <w:t>udržateľných opatrení</w:t>
      </w:r>
      <w:r w:rsidRPr="00C07EAF">
        <w:rPr>
          <w:rFonts w:cs="Times New Roman"/>
          <w:szCs w:val="24"/>
        </w:rPr>
        <w:t xml:space="preserve"> súvisiacich s obnoviteľnými</w:t>
      </w:r>
      <w:r w:rsidRPr="00D026D9">
        <w:rPr>
          <w:rFonts w:cs="Times New Roman"/>
          <w:szCs w:val="24"/>
        </w:rPr>
        <w:t xml:space="preserve"> zdrojmi energie, obnovy budov, dekarbonizácie priemyslu, či udržateľnej dopravy. V rámci </w:t>
      </w:r>
      <w:r w:rsidRPr="00D026D9">
        <w:rPr>
          <w:rFonts w:cs="Times New Roman"/>
          <w:b/>
          <w:bCs/>
          <w:szCs w:val="24"/>
        </w:rPr>
        <w:t>oblasti vzdelávania</w:t>
      </w:r>
      <w:r w:rsidRPr="00D026D9">
        <w:rPr>
          <w:rFonts w:cs="Times New Roman"/>
          <w:szCs w:val="24"/>
        </w:rPr>
        <w:t xml:space="preserve"> sa podporila dostupnosť, rozvoj a kvalita predprimárneho a inkluzívneho vzdelávania a začala sa reforma vysokých škôl. Tretia žiadosť obsahuje aj viacero opatrení pre efektívnejšie riadenie a</w:t>
      </w:r>
      <w:r w:rsidR="0023065C">
        <w:rPr>
          <w:rFonts w:cs="Times New Roman"/>
          <w:szCs w:val="24"/>
        </w:rPr>
        <w:t> </w:t>
      </w:r>
      <w:r w:rsidRPr="00D026D9">
        <w:rPr>
          <w:rFonts w:cs="Times New Roman"/>
          <w:szCs w:val="24"/>
        </w:rPr>
        <w:t xml:space="preserve">posilnenie financovania </w:t>
      </w:r>
      <w:r w:rsidRPr="00D026D9">
        <w:rPr>
          <w:rFonts w:cs="Times New Roman"/>
          <w:b/>
          <w:bCs/>
          <w:szCs w:val="24"/>
        </w:rPr>
        <w:t xml:space="preserve">vedy, výskumu, inovácií. </w:t>
      </w:r>
      <w:r w:rsidRPr="00D026D9">
        <w:rPr>
          <w:rFonts w:cs="Times New Roman"/>
          <w:szCs w:val="24"/>
        </w:rPr>
        <w:t>Ďalšiu oblasť tvoria</w:t>
      </w:r>
      <w:r w:rsidRPr="00D026D9">
        <w:rPr>
          <w:rFonts w:cs="Times New Roman"/>
          <w:b/>
          <w:bCs/>
          <w:szCs w:val="24"/>
        </w:rPr>
        <w:t xml:space="preserve"> </w:t>
      </w:r>
      <w:r w:rsidRPr="00D026D9">
        <w:rPr>
          <w:rFonts w:cs="Times New Roman"/>
          <w:szCs w:val="24"/>
        </w:rPr>
        <w:t xml:space="preserve">opatrenia </w:t>
      </w:r>
      <w:r w:rsidRPr="00D026D9">
        <w:rPr>
          <w:rFonts w:cs="Times New Roman"/>
          <w:b/>
          <w:bCs/>
          <w:szCs w:val="24"/>
        </w:rPr>
        <w:t>na</w:t>
      </w:r>
      <w:r w:rsidR="0023065C">
        <w:rPr>
          <w:rFonts w:cs="Times New Roman"/>
          <w:b/>
          <w:bCs/>
          <w:szCs w:val="24"/>
        </w:rPr>
        <w:t> </w:t>
      </w:r>
      <w:r w:rsidRPr="00D026D9">
        <w:rPr>
          <w:rFonts w:cs="Times New Roman"/>
          <w:b/>
          <w:bCs/>
          <w:szCs w:val="24"/>
        </w:rPr>
        <w:t xml:space="preserve">boj proti korupcii a praniu špinavých peňazí </w:t>
      </w:r>
      <w:r w:rsidRPr="00D026D9">
        <w:rPr>
          <w:rFonts w:cs="Times New Roman"/>
          <w:szCs w:val="24"/>
        </w:rPr>
        <w:t>vrátane obnovy vozového parku pre policajný zbor a </w:t>
      </w:r>
      <w:r w:rsidRPr="00D026D9">
        <w:rPr>
          <w:rFonts w:cs="Times New Roman"/>
          <w:b/>
          <w:bCs/>
          <w:szCs w:val="24"/>
        </w:rPr>
        <w:t>opatrenia na podporu digitalizácie spoločnosti a ekonomiky.</w:t>
      </w:r>
    </w:p>
    <w:p w14:paraId="4FA1C416" w14:textId="2BBCA722" w:rsidR="00A4283A" w:rsidRPr="00D026D9" w:rsidRDefault="00A4283A" w:rsidP="00AC6002">
      <w:pPr>
        <w:spacing w:line="240" w:lineRule="auto"/>
        <w:jc w:val="both"/>
        <w:rPr>
          <w:rFonts w:cs="Times New Roman"/>
          <w:b/>
          <w:bCs/>
          <w:szCs w:val="24"/>
        </w:rPr>
      </w:pPr>
    </w:p>
    <w:p w14:paraId="0BEC4FA5" w14:textId="5D079549" w:rsidR="00A4283A" w:rsidRPr="00C07EAF" w:rsidRDefault="00A4283A" w:rsidP="00AC6002">
      <w:pPr>
        <w:spacing w:line="240" w:lineRule="auto"/>
        <w:jc w:val="both"/>
        <w:rPr>
          <w:rFonts w:cs="Times New Roman"/>
          <w:b/>
          <w:bCs/>
          <w:szCs w:val="24"/>
        </w:rPr>
      </w:pPr>
      <w:r w:rsidRPr="00C07EAF">
        <w:rPr>
          <w:rFonts w:cs="Times New Roman"/>
          <w:b/>
          <w:bCs/>
          <w:szCs w:val="24"/>
        </w:rPr>
        <w:t>Žiadosť o štvrtú platbu</w:t>
      </w:r>
      <w:r w:rsidRPr="00C07EAF">
        <w:rPr>
          <w:rFonts w:cs="Times New Roman"/>
          <w:szCs w:val="24"/>
        </w:rPr>
        <w:t xml:space="preserve"> v celkovej výške </w:t>
      </w:r>
      <w:r w:rsidRPr="00C07EAF">
        <w:rPr>
          <w:rFonts w:cs="Times New Roman"/>
          <w:b/>
          <w:bCs/>
          <w:szCs w:val="24"/>
        </w:rPr>
        <w:t>923 828</w:t>
      </w:r>
      <w:r w:rsidR="0023065C">
        <w:rPr>
          <w:rFonts w:cs="Times New Roman"/>
          <w:b/>
          <w:bCs/>
          <w:szCs w:val="24"/>
        </w:rPr>
        <w:t> </w:t>
      </w:r>
      <w:r w:rsidRPr="00C07EAF">
        <w:rPr>
          <w:rFonts w:cs="Times New Roman"/>
          <w:b/>
          <w:bCs/>
          <w:szCs w:val="24"/>
        </w:rPr>
        <w:t>000</w:t>
      </w:r>
      <w:r w:rsidR="0023065C">
        <w:rPr>
          <w:rFonts w:cs="Times New Roman"/>
          <w:b/>
          <w:bCs/>
          <w:szCs w:val="24"/>
        </w:rPr>
        <w:t> </w:t>
      </w:r>
      <w:r w:rsidRPr="00C07EAF">
        <w:rPr>
          <w:rFonts w:cs="Times New Roman"/>
          <w:b/>
          <w:bCs/>
          <w:szCs w:val="24"/>
        </w:rPr>
        <w:t>eur</w:t>
      </w:r>
      <w:r w:rsidRPr="00C07EAF">
        <w:rPr>
          <w:rFonts w:cs="Times New Roman"/>
          <w:szCs w:val="24"/>
        </w:rPr>
        <w:t xml:space="preserve"> (798,7</w:t>
      </w:r>
      <w:r w:rsidR="0023065C">
        <w:rPr>
          <w:rFonts w:cs="Times New Roman"/>
          <w:szCs w:val="24"/>
        </w:rPr>
        <w:t> </w:t>
      </w:r>
      <w:r w:rsidRPr="00C07EAF">
        <w:rPr>
          <w:rFonts w:cs="Times New Roman"/>
          <w:szCs w:val="24"/>
        </w:rPr>
        <w:t>mil.</w:t>
      </w:r>
      <w:r w:rsidR="0023065C">
        <w:rPr>
          <w:rFonts w:cs="Times New Roman"/>
          <w:szCs w:val="24"/>
        </w:rPr>
        <w:t> </w:t>
      </w:r>
      <w:r w:rsidRPr="00C07EAF">
        <w:rPr>
          <w:rFonts w:cs="Times New Roman"/>
          <w:szCs w:val="24"/>
        </w:rPr>
        <w:t>eur po</w:t>
      </w:r>
      <w:r w:rsidR="0023065C">
        <w:rPr>
          <w:rFonts w:cs="Times New Roman"/>
          <w:szCs w:val="24"/>
        </w:rPr>
        <w:t> </w:t>
      </w:r>
      <w:r w:rsidRPr="00C07EAF">
        <w:rPr>
          <w:rFonts w:cs="Times New Roman"/>
          <w:szCs w:val="24"/>
        </w:rPr>
        <w:t>odrátaní predbežného financovania) bola Európskej komisii predložená v decembri 2023 a predbežne pozitívne vyhodnotená v júli 2024. Štvrtá žiadosť o platbu vyplatená Slovensk</w:t>
      </w:r>
      <w:r>
        <w:rPr>
          <w:rFonts w:cs="Times New Roman"/>
          <w:szCs w:val="24"/>
        </w:rPr>
        <w:t>ej republike</w:t>
      </w:r>
      <w:r w:rsidRPr="00C07EAF">
        <w:rPr>
          <w:rFonts w:cs="Times New Roman"/>
          <w:szCs w:val="24"/>
        </w:rPr>
        <w:t xml:space="preserve"> v októbri 2024 bola zložená z </w:t>
      </w:r>
      <w:r w:rsidRPr="00C07EAF">
        <w:rPr>
          <w:rFonts w:cs="Times New Roman"/>
          <w:b/>
          <w:bCs/>
          <w:szCs w:val="24"/>
        </w:rPr>
        <w:t>15 míľnikov a cieľov</w:t>
      </w:r>
      <w:r w:rsidRPr="00C07EAF">
        <w:rPr>
          <w:rFonts w:cs="Times New Roman"/>
          <w:szCs w:val="24"/>
        </w:rPr>
        <w:t xml:space="preserve"> predovšetkým v </w:t>
      </w:r>
      <w:r w:rsidRPr="00C07EAF">
        <w:rPr>
          <w:rFonts w:cs="Times New Roman"/>
          <w:b/>
          <w:bCs/>
          <w:szCs w:val="24"/>
        </w:rPr>
        <w:t xml:space="preserve">oblasti školstva </w:t>
      </w:r>
      <w:r w:rsidRPr="00C07EAF">
        <w:rPr>
          <w:rFonts w:cs="Times New Roman"/>
          <w:b/>
          <w:bCs/>
          <w:szCs w:val="24"/>
        </w:rPr>
        <w:lastRenderedPageBreak/>
        <w:t>a vzdelávania, sociálnej a zdravotnej starostlivosti, opatrení na zlepšenie podnikateľského prostredia, reformy justície a boja proti korupcii a praniu špinavých peňazí.</w:t>
      </w:r>
    </w:p>
    <w:p w14:paraId="03B823A5" w14:textId="77777777" w:rsidR="00A4283A" w:rsidRPr="00C07EAF" w:rsidRDefault="00A4283A" w:rsidP="00AC6002">
      <w:pPr>
        <w:spacing w:line="240" w:lineRule="auto"/>
        <w:jc w:val="both"/>
        <w:rPr>
          <w:rFonts w:cs="Times New Roman"/>
          <w:szCs w:val="24"/>
        </w:rPr>
      </w:pPr>
    </w:p>
    <w:p w14:paraId="4A3C14FB" w14:textId="56501C0A" w:rsidR="00A4283A" w:rsidRPr="00C07EAF" w:rsidRDefault="00A4283A" w:rsidP="00AC6002">
      <w:pPr>
        <w:spacing w:line="240" w:lineRule="auto"/>
        <w:jc w:val="both"/>
        <w:rPr>
          <w:rFonts w:cs="Times New Roman"/>
          <w:szCs w:val="24"/>
        </w:rPr>
      </w:pPr>
      <w:r w:rsidRPr="00C07EAF">
        <w:rPr>
          <w:rFonts w:cs="Times New Roman"/>
          <w:b/>
          <w:bCs/>
          <w:szCs w:val="24"/>
        </w:rPr>
        <w:t>Piatu žiadosť o platbu</w:t>
      </w:r>
      <w:r w:rsidRPr="00C07EAF">
        <w:rPr>
          <w:rFonts w:cs="Times New Roman"/>
          <w:szCs w:val="24"/>
        </w:rPr>
        <w:t xml:space="preserve"> v celkovej výške </w:t>
      </w:r>
      <w:r w:rsidRPr="00C07EAF">
        <w:rPr>
          <w:rFonts w:cs="Times New Roman"/>
          <w:b/>
          <w:bCs/>
          <w:szCs w:val="24"/>
        </w:rPr>
        <w:t>570</w:t>
      </w:r>
      <w:r w:rsidR="0023065C">
        <w:rPr>
          <w:rFonts w:cs="Times New Roman"/>
          <w:b/>
          <w:bCs/>
          <w:szCs w:val="24"/>
        </w:rPr>
        <w:t> </w:t>
      </w:r>
      <w:r w:rsidRPr="00C07EAF">
        <w:rPr>
          <w:rFonts w:cs="Times New Roman"/>
          <w:b/>
          <w:bCs/>
          <w:szCs w:val="24"/>
        </w:rPr>
        <w:t>388</w:t>
      </w:r>
      <w:r w:rsidR="0023065C">
        <w:rPr>
          <w:rFonts w:cs="Times New Roman"/>
          <w:b/>
          <w:bCs/>
          <w:szCs w:val="24"/>
        </w:rPr>
        <w:t> </w:t>
      </w:r>
      <w:r w:rsidRPr="00C07EAF">
        <w:rPr>
          <w:rFonts w:cs="Times New Roman"/>
          <w:b/>
          <w:bCs/>
          <w:szCs w:val="24"/>
        </w:rPr>
        <w:t>736</w:t>
      </w:r>
      <w:r w:rsidR="0023065C">
        <w:rPr>
          <w:rFonts w:cs="Times New Roman"/>
          <w:b/>
          <w:bCs/>
          <w:szCs w:val="24"/>
        </w:rPr>
        <w:t> </w:t>
      </w:r>
      <w:r w:rsidRPr="00C07EAF">
        <w:rPr>
          <w:rFonts w:cs="Times New Roman"/>
          <w:b/>
          <w:bCs/>
          <w:szCs w:val="24"/>
        </w:rPr>
        <w:t>eur</w:t>
      </w:r>
      <w:r w:rsidRPr="00C07EAF">
        <w:rPr>
          <w:rFonts w:cs="Times New Roman"/>
          <w:szCs w:val="24"/>
        </w:rPr>
        <w:t xml:space="preserve"> (492</w:t>
      </w:r>
      <w:r w:rsidR="0023065C">
        <w:rPr>
          <w:rFonts w:cs="Times New Roman"/>
          <w:szCs w:val="24"/>
        </w:rPr>
        <w:t> </w:t>
      </w:r>
      <w:r w:rsidRPr="00C07EAF">
        <w:rPr>
          <w:rFonts w:cs="Times New Roman"/>
          <w:szCs w:val="24"/>
        </w:rPr>
        <w:t>mil.</w:t>
      </w:r>
      <w:r w:rsidR="0023065C">
        <w:rPr>
          <w:rFonts w:cs="Times New Roman"/>
          <w:szCs w:val="24"/>
        </w:rPr>
        <w:t> </w:t>
      </w:r>
      <w:r w:rsidRPr="00C07EAF">
        <w:rPr>
          <w:rFonts w:cs="Times New Roman"/>
          <w:szCs w:val="24"/>
        </w:rPr>
        <w:t>eur po</w:t>
      </w:r>
      <w:r w:rsidR="0023065C">
        <w:rPr>
          <w:rFonts w:cs="Times New Roman"/>
          <w:szCs w:val="24"/>
        </w:rPr>
        <w:t> </w:t>
      </w:r>
      <w:r w:rsidRPr="00C07EAF">
        <w:rPr>
          <w:rFonts w:cs="Times New Roman"/>
          <w:szCs w:val="24"/>
        </w:rPr>
        <w:t>odrátaní predbežného financovania) Slovens</w:t>
      </w:r>
      <w:r>
        <w:rPr>
          <w:rFonts w:cs="Times New Roman"/>
          <w:szCs w:val="24"/>
        </w:rPr>
        <w:t>ká republika</w:t>
      </w:r>
      <w:r w:rsidRPr="00C07EAF">
        <w:rPr>
          <w:rFonts w:cs="Times New Roman"/>
          <w:szCs w:val="24"/>
        </w:rPr>
        <w:t xml:space="preserve"> obdržal</w:t>
      </w:r>
      <w:r>
        <w:rPr>
          <w:rFonts w:cs="Times New Roman"/>
          <w:szCs w:val="24"/>
        </w:rPr>
        <w:t>a</w:t>
      </w:r>
      <w:r w:rsidRPr="00C07EAF">
        <w:rPr>
          <w:rFonts w:cs="Times New Roman"/>
          <w:szCs w:val="24"/>
        </w:rPr>
        <w:t xml:space="preserve"> v júli 2025. Piata žiadosť o platbu je zložená z </w:t>
      </w:r>
      <w:r w:rsidRPr="00C07EAF">
        <w:rPr>
          <w:rFonts w:cs="Times New Roman"/>
          <w:b/>
          <w:bCs/>
          <w:szCs w:val="24"/>
        </w:rPr>
        <w:t>21 míľnikov a cieľov</w:t>
      </w:r>
      <w:r w:rsidRPr="00C07EAF">
        <w:rPr>
          <w:rFonts w:cs="Times New Roman"/>
          <w:szCs w:val="24"/>
        </w:rPr>
        <w:t xml:space="preserve">, predovšetkým v oblasti </w:t>
      </w:r>
      <w:r w:rsidRPr="00C07EAF">
        <w:rPr>
          <w:rFonts w:cs="Times New Roman"/>
          <w:b/>
          <w:bCs/>
          <w:szCs w:val="24"/>
        </w:rPr>
        <w:t>obnovy budov, udržateľnej dopravy, dekarbonizácie priemyslu, adaptáciu na zmenu klímy, vzdelávania a riadenia vedy výskumu a inovácií, dostupnosti zdravotnej starostlivosti, boja proti korupcii a digitalizácie.</w:t>
      </w:r>
      <w:r w:rsidRPr="00C07EAF">
        <w:rPr>
          <w:rFonts w:cs="Times New Roman"/>
          <w:szCs w:val="24"/>
        </w:rPr>
        <w:t xml:space="preserve"> Piata žiadosť obsahuje aj zverejnenie Akčného plánu pre vodík a uvedenie Energetického dátového centra do prevádzky, ktoré sú súčasťou kapitoly REPowerEU.</w:t>
      </w:r>
    </w:p>
    <w:p w14:paraId="7DFDC92E" w14:textId="77777777" w:rsidR="00A4283A" w:rsidRPr="00C07EAF" w:rsidRDefault="00A4283A" w:rsidP="00AC6002">
      <w:pPr>
        <w:spacing w:line="240" w:lineRule="auto"/>
        <w:jc w:val="both"/>
        <w:rPr>
          <w:rFonts w:cs="Times New Roman"/>
          <w:szCs w:val="24"/>
        </w:rPr>
      </w:pPr>
    </w:p>
    <w:p w14:paraId="0C1BEE6A" w14:textId="338B53B2" w:rsidR="00A4283A" w:rsidRPr="00C07EAF" w:rsidRDefault="00A4283A" w:rsidP="00AC6002">
      <w:pPr>
        <w:spacing w:line="240" w:lineRule="auto"/>
        <w:jc w:val="both"/>
        <w:rPr>
          <w:rFonts w:cs="Times New Roman"/>
          <w:szCs w:val="24"/>
        </w:rPr>
      </w:pPr>
      <w:r w:rsidRPr="00C07EAF">
        <w:rPr>
          <w:rFonts w:cs="Times New Roman"/>
          <w:b/>
          <w:bCs/>
          <w:szCs w:val="24"/>
        </w:rPr>
        <w:t xml:space="preserve">Žiadosť o šiestu platbu, </w:t>
      </w:r>
      <w:r w:rsidRPr="00C07EAF">
        <w:rPr>
          <w:rFonts w:cs="Times New Roman"/>
          <w:szCs w:val="24"/>
        </w:rPr>
        <w:t xml:space="preserve"> v celkovej výške </w:t>
      </w:r>
      <w:r w:rsidRPr="000E6651">
        <w:rPr>
          <w:rFonts w:cs="Times New Roman"/>
          <w:szCs w:val="24"/>
        </w:rPr>
        <w:t>976</w:t>
      </w:r>
      <w:r w:rsidR="0023065C">
        <w:rPr>
          <w:rFonts w:cs="Times New Roman"/>
          <w:szCs w:val="24"/>
        </w:rPr>
        <w:t> </w:t>
      </w:r>
      <w:r w:rsidRPr="000E6651">
        <w:rPr>
          <w:rFonts w:cs="Times New Roman"/>
          <w:szCs w:val="24"/>
        </w:rPr>
        <w:t>600</w:t>
      </w:r>
      <w:r w:rsidR="0023065C">
        <w:rPr>
          <w:rFonts w:cs="Times New Roman"/>
          <w:szCs w:val="24"/>
        </w:rPr>
        <w:t> </w:t>
      </w:r>
      <w:r w:rsidRPr="000E6651">
        <w:rPr>
          <w:rFonts w:cs="Times New Roman"/>
          <w:szCs w:val="24"/>
        </w:rPr>
        <w:t>254</w:t>
      </w:r>
      <w:r w:rsidR="0023065C">
        <w:rPr>
          <w:rFonts w:cs="Times New Roman"/>
          <w:szCs w:val="24"/>
        </w:rPr>
        <w:t> </w:t>
      </w:r>
      <w:r w:rsidRPr="000E6651">
        <w:rPr>
          <w:rFonts w:cs="Times New Roman"/>
          <w:szCs w:val="24"/>
        </w:rPr>
        <w:t>eur</w:t>
      </w:r>
      <w:r w:rsidRPr="00C07EAF">
        <w:rPr>
          <w:rFonts w:cs="Times New Roman"/>
          <w:szCs w:val="24"/>
        </w:rPr>
        <w:t xml:space="preserve"> (844,2</w:t>
      </w:r>
      <w:r w:rsidR="0023065C">
        <w:rPr>
          <w:rFonts w:cs="Times New Roman"/>
          <w:szCs w:val="24"/>
        </w:rPr>
        <w:t> </w:t>
      </w:r>
      <w:r w:rsidRPr="00C07EAF">
        <w:rPr>
          <w:rFonts w:cs="Times New Roman"/>
          <w:szCs w:val="24"/>
        </w:rPr>
        <w:t>mil.</w:t>
      </w:r>
      <w:r w:rsidR="0023065C">
        <w:rPr>
          <w:rFonts w:cs="Times New Roman"/>
          <w:szCs w:val="24"/>
        </w:rPr>
        <w:t> </w:t>
      </w:r>
      <w:r w:rsidRPr="00C07EAF">
        <w:rPr>
          <w:rFonts w:cs="Times New Roman"/>
          <w:szCs w:val="24"/>
        </w:rPr>
        <w:t>eur po</w:t>
      </w:r>
      <w:r w:rsidR="0023065C">
        <w:rPr>
          <w:rFonts w:cs="Times New Roman"/>
          <w:szCs w:val="24"/>
        </w:rPr>
        <w:t> </w:t>
      </w:r>
      <w:r w:rsidRPr="00C07EAF">
        <w:rPr>
          <w:rFonts w:cs="Times New Roman"/>
          <w:szCs w:val="24"/>
        </w:rPr>
        <w:t xml:space="preserve">odrátaní predbežného financovania) </w:t>
      </w:r>
      <w:r>
        <w:rPr>
          <w:rFonts w:cs="Times New Roman"/>
          <w:szCs w:val="24"/>
        </w:rPr>
        <w:t>s novou alokáciou po dopade revízie a</w:t>
      </w:r>
      <w:r w:rsidR="0023065C">
        <w:rPr>
          <w:rFonts w:cs="Times New Roman"/>
          <w:szCs w:val="24"/>
        </w:rPr>
        <w:t> </w:t>
      </w:r>
      <w:r>
        <w:rPr>
          <w:rFonts w:cs="Times New Roman"/>
          <w:szCs w:val="24"/>
        </w:rPr>
        <w:t xml:space="preserve">simplifikácie </w:t>
      </w:r>
      <w:r w:rsidRPr="000E6651">
        <w:rPr>
          <w:rFonts w:cs="Times New Roman"/>
          <w:b/>
          <w:bCs/>
          <w:szCs w:val="24"/>
        </w:rPr>
        <w:t>683</w:t>
      </w:r>
      <w:r w:rsidR="0023065C">
        <w:rPr>
          <w:rFonts w:cs="Times New Roman"/>
          <w:b/>
          <w:bCs/>
          <w:szCs w:val="24"/>
        </w:rPr>
        <w:t> </w:t>
      </w:r>
      <w:r w:rsidRPr="000E6651">
        <w:rPr>
          <w:rFonts w:cs="Times New Roman"/>
          <w:b/>
          <w:bCs/>
          <w:szCs w:val="24"/>
        </w:rPr>
        <w:t>255</w:t>
      </w:r>
      <w:r w:rsidR="0023065C">
        <w:rPr>
          <w:rFonts w:cs="Times New Roman"/>
          <w:b/>
          <w:bCs/>
          <w:szCs w:val="24"/>
        </w:rPr>
        <w:t> </w:t>
      </w:r>
      <w:r w:rsidRPr="000E6651">
        <w:rPr>
          <w:rFonts w:cs="Times New Roman"/>
          <w:b/>
          <w:bCs/>
          <w:szCs w:val="24"/>
        </w:rPr>
        <w:t>024</w:t>
      </w:r>
      <w:r w:rsidR="0023065C">
        <w:rPr>
          <w:rFonts w:cs="Times New Roman"/>
          <w:b/>
          <w:bCs/>
          <w:szCs w:val="24"/>
        </w:rPr>
        <w:t> </w:t>
      </w:r>
      <w:r w:rsidRPr="000E6651">
        <w:rPr>
          <w:rFonts w:cs="Times New Roman"/>
          <w:b/>
          <w:bCs/>
          <w:szCs w:val="24"/>
        </w:rPr>
        <w:t>eur</w:t>
      </w:r>
      <w:r>
        <w:rPr>
          <w:rFonts w:cs="Times New Roman"/>
          <w:szCs w:val="24"/>
        </w:rPr>
        <w:t xml:space="preserve"> </w:t>
      </w:r>
      <w:r w:rsidRPr="00C07EAF">
        <w:rPr>
          <w:rFonts w:cs="Times New Roman"/>
          <w:szCs w:val="24"/>
        </w:rPr>
        <w:t>(</w:t>
      </w:r>
      <w:r>
        <w:rPr>
          <w:rFonts w:cs="Times New Roman"/>
          <w:szCs w:val="24"/>
        </w:rPr>
        <w:t>590,6</w:t>
      </w:r>
      <w:r w:rsidR="0023065C">
        <w:rPr>
          <w:rFonts w:cs="Times New Roman"/>
          <w:szCs w:val="24"/>
        </w:rPr>
        <w:t> </w:t>
      </w:r>
      <w:r w:rsidRPr="00C07EAF">
        <w:rPr>
          <w:rFonts w:cs="Times New Roman"/>
          <w:szCs w:val="24"/>
        </w:rPr>
        <w:t>mil.</w:t>
      </w:r>
      <w:r w:rsidR="0023065C">
        <w:rPr>
          <w:rFonts w:cs="Times New Roman"/>
          <w:szCs w:val="24"/>
        </w:rPr>
        <w:t> </w:t>
      </w:r>
      <w:r w:rsidRPr="00C07EAF">
        <w:rPr>
          <w:rFonts w:cs="Times New Roman"/>
          <w:szCs w:val="24"/>
        </w:rPr>
        <w:t>eur po odrátaní predbežného financovania)</w:t>
      </w:r>
      <w:r w:rsidRPr="000E6651">
        <w:rPr>
          <w:rFonts w:cs="Times New Roman"/>
          <w:szCs w:val="24"/>
        </w:rPr>
        <w:t xml:space="preserve"> </w:t>
      </w:r>
      <w:r w:rsidRPr="00C07EAF">
        <w:rPr>
          <w:rFonts w:cs="Times New Roman"/>
          <w:szCs w:val="24"/>
        </w:rPr>
        <w:t xml:space="preserve">bola Európskej komisii predložená </w:t>
      </w:r>
      <w:r w:rsidRPr="00C07EAF">
        <w:rPr>
          <w:rFonts w:cs="Times New Roman"/>
          <w:b/>
          <w:bCs/>
          <w:szCs w:val="24"/>
        </w:rPr>
        <w:t>koncom júna 2025</w:t>
      </w:r>
      <w:r w:rsidRPr="00C07EAF">
        <w:rPr>
          <w:rFonts w:cs="Times New Roman"/>
          <w:szCs w:val="24"/>
        </w:rPr>
        <w:t xml:space="preserve"> a k 31.12.2025 bola v procese hodnotenia zo</w:t>
      </w:r>
      <w:r w:rsidR="0023065C">
        <w:rPr>
          <w:rFonts w:cs="Times New Roman"/>
          <w:szCs w:val="24"/>
        </w:rPr>
        <w:t> </w:t>
      </w:r>
      <w:r w:rsidRPr="00C07EAF">
        <w:rPr>
          <w:rFonts w:cs="Times New Roman"/>
          <w:szCs w:val="24"/>
        </w:rPr>
        <w:t xml:space="preserve">strany Európskej komisie. V dôsledku revízie </w:t>
      </w:r>
      <w:r w:rsidR="00E50EF7">
        <w:rPr>
          <w:rFonts w:cs="Times New Roman"/>
          <w:szCs w:val="24"/>
        </w:rPr>
        <w:t>POO</w:t>
      </w:r>
      <w:r w:rsidRPr="00C07EAF">
        <w:rPr>
          <w:rFonts w:cs="Times New Roman"/>
          <w:szCs w:val="24"/>
        </w:rPr>
        <w:t xml:space="preserve"> došlo k odstráneniu čiastkových míľnikov a</w:t>
      </w:r>
      <w:r w:rsidR="00E50EF7">
        <w:rPr>
          <w:rFonts w:cs="Times New Roman"/>
          <w:szCs w:val="24"/>
        </w:rPr>
        <w:t> </w:t>
      </w:r>
      <w:r w:rsidRPr="00C07EAF">
        <w:rPr>
          <w:rFonts w:cs="Times New Roman"/>
          <w:szCs w:val="24"/>
        </w:rPr>
        <w:t>cieľov, ako aj k presunu míľnikov a cieľov do neskorších žiadostí o platbu. Šiesta žiadosť o</w:t>
      </w:r>
      <w:r w:rsidR="0023065C">
        <w:rPr>
          <w:rFonts w:cs="Times New Roman"/>
          <w:szCs w:val="24"/>
        </w:rPr>
        <w:t> </w:t>
      </w:r>
      <w:r w:rsidRPr="00C07EAF">
        <w:rPr>
          <w:rFonts w:cs="Times New Roman"/>
          <w:szCs w:val="24"/>
        </w:rPr>
        <w:t xml:space="preserve">platbu bola po úprave zložená z </w:t>
      </w:r>
      <w:r w:rsidRPr="00C07EAF">
        <w:rPr>
          <w:rFonts w:cs="Times New Roman"/>
          <w:b/>
          <w:bCs/>
          <w:szCs w:val="24"/>
        </w:rPr>
        <w:t>19 míľnikov a cieľov</w:t>
      </w:r>
      <w:r w:rsidRPr="00C07EAF">
        <w:rPr>
          <w:rFonts w:cs="Times New Roman"/>
          <w:szCs w:val="24"/>
        </w:rPr>
        <w:t xml:space="preserve"> týkajúcich sa rôznorodých oblastí. Významnú časť tvoria investície týkajúce sa sociálnej a zdravotnej starostlivosti, zlepšenia energetickej hospodárnosti rodinných domov a obnovy verejných historických a pamiatkových chránených budov. Ďalšie míľniky a ciele sú tiež prepojené s oblasťami vzdelávania a riadenia vedy, výskumu a inovácií,  lákania a udržania talentov, zlepšenia podnikateľského prostredia, opatrení spojených s reformou justície, boja proti korupcii a digitalizácia a tiež opatrení zahrnutých do REPowerEU.</w:t>
      </w:r>
    </w:p>
    <w:p w14:paraId="2695FFFF" w14:textId="77777777" w:rsidR="00A4283A" w:rsidRPr="00C07EAF" w:rsidRDefault="00A4283A" w:rsidP="00AC6002">
      <w:pPr>
        <w:spacing w:line="240" w:lineRule="auto"/>
        <w:jc w:val="both"/>
        <w:rPr>
          <w:rFonts w:cs="Times New Roman"/>
          <w:szCs w:val="24"/>
        </w:rPr>
      </w:pPr>
    </w:p>
    <w:p w14:paraId="638AA8E9" w14:textId="035BDFF3" w:rsidR="00A4283A" w:rsidRPr="00C07EAF" w:rsidRDefault="00A4283A" w:rsidP="00AC6002">
      <w:pPr>
        <w:spacing w:line="240" w:lineRule="auto"/>
        <w:jc w:val="both"/>
        <w:rPr>
          <w:rFonts w:cs="Times New Roman"/>
          <w:szCs w:val="24"/>
        </w:rPr>
      </w:pPr>
      <w:r w:rsidRPr="00C07EAF">
        <w:rPr>
          <w:rFonts w:cs="Times New Roman"/>
          <w:b/>
          <w:bCs/>
          <w:szCs w:val="24"/>
        </w:rPr>
        <w:t>Siedm</w:t>
      </w:r>
      <w:r>
        <w:rPr>
          <w:rFonts w:cs="Times New Roman"/>
          <w:b/>
          <w:bCs/>
          <w:szCs w:val="24"/>
        </w:rPr>
        <w:t>u</w:t>
      </w:r>
      <w:r w:rsidRPr="00C07EAF">
        <w:rPr>
          <w:rFonts w:cs="Times New Roman"/>
          <w:b/>
          <w:bCs/>
          <w:szCs w:val="24"/>
        </w:rPr>
        <w:t xml:space="preserve"> žiadosť o platbu</w:t>
      </w:r>
      <w:r w:rsidRPr="00C07EAF">
        <w:rPr>
          <w:rFonts w:cs="Times New Roman"/>
          <w:szCs w:val="24"/>
        </w:rPr>
        <w:t xml:space="preserve"> v celkovej výške 693</w:t>
      </w:r>
      <w:r w:rsidR="003D7020">
        <w:rPr>
          <w:rFonts w:cs="Times New Roman"/>
          <w:szCs w:val="24"/>
        </w:rPr>
        <w:t> </w:t>
      </w:r>
      <w:r w:rsidRPr="00C07EAF">
        <w:rPr>
          <w:rFonts w:cs="Times New Roman"/>
          <w:szCs w:val="24"/>
        </w:rPr>
        <w:t>517</w:t>
      </w:r>
      <w:r w:rsidR="003D7020">
        <w:rPr>
          <w:rFonts w:cs="Times New Roman"/>
          <w:szCs w:val="24"/>
        </w:rPr>
        <w:t> </w:t>
      </w:r>
      <w:r w:rsidRPr="00C07EAF">
        <w:rPr>
          <w:rFonts w:cs="Times New Roman"/>
          <w:szCs w:val="24"/>
        </w:rPr>
        <w:t>408</w:t>
      </w:r>
      <w:r w:rsidR="003D7020">
        <w:rPr>
          <w:rFonts w:cs="Times New Roman"/>
          <w:szCs w:val="24"/>
        </w:rPr>
        <w:t> </w:t>
      </w:r>
      <w:r w:rsidRPr="00C07EAF">
        <w:rPr>
          <w:rFonts w:cs="Times New Roman"/>
          <w:szCs w:val="24"/>
        </w:rPr>
        <w:t>eur (599,5</w:t>
      </w:r>
      <w:r w:rsidR="003D7020">
        <w:rPr>
          <w:rFonts w:cs="Times New Roman"/>
          <w:szCs w:val="24"/>
        </w:rPr>
        <w:t> </w:t>
      </w:r>
      <w:r w:rsidRPr="00C07EAF">
        <w:rPr>
          <w:rFonts w:cs="Times New Roman"/>
          <w:szCs w:val="24"/>
        </w:rPr>
        <w:t>mil.</w:t>
      </w:r>
      <w:r w:rsidR="003D7020">
        <w:rPr>
          <w:rFonts w:cs="Times New Roman"/>
          <w:szCs w:val="24"/>
        </w:rPr>
        <w:t> </w:t>
      </w:r>
      <w:r w:rsidRPr="00C07EAF">
        <w:rPr>
          <w:rFonts w:cs="Times New Roman"/>
          <w:szCs w:val="24"/>
        </w:rPr>
        <w:t>eur po</w:t>
      </w:r>
      <w:r w:rsidR="003D7020">
        <w:rPr>
          <w:rFonts w:cs="Times New Roman"/>
          <w:szCs w:val="24"/>
        </w:rPr>
        <w:t> </w:t>
      </w:r>
      <w:r w:rsidRPr="00C07EAF">
        <w:rPr>
          <w:rFonts w:cs="Times New Roman"/>
          <w:szCs w:val="24"/>
        </w:rPr>
        <w:t xml:space="preserve">odrátaní predbežného financovania) </w:t>
      </w:r>
      <w:r>
        <w:rPr>
          <w:rFonts w:cs="Times New Roman"/>
          <w:szCs w:val="24"/>
        </w:rPr>
        <w:t>s novou alokáciou po dopade revízie a</w:t>
      </w:r>
      <w:r w:rsidR="006671FD">
        <w:rPr>
          <w:rFonts w:cs="Times New Roman"/>
          <w:szCs w:val="24"/>
        </w:rPr>
        <w:t> </w:t>
      </w:r>
      <w:r>
        <w:rPr>
          <w:rFonts w:cs="Times New Roman"/>
          <w:szCs w:val="24"/>
        </w:rPr>
        <w:t xml:space="preserve">simplifikácie </w:t>
      </w:r>
      <w:r w:rsidRPr="000E6651">
        <w:rPr>
          <w:rFonts w:cs="Times New Roman"/>
          <w:b/>
          <w:bCs/>
          <w:szCs w:val="24"/>
        </w:rPr>
        <w:t>761</w:t>
      </w:r>
      <w:r>
        <w:rPr>
          <w:rFonts w:cs="Times New Roman"/>
          <w:b/>
          <w:bCs/>
          <w:szCs w:val="24"/>
        </w:rPr>
        <w:t> </w:t>
      </w:r>
      <w:r w:rsidRPr="000E6651">
        <w:rPr>
          <w:rFonts w:cs="Times New Roman"/>
          <w:b/>
          <w:bCs/>
          <w:szCs w:val="24"/>
        </w:rPr>
        <w:t>212</w:t>
      </w:r>
      <w:r w:rsidR="003D7020">
        <w:rPr>
          <w:rFonts w:cs="Times New Roman"/>
          <w:b/>
          <w:bCs/>
          <w:szCs w:val="24"/>
        </w:rPr>
        <w:t> </w:t>
      </w:r>
      <w:r w:rsidRPr="000E6651">
        <w:rPr>
          <w:rFonts w:cs="Times New Roman"/>
          <w:b/>
          <w:bCs/>
          <w:szCs w:val="24"/>
        </w:rPr>
        <w:t>461</w:t>
      </w:r>
      <w:r w:rsidR="003D7020">
        <w:rPr>
          <w:rFonts w:cs="Times New Roman"/>
          <w:b/>
          <w:bCs/>
          <w:szCs w:val="24"/>
        </w:rPr>
        <w:t> </w:t>
      </w:r>
      <w:r w:rsidRPr="000E6651">
        <w:rPr>
          <w:rFonts w:cs="Times New Roman"/>
          <w:b/>
          <w:bCs/>
          <w:szCs w:val="24"/>
        </w:rPr>
        <w:t>eur</w:t>
      </w:r>
      <w:r>
        <w:rPr>
          <w:rFonts w:cs="Times New Roman"/>
          <w:szCs w:val="24"/>
        </w:rPr>
        <w:t xml:space="preserve"> </w:t>
      </w:r>
      <w:r w:rsidRPr="00C07EAF">
        <w:rPr>
          <w:rFonts w:cs="Times New Roman"/>
          <w:szCs w:val="24"/>
        </w:rPr>
        <w:t>(</w:t>
      </w:r>
      <w:r>
        <w:rPr>
          <w:rFonts w:cs="Times New Roman"/>
          <w:szCs w:val="24"/>
        </w:rPr>
        <w:t>658</w:t>
      </w:r>
      <w:r w:rsidR="003D7020">
        <w:rPr>
          <w:rFonts w:cs="Times New Roman"/>
          <w:szCs w:val="24"/>
        </w:rPr>
        <w:t> </w:t>
      </w:r>
      <w:r w:rsidRPr="00C07EAF">
        <w:rPr>
          <w:rFonts w:cs="Times New Roman"/>
          <w:szCs w:val="24"/>
        </w:rPr>
        <w:t>mil.</w:t>
      </w:r>
      <w:r w:rsidR="003D7020">
        <w:rPr>
          <w:rFonts w:cs="Times New Roman"/>
          <w:szCs w:val="24"/>
        </w:rPr>
        <w:t> </w:t>
      </w:r>
      <w:r w:rsidRPr="00C07EAF">
        <w:rPr>
          <w:rFonts w:cs="Times New Roman"/>
          <w:szCs w:val="24"/>
        </w:rPr>
        <w:t>eur po odrátaní predbežného financovania)</w:t>
      </w:r>
      <w:r>
        <w:rPr>
          <w:rFonts w:cs="Times New Roman"/>
          <w:szCs w:val="24"/>
        </w:rPr>
        <w:t xml:space="preserve"> </w:t>
      </w:r>
      <w:r w:rsidRPr="00C07EAF">
        <w:rPr>
          <w:rFonts w:cs="Times New Roman"/>
          <w:szCs w:val="24"/>
        </w:rPr>
        <w:t>Slovens</w:t>
      </w:r>
      <w:r>
        <w:rPr>
          <w:rFonts w:cs="Times New Roman"/>
          <w:szCs w:val="24"/>
        </w:rPr>
        <w:t>ká republika</w:t>
      </w:r>
      <w:r w:rsidRPr="00C07EAF">
        <w:rPr>
          <w:rFonts w:cs="Times New Roman"/>
          <w:szCs w:val="24"/>
        </w:rPr>
        <w:t xml:space="preserve"> </w:t>
      </w:r>
      <w:r>
        <w:rPr>
          <w:rFonts w:cs="Times New Roman"/>
          <w:szCs w:val="24"/>
        </w:rPr>
        <w:t>predložila</w:t>
      </w:r>
      <w:r w:rsidRPr="00C07EAF">
        <w:rPr>
          <w:rFonts w:cs="Times New Roman"/>
          <w:szCs w:val="24"/>
        </w:rPr>
        <w:t xml:space="preserve"> koncom novembra 2025. Táto žiadosť o platbu je zložená z </w:t>
      </w:r>
      <w:r w:rsidRPr="00C07EAF">
        <w:rPr>
          <w:rFonts w:cs="Times New Roman"/>
          <w:b/>
          <w:bCs/>
          <w:szCs w:val="24"/>
        </w:rPr>
        <w:t>12 míľnikov a</w:t>
      </w:r>
      <w:r w:rsidR="003D7020">
        <w:rPr>
          <w:rFonts w:cs="Times New Roman"/>
          <w:b/>
          <w:bCs/>
          <w:szCs w:val="24"/>
        </w:rPr>
        <w:t> </w:t>
      </w:r>
      <w:r w:rsidRPr="00C07EAF">
        <w:rPr>
          <w:rFonts w:cs="Times New Roman"/>
          <w:b/>
          <w:bCs/>
          <w:szCs w:val="24"/>
        </w:rPr>
        <w:t>6 cieľov</w:t>
      </w:r>
      <w:r w:rsidRPr="00C07EAF">
        <w:rPr>
          <w:rFonts w:cs="Times New Roman"/>
          <w:szCs w:val="24"/>
        </w:rPr>
        <w:t xml:space="preserve">, predovšetkým z rôznych oblastí ako sociálna a zdravotná </w:t>
      </w:r>
      <w:r w:rsidR="00735324" w:rsidRPr="00C07EAF">
        <w:rPr>
          <w:rFonts w:cs="Times New Roman"/>
          <w:szCs w:val="24"/>
        </w:rPr>
        <w:t>starostlivosť</w:t>
      </w:r>
      <w:r w:rsidRPr="00C07EAF">
        <w:rPr>
          <w:rFonts w:cs="Times New Roman"/>
          <w:szCs w:val="24"/>
        </w:rPr>
        <w:t>, dekarbonizácia priemyslu, investície spojenej s debarierizáciou školských budov, zlepšenie podnikateľského prostredia a REPowerEU. Významnú časť tvoria aj opatrenia v</w:t>
      </w:r>
      <w:r w:rsidR="003D7020">
        <w:rPr>
          <w:rFonts w:cs="Times New Roman"/>
          <w:szCs w:val="24"/>
        </w:rPr>
        <w:t> </w:t>
      </w:r>
      <w:r w:rsidRPr="00C07EAF">
        <w:rPr>
          <w:rFonts w:cs="Times New Roman"/>
          <w:szCs w:val="24"/>
        </w:rPr>
        <w:t>komponente Digitálne Slovensko so zameraním na lepšie služby pre občanov a podnikateľov.</w:t>
      </w:r>
    </w:p>
    <w:p w14:paraId="597ED33A" w14:textId="77777777" w:rsidR="00A4283A" w:rsidRPr="00C07EAF" w:rsidRDefault="00A4283A" w:rsidP="00AC6002">
      <w:pPr>
        <w:spacing w:line="240" w:lineRule="auto"/>
        <w:jc w:val="both"/>
        <w:rPr>
          <w:rFonts w:cs="Times New Roman"/>
          <w:szCs w:val="24"/>
        </w:rPr>
      </w:pPr>
    </w:p>
    <w:p w14:paraId="789FE064" w14:textId="2E12281D" w:rsidR="00A4283A" w:rsidRDefault="00A4283A" w:rsidP="00AC6002">
      <w:pPr>
        <w:spacing w:line="240" w:lineRule="auto"/>
        <w:jc w:val="both"/>
        <w:rPr>
          <w:rFonts w:cs="Times New Roman"/>
          <w:szCs w:val="24"/>
        </w:rPr>
      </w:pPr>
      <w:r>
        <w:rPr>
          <w:rFonts w:cs="Times New Roman"/>
          <w:szCs w:val="24"/>
        </w:rPr>
        <w:t xml:space="preserve">Vykonané </w:t>
      </w:r>
      <w:r w:rsidRPr="00C07EAF">
        <w:rPr>
          <w:rFonts w:cs="Times New Roman"/>
          <w:szCs w:val="24"/>
        </w:rPr>
        <w:t>revízi</w:t>
      </w:r>
      <w:r>
        <w:rPr>
          <w:rFonts w:cs="Times New Roman"/>
          <w:szCs w:val="24"/>
        </w:rPr>
        <w:t>e</w:t>
      </w:r>
      <w:r w:rsidRPr="00C07EAF">
        <w:rPr>
          <w:rFonts w:cs="Times New Roman"/>
          <w:szCs w:val="24"/>
        </w:rPr>
        <w:t xml:space="preserve"> vychádza</w:t>
      </w:r>
      <w:r>
        <w:rPr>
          <w:rFonts w:cs="Times New Roman"/>
          <w:szCs w:val="24"/>
        </w:rPr>
        <w:t>li</w:t>
      </w:r>
      <w:r w:rsidRPr="00C07EAF">
        <w:rPr>
          <w:rFonts w:cs="Times New Roman"/>
          <w:szCs w:val="24"/>
        </w:rPr>
        <w:t xml:space="preserve"> z aktuálneho stavu implementácie v roku 2025 a</w:t>
      </w:r>
      <w:r w:rsidR="003D7020">
        <w:rPr>
          <w:rFonts w:cs="Times New Roman"/>
          <w:szCs w:val="24"/>
        </w:rPr>
        <w:t> </w:t>
      </w:r>
      <w:r w:rsidRPr="00C07EAF">
        <w:rPr>
          <w:rFonts w:cs="Times New Roman"/>
          <w:szCs w:val="24"/>
        </w:rPr>
        <w:t>časových možnosti plnenia míľnikov a</w:t>
      </w:r>
      <w:r>
        <w:rPr>
          <w:rFonts w:cs="Times New Roman"/>
          <w:szCs w:val="24"/>
        </w:rPr>
        <w:t> </w:t>
      </w:r>
      <w:r w:rsidRPr="00C07EAF">
        <w:rPr>
          <w:rFonts w:cs="Times New Roman"/>
          <w:szCs w:val="24"/>
        </w:rPr>
        <w:t>cieľov</w:t>
      </w:r>
      <w:r>
        <w:rPr>
          <w:rFonts w:cs="Times New Roman"/>
          <w:szCs w:val="24"/>
        </w:rPr>
        <w:t xml:space="preserve"> </w:t>
      </w:r>
      <w:r w:rsidR="00E50EF7">
        <w:rPr>
          <w:rFonts w:cs="Times New Roman"/>
          <w:szCs w:val="24"/>
        </w:rPr>
        <w:t>POO</w:t>
      </w:r>
      <w:r w:rsidRPr="00C07EAF">
        <w:rPr>
          <w:rFonts w:cs="Times New Roman"/>
          <w:szCs w:val="24"/>
        </w:rPr>
        <w:t>. Zároveň platí, že v</w:t>
      </w:r>
      <w:r w:rsidR="003D7020">
        <w:rPr>
          <w:rFonts w:cs="Times New Roman"/>
          <w:szCs w:val="24"/>
        </w:rPr>
        <w:t> </w:t>
      </w:r>
      <w:r w:rsidRPr="00C07EAF">
        <w:rPr>
          <w:rFonts w:cs="Times New Roman"/>
          <w:szCs w:val="24"/>
        </w:rPr>
        <w:t>nadväznosti na</w:t>
      </w:r>
      <w:r w:rsidR="003D7020">
        <w:rPr>
          <w:rFonts w:cs="Times New Roman"/>
          <w:szCs w:val="24"/>
        </w:rPr>
        <w:t> </w:t>
      </w:r>
      <w:r w:rsidRPr="00C07EAF">
        <w:rPr>
          <w:rFonts w:cs="Times New Roman"/>
          <w:szCs w:val="24"/>
        </w:rPr>
        <w:t>ďalší vývoj implementácie a plnenie zostávajúcich míľnikov a cieľov môže byť v</w:t>
      </w:r>
      <w:r w:rsidR="003D7020">
        <w:rPr>
          <w:rFonts w:cs="Times New Roman"/>
          <w:szCs w:val="24"/>
        </w:rPr>
        <w:t> </w:t>
      </w:r>
      <w:r w:rsidRPr="00C07EAF">
        <w:rPr>
          <w:rFonts w:cs="Times New Roman"/>
          <w:szCs w:val="24"/>
        </w:rPr>
        <w:t xml:space="preserve">odôvodnených prípadoch potrebné pristúpiť k ďalším úpravám </w:t>
      </w:r>
      <w:r w:rsidR="00E50EF7">
        <w:rPr>
          <w:rFonts w:cs="Times New Roman"/>
          <w:szCs w:val="24"/>
        </w:rPr>
        <w:t>POO</w:t>
      </w:r>
      <w:r w:rsidRPr="00C07EAF">
        <w:rPr>
          <w:rFonts w:cs="Times New Roman"/>
          <w:szCs w:val="24"/>
        </w:rPr>
        <w:t xml:space="preserve"> v</w:t>
      </w:r>
      <w:r w:rsidR="003D7020">
        <w:rPr>
          <w:rFonts w:cs="Times New Roman"/>
          <w:szCs w:val="24"/>
        </w:rPr>
        <w:t> </w:t>
      </w:r>
      <w:r w:rsidRPr="00C07EAF">
        <w:rPr>
          <w:rFonts w:cs="Times New Roman"/>
          <w:szCs w:val="24"/>
        </w:rPr>
        <w:t>rámci pravidiel stanovených legislatívou EÚ.</w:t>
      </w:r>
    </w:p>
    <w:p w14:paraId="78566A5B" w14:textId="77777777" w:rsidR="00955D7D" w:rsidRDefault="00955D7D" w:rsidP="00AC6002">
      <w:pPr>
        <w:spacing w:line="240" w:lineRule="auto"/>
        <w:jc w:val="both"/>
        <w:rPr>
          <w:rFonts w:eastAsiaTheme="majorEastAsia" w:cs="Times New Roman"/>
          <w:b/>
          <w:szCs w:val="26"/>
        </w:rPr>
      </w:pPr>
      <w:r>
        <w:rPr>
          <w:rFonts w:eastAsiaTheme="majorEastAsia"/>
        </w:rPr>
        <w:br w:type="page"/>
      </w:r>
    </w:p>
    <w:p w14:paraId="5B7A08F3" w14:textId="2EF49720" w:rsidR="004D69BF" w:rsidRPr="0050710A" w:rsidRDefault="004D69BF" w:rsidP="00532D85">
      <w:pPr>
        <w:pStyle w:val="Nadpis21"/>
        <w:spacing w:before="0" w:line="240" w:lineRule="auto"/>
        <w:jc w:val="both"/>
        <w:rPr>
          <w:rFonts w:eastAsiaTheme="majorEastAsia"/>
          <w:highlight w:val="yellow"/>
        </w:rPr>
      </w:pPr>
      <w:bookmarkStart w:id="172" w:name="_Toc227758919"/>
      <w:r w:rsidRPr="00D77714">
        <w:rPr>
          <w:rFonts w:eastAsiaTheme="majorEastAsia"/>
        </w:rPr>
        <w:lastRenderedPageBreak/>
        <w:t>Tabuľková príloha</w:t>
      </w:r>
      <w:bookmarkEnd w:id="165"/>
      <w:r w:rsidRPr="00D77714">
        <w:rPr>
          <w:rFonts w:eastAsiaTheme="majorEastAsia"/>
        </w:rPr>
        <w:t xml:space="preserve"> k hotovostnému plneniu ŠR</w:t>
      </w:r>
      <w:bookmarkEnd w:id="172"/>
    </w:p>
    <w:tbl>
      <w:tblPr>
        <w:tblW w:w="5000" w:type="pct"/>
        <w:jc w:val="center"/>
        <w:tblLook w:val="01E0" w:firstRow="1" w:lastRow="1" w:firstColumn="1" w:lastColumn="1" w:noHBand="0" w:noVBand="0"/>
      </w:tblPr>
      <w:tblGrid>
        <w:gridCol w:w="1295"/>
        <w:gridCol w:w="7775"/>
      </w:tblGrid>
      <w:tr w:rsidR="004D69BF" w:rsidRPr="004D03EA" w14:paraId="6D4252EF" w14:textId="77777777" w:rsidTr="004D03EA">
        <w:trPr>
          <w:trHeight w:val="139"/>
          <w:jc w:val="center"/>
        </w:trPr>
        <w:tc>
          <w:tcPr>
            <w:tcW w:w="5000" w:type="pct"/>
            <w:gridSpan w:val="2"/>
            <w:vAlign w:val="center"/>
          </w:tcPr>
          <w:p w14:paraId="3239C4DE" w14:textId="3DE12D7E" w:rsidR="004D69BF" w:rsidRPr="004D03EA" w:rsidRDefault="004D69BF" w:rsidP="00532D85">
            <w:pPr>
              <w:spacing w:line="240" w:lineRule="auto"/>
              <w:jc w:val="both"/>
              <w:rPr>
                <w:rFonts w:eastAsia="Times New Roman" w:cs="Times New Roman"/>
                <w:b/>
                <w:bCs/>
                <w:color w:val="5B9BD5" w:themeColor="accent1"/>
                <w:sz w:val="22"/>
                <w:highlight w:val="yellow"/>
                <w:lang w:eastAsia="sk-SK"/>
              </w:rPr>
            </w:pPr>
          </w:p>
        </w:tc>
      </w:tr>
      <w:tr w:rsidR="004D69BF" w:rsidRPr="004D03EA" w14:paraId="35BB6142" w14:textId="77777777" w:rsidTr="004D03EA">
        <w:trPr>
          <w:trHeight w:val="20"/>
          <w:jc w:val="center"/>
        </w:trPr>
        <w:tc>
          <w:tcPr>
            <w:tcW w:w="714" w:type="pct"/>
            <w:vAlign w:val="center"/>
          </w:tcPr>
          <w:p w14:paraId="2474964F"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1   </w:t>
            </w:r>
          </w:p>
        </w:tc>
        <w:tc>
          <w:tcPr>
            <w:tcW w:w="4286" w:type="pct"/>
            <w:vAlign w:val="center"/>
          </w:tcPr>
          <w:p w14:paraId="27B7155D" w14:textId="46453DA9" w:rsidR="004D69BF" w:rsidRPr="004D03EA" w:rsidRDefault="004D69BF" w:rsidP="00532D85">
            <w:pPr>
              <w:spacing w:line="240" w:lineRule="auto"/>
              <w:jc w:val="both"/>
              <w:rPr>
                <w:rFonts w:cs="Times New Roman"/>
                <w:sz w:val="22"/>
              </w:rPr>
            </w:pPr>
            <w:r w:rsidRPr="004D03EA">
              <w:rPr>
                <w:rFonts w:cs="Times New Roman"/>
                <w:sz w:val="22"/>
              </w:rPr>
              <w:t>Bilancia príjmov a výdavkov štátneho rozpočtu za rok 202</w:t>
            </w:r>
            <w:r w:rsidR="007453BD" w:rsidRPr="004D03EA">
              <w:rPr>
                <w:rFonts w:cs="Times New Roman"/>
                <w:sz w:val="22"/>
              </w:rPr>
              <w:t>5</w:t>
            </w:r>
          </w:p>
        </w:tc>
      </w:tr>
      <w:tr w:rsidR="004D69BF" w:rsidRPr="004D03EA" w14:paraId="13C02762" w14:textId="77777777" w:rsidTr="004D03EA">
        <w:trPr>
          <w:trHeight w:val="20"/>
          <w:jc w:val="center"/>
        </w:trPr>
        <w:tc>
          <w:tcPr>
            <w:tcW w:w="714" w:type="pct"/>
            <w:vAlign w:val="center"/>
          </w:tcPr>
          <w:p w14:paraId="708EFDF6"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2   </w:t>
            </w:r>
          </w:p>
        </w:tc>
        <w:tc>
          <w:tcPr>
            <w:tcW w:w="4286" w:type="pct"/>
            <w:vAlign w:val="center"/>
          </w:tcPr>
          <w:p w14:paraId="38B1B02B" w14:textId="71DF7842" w:rsidR="004D69BF" w:rsidRPr="004D03EA" w:rsidRDefault="004D69BF" w:rsidP="00532D85">
            <w:pPr>
              <w:spacing w:line="240" w:lineRule="auto"/>
              <w:jc w:val="both"/>
              <w:rPr>
                <w:rFonts w:cs="Times New Roman"/>
                <w:sz w:val="22"/>
              </w:rPr>
            </w:pPr>
            <w:r w:rsidRPr="004D03EA">
              <w:rPr>
                <w:rFonts w:cs="Times New Roman"/>
                <w:sz w:val="22"/>
              </w:rPr>
              <w:t>Daňové príjmy štátneho rozpočtu za rok 202</w:t>
            </w:r>
            <w:r w:rsidR="007453BD" w:rsidRPr="004D03EA">
              <w:rPr>
                <w:rFonts w:cs="Times New Roman"/>
                <w:sz w:val="22"/>
              </w:rPr>
              <w:t>5</w:t>
            </w:r>
          </w:p>
        </w:tc>
      </w:tr>
      <w:tr w:rsidR="004D69BF" w:rsidRPr="004D03EA" w14:paraId="7DC09E8F" w14:textId="77777777" w:rsidTr="004D03EA">
        <w:trPr>
          <w:trHeight w:val="20"/>
          <w:jc w:val="center"/>
        </w:trPr>
        <w:tc>
          <w:tcPr>
            <w:tcW w:w="714" w:type="pct"/>
            <w:vAlign w:val="center"/>
          </w:tcPr>
          <w:p w14:paraId="4DB39233"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3   </w:t>
            </w:r>
          </w:p>
        </w:tc>
        <w:tc>
          <w:tcPr>
            <w:tcW w:w="4286" w:type="pct"/>
            <w:vAlign w:val="center"/>
          </w:tcPr>
          <w:p w14:paraId="7CFC7FD2" w14:textId="40AC2C1A" w:rsidR="004D69BF" w:rsidRPr="004D03EA" w:rsidRDefault="004D69BF" w:rsidP="00532D85">
            <w:pPr>
              <w:spacing w:line="240" w:lineRule="auto"/>
              <w:jc w:val="both"/>
              <w:rPr>
                <w:rFonts w:cs="Times New Roman"/>
                <w:sz w:val="22"/>
              </w:rPr>
            </w:pPr>
            <w:r w:rsidRPr="004D03EA">
              <w:rPr>
                <w:rFonts w:cs="Times New Roman"/>
                <w:sz w:val="22"/>
              </w:rPr>
              <w:t>Nedaňové príjmy štátneho rozpočtu, granty a transfery za rok 202</w:t>
            </w:r>
            <w:r w:rsidR="007453BD" w:rsidRPr="004D03EA">
              <w:rPr>
                <w:rFonts w:cs="Times New Roman"/>
                <w:sz w:val="22"/>
              </w:rPr>
              <w:t>5</w:t>
            </w:r>
          </w:p>
        </w:tc>
      </w:tr>
      <w:tr w:rsidR="004D69BF" w:rsidRPr="004D03EA" w14:paraId="5C806D3E" w14:textId="77777777" w:rsidTr="004D03EA">
        <w:trPr>
          <w:trHeight w:val="20"/>
          <w:jc w:val="center"/>
        </w:trPr>
        <w:tc>
          <w:tcPr>
            <w:tcW w:w="714" w:type="pct"/>
            <w:vAlign w:val="center"/>
          </w:tcPr>
          <w:p w14:paraId="618FDD24"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4   </w:t>
            </w:r>
          </w:p>
        </w:tc>
        <w:tc>
          <w:tcPr>
            <w:tcW w:w="4286" w:type="pct"/>
            <w:vAlign w:val="center"/>
          </w:tcPr>
          <w:p w14:paraId="67239E65" w14:textId="22D0211A" w:rsidR="004D69BF" w:rsidRPr="004D03EA" w:rsidRDefault="004D69BF" w:rsidP="00532D85">
            <w:pPr>
              <w:spacing w:line="240" w:lineRule="auto"/>
              <w:jc w:val="both"/>
              <w:rPr>
                <w:rFonts w:cs="Times New Roman"/>
                <w:sz w:val="22"/>
              </w:rPr>
            </w:pPr>
            <w:r w:rsidRPr="004D03EA">
              <w:rPr>
                <w:rFonts w:cs="Times New Roman"/>
                <w:sz w:val="22"/>
              </w:rPr>
              <w:t>Príjmy kapitol ŠR za rok 202</w:t>
            </w:r>
            <w:r w:rsidR="007453BD" w:rsidRPr="004D03EA">
              <w:rPr>
                <w:rFonts w:cs="Times New Roman"/>
                <w:sz w:val="22"/>
              </w:rPr>
              <w:t>5</w:t>
            </w:r>
            <w:r w:rsidRPr="004D03EA">
              <w:rPr>
                <w:rFonts w:cs="Times New Roman"/>
                <w:sz w:val="22"/>
              </w:rPr>
              <w:t xml:space="preserve"> – záväzné ukazovatele</w:t>
            </w:r>
          </w:p>
        </w:tc>
      </w:tr>
      <w:tr w:rsidR="004D69BF" w:rsidRPr="004D03EA" w14:paraId="5F623540" w14:textId="77777777" w:rsidTr="004D03EA">
        <w:trPr>
          <w:trHeight w:val="20"/>
          <w:jc w:val="center"/>
        </w:trPr>
        <w:tc>
          <w:tcPr>
            <w:tcW w:w="714" w:type="pct"/>
            <w:vAlign w:val="center"/>
          </w:tcPr>
          <w:p w14:paraId="45EBDA96"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5  </w:t>
            </w:r>
          </w:p>
        </w:tc>
        <w:tc>
          <w:tcPr>
            <w:tcW w:w="4286" w:type="pct"/>
            <w:vAlign w:val="center"/>
          </w:tcPr>
          <w:p w14:paraId="042D7806" w14:textId="2A6D70A7" w:rsidR="004D69BF" w:rsidRPr="004D03EA" w:rsidRDefault="00396BE8" w:rsidP="00532D85">
            <w:pPr>
              <w:spacing w:line="240" w:lineRule="auto"/>
              <w:jc w:val="both"/>
              <w:rPr>
                <w:rFonts w:cs="Times New Roman"/>
                <w:sz w:val="22"/>
              </w:rPr>
            </w:pPr>
            <w:r>
              <w:rPr>
                <w:rFonts w:cs="Times New Roman"/>
                <w:sz w:val="22"/>
              </w:rPr>
              <w:t>P</w:t>
            </w:r>
            <w:r w:rsidR="004D69BF" w:rsidRPr="004D03EA">
              <w:rPr>
                <w:rFonts w:cs="Times New Roman"/>
                <w:sz w:val="22"/>
              </w:rPr>
              <w:t xml:space="preserve">ríjmy štátneho rozpočtu podľa </w:t>
            </w:r>
            <w:r>
              <w:rPr>
                <w:rFonts w:cs="Times New Roman"/>
                <w:sz w:val="22"/>
              </w:rPr>
              <w:t xml:space="preserve">kategórií a </w:t>
            </w:r>
            <w:r w:rsidR="004D69BF" w:rsidRPr="004D03EA">
              <w:rPr>
                <w:rFonts w:cs="Times New Roman"/>
                <w:sz w:val="22"/>
              </w:rPr>
              <w:t>kapitol ŠR za rok 202</w:t>
            </w:r>
            <w:r w:rsidR="007453BD" w:rsidRPr="004D03EA">
              <w:rPr>
                <w:rFonts w:cs="Times New Roman"/>
                <w:sz w:val="22"/>
              </w:rPr>
              <w:t>5</w:t>
            </w:r>
          </w:p>
        </w:tc>
      </w:tr>
      <w:tr w:rsidR="004D69BF" w:rsidRPr="004D03EA" w14:paraId="55AA7D9D" w14:textId="77777777" w:rsidTr="004D03EA">
        <w:trPr>
          <w:trHeight w:val="20"/>
          <w:jc w:val="center"/>
        </w:trPr>
        <w:tc>
          <w:tcPr>
            <w:tcW w:w="714" w:type="pct"/>
            <w:vAlign w:val="center"/>
          </w:tcPr>
          <w:p w14:paraId="55A1C57F"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6   </w:t>
            </w:r>
          </w:p>
        </w:tc>
        <w:tc>
          <w:tcPr>
            <w:tcW w:w="4286" w:type="pct"/>
            <w:vAlign w:val="center"/>
          </w:tcPr>
          <w:p w14:paraId="3A226C88" w14:textId="0C62CE19" w:rsidR="004D69BF" w:rsidRPr="004D03EA" w:rsidRDefault="004D69BF" w:rsidP="00532D85">
            <w:pPr>
              <w:spacing w:line="240" w:lineRule="auto"/>
              <w:jc w:val="both"/>
              <w:rPr>
                <w:rFonts w:cs="Times New Roman"/>
                <w:sz w:val="22"/>
              </w:rPr>
            </w:pPr>
            <w:r w:rsidRPr="004D03EA">
              <w:rPr>
                <w:rFonts w:cs="Times New Roman"/>
                <w:bCs/>
                <w:sz w:val="22"/>
                <w:lang w:eastAsia="sk-SK"/>
              </w:rPr>
              <w:t xml:space="preserve">Príjmy štátneho rozpočtu podľa zdrojov v roku </w:t>
            </w:r>
            <w:r w:rsidRPr="004D03EA">
              <w:rPr>
                <w:rFonts w:cs="Times New Roman"/>
                <w:sz w:val="22"/>
              </w:rPr>
              <w:t>202</w:t>
            </w:r>
            <w:r w:rsidR="007453BD" w:rsidRPr="004D03EA">
              <w:rPr>
                <w:rFonts w:cs="Times New Roman"/>
                <w:sz w:val="22"/>
              </w:rPr>
              <w:t>5</w:t>
            </w:r>
          </w:p>
        </w:tc>
      </w:tr>
      <w:tr w:rsidR="004D69BF" w:rsidRPr="004D03EA" w14:paraId="04EE6912" w14:textId="77777777" w:rsidTr="004D03EA">
        <w:trPr>
          <w:trHeight w:val="20"/>
          <w:jc w:val="center"/>
        </w:trPr>
        <w:tc>
          <w:tcPr>
            <w:tcW w:w="714" w:type="pct"/>
            <w:vAlign w:val="center"/>
          </w:tcPr>
          <w:p w14:paraId="08A1D292"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7   </w:t>
            </w:r>
          </w:p>
        </w:tc>
        <w:tc>
          <w:tcPr>
            <w:tcW w:w="4286" w:type="pct"/>
            <w:vAlign w:val="center"/>
          </w:tcPr>
          <w:p w14:paraId="4317D90C" w14:textId="3FB6FBDA" w:rsidR="004D69BF" w:rsidRPr="004D03EA" w:rsidRDefault="004D69BF" w:rsidP="00532D85">
            <w:pPr>
              <w:spacing w:line="240" w:lineRule="auto"/>
              <w:jc w:val="both"/>
              <w:rPr>
                <w:rFonts w:cs="Times New Roman"/>
                <w:sz w:val="22"/>
              </w:rPr>
            </w:pPr>
            <w:r w:rsidRPr="004D03EA">
              <w:rPr>
                <w:rFonts w:cs="Times New Roman"/>
                <w:sz w:val="22"/>
              </w:rPr>
              <w:t>Výdavky štátneho rozpočtu podľa kategórií a kapitol ŠR za rok 202</w:t>
            </w:r>
            <w:r w:rsidR="007453BD" w:rsidRPr="004D03EA">
              <w:rPr>
                <w:rFonts w:cs="Times New Roman"/>
                <w:sz w:val="22"/>
              </w:rPr>
              <w:t>5</w:t>
            </w:r>
          </w:p>
        </w:tc>
      </w:tr>
      <w:tr w:rsidR="004D69BF" w:rsidRPr="004D03EA" w14:paraId="0FFAAA88" w14:textId="77777777" w:rsidTr="004D03EA">
        <w:trPr>
          <w:trHeight w:val="20"/>
          <w:jc w:val="center"/>
        </w:trPr>
        <w:tc>
          <w:tcPr>
            <w:tcW w:w="714" w:type="pct"/>
            <w:vAlign w:val="center"/>
          </w:tcPr>
          <w:p w14:paraId="4941847F"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8   </w:t>
            </w:r>
          </w:p>
        </w:tc>
        <w:tc>
          <w:tcPr>
            <w:tcW w:w="4286" w:type="pct"/>
            <w:vAlign w:val="center"/>
          </w:tcPr>
          <w:p w14:paraId="7184D560" w14:textId="2088E0D9" w:rsidR="004D69BF" w:rsidRPr="004D03EA" w:rsidRDefault="004D69BF" w:rsidP="00532D85">
            <w:pPr>
              <w:spacing w:line="240" w:lineRule="auto"/>
              <w:jc w:val="both"/>
              <w:rPr>
                <w:rFonts w:cs="Times New Roman"/>
                <w:sz w:val="22"/>
              </w:rPr>
            </w:pPr>
            <w:r w:rsidRPr="004D03EA">
              <w:rPr>
                <w:rFonts w:cs="Times New Roman"/>
                <w:sz w:val="22"/>
              </w:rPr>
              <w:t>Bežné transfery za rok 202</w:t>
            </w:r>
            <w:r w:rsidR="007453BD" w:rsidRPr="004D03EA">
              <w:rPr>
                <w:rFonts w:cs="Times New Roman"/>
                <w:sz w:val="22"/>
              </w:rPr>
              <w:t>5</w:t>
            </w:r>
          </w:p>
        </w:tc>
      </w:tr>
      <w:tr w:rsidR="004D69BF" w:rsidRPr="004D03EA" w14:paraId="13A4AEA2" w14:textId="77777777" w:rsidTr="004D03EA">
        <w:trPr>
          <w:trHeight w:val="20"/>
          <w:jc w:val="center"/>
        </w:trPr>
        <w:tc>
          <w:tcPr>
            <w:tcW w:w="714" w:type="pct"/>
            <w:vAlign w:val="center"/>
          </w:tcPr>
          <w:p w14:paraId="1E6CD131"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9   </w:t>
            </w:r>
          </w:p>
        </w:tc>
        <w:tc>
          <w:tcPr>
            <w:tcW w:w="4286" w:type="pct"/>
            <w:vAlign w:val="center"/>
          </w:tcPr>
          <w:p w14:paraId="4FA1F79A" w14:textId="6B48EDE0" w:rsidR="004D69BF" w:rsidRPr="004D03EA" w:rsidRDefault="004D69BF" w:rsidP="00532D85">
            <w:pPr>
              <w:spacing w:line="240" w:lineRule="auto"/>
              <w:jc w:val="both"/>
              <w:rPr>
                <w:rFonts w:cs="Times New Roman"/>
                <w:sz w:val="22"/>
              </w:rPr>
            </w:pPr>
            <w:r w:rsidRPr="004D03EA">
              <w:rPr>
                <w:rFonts w:cs="Times New Roman"/>
                <w:sz w:val="22"/>
              </w:rPr>
              <w:t>Kapitálové výdavky za rok 202</w:t>
            </w:r>
            <w:r w:rsidR="007453BD" w:rsidRPr="004D03EA">
              <w:rPr>
                <w:rFonts w:cs="Times New Roman"/>
                <w:sz w:val="22"/>
              </w:rPr>
              <w:t>5</w:t>
            </w:r>
          </w:p>
        </w:tc>
      </w:tr>
      <w:tr w:rsidR="004D69BF" w:rsidRPr="004D03EA" w14:paraId="672CFF57" w14:textId="77777777" w:rsidTr="004D03EA">
        <w:trPr>
          <w:trHeight w:val="20"/>
          <w:jc w:val="center"/>
        </w:trPr>
        <w:tc>
          <w:tcPr>
            <w:tcW w:w="714" w:type="pct"/>
            <w:vAlign w:val="center"/>
          </w:tcPr>
          <w:p w14:paraId="2FCC2E9B"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10   </w:t>
            </w:r>
          </w:p>
        </w:tc>
        <w:tc>
          <w:tcPr>
            <w:tcW w:w="4286" w:type="pct"/>
            <w:vAlign w:val="center"/>
          </w:tcPr>
          <w:p w14:paraId="4724BB29" w14:textId="48A9BA23" w:rsidR="004D69BF" w:rsidRPr="004D03EA" w:rsidRDefault="004D69BF" w:rsidP="00532D85">
            <w:pPr>
              <w:spacing w:line="240" w:lineRule="auto"/>
              <w:jc w:val="both"/>
              <w:rPr>
                <w:rFonts w:cs="Times New Roman"/>
                <w:sz w:val="22"/>
              </w:rPr>
            </w:pPr>
            <w:r w:rsidRPr="004D03EA">
              <w:rPr>
                <w:rFonts w:cs="Times New Roman"/>
                <w:sz w:val="22"/>
              </w:rPr>
              <w:t>Finančné operácie na samostatných účtoch štátnych rozpočtových organizácií za rok 202</w:t>
            </w:r>
            <w:r w:rsidR="007453BD" w:rsidRPr="004D03EA">
              <w:rPr>
                <w:rFonts w:cs="Times New Roman"/>
                <w:sz w:val="22"/>
              </w:rPr>
              <w:t>5</w:t>
            </w:r>
          </w:p>
        </w:tc>
      </w:tr>
      <w:tr w:rsidR="004D69BF" w:rsidRPr="004D03EA" w14:paraId="3CCA5FEC" w14:textId="77777777" w:rsidTr="004D03EA">
        <w:trPr>
          <w:trHeight w:val="20"/>
          <w:jc w:val="center"/>
        </w:trPr>
        <w:tc>
          <w:tcPr>
            <w:tcW w:w="714" w:type="pct"/>
            <w:vAlign w:val="center"/>
          </w:tcPr>
          <w:p w14:paraId="444C9894"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11  </w:t>
            </w:r>
          </w:p>
        </w:tc>
        <w:tc>
          <w:tcPr>
            <w:tcW w:w="4286" w:type="pct"/>
            <w:vAlign w:val="center"/>
          </w:tcPr>
          <w:p w14:paraId="498635CA" w14:textId="44C259C3" w:rsidR="004D69BF" w:rsidRPr="004D03EA" w:rsidRDefault="004D69BF" w:rsidP="00532D85">
            <w:pPr>
              <w:spacing w:line="240" w:lineRule="auto"/>
              <w:jc w:val="both"/>
              <w:rPr>
                <w:rFonts w:cs="Times New Roman"/>
                <w:sz w:val="22"/>
              </w:rPr>
            </w:pPr>
            <w:r w:rsidRPr="004D03EA">
              <w:rPr>
                <w:rFonts w:cs="Times New Roman"/>
                <w:sz w:val="22"/>
              </w:rPr>
              <w:t>Výdavky štátneho rozpočtu podľa funkčnej klasifikácie za rok 202</w:t>
            </w:r>
            <w:r w:rsidR="007453BD" w:rsidRPr="004D03EA">
              <w:rPr>
                <w:rFonts w:cs="Times New Roman"/>
                <w:sz w:val="22"/>
              </w:rPr>
              <w:t>5</w:t>
            </w:r>
          </w:p>
        </w:tc>
      </w:tr>
      <w:tr w:rsidR="004D69BF" w:rsidRPr="004D03EA" w14:paraId="0F1763E8" w14:textId="77777777" w:rsidTr="004D03EA">
        <w:trPr>
          <w:trHeight w:val="20"/>
          <w:jc w:val="center"/>
        </w:trPr>
        <w:tc>
          <w:tcPr>
            <w:tcW w:w="714" w:type="pct"/>
            <w:vAlign w:val="center"/>
          </w:tcPr>
          <w:p w14:paraId="3ACEBCE6" w14:textId="77777777" w:rsidR="004D69BF" w:rsidRPr="004D03EA" w:rsidRDefault="004D69BF" w:rsidP="00532D85">
            <w:pPr>
              <w:spacing w:line="240" w:lineRule="auto"/>
              <w:jc w:val="both"/>
              <w:rPr>
                <w:rFonts w:cs="Times New Roman"/>
                <w:sz w:val="22"/>
              </w:rPr>
            </w:pPr>
            <w:r w:rsidRPr="004D03EA">
              <w:rPr>
                <w:rFonts w:cs="Times New Roman"/>
                <w:sz w:val="22"/>
              </w:rPr>
              <w:t>Tab. č. 12</w:t>
            </w:r>
          </w:p>
        </w:tc>
        <w:tc>
          <w:tcPr>
            <w:tcW w:w="4286" w:type="pct"/>
            <w:vAlign w:val="center"/>
          </w:tcPr>
          <w:p w14:paraId="28318711" w14:textId="185CA4E5" w:rsidR="004D69BF" w:rsidRPr="004D03EA" w:rsidRDefault="004D69BF" w:rsidP="00532D85">
            <w:pPr>
              <w:spacing w:line="240" w:lineRule="auto"/>
              <w:jc w:val="both"/>
              <w:rPr>
                <w:rFonts w:cs="Times New Roman"/>
                <w:sz w:val="22"/>
              </w:rPr>
            </w:pPr>
            <w:r w:rsidRPr="004D03EA">
              <w:rPr>
                <w:rFonts w:cs="Times New Roman"/>
                <w:bCs/>
                <w:sz w:val="22"/>
                <w:lang w:eastAsia="sk-SK"/>
              </w:rPr>
              <w:t xml:space="preserve">Výdavky štátneho rozpočtu podľa kapitol ŠR a zdrojov v roku </w:t>
            </w:r>
            <w:r w:rsidRPr="004D03EA">
              <w:rPr>
                <w:rFonts w:cs="Times New Roman"/>
                <w:sz w:val="22"/>
              </w:rPr>
              <w:t>202</w:t>
            </w:r>
            <w:r w:rsidR="007453BD" w:rsidRPr="004D03EA">
              <w:rPr>
                <w:rFonts w:cs="Times New Roman"/>
                <w:sz w:val="22"/>
              </w:rPr>
              <w:t>5</w:t>
            </w:r>
          </w:p>
        </w:tc>
      </w:tr>
      <w:tr w:rsidR="004D69BF" w:rsidRPr="004D03EA" w14:paraId="070EBD33" w14:textId="77777777" w:rsidTr="004D03EA">
        <w:trPr>
          <w:trHeight w:val="20"/>
          <w:jc w:val="center"/>
        </w:trPr>
        <w:tc>
          <w:tcPr>
            <w:tcW w:w="714" w:type="pct"/>
            <w:vAlign w:val="center"/>
          </w:tcPr>
          <w:p w14:paraId="0F606EC3" w14:textId="77777777" w:rsidR="004D69BF" w:rsidRPr="004D03EA" w:rsidRDefault="004D69BF" w:rsidP="00532D85">
            <w:pPr>
              <w:spacing w:line="240" w:lineRule="auto"/>
              <w:jc w:val="both"/>
              <w:rPr>
                <w:rFonts w:cs="Times New Roman"/>
                <w:sz w:val="22"/>
              </w:rPr>
            </w:pPr>
            <w:r w:rsidRPr="004D03EA">
              <w:rPr>
                <w:rFonts w:cs="Times New Roman"/>
                <w:sz w:val="22"/>
              </w:rPr>
              <w:t xml:space="preserve">Tab. č. 13  </w:t>
            </w:r>
          </w:p>
        </w:tc>
        <w:tc>
          <w:tcPr>
            <w:tcW w:w="4286" w:type="pct"/>
            <w:vAlign w:val="center"/>
          </w:tcPr>
          <w:p w14:paraId="0185DA27" w14:textId="56D4B31A" w:rsidR="004D69BF" w:rsidRPr="004D03EA" w:rsidRDefault="004D69BF" w:rsidP="00532D85">
            <w:pPr>
              <w:spacing w:line="240" w:lineRule="auto"/>
              <w:jc w:val="both"/>
              <w:rPr>
                <w:rFonts w:cs="Times New Roman"/>
                <w:sz w:val="22"/>
              </w:rPr>
            </w:pPr>
            <w:r w:rsidRPr="004D03EA">
              <w:rPr>
                <w:rFonts w:cs="Times New Roman"/>
                <w:sz w:val="22"/>
              </w:rPr>
              <w:t>Výdavky štátneho rozpočtu na vedu a techniku podľa kapitol ŠR za rok 202</w:t>
            </w:r>
            <w:r w:rsidR="007453BD" w:rsidRPr="004D03EA">
              <w:rPr>
                <w:rFonts w:cs="Times New Roman"/>
                <w:sz w:val="22"/>
              </w:rPr>
              <w:t>5</w:t>
            </w:r>
          </w:p>
        </w:tc>
      </w:tr>
      <w:tr w:rsidR="004D69BF" w:rsidRPr="004D03EA" w14:paraId="768E32CA" w14:textId="77777777" w:rsidTr="004D03EA">
        <w:trPr>
          <w:trHeight w:val="20"/>
          <w:jc w:val="center"/>
        </w:trPr>
        <w:tc>
          <w:tcPr>
            <w:tcW w:w="714" w:type="pct"/>
            <w:vAlign w:val="center"/>
          </w:tcPr>
          <w:p w14:paraId="5B7CF564" w14:textId="77777777" w:rsidR="004D69BF" w:rsidRPr="004D03EA" w:rsidRDefault="004D69BF" w:rsidP="00532D85">
            <w:pPr>
              <w:spacing w:line="240" w:lineRule="auto"/>
              <w:jc w:val="both"/>
              <w:rPr>
                <w:rFonts w:cs="Times New Roman"/>
                <w:sz w:val="22"/>
              </w:rPr>
            </w:pPr>
            <w:r w:rsidRPr="004D03EA">
              <w:rPr>
                <w:rFonts w:cs="Times New Roman"/>
                <w:sz w:val="22"/>
              </w:rPr>
              <w:t>Tab. č. 14</w:t>
            </w:r>
          </w:p>
        </w:tc>
        <w:tc>
          <w:tcPr>
            <w:tcW w:w="4286" w:type="pct"/>
            <w:vAlign w:val="center"/>
          </w:tcPr>
          <w:p w14:paraId="63DED495" w14:textId="32D64058" w:rsidR="004D69BF" w:rsidRPr="004D03EA" w:rsidRDefault="004D69BF" w:rsidP="00532D85">
            <w:pPr>
              <w:spacing w:line="240" w:lineRule="auto"/>
              <w:jc w:val="both"/>
              <w:rPr>
                <w:rFonts w:cs="Times New Roman"/>
                <w:sz w:val="22"/>
              </w:rPr>
            </w:pPr>
            <w:r w:rsidRPr="004D03EA">
              <w:rPr>
                <w:rFonts w:cs="Times New Roman"/>
                <w:sz w:val="22"/>
              </w:rPr>
              <w:t>Výdavky štátneho rozpočtu na vedu a techniku podľa funkčnej klasifikácie za rok 202</w:t>
            </w:r>
            <w:r w:rsidR="007453BD" w:rsidRPr="004D03EA">
              <w:rPr>
                <w:rFonts w:cs="Times New Roman"/>
                <w:sz w:val="22"/>
              </w:rPr>
              <w:t>5</w:t>
            </w:r>
          </w:p>
        </w:tc>
      </w:tr>
      <w:tr w:rsidR="004D69BF" w:rsidRPr="004D03EA" w14:paraId="31B0478C" w14:textId="77777777" w:rsidTr="004D03EA">
        <w:trPr>
          <w:trHeight w:val="20"/>
          <w:jc w:val="center"/>
        </w:trPr>
        <w:tc>
          <w:tcPr>
            <w:tcW w:w="714" w:type="pct"/>
            <w:vAlign w:val="center"/>
          </w:tcPr>
          <w:p w14:paraId="483F6758" w14:textId="77777777" w:rsidR="004D69BF" w:rsidRPr="004D03EA" w:rsidRDefault="004D69BF" w:rsidP="00532D85">
            <w:pPr>
              <w:spacing w:line="240" w:lineRule="auto"/>
              <w:jc w:val="both"/>
              <w:rPr>
                <w:rFonts w:cs="Times New Roman"/>
                <w:sz w:val="22"/>
              </w:rPr>
            </w:pPr>
            <w:r w:rsidRPr="004D03EA">
              <w:rPr>
                <w:rFonts w:cs="Times New Roman"/>
                <w:sz w:val="22"/>
              </w:rPr>
              <w:t>Tab. č. 15</w:t>
            </w:r>
          </w:p>
        </w:tc>
        <w:tc>
          <w:tcPr>
            <w:tcW w:w="4286" w:type="pct"/>
            <w:vAlign w:val="center"/>
          </w:tcPr>
          <w:p w14:paraId="436C6D77" w14:textId="24140E0D" w:rsidR="004D69BF" w:rsidRPr="004D03EA" w:rsidRDefault="004D69BF" w:rsidP="00532D85">
            <w:pPr>
              <w:spacing w:line="240" w:lineRule="auto"/>
              <w:jc w:val="both"/>
              <w:rPr>
                <w:rFonts w:cs="Times New Roman"/>
                <w:sz w:val="22"/>
              </w:rPr>
            </w:pPr>
            <w:r w:rsidRPr="004D03EA">
              <w:rPr>
                <w:rFonts w:cs="Times New Roman"/>
                <w:sz w:val="22"/>
              </w:rPr>
              <w:t>Čerpanie rezervy predsedu vlády SR za rok 202</w:t>
            </w:r>
            <w:r w:rsidR="007453BD" w:rsidRPr="004D03EA">
              <w:rPr>
                <w:rFonts w:cs="Times New Roman"/>
                <w:sz w:val="22"/>
              </w:rPr>
              <w:t>5</w:t>
            </w:r>
          </w:p>
        </w:tc>
      </w:tr>
      <w:tr w:rsidR="004D69BF" w:rsidRPr="004D03EA" w14:paraId="2EAC8289" w14:textId="77777777" w:rsidTr="004D03EA">
        <w:trPr>
          <w:trHeight w:val="20"/>
          <w:jc w:val="center"/>
        </w:trPr>
        <w:tc>
          <w:tcPr>
            <w:tcW w:w="714" w:type="pct"/>
            <w:vAlign w:val="center"/>
          </w:tcPr>
          <w:p w14:paraId="52B58D1E" w14:textId="77777777" w:rsidR="004D69BF" w:rsidRPr="004D03EA" w:rsidRDefault="004D69BF" w:rsidP="00532D85">
            <w:pPr>
              <w:spacing w:line="240" w:lineRule="auto"/>
              <w:jc w:val="both"/>
              <w:rPr>
                <w:rFonts w:cs="Times New Roman"/>
                <w:sz w:val="22"/>
              </w:rPr>
            </w:pPr>
            <w:r w:rsidRPr="004D03EA">
              <w:rPr>
                <w:rFonts w:cs="Times New Roman"/>
                <w:sz w:val="22"/>
              </w:rPr>
              <w:t>Tab. č. 16</w:t>
            </w:r>
          </w:p>
        </w:tc>
        <w:tc>
          <w:tcPr>
            <w:tcW w:w="4286" w:type="pct"/>
            <w:vAlign w:val="center"/>
          </w:tcPr>
          <w:p w14:paraId="19F387C6" w14:textId="33F6D5F9" w:rsidR="004D69BF" w:rsidRPr="004D03EA" w:rsidRDefault="004D69BF" w:rsidP="00532D85">
            <w:pPr>
              <w:spacing w:line="240" w:lineRule="auto"/>
              <w:jc w:val="both"/>
              <w:rPr>
                <w:rFonts w:cs="Times New Roman"/>
                <w:sz w:val="22"/>
              </w:rPr>
            </w:pPr>
            <w:r w:rsidRPr="004D03EA">
              <w:rPr>
                <w:rFonts w:cs="Times New Roman"/>
                <w:sz w:val="22"/>
              </w:rPr>
              <w:t>Prehľad výdavkov štátneho rozpočtu na realizáciu programov za rok 202</w:t>
            </w:r>
            <w:r w:rsidR="007453BD" w:rsidRPr="004D03EA">
              <w:rPr>
                <w:rFonts w:cs="Times New Roman"/>
                <w:sz w:val="22"/>
              </w:rPr>
              <w:t>5</w:t>
            </w:r>
          </w:p>
        </w:tc>
      </w:tr>
      <w:tr w:rsidR="004D69BF" w:rsidRPr="004D03EA" w14:paraId="2C6170EC" w14:textId="77777777" w:rsidTr="004D03EA">
        <w:trPr>
          <w:trHeight w:val="20"/>
          <w:jc w:val="center"/>
        </w:trPr>
        <w:tc>
          <w:tcPr>
            <w:tcW w:w="714" w:type="pct"/>
          </w:tcPr>
          <w:p w14:paraId="2B187FD0" w14:textId="77777777" w:rsidR="004D69BF" w:rsidRPr="004D03EA" w:rsidRDefault="004D69BF" w:rsidP="00532D85">
            <w:pPr>
              <w:spacing w:line="240" w:lineRule="auto"/>
              <w:jc w:val="both"/>
              <w:rPr>
                <w:rFonts w:cs="Times New Roman"/>
                <w:sz w:val="22"/>
              </w:rPr>
            </w:pPr>
            <w:r w:rsidRPr="004D03EA">
              <w:rPr>
                <w:rFonts w:cs="Times New Roman"/>
                <w:sz w:val="22"/>
              </w:rPr>
              <w:t>Tab. č. 17</w:t>
            </w:r>
          </w:p>
        </w:tc>
        <w:tc>
          <w:tcPr>
            <w:tcW w:w="4286" w:type="pct"/>
            <w:vAlign w:val="center"/>
          </w:tcPr>
          <w:p w14:paraId="65EC1152" w14:textId="77777777" w:rsidR="004D69BF" w:rsidRPr="004D03EA" w:rsidRDefault="004D69BF" w:rsidP="00532D85">
            <w:pPr>
              <w:spacing w:line="240" w:lineRule="auto"/>
              <w:jc w:val="both"/>
              <w:rPr>
                <w:rFonts w:cs="Times New Roman"/>
                <w:sz w:val="22"/>
              </w:rPr>
            </w:pPr>
            <w:r w:rsidRPr="004D03EA">
              <w:rPr>
                <w:rFonts w:cs="Times New Roman"/>
                <w:sz w:val="22"/>
              </w:rPr>
              <w:t>Prehľad príjmov a výdavkov z rozpočtu Európskej únie zaradených do príjmov a výdavkov štátneho rozpočtu podľa kapitol ŠR</w:t>
            </w:r>
          </w:p>
        </w:tc>
      </w:tr>
      <w:tr w:rsidR="004D69BF" w:rsidRPr="004D03EA" w14:paraId="493F9E23" w14:textId="77777777" w:rsidTr="004D03EA">
        <w:trPr>
          <w:trHeight w:val="20"/>
          <w:jc w:val="center"/>
        </w:trPr>
        <w:tc>
          <w:tcPr>
            <w:tcW w:w="714" w:type="pct"/>
          </w:tcPr>
          <w:p w14:paraId="3135EA6C" w14:textId="77777777" w:rsidR="004D69BF" w:rsidRPr="004D03EA" w:rsidRDefault="004D69BF" w:rsidP="00532D85">
            <w:pPr>
              <w:spacing w:line="240" w:lineRule="auto"/>
              <w:jc w:val="both"/>
              <w:rPr>
                <w:rFonts w:cs="Times New Roman"/>
                <w:sz w:val="22"/>
              </w:rPr>
            </w:pPr>
            <w:r w:rsidRPr="004D03EA">
              <w:rPr>
                <w:rFonts w:cs="Times New Roman"/>
                <w:sz w:val="22"/>
              </w:rPr>
              <w:t>Tab. č. 18</w:t>
            </w:r>
          </w:p>
        </w:tc>
        <w:tc>
          <w:tcPr>
            <w:tcW w:w="4286" w:type="pct"/>
            <w:vAlign w:val="center"/>
          </w:tcPr>
          <w:p w14:paraId="7C6EFF28" w14:textId="77777777" w:rsidR="004D69BF" w:rsidRPr="004D03EA" w:rsidRDefault="004D69BF" w:rsidP="00532D85">
            <w:pPr>
              <w:spacing w:line="240" w:lineRule="auto"/>
              <w:jc w:val="both"/>
              <w:rPr>
                <w:rFonts w:cs="Times New Roman"/>
                <w:sz w:val="22"/>
              </w:rPr>
            </w:pPr>
            <w:r w:rsidRPr="004D03EA">
              <w:rPr>
                <w:rFonts w:cs="Times New Roman"/>
                <w:bCs/>
                <w:sz w:val="22"/>
                <w:lang w:eastAsia="sk-SK"/>
              </w:rPr>
              <w:t>Prostriedky ŠR na financovanie spoločných programov SR a EÚ podľa kapitol ŠR</w:t>
            </w:r>
          </w:p>
        </w:tc>
      </w:tr>
      <w:tr w:rsidR="004D69BF" w:rsidRPr="004D03EA" w14:paraId="68B1A46E" w14:textId="77777777" w:rsidTr="004D03EA">
        <w:trPr>
          <w:trHeight w:val="20"/>
          <w:jc w:val="center"/>
        </w:trPr>
        <w:tc>
          <w:tcPr>
            <w:tcW w:w="714" w:type="pct"/>
            <w:vAlign w:val="center"/>
          </w:tcPr>
          <w:p w14:paraId="28A28141" w14:textId="486C820E" w:rsidR="004D69BF" w:rsidRPr="004D03EA" w:rsidRDefault="005F43BA" w:rsidP="005F43BA">
            <w:pPr>
              <w:spacing w:line="240" w:lineRule="auto"/>
              <w:ind w:right="59"/>
              <w:rPr>
                <w:rFonts w:cs="Times New Roman"/>
                <w:sz w:val="22"/>
              </w:rPr>
            </w:pPr>
            <w:r w:rsidRPr="004D03EA">
              <w:rPr>
                <w:rFonts w:cs="Times New Roman"/>
                <w:sz w:val="22"/>
              </w:rPr>
              <w:t>Tab. č. 1</w:t>
            </w:r>
            <w:r w:rsidR="004D69BF" w:rsidRPr="004D03EA">
              <w:rPr>
                <w:rFonts w:cs="Times New Roman"/>
                <w:sz w:val="22"/>
              </w:rPr>
              <w:t>9</w:t>
            </w:r>
          </w:p>
        </w:tc>
        <w:tc>
          <w:tcPr>
            <w:tcW w:w="4286" w:type="pct"/>
            <w:vAlign w:val="center"/>
          </w:tcPr>
          <w:p w14:paraId="7D455A99" w14:textId="5D4BE5F1" w:rsidR="004D69BF" w:rsidRPr="004D03EA" w:rsidRDefault="004D69BF" w:rsidP="00532D85">
            <w:pPr>
              <w:spacing w:line="240" w:lineRule="auto"/>
              <w:jc w:val="both"/>
              <w:rPr>
                <w:rFonts w:cs="Times New Roman"/>
                <w:sz w:val="22"/>
              </w:rPr>
            </w:pPr>
            <w:r w:rsidRPr="004D03EA">
              <w:rPr>
                <w:rFonts w:cs="Times New Roman"/>
                <w:sz w:val="22"/>
              </w:rPr>
              <w:t>Prehľad vzťahu jednotlivých kapitol ŠR k štátnemu rozpočtu za rok 202</w:t>
            </w:r>
            <w:r w:rsidR="007453BD" w:rsidRPr="004D03EA">
              <w:rPr>
                <w:rFonts w:cs="Times New Roman"/>
                <w:sz w:val="22"/>
              </w:rPr>
              <w:t>5</w:t>
            </w:r>
          </w:p>
        </w:tc>
      </w:tr>
      <w:tr w:rsidR="004D69BF" w:rsidRPr="004D03EA" w14:paraId="7FE738FD" w14:textId="77777777" w:rsidTr="004D03EA">
        <w:trPr>
          <w:trHeight w:val="20"/>
          <w:jc w:val="center"/>
        </w:trPr>
        <w:tc>
          <w:tcPr>
            <w:tcW w:w="714" w:type="pct"/>
            <w:vAlign w:val="center"/>
          </w:tcPr>
          <w:p w14:paraId="01FDEBC1" w14:textId="77777777" w:rsidR="004D69BF" w:rsidRPr="004D03EA" w:rsidRDefault="004D69BF" w:rsidP="00532D85">
            <w:pPr>
              <w:spacing w:line="240" w:lineRule="auto"/>
              <w:jc w:val="both"/>
              <w:rPr>
                <w:rFonts w:cs="Times New Roman"/>
                <w:sz w:val="22"/>
              </w:rPr>
            </w:pPr>
            <w:r w:rsidRPr="004D03EA">
              <w:rPr>
                <w:rFonts w:cs="Times New Roman"/>
                <w:sz w:val="22"/>
              </w:rPr>
              <w:t>Tab. č. 20</w:t>
            </w:r>
          </w:p>
        </w:tc>
        <w:tc>
          <w:tcPr>
            <w:tcW w:w="4286" w:type="pct"/>
            <w:vAlign w:val="center"/>
          </w:tcPr>
          <w:p w14:paraId="0549EBC9" w14:textId="1D4B5E4B" w:rsidR="004D69BF" w:rsidRPr="004D03EA" w:rsidRDefault="004D69BF" w:rsidP="00532D85">
            <w:pPr>
              <w:spacing w:line="240" w:lineRule="auto"/>
              <w:jc w:val="both"/>
              <w:rPr>
                <w:rFonts w:cs="Times New Roman"/>
                <w:sz w:val="22"/>
              </w:rPr>
            </w:pPr>
            <w:r w:rsidRPr="004D03EA">
              <w:rPr>
                <w:rFonts w:cs="Times New Roman"/>
                <w:sz w:val="22"/>
              </w:rPr>
              <w:t>Vývoj príjmov a výdavkov štátneho rozpočtu v rokoch 202</w:t>
            </w:r>
            <w:r w:rsidR="007453BD" w:rsidRPr="004D03EA">
              <w:rPr>
                <w:rFonts w:cs="Times New Roman"/>
                <w:sz w:val="22"/>
              </w:rPr>
              <w:t>5</w:t>
            </w:r>
            <w:r w:rsidRPr="004D03EA">
              <w:rPr>
                <w:rFonts w:cs="Times New Roman"/>
                <w:sz w:val="22"/>
              </w:rPr>
              <w:t xml:space="preserve"> a 202</w:t>
            </w:r>
            <w:r w:rsidR="007453BD" w:rsidRPr="004D03EA">
              <w:rPr>
                <w:rFonts w:cs="Times New Roman"/>
                <w:sz w:val="22"/>
              </w:rPr>
              <w:t>4</w:t>
            </w:r>
          </w:p>
        </w:tc>
      </w:tr>
      <w:tr w:rsidR="004D69BF" w:rsidRPr="004D03EA" w14:paraId="2E82BA7A" w14:textId="77777777" w:rsidTr="004D03EA">
        <w:trPr>
          <w:trHeight w:val="20"/>
          <w:jc w:val="center"/>
        </w:trPr>
        <w:tc>
          <w:tcPr>
            <w:tcW w:w="714" w:type="pct"/>
            <w:vAlign w:val="center"/>
          </w:tcPr>
          <w:p w14:paraId="648230DE" w14:textId="77777777" w:rsidR="004D69BF" w:rsidRPr="004D03EA" w:rsidRDefault="004D69BF" w:rsidP="00532D85">
            <w:pPr>
              <w:spacing w:line="240" w:lineRule="auto"/>
              <w:jc w:val="both"/>
              <w:rPr>
                <w:rFonts w:cs="Times New Roman"/>
                <w:sz w:val="22"/>
              </w:rPr>
            </w:pPr>
            <w:r w:rsidRPr="004D03EA">
              <w:rPr>
                <w:rFonts w:cs="Times New Roman"/>
                <w:sz w:val="22"/>
              </w:rPr>
              <w:t>Tab. č. 21</w:t>
            </w:r>
          </w:p>
        </w:tc>
        <w:tc>
          <w:tcPr>
            <w:tcW w:w="4286" w:type="pct"/>
            <w:vAlign w:val="center"/>
          </w:tcPr>
          <w:p w14:paraId="7199A603" w14:textId="498BAC2B" w:rsidR="004D69BF" w:rsidRPr="004D03EA" w:rsidRDefault="004D69BF" w:rsidP="00532D85">
            <w:pPr>
              <w:spacing w:line="240" w:lineRule="auto"/>
              <w:jc w:val="both"/>
              <w:rPr>
                <w:rFonts w:cs="Times New Roman"/>
                <w:sz w:val="22"/>
              </w:rPr>
            </w:pPr>
            <w:r w:rsidRPr="004D03EA">
              <w:rPr>
                <w:rFonts w:cs="Times New Roman"/>
                <w:sz w:val="22"/>
              </w:rPr>
              <w:t>Záväzné limity dotácií zo ŠR obciam za rok 202</w:t>
            </w:r>
            <w:r w:rsidR="007453BD" w:rsidRPr="004D03EA">
              <w:rPr>
                <w:rFonts w:cs="Times New Roman"/>
                <w:sz w:val="22"/>
              </w:rPr>
              <w:t>5</w:t>
            </w:r>
          </w:p>
        </w:tc>
      </w:tr>
      <w:tr w:rsidR="004D69BF" w:rsidRPr="004D03EA" w14:paraId="0E6E179E" w14:textId="77777777" w:rsidTr="004D03EA">
        <w:trPr>
          <w:trHeight w:val="20"/>
          <w:jc w:val="center"/>
        </w:trPr>
        <w:tc>
          <w:tcPr>
            <w:tcW w:w="714" w:type="pct"/>
            <w:vAlign w:val="center"/>
          </w:tcPr>
          <w:p w14:paraId="683897AF" w14:textId="77777777" w:rsidR="004D69BF" w:rsidRPr="004D03EA" w:rsidRDefault="004D69BF" w:rsidP="00532D85">
            <w:pPr>
              <w:spacing w:line="240" w:lineRule="auto"/>
              <w:jc w:val="both"/>
              <w:rPr>
                <w:rFonts w:cs="Times New Roman"/>
                <w:sz w:val="22"/>
              </w:rPr>
            </w:pPr>
            <w:r w:rsidRPr="004D03EA">
              <w:rPr>
                <w:rFonts w:cs="Times New Roman"/>
                <w:sz w:val="22"/>
              </w:rPr>
              <w:t>Tab. č. 22</w:t>
            </w:r>
          </w:p>
        </w:tc>
        <w:tc>
          <w:tcPr>
            <w:tcW w:w="4286" w:type="pct"/>
            <w:vAlign w:val="center"/>
          </w:tcPr>
          <w:p w14:paraId="5E200BB5" w14:textId="7FB7C239" w:rsidR="004D69BF" w:rsidRPr="004D03EA" w:rsidRDefault="004D69BF" w:rsidP="00532D85">
            <w:pPr>
              <w:spacing w:line="240" w:lineRule="auto"/>
              <w:jc w:val="both"/>
              <w:rPr>
                <w:rFonts w:cs="Times New Roman"/>
                <w:sz w:val="22"/>
              </w:rPr>
            </w:pPr>
            <w:r w:rsidRPr="004D03EA">
              <w:rPr>
                <w:rFonts w:cs="Times New Roman"/>
                <w:sz w:val="22"/>
              </w:rPr>
              <w:t>Záväzné limity dotácií zo ŠR vyšším územným celkom za rok 202</w:t>
            </w:r>
            <w:r w:rsidR="007453BD" w:rsidRPr="004D03EA">
              <w:rPr>
                <w:rFonts w:cs="Times New Roman"/>
                <w:sz w:val="22"/>
              </w:rPr>
              <w:t>5</w:t>
            </w:r>
          </w:p>
        </w:tc>
      </w:tr>
      <w:tr w:rsidR="004D69BF" w:rsidRPr="004D03EA" w14:paraId="633B8A83" w14:textId="77777777" w:rsidTr="004D03EA">
        <w:trPr>
          <w:trHeight w:val="20"/>
          <w:jc w:val="center"/>
        </w:trPr>
        <w:tc>
          <w:tcPr>
            <w:tcW w:w="714" w:type="pct"/>
            <w:vAlign w:val="center"/>
          </w:tcPr>
          <w:p w14:paraId="308CBB5A" w14:textId="77777777" w:rsidR="004D69BF" w:rsidRPr="004D03EA" w:rsidRDefault="004D69BF" w:rsidP="00532D85">
            <w:pPr>
              <w:spacing w:line="240" w:lineRule="auto"/>
              <w:jc w:val="both"/>
              <w:rPr>
                <w:rFonts w:cs="Times New Roman"/>
                <w:sz w:val="22"/>
              </w:rPr>
            </w:pPr>
            <w:r w:rsidRPr="004D03EA">
              <w:rPr>
                <w:rFonts w:cs="Times New Roman"/>
                <w:sz w:val="22"/>
              </w:rPr>
              <w:t>Tab. č. 23</w:t>
            </w:r>
          </w:p>
        </w:tc>
        <w:tc>
          <w:tcPr>
            <w:tcW w:w="4286" w:type="pct"/>
            <w:vAlign w:val="center"/>
          </w:tcPr>
          <w:p w14:paraId="21FC32F4" w14:textId="5575DF94" w:rsidR="004D69BF" w:rsidRPr="004D03EA" w:rsidRDefault="004D69BF" w:rsidP="00532D85">
            <w:pPr>
              <w:spacing w:line="240" w:lineRule="auto"/>
              <w:jc w:val="both"/>
              <w:rPr>
                <w:rFonts w:cs="Times New Roman"/>
                <w:sz w:val="22"/>
              </w:rPr>
            </w:pPr>
            <w:r w:rsidRPr="004D03EA">
              <w:rPr>
                <w:rFonts w:cs="Times New Roman"/>
                <w:sz w:val="22"/>
              </w:rPr>
              <w:t>Prehľad o plnení limitu počtu zamestnancov, miezd, platov, služobných príjmov a ostatných osobných vyrovnaní v kapitolách ŠR za rok 202</w:t>
            </w:r>
            <w:r w:rsidR="007453BD" w:rsidRPr="004D03EA">
              <w:rPr>
                <w:rFonts w:cs="Times New Roman"/>
                <w:sz w:val="22"/>
              </w:rPr>
              <w:t>5</w:t>
            </w:r>
          </w:p>
        </w:tc>
      </w:tr>
      <w:tr w:rsidR="004D69BF" w:rsidRPr="004D03EA" w14:paraId="41128F09" w14:textId="77777777" w:rsidTr="004D03EA">
        <w:trPr>
          <w:trHeight w:val="20"/>
          <w:jc w:val="center"/>
        </w:trPr>
        <w:tc>
          <w:tcPr>
            <w:tcW w:w="714" w:type="pct"/>
            <w:vAlign w:val="center"/>
          </w:tcPr>
          <w:p w14:paraId="7E3DB58D" w14:textId="77777777" w:rsidR="004D69BF" w:rsidRPr="004D03EA" w:rsidRDefault="004D69BF" w:rsidP="00532D85">
            <w:pPr>
              <w:spacing w:line="240" w:lineRule="auto"/>
              <w:jc w:val="both"/>
              <w:rPr>
                <w:rFonts w:cs="Times New Roman"/>
                <w:sz w:val="22"/>
              </w:rPr>
            </w:pPr>
            <w:r w:rsidRPr="004D03EA">
              <w:rPr>
                <w:rFonts w:cs="Times New Roman"/>
                <w:sz w:val="22"/>
              </w:rPr>
              <w:t>Tab. č. 24</w:t>
            </w:r>
          </w:p>
        </w:tc>
        <w:tc>
          <w:tcPr>
            <w:tcW w:w="4286" w:type="pct"/>
            <w:vAlign w:val="center"/>
          </w:tcPr>
          <w:p w14:paraId="206AECFE" w14:textId="2B448067" w:rsidR="004D69BF" w:rsidRPr="004D03EA" w:rsidRDefault="004D69BF" w:rsidP="00532D85">
            <w:pPr>
              <w:spacing w:line="240" w:lineRule="auto"/>
              <w:jc w:val="both"/>
              <w:rPr>
                <w:rFonts w:cs="Times New Roman"/>
                <w:sz w:val="22"/>
              </w:rPr>
            </w:pPr>
            <w:r w:rsidRPr="004D03EA">
              <w:rPr>
                <w:rFonts w:cs="Times New Roman"/>
                <w:sz w:val="22"/>
              </w:rPr>
              <w:t>Prehľad o čerpaní miezd, platov, služobných príjmov a ostatných osobných vyrovnaní v kapitolách ŠR za rok 202</w:t>
            </w:r>
            <w:r w:rsidR="007453BD" w:rsidRPr="004D03EA">
              <w:rPr>
                <w:rFonts w:cs="Times New Roman"/>
                <w:sz w:val="22"/>
              </w:rPr>
              <w:t>5</w:t>
            </w:r>
          </w:p>
        </w:tc>
      </w:tr>
      <w:tr w:rsidR="004D69BF" w:rsidRPr="004D03EA" w14:paraId="7B67A3B6" w14:textId="77777777" w:rsidTr="004D03EA">
        <w:trPr>
          <w:trHeight w:val="20"/>
          <w:jc w:val="center"/>
        </w:trPr>
        <w:tc>
          <w:tcPr>
            <w:tcW w:w="714" w:type="pct"/>
            <w:vAlign w:val="center"/>
          </w:tcPr>
          <w:p w14:paraId="0006200B" w14:textId="77777777" w:rsidR="004D69BF" w:rsidRPr="004D03EA" w:rsidRDefault="004D69BF" w:rsidP="00532D85">
            <w:pPr>
              <w:spacing w:line="240" w:lineRule="auto"/>
              <w:jc w:val="both"/>
              <w:rPr>
                <w:rFonts w:cs="Times New Roman"/>
                <w:sz w:val="22"/>
              </w:rPr>
            </w:pPr>
            <w:r w:rsidRPr="004D03EA">
              <w:rPr>
                <w:rFonts w:cs="Times New Roman"/>
                <w:sz w:val="22"/>
              </w:rPr>
              <w:t>Tab. č. 25</w:t>
            </w:r>
          </w:p>
        </w:tc>
        <w:tc>
          <w:tcPr>
            <w:tcW w:w="4286" w:type="pct"/>
            <w:vAlign w:val="center"/>
          </w:tcPr>
          <w:p w14:paraId="0607FC53" w14:textId="30CF6DEB" w:rsidR="004D69BF" w:rsidRPr="004D03EA" w:rsidRDefault="004D69BF" w:rsidP="00532D85">
            <w:pPr>
              <w:spacing w:line="240" w:lineRule="auto"/>
              <w:jc w:val="both"/>
              <w:rPr>
                <w:rFonts w:cs="Times New Roman"/>
                <w:sz w:val="22"/>
              </w:rPr>
            </w:pPr>
            <w:r w:rsidRPr="004D03EA">
              <w:rPr>
                <w:rFonts w:cs="Times New Roman"/>
                <w:sz w:val="22"/>
              </w:rPr>
              <w:t>Systemizácia colníkov v štátnej službe za rok 202</w:t>
            </w:r>
            <w:r w:rsidR="007453BD" w:rsidRPr="004D03EA">
              <w:rPr>
                <w:rFonts w:cs="Times New Roman"/>
                <w:sz w:val="22"/>
              </w:rPr>
              <w:t>5</w:t>
            </w:r>
          </w:p>
        </w:tc>
      </w:tr>
      <w:tr w:rsidR="004D69BF" w:rsidRPr="004D03EA" w14:paraId="035C8BDB" w14:textId="77777777" w:rsidTr="004D03EA">
        <w:trPr>
          <w:trHeight w:val="20"/>
          <w:jc w:val="center"/>
        </w:trPr>
        <w:tc>
          <w:tcPr>
            <w:tcW w:w="714" w:type="pct"/>
            <w:vAlign w:val="center"/>
          </w:tcPr>
          <w:p w14:paraId="52008761" w14:textId="77777777" w:rsidR="004D69BF" w:rsidRPr="004D03EA" w:rsidRDefault="004D69BF" w:rsidP="00532D85">
            <w:pPr>
              <w:spacing w:line="240" w:lineRule="auto"/>
              <w:jc w:val="both"/>
              <w:rPr>
                <w:rFonts w:cs="Times New Roman"/>
                <w:sz w:val="22"/>
              </w:rPr>
            </w:pPr>
            <w:r w:rsidRPr="004D03EA">
              <w:rPr>
                <w:rFonts w:cs="Times New Roman"/>
                <w:sz w:val="22"/>
              </w:rPr>
              <w:t>Tab. č. 26</w:t>
            </w:r>
          </w:p>
        </w:tc>
        <w:tc>
          <w:tcPr>
            <w:tcW w:w="4286" w:type="pct"/>
            <w:vAlign w:val="center"/>
          </w:tcPr>
          <w:p w14:paraId="79566B3A" w14:textId="6760EB8C" w:rsidR="004D69BF" w:rsidRPr="004D03EA" w:rsidRDefault="004D69BF" w:rsidP="00532D85">
            <w:pPr>
              <w:spacing w:line="240" w:lineRule="auto"/>
              <w:jc w:val="both"/>
              <w:rPr>
                <w:rFonts w:cs="Times New Roman"/>
                <w:sz w:val="22"/>
              </w:rPr>
            </w:pPr>
            <w:r w:rsidRPr="004D03EA">
              <w:rPr>
                <w:rFonts w:cs="Times New Roman"/>
                <w:snapToGrid w:val="0"/>
                <w:color w:val="000000"/>
                <w:sz w:val="22"/>
              </w:rPr>
              <w:t>Systemizácia príslušníkov Hasičského záchranného zboru a príslušníkov Horskej záchrannej služby v štátnej službe za rok 202</w:t>
            </w:r>
            <w:r w:rsidR="007453BD" w:rsidRPr="004D03EA">
              <w:rPr>
                <w:rFonts w:cs="Times New Roman"/>
                <w:snapToGrid w:val="0"/>
                <w:color w:val="000000"/>
                <w:sz w:val="22"/>
              </w:rPr>
              <w:t>5</w:t>
            </w:r>
          </w:p>
        </w:tc>
      </w:tr>
      <w:tr w:rsidR="004D69BF" w:rsidRPr="004D03EA" w14:paraId="26CE4102" w14:textId="77777777" w:rsidTr="004D03EA">
        <w:trPr>
          <w:trHeight w:val="20"/>
          <w:jc w:val="center"/>
        </w:trPr>
        <w:tc>
          <w:tcPr>
            <w:tcW w:w="714" w:type="pct"/>
            <w:vAlign w:val="center"/>
          </w:tcPr>
          <w:p w14:paraId="106E06BC" w14:textId="77777777" w:rsidR="004D69BF" w:rsidRPr="004D03EA" w:rsidRDefault="004D69BF" w:rsidP="00532D85">
            <w:pPr>
              <w:spacing w:line="240" w:lineRule="auto"/>
              <w:jc w:val="both"/>
              <w:rPr>
                <w:rFonts w:cs="Times New Roman"/>
                <w:sz w:val="22"/>
              </w:rPr>
            </w:pPr>
            <w:r w:rsidRPr="004D03EA">
              <w:rPr>
                <w:rFonts w:cs="Times New Roman"/>
                <w:sz w:val="22"/>
              </w:rPr>
              <w:t>Tab. č. 27</w:t>
            </w:r>
          </w:p>
        </w:tc>
        <w:tc>
          <w:tcPr>
            <w:tcW w:w="4286" w:type="pct"/>
            <w:vAlign w:val="center"/>
          </w:tcPr>
          <w:p w14:paraId="68051A49" w14:textId="0AAC1E41" w:rsidR="004D69BF" w:rsidRPr="004D03EA" w:rsidRDefault="004D69BF" w:rsidP="00532D85">
            <w:pPr>
              <w:spacing w:line="240" w:lineRule="auto"/>
              <w:jc w:val="both"/>
              <w:rPr>
                <w:rFonts w:cs="Times New Roman"/>
                <w:sz w:val="22"/>
              </w:rPr>
            </w:pPr>
            <w:r w:rsidRPr="004D03EA">
              <w:rPr>
                <w:rFonts w:cs="Times New Roman"/>
                <w:sz w:val="22"/>
              </w:rPr>
              <w:t>Systemizácia policajtov v štátnej službe za rok 202</w:t>
            </w:r>
            <w:r w:rsidR="007453BD" w:rsidRPr="004D03EA">
              <w:rPr>
                <w:rFonts w:cs="Times New Roman"/>
                <w:sz w:val="22"/>
              </w:rPr>
              <w:t>5</w:t>
            </w:r>
          </w:p>
        </w:tc>
      </w:tr>
      <w:tr w:rsidR="004D69BF" w:rsidRPr="004D03EA" w14:paraId="13ABB5F9" w14:textId="77777777" w:rsidTr="004D03EA">
        <w:trPr>
          <w:trHeight w:val="20"/>
          <w:jc w:val="center"/>
        </w:trPr>
        <w:tc>
          <w:tcPr>
            <w:tcW w:w="714" w:type="pct"/>
            <w:vAlign w:val="center"/>
          </w:tcPr>
          <w:p w14:paraId="51A09F13" w14:textId="77777777" w:rsidR="004D69BF" w:rsidRPr="004D03EA" w:rsidRDefault="004D69BF" w:rsidP="00532D85">
            <w:pPr>
              <w:spacing w:line="240" w:lineRule="auto"/>
              <w:jc w:val="both"/>
              <w:rPr>
                <w:rFonts w:cs="Times New Roman"/>
                <w:sz w:val="22"/>
              </w:rPr>
            </w:pPr>
            <w:r w:rsidRPr="004D03EA">
              <w:rPr>
                <w:rFonts w:cs="Times New Roman"/>
                <w:sz w:val="22"/>
              </w:rPr>
              <w:t>Tab. č. 28</w:t>
            </w:r>
          </w:p>
        </w:tc>
        <w:tc>
          <w:tcPr>
            <w:tcW w:w="4286" w:type="pct"/>
            <w:vAlign w:val="center"/>
          </w:tcPr>
          <w:p w14:paraId="1A038255" w14:textId="1B38AB30" w:rsidR="004D69BF" w:rsidRPr="004D03EA" w:rsidRDefault="004D69BF" w:rsidP="00532D85">
            <w:pPr>
              <w:spacing w:line="240" w:lineRule="auto"/>
              <w:jc w:val="both"/>
              <w:rPr>
                <w:rFonts w:cs="Times New Roman"/>
                <w:sz w:val="22"/>
              </w:rPr>
            </w:pPr>
            <w:r w:rsidRPr="004D03EA">
              <w:rPr>
                <w:rFonts w:cs="Times New Roman"/>
                <w:sz w:val="22"/>
              </w:rPr>
              <w:t>Systemizácia profesionálnych vojakov v štátnej službe za rok 202</w:t>
            </w:r>
            <w:r w:rsidR="007453BD" w:rsidRPr="004D03EA">
              <w:rPr>
                <w:rFonts w:cs="Times New Roman"/>
                <w:sz w:val="22"/>
              </w:rPr>
              <w:t>5</w:t>
            </w:r>
          </w:p>
        </w:tc>
      </w:tr>
      <w:tr w:rsidR="004D69BF" w:rsidRPr="004D03EA" w14:paraId="01D436CF" w14:textId="77777777" w:rsidTr="004D03EA">
        <w:trPr>
          <w:trHeight w:val="20"/>
          <w:jc w:val="center"/>
        </w:trPr>
        <w:tc>
          <w:tcPr>
            <w:tcW w:w="714" w:type="pct"/>
            <w:vAlign w:val="center"/>
          </w:tcPr>
          <w:p w14:paraId="3D70C2AF" w14:textId="77777777" w:rsidR="004D69BF" w:rsidRPr="004D03EA" w:rsidRDefault="004D69BF" w:rsidP="00532D85">
            <w:pPr>
              <w:spacing w:line="240" w:lineRule="auto"/>
              <w:jc w:val="both"/>
              <w:rPr>
                <w:rFonts w:cs="Times New Roman"/>
                <w:sz w:val="22"/>
              </w:rPr>
            </w:pPr>
            <w:r w:rsidRPr="004D03EA">
              <w:rPr>
                <w:rFonts w:cs="Times New Roman"/>
                <w:sz w:val="22"/>
              </w:rPr>
              <w:t>Tab. č. 29</w:t>
            </w:r>
          </w:p>
        </w:tc>
        <w:tc>
          <w:tcPr>
            <w:tcW w:w="4286" w:type="pct"/>
            <w:vAlign w:val="center"/>
          </w:tcPr>
          <w:p w14:paraId="29E99A61" w14:textId="307D73FE" w:rsidR="004D69BF" w:rsidRPr="004D03EA" w:rsidRDefault="004D69BF" w:rsidP="00532D85">
            <w:pPr>
              <w:spacing w:line="240" w:lineRule="auto"/>
              <w:jc w:val="both"/>
              <w:rPr>
                <w:rFonts w:cs="Times New Roman"/>
                <w:sz w:val="22"/>
              </w:rPr>
            </w:pPr>
            <w:r w:rsidRPr="004D03EA">
              <w:rPr>
                <w:rFonts w:cs="Times New Roman"/>
                <w:sz w:val="22"/>
              </w:rPr>
              <w:t>Príjmy štátnych príspevkových organizácií podľa kategórií a kapitol ŠR za rok 202</w:t>
            </w:r>
            <w:r w:rsidR="007453BD" w:rsidRPr="004D03EA">
              <w:rPr>
                <w:rFonts w:cs="Times New Roman"/>
                <w:sz w:val="22"/>
              </w:rPr>
              <w:t>5</w:t>
            </w:r>
          </w:p>
        </w:tc>
      </w:tr>
      <w:tr w:rsidR="004D69BF" w:rsidRPr="004D03EA" w14:paraId="1CD80A14" w14:textId="77777777" w:rsidTr="004D03EA">
        <w:trPr>
          <w:trHeight w:val="20"/>
          <w:jc w:val="center"/>
        </w:trPr>
        <w:tc>
          <w:tcPr>
            <w:tcW w:w="714" w:type="pct"/>
            <w:vAlign w:val="center"/>
          </w:tcPr>
          <w:p w14:paraId="4547662F" w14:textId="77777777" w:rsidR="004D69BF" w:rsidRPr="004D03EA" w:rsidRDefault="004D69BF" w:rsidP="00532D85">
            <w:pPr>
              <w:spacing w:line="240" w:lineRule="auto"/>
              <w:jc w:val="both"/>
              <w:rPr>
                <w:rFonts w:cs="Times New Roman"/>
                <w:sz w:val="22"/>
              </w:rPr>
            </w:pPr>
            <w:r w:rsidRPr="004D03EA">
              <w:rPr>
                <w:rFonts w:cs="Times New Roman"/>
                <w:sz w:val="22"/>
              </w:rPr>
              <w:t>Tab. č. 30</w:t>
            </w:r>
          </w:p>
        </w:tc>
        <w:tc>
          <w:tcPr>
            <w:tcW w:w="4286" w:type="pct"/>
            <w:vAlign w:val="center"/>
          </w:tcPr>
          <w:p w14:paraId="5F2801C0" w14:textId="0473E819" w:rsidR="004D69BF" w:rsidRPr="004D03EA" w:rsidRDefault="004D69BF" w:rsidP="00532D85">
            <w:pPr>
              <w:spacing w:line="240" w:lineRule="auto"/>
              <w:jc w:val="both"/>
              <w:rPr>
                <w:rFonts w:cs="Times New Roman"/>
                <w:sz w:val="22"/>
              </w:rPr>
            </w:pPr>
            <w:r w:rsidRPr="004D03EA">
              <w:rPr>
                <w:rFonts w:cs="Times New Roman"/>
                <w:sz w:val="22"/>
              </w:rPr>
              <w:t>Výdavky štátnych príspevkových organizácií podľa kategórií a kapitol ŠR za rok 202</w:t>
            </w:r>
            <w:r w:rsidR="007453BD" w:rsidRPr="004D03EA">
              <w:rPr>
                <w:rFonts w:cs="Times New Roman"/>
                <w:sz w:val="22"/>
              </w:rPr>
              <w:t>5</w:t>
            </w:r>
          </w:p>
        </w:tc>
      </w:tr>
      <w:tr w:rsidR="004D69BF" w:rsidRPr="004D03EA" w14:paraId="39D8870C" w14:textId="77777777" w:rsidTr="004D03EA">
        <w:trPr>
          <w:trHeight w:val="20"/>
          <w:jc w:val="center"/>
        </w:trPr>
        <w:tc>
          <w:tcPr>
            <w:tcW w:w="714" w:type="pct"/>
            <w:vAlign w:val="center"/>
          </w:tcPr>
          <w:p w14:paraId="27076740" w14:textId="77777777" w:rsidR="004D69BF" w:rsidRPr="004D03EA" w:rsidRDefault="004D69BF" w:rsidP="00532D85">
            <w:pPr>
              <w:spacing w:line="240" w:lineRule="auto"/>
              <w:jc w:val="both"/>
              <w:rPr>
                <w:rFonts w:cs="Times New Roman"/>
                <w:sz w:val="22"/>
              </w:rPr>
            </w:pPr>
            <w:r w:rsidRPr="004D03EA">
              <w:rPr>
                <w:rFonts w:cs="Times New Roman"/>
                <w:sz w:val="22"/>
              </w:rPr>
              <w:t>Tab. č. 31</w:t>
            </w:r>
          </w:p>
        </w:tc>
        <w:tc>
          <w:tcPr>
            <w:tcW w:w="4286" w:type="pct"/>
            <w:vAlign w:val="center"/>
          </w:tcPr>
          <w:p w14:paraId="6210CEC0" w14:textId="07FAEC86" w:rsidR="004D69BF" w:rsidRPr="004D03EA" w:rsidRDefault="004D69BF" w:rsidP="00532D85">
            <w:pPr>
              <w:spacing w:line="240" w:lineRule="auto"/>
              <w:jc w:val="both"/>
              <w:rPr>
                <w:rFonts w:cs="Times New Roman"/>
                <w:sz w:val="22"/>
              </w:rPr>
            </w:pPr>
            <w:r w:rsidRPr="004D03EA">
              <w:rPr>
                <w:rFonts w:cs="Times New Roman"/>
                <w:sz w:val="22"/>
              </w:rPr>
              <w:t>Výdavky štátnych príspevkových organizácií podľa funkčnej klasifikácie za rok 202</w:t>
            </w:r>
            <w:r w:rsidR="007453BD" w:rsidRPr="004D03EA">
              <w:rPr>
                <w:rFonts w:cs="Times New Roman"/>
                <w:sz w:val="22"/>
              </w:rPr>
              <w:t>5</w:t>
            </w:r>
          </w:p>
        </w:tc>
      </w:tr>
      <w:tr w:rsidR="004D69BF" w:rsidRPr="004D03EA" w14:paraId="132F7ECC" w14:textId="77777777" w:rsidTr="004D03EA">
        <w:trPr>
          <w:trHeight w:val="20"/>
          <w:jc w:val="center"/>
        </w:trPr>
        <w:tc>
          <w:tcPr>
            <w:tcW w:w="714" w:type="pct"/>
            <w:vAlign w:val="center"/>
          </w:tcPr>
          <w:p w14:paraId="42C1B565" w14:textId="77777777" w:rsidR="004D69BF" w:rsidRPr="004D03EA" w:rsidRDefault="004D69BF" w:rsidP="00532D85">
            <w:pPr>
              <w:spacing w:line="240" w:lineRule="auto"/>
              <w:jc w:val="both"/>
              <w:rPr>
                <w:rFonts w:cs="Times New Roman"/>
                <w:sz w:val="22"/>
              </w:rPr>
            </w:pPr>
            <w:r w:rsidRPr="004D03EA">
              <w:rPr>
                <w:rFonts w:cs="Times New Roman"/>
                <w:sz w:val="22"/>
              </w:rPr>
              <w:t>Tab. č. 32</w:t>
            </w:r>
          </w:p>
        </w:tc>
        <w:tc>
          <w:tcPr>
            <w:tcW w:w="4286" w:type="pct"/>
            <w:vAlign w:val="center"/>
          </w:tcPr>
          <w:p w14:paraId="1C58BBF6" w14:textId="6DD92DF5" w:rsidR="004D69BF" w:rsidRPr="004D03EA" w:rsidRDefault="004D69BF" w:rsidP="00532D85">
            <w:pPr>
              <w:spacing w:line="240" w:lineRule="auto"/>
              <w:jc w:val="both"/>
              <w:rPr>
                <w:rFonts w:cs="Times New Roman"/>
                <w:sz w:val="22"/>
              </w:rPr>
            </w:pPr>
            <w:r w:rsidRPr="004D03EA">
              <w:rPr>
                <w:rFonts w:cs="Times New Roman"/>
                <w:sz w:val="22"/>
              </w:rPr>
              <w:t>Finančné operácie štátnych príspevkových organizácií za rok 202</w:t>
            </w:r>
            <w:r w:rsidR="007453BD" w:rsidRPr="004D03EA">
              <w:rPr>
                <w:rFonts w:cs="Times New Roman"/>
                <w:sz w:val="22"/>
              </w:rPr>
              <w:t>5</w:t>
            </w:r>
          </w:p>
        </w:tc>
      </w:tr>
      <w:tr w:rsidR="004D69BF" w:rsidRPr="004D03EA" w14:paraId="22D717FB" w14:textId="77777777" w:rsidTr="004D03EA">
        <w:trPr>
          <w:trHeight w:val="20"/>
          <w:jc w:val="center"/>
        </w:trPr>
        <w:tc>
          <w:tcPr>
            <w:tcW w:w="714" w:type="pct"/>
            <w:vAlign w:val="center"/>
          </w:tcPr>
          <w:p w14:paraId="202014F4" w14:textId="77777777" w:rsidR="004D69BF" w:rsidRPr="004D03EA" w:rsidRDefault="004D69BF" w:rsidP="00532D85">
            <w:pPr>
              <w:spacing w:line="240" w:lineRule="auto"/>
              <w:jc w:val="both"/>
              <w:rPr>
                <w:rFonts w:cs="Times New Roman"/>
                <w:sz w:val="22"/>
              </w:rPr>
            </w:pPr>
            <w:r w:rsidRPr="004D03EA">
              <w:rPr>
                <w:rFonts w:cs="Times New Roman"/>
                <w:sz w:val="22"/>
              </w:rPr>
              <w:t>Tab. č. 33</w:t>
            </w:r>
          </w:p>
        </w:tc>
        <w:tc>
          <w:tcPr>
            <w:tcW w:w="4286" w:type="pct"/>
            <w:vAlign w:val="center"/>
          </w:tcPr>
          <w:p w14:paraId="09D09B00" w14:textId="21C6ACB6" w:rsidR="004D69BF" w:rsidRPr="004D03EA" w:rsidRDefault="004D69BF" w:rsidP="00532D85">
            <w:pPr>
              <w:spacing w:line="240" w:lineRule="auto"/>
              <w:jc w:val="both"/>
              <w:rPr>
                <w:rFonts w:cs="Times New Roman"/>
                <w:sz w:val="22"/>
              </w:rPr>
            </w:pPr>
            <w:r w:rsidRPr="004D03EA">
              <w:rPr>
                <w:rFonts w:cs="Times New Roman"/>
                <w:sz w:val="22"/>
              </w:rPr>
              <w:t xml:space="preserve">Rezerva na riešenie </w:t>
            </w:r>
            <w:r w:rsidR="00BB69DA">
              <w:rPr>
                <w:rFonts w:cs="Times New Roman"/>
                <w:sz w:val="22"/>
              </w:rPr>
              <w:t xml:space="preserve">negatívnych </w:t>
            </w:r>
            <w:r w:rsidRPr="004D03EA">
              <w:rPr>
                <w:rFonts w:cs="Times New Roman"/>
                <w:sz w:val="22"/>
              </w:rPr>
              <w:t xml:space="preserve">vplyvov </w:t>
            </w:r>
            <w:r w:rsidR="00BB69DA">
              <w:rPr>
                <w:rFonts w:cs="Times New Roman"/>
                <w:sz w:val="22"/>
              </w:rPr>
              <w:t>vývoja rozp. hospodárenia</w:t>
            </w:r>
            <w:r w:rsidRPr="004D03EA">
              <w:rPr>
                <w:rFonts w:cs="Times New Roman"/>
                <w:sz w:val="22"/>
              </w:rPr>
              <w:t xml:space="preserve"> za rok 202</w:t>
            </w:r>
            <w:r w:rsidR="007453BD" w:rsidRPr="004D03EA">
              <w:rPr>
                <w:rFonts w:cs="Times New Roman"/>
                <w:sz w:val="22"/>
              </w:rPr>
              <w:t>5</w:t>
            </w:r>
          </w:p>
        </w:tc>
      </w:tr>
      <w:tr w:rsidR="004D69BF" w:rsidRPr="004D03EA" w14:paraId="736B822D" w14:textId="77777777" w:rsidTr="004D03EA">
        <w:trPr>
          <w:trHeight w:val="20"/>
          <w:jc w:val="center"/>
        </w:trPr>
        <w:tc>
          <w:tcPr>
            <w:tcW w:w="714" w:type="pct"/>
            <w:vAlign w:val="center"/>
          </w:tcPr>
          <w:p w14:paraId="30BFCEE0" w14:textId="77777777" w:rsidR="004D69BF" w:rsidRPr="004D03EA" w:rsidRDefault="004D69BF" w:rsidP="00532D85">
            <w:pPr>
              <w:spacing w:line="240" w:lineRule="auto"/>
              <w:jc w:val="both"/>
              <w:rPr>
                <w:rFonts w:cs="Times New Roman"/>
                <w:sz w:val="22"/>
              </w:rPr>
            </w:pPr>
            <w:r w:rsidRPr="004D03EA">
              <w:rPr>
                <w:rFonts w:cs="Times New Roman"/>
                <w:sz w:val="22"/>
              </w:rPr>
              <w:t>Tab. č. 34</w:t>
            </w:r>
          </w:p>
        </w:tc>
        <w:tc>
          <w:tcPr>
            <w:tcW w:w="4286" w:type="pct"/>
            <w:vAlign w:val="center"/>
          </w:tcPr>
          <w:p w14:paraId="49704748" w14:textId="171F0BD7" w:rsidR="004D69BF" w:rsidRPr="004D03EA" w:rsidRDefault="004D69BF" w:rsidP="00532D85">
            <w:pPr>
              <w:spacing w:line="240" w:lineRule="auto"/>
              <w:jc w:val="both"/>
              <w:rPr>
                <w:rFonts w:cs="Times New Roman"/>
                <w:sz w:val="22"/>
              </w:rPr>
            </w:pPr>
            <w:r w:rsidRPr="004D03EA">
              <w:rPr>
                <w:rFonts w:cs="Times New Roman"/>
                <w:sz w:val="22"/>
              </w:rPr>
              <w:t>Rezerva na riešenie krízových situácií mimo času vojny a vojnového stavu a vykonávanie povodňových prác za rok 202</w:t>
            </w:r>
            <w:r w:rsidR="007453BD" w:rsidRPr="004D03EA">
              <w:rPr>
                <w:rFonts w:cs="Times New Roman"/>
                <w:sz w:val="22"/>
              </w:rPr>
              <w:t>5</w:t>
            </w:r>
          </w:p>
        </w:tc>
      </w:tr>
    </w:tbl>
    <w:p w14:paraId="0DA01843" w14:textId="77777777" w:rsidR="004D69BF" w:rsidRDefault="004D69BF" w:rsidP="00AF3D2E">
      <w:pPr>
        <w:spacing w:line="240" w:lineRule="auto"/>
        <w:jc w:val="both"/>
      </w:pPr>
    </w:p>
    <w:sectPr w:rsidR="004D69BF" w:rsidSect="00D46A5E">
      <w:headerReference w:type="default" r:id="rId22"/>
      <w:footerReference w:type="even" r:id="rId23"/>
      <w:footerReference w:type="default" r:id="rId24"/>
      <w:footerReference w:type="first" r:id="rId25"/>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6F83" w14:textId="77777777" w:rsidR="00913F08" w:rsidRDefault="00913F08" w:rsidP="00881BDB">
      <w:pPr>
        <w:spacing w:line="240" w:lineRule="auto"/>
      </w:pPr>
      <w:r>
        <w:separator/>
      </w:r>
    </w:p>
  </w:endnote>
  <w:endnote w:type="continuationSeparator" w:id="0">
    <w:p w14:paraId="69ECA668" w14:textId="77777777" w:rsidR="00913F08" w:rsidRDefault="00913F08" w:rsidP="00881B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utch801 SWC">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Times-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F45F" w14:textId="7F0D7C65" w:rsidR="007A7529" w:rsidRPr="00CA3D7D" w:rsidRDefault="00175A81">
    <w:pPr>
      <w:pStyle w:val="Pta"/>
      <w:jc w:val="center"/>
      <w:rPr>
        <w:sz w:val="20"/>
        <w:szCs w:val="20"/>
      </w:rPr>
    </w:pPr>
    <w:r>
      <w:rPr>
        <w:noProof/>
      </w:rPr>
      <mc:AlternateContent>
        <mc:Choice Requires="wps">
          <w:drawing>
            <wp:anchor distT="0" distB="0" distL="0" distR="0" simplePos="0" relativeHeight="251659264" behindDoc="0" locked="0" layoutInCell="1" allowOverlap="1" wp14:anchorId="436A1FE8" wp14:editId="340BBCF2">
              <wp:simplePos x="720090" y="9620250"/>
              <wp:positionH relativeFrom="page">
                <wp:align>left</wp:align>
              </wp:positionH>
              <wp:positionV relativeFrom="page">
                <wp:align>bottom</wp:align>
              </wp:positionV>
              <wp:extent cx="633095" cy="407670"/>
              <wp:effectExtent l="0" t="0" r="14605" b="0"/>
              <wp:wrapNone/>
              <wp:docPr id="79651264"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407670"/>
                      </a:xfrm>
                      <a:prstGeom prst="rect">
                        <a:avLst/>
                      </a:prstGeom>
                      <a:noFill/>
                      <a:ln>
                        <a:noFill/>
                      </a:ln>
                    </wps:spPr>
                    <wps:txbx>
                      <w:txbxContent>
                        <w:p w14:paraId="5949CF69" w14:textId="1E0D5BB2" w:rsidR="00175A81" w:rsidRPr="00175A81" w:rsidRDefault="00175A81" w:rsidP="00175A81">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6A1FE8" id="_x0000_t202" coordsize="21600,21600" o:spt="202" path="m,l,21600r21600,l21600,xe">
              <v:stroke joinstyle="miter"/>
              <v:path gradientshapeok="t" o:connecttype="rect"/>
            </v:shapetype>
            <v:shape id="Textové pole 2" o:spid="_x0000_s1026" type="#_x0000_t202" alt="Interné" style="position:absolute;left:0;text-align:left;margin-left:0;margin-top:0;width:49.85pt;height:32.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" filled="f" stroked="f">
              <v:textbox style="mso-fit-shape-to-text:t" inset="20pt,0,0,15pt">
                <w:txbxContent>
                  <w:p w14:paraId="5949CF69" w14:textId="1E0D5BB2" w:rsidR="00175A81" w:rsidRPr="00175A81" w:rsidRDefault="00175A81" w:rsidP="00175A81">
                    <w:pPr>
                      <w:rPr>
                        <w:rFonts w:ascii="Calibri" w:eastAsia="Calibri" w:hAnsi="Calibri" w:cs="Calibri"/>
                        <w:noProof/>
                        <w:color w:val="000000"/>
                        <w:sz w:val="20"/>
                        <w:szCs w:val="20"/>
                      </w:rPr>
                    </w:pPr>
                  </w:p>
                </w:txbxContent>
              </v:textbox>
              <w10:wrap anchorx="page" anchory="page"/>
            </v:shape>
          </w:pict>
        </mc:Fallback>
      </mc:AlternateContent>
    </w:r>
    <w:sdt>
      <w:sdtPr>
        <w:id w:val="403116811"/>
        <w:docPartObj>
          <w:docPartGallery w:val="Page Numbers (Bottom of Page)"/>
          <w:docPartUnique/>
        </w:docPartObj>
      </w:sdtPr>
      <w:sdtEndPr>
        <w:rPr>
          <w:sz w:val="20"/>
          <w:szCs w:val="20"/>
        </w:rPr>
      </w:sdtEndPr>
      <w:sdtContent>
        <w:r w:rsidR="007A7529" w:rsidRPr="00CA3D7D">
          <w:rPr>
            <w:sz w:val="20"/>
            <w:szCs w:val="20"/>
          </w:rPr>
          <w:fldChar w:fldCharType="begin"/>
        </w:r>
        <w:r w:rsidR="007A7529" w:rsidRPr="00CA3D7D">
          <w:rPr>
            <w:sz w:val="20"/>
            <w:szCs w:val="20"/>
          </w:rPr>
          <w:instrText>PAGE   \* MERGEFORMAT</w:instrText>
        </w:r>
        <w:r w:rsidR="007A7529" w:rsidRPr="00CA3D7D">
          <w:rPr>
            <w:sz w:val="20"/>
            <w:szCs w:val="20"/>
          </w:rPr>
          <w:fldChar w:fldCharType="separate"/>
        </w:r>
        <w:r w:rsidR="00766E41">
          <w:rPr>
            <w:noProof/>
            <w:sz w:val="20"/>
            <w:szCs w:val="20"/>
          </w:rPr>
          <w:t>90</w:t>
        </w:r>
        <w:r w:rsidR="007A7529" w:rsidRPr="00CA3D7D">
          <w:rPr>
            <w:sz w:val="20"/>
            <w:szCs w:val="20"/>
          </w:rPr>
          <w:fldChar w:fldCharType="end"/>
        </w:r>
      </w:sdtContent>
    </w:sdt>
  </w:p>
  <w:p w14:paraId="598E35E0" w14:textId="77777777" w:rsidR="007A7529" w:rsidRDefault="007A7529">
    <w:pPr>
      <w:pStyle w:val="Pta"/>
    </w:pPr>
  </w:p>
  <w:p w14:paraId="14387167" w14:textId="77777777" w:rsidR="007A7529" w:rsidRDefault="007A75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0C04" w14:textId="111B453F" w:rsidR="007A7529" w:rsidRPr="00CA3D7D" w:rsidRDefault="00175A81">
    <w:pPr>
      <w:pStyle w:val="Pta"/>
      <w:jc w:val="center"/>
      <w:rPr>
        <w:sz w:val="20"/>
        <w:szCs w:val="20"/>
      </w:rPr>
    </w:pPr>
    <w:r>
      <w:rPr>
        <w:noProof/>
      </w:rPr>
      <mc:AlternateContent>
        <mc:Choice Requires="wps">
          <w:drawing>
            <wp:anchor distT="0" distB="0" distL="0" distR="0" simplePos="0" relativeHeight="251660288" behindDoc="0" locked="0" layoutInCell="1" allowOverlap="1" wp14:anchorId="5E3C367C" wp14:editId="2036AC13">
              <wp:simplePos x="1168400" y="9620250"/>
              <wp:positionH relativeFrom="page">
                <wp:align>left</wp:align>
              </wp:positionH>
              <wp:positionV relativeFrom="page">
                <wp:align>bottom</wp:align>
              </wp:positionV>
              <wp:extent cx="633095" cy="407670"/>
              <wp:effectExtent l="0" t="0" r="14605" b="0"/>
              <wp:wrapNone/>
              <wp:docPr id="1962694488"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407670"/>
                      </a:xfrm>
                      <a:prstGeom prst="rect">
                        <a:avLst/>
                      </a:prstGeom>
                      <a:noFill/>
                      <a:ln>
                        <a:noFill/>
                      </a:ln>
                    </wps:spPr>
                    <wps:txbx>
                      <w:txbxContent>
                        <w:p w14:paraId="402AA175" w14:textId="590579B3" w:rsidR="00175A81" w:rsidRPr="00175A81" w:rsidRDefault="00175A81" w:rsidP="00175A81">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3C367C" id="_x0000_t202" coordsize="21600,21600" o:spt="202" path="m,l,21600r21600,l21600,xe">
              <v:stroke joinstyle="miter"/>
              <v:path gradientshapeok="t" o:connecttype="rect"/>
            </v:shapetype>
            <v:shape id="Textové pole 3" o:spid="_x0000_s1027" type="#_x0000_t202" alt="Interné" style="position:absolute;left:0;text-align:left;margin-left:0;margin-top:0;width:49.85pt;height:32.1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" filled="f" stroked="f">
              <v:textbox style="mso-fit-shape-to-text:t" inset="20pt,0,0,15pt">
                <w:txbxContent>
                  <w:p w14:paraId="402AA175" w14:textId="590579B3" w:rsidR="00175A81" w:rsidRPr="00175A81" w:rsidRDefault="00175A81" w:rsidP="00175A81">
                    <w:pPr>
                      <w:rPr>
                        <w:rFonts w:ascii="Calibri" w:eastAsia="Calibri" w:hAnsi="Calibri" w:cs="Calibri"/>
                        <w:noProof/>
                        <w:color w:val="000000"/>
                        <w:sz w:val="20"/>
                        <w:szCs w:val="20"/>
                      </w:rPr>
                    </w:pPr>
                  </w:p>
                </w:txbxContent>
              </v:textbox>
              <w10:wrap anchorx="page" anchory="page"/>
            </v:shape>
          </w:pict>
        </mc:Fallback>
      </mc:AlternateContent>
    </w:r>
    <w:sdt>
      <w:sdtPr>
        <w:id w:val="-469208128"/>
        <w:docPartObj>
          <w:docPartGallery w:val="Page Numbers (Bottom of Page)"/>
          <w:docPartUnique/>
        </w:docPartObj>
      </w:sdtPr>
      <w:sdtEndPr>
        <w:rPr>
          <w:sz w:val="20"/>
          <w:szCs w:val="20"/>
        </w:rPr>
      </w:sdtEndPr>
      <w:sdtContent>
        <w:r w:rsidR="007A7529" w:rsidRPr="00CA3D7D">
          <w:rPr>
            <w:sz w:val="20"/>
            <w:szCs w:val="20"/>
          </w:rPr>
          <w:fldChar w:fldCharType="begin"/>
        </w:r>
        <w:r w:rsidR="007A7529" w:rsidRPr="00CA3D7D">
          <w:rPr>
            <w:sz w:val="20"/>
            <w:szCs w:val="20"/>
          </w:rPr>
          <w:instrText>PAGE   \* MERGEFORMAT</w:instrText>
        </w:r>
        <w:r w:rsidR="007A7529" w:rsidRPr="00CA3D7D">
          <w:rPr>
            <w:sz w:val="20"/>
            <w:szCs w:val="20"/>
          </w:rPr>
          <w:fldChar w:fldCharType="separate"/>
        </w:r>
        <w:r w:rsidR="00766E41">
          <w:rPr>
            <w:noProof/>
            <w:sz w:val="20"/>
            <w:szCs w:val="20"/>
          </w:rPr>
          <w:t>89</w:t>
        </w:r>
        <w:r w:rsidR="007A7529" w:rsidRPr="00CA3D7D">
          <w:rPr>
            <w:sz w:val="20"/>
            <w:szCs w:val="20"/>
          </w:rPr>
          <w:fldChar w:fldCharType="end"/>
        </w:r>
      </w:sdtContent>
    </w:sdt>
  </w:p>
  <w:p w14:paraId="2A479206" w14:textId="77777777" w:rsidR="007A7529" w:rsidRDefault="007A7529">
    <w:pPr>
      <w:pStyle w:val="Pta"/>
    </w:pPr>
  </w:p>
  <w:p w14:paraId="09863316" w14:textId="77777777" w:rsidR="007A7529" w:rsidRDefault="007A75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E189" w14:textId="0D4DB55B" w:rsidR="00175A81" w:rsidRDefault="00175A81">
    <w:pPr>
      <w:pStyle w:val="Pta"/>
    </w:pPr>
    <w:r>
      <w:rPr>
        <w:noProof/>
      </w:rPr>
      <mc:AlternateContent>
        <mc:Choice Requires="wps">
          <w:drawing>
            <wp:anchor distT="0" distB="0" distL="0" distR="0" simplePos="0" relativeHeight="251658240" behindDoc="0" locked="0" layoutInCell="1" allowOverlap="1" wp14:anchorId="79332039" wp14:editId="2CD4E08E">
              <wp:simplePos x="635" y="635"/>
              <wp:positionH relativeFrom="page">
                <wp:align>left</wp:align>
              </wp:positionH>
              <wp:positionV relativeFrom="page">
                <wp:align>bottom</wp:align>
              </wp:positionV>
              <wp:extent cx="633095" cy="407670"/>
              <wp:effectExtent l="0" t="0" r="14605" b="0"/>
              <wp:wrapNone/>
              <wp:docPr id="1595589861"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407670"/>
                      </a:xfrm>
                      <a:prstGeom prst="rect">
                        <a:avLst/>
                      </a:prstGeom>
                      <a:noFill/>
                      <a:ln>
                        <a:noFill/>
                      </a:ln>
                    </wps:spPr>
                    <wps:txbx>
                      <w:txbxContent>
                        <w:p w14:paraId="6F14D089" w14:textId="638917D0" w:rsidR="00175A81" w:rsidRPr="00175A81" w:rsidRDefault="00175A81" w:rsidP="00175A81">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332039" id="_x0000_t202" coordsize="21600,21600" o:spt="202" path="m,l,21600r21600,l21600,xe">
              <v:stroke joinstyle="miter"/>
              <v:path gradientshapeok="t" o:connecttype="rect"/>
            </v:shapetype>
            <v:shape id="Textové pole 1" o:spid="_x0000_s1028" type="#_x0000_t202" alt="Interné" style="position:absolute;margin-left:0;margin-top:0;width:49.85pt;height:32.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" filled="f" stroked="f">
              <v:textbox style="mso-fit-shape-to-text:t" inset="20pt,0,0,15pt">
                <w:txbxContent>
                  <w:p w14:paraId="6F14D089" w14:textId="638917D0" w:rsidR="00175A81" w:rsidRPr="00175A81" w:rsidRDefault="00175A81" w:rsidP="00175A81">
                    <w:pPr>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24F5A" w14:textId="77777777" w:rsidR="00913F08" w:rsidRDefault="00913F08" w:rsidP="00881BDB">
      <w:pPr>
        <w:spacing w:line="240" w:lineRule="auto"/>
      </w:pPr>
      <w:r>
        <w:separator/>
      </w:r>
    </w:p>
  </w:footnote>
  <w:footnote w:type="continuationSeparator" w:id="0">
    <w:p w14:paraId="1DB8F68E" w14:textId="77777777" w:rsidR="00913F08" w:rsidRDefault="00913F08" w:rsidP="00881BDB">
      <w:pPr>
        <w:spacing w:line="240" w:lineRule="auto"/>
      </w:pPr>
      <w:r>
        <w:continuationSeparator/>
      </w:r>
    </w:p>
  </w:footnote>
  <w:footnote w:id="1">
    <w:p w14:paraId="5A3C5014" w14:textId="7071D761" w:rsidR="007A7529" w:rsidRDefault="007A7529" w:rsidP="003E206C">
      <w:pPr>
        <w:pStyle w:val="Textpoznmkypodiarou"/>
        <w:rPr>
          <w:sz w:val="18"/>
          <w:szCs w:val="18"/>
        </w:rPr>
      </w:pPr>
      <w:r>
        <w:rPr>
          <w:rStyle w:val="Odkaznapoznmkupodiarou"/>
        </w:rPr>
        <w:footnoteRef/>
      </w:r>
      <w:r>
        <w:t xml:space="preserve"> </w:t>
      </w:r>
      <w:r w:rsidRPr="00BB14A0">
        <w:rPr>
          <w:sz w:val="18"/>
          <w:szCs w:val="18"/>
        </w:rPr>
        <w:t xml:space="preserve">Údaje za Slovenskú republiku boli odoslané 31.3.2024 a následne notifikované zo strany Eurostatu. Zverejnené výsledky sú </w:t>
      </w:r>
      <w:r w:rsidRPr="00F416A5">
        <w:rPr>
          <w:sz w:val="18"/>
          <w:szCs w:val="18"/>
        </w:rPr>
        <w:t>dostupné na webovom sídle Eurostatu:</w:t>
      </w:r>
    </w:p>
    <w:p w14:paraId="7ECEC402" w14:textId="77777777" w:rsidR="007A7529" w:rsidRDefault="007A7529" w:rsidP="003E206C">
      <w:pPr>
        <w:pStyle w:val="Textpoznmkypodiarou"/>
        <w:rPr>
          <w:rStyle w:val="Hypertextovprepojenie"/>
          <w:sz w:val="18"/>
          <w:szCs w:val="18"/>
        </w:rPr>
      </w:pPr>
      <w:hyperlink r:id="rId1" w:history="1">
        <w:r w:rsidRPr="00F416A5">
          <w:rPr>
            <w:rStyle w:val="Hypertextovprepojenie"/>
            <w:sz w:val="18"/>
            <w:szCs w:val="18"/>
          </w:rPr>
          <w:t>https://ec.europa.eu/eurostat/web/products-euro-indicators/w/2-22042025-ap</w:t>
        </w:r>
      </w:hyperlink>
    </w:p>
    <w:p w14:paraId="59168898" w14:textId="00717B3D" w:rsidR="007A7529" w:rsidRPr="000918B9" w:rsidRDefault="007A7529" w:rsidP="003E206C">
      <w:pPr>
        <w:pStyle w:val="Textpoznmkypodiarou"/>
        <w:rPr>
          <w:rStyle w:val="Hypertextovprepojenie"/>
          <w:color w:val="auto"/>
          <w:sz w:val="18"/>
          <w:szCs w:val="18"/>
          <w:u w:val="none"/>
        </w:rPr>
      </w:pPr>
      <w:hyperlink r:id="rId2" w:history="1">
        <w:r w:rsidRPr="00F416A5">
          <w:rPr>
            <w:rStyle w:val="Hypertextovprepojenie"/>
            <w:sz w:val="18"/>
            <w:szCs w:val="18"/>
          </w:rPr>
          <w:t>https://ec.europa.eu/eurostat/databrowser/view/gov_10dd_edpt1/default/table?lang=en&amp;category=gov.gov_gfs10.gov_10dd</w:t>
        </w:r>
      </w:hyperlink>
    </w:p>
  </w:footnote>
  <w:footnote w:id="2">
    <w:p w14:paraId="0D5A3939" w14:textId="77777777" w:rsidR="00172628" w:rsidRPr="00B641CD" w:rsidRDefault="00172628" w:rsidP="00B641CD">
      <w:pPr>
        <w:pStyle w:val="Textpoznmkypodiarou"/>
        <w:jc w:val="both"/>
        <w:rPr>
          <w:sz w:val="18"/>
          <w:szCs w:val="18"/>
        </w:rPr>
      </w:pPr>
      <w:r>
        <w:rPr>
          <w:rStyle w:val="Odkaznapoznmkupodiarou"/>
        </w:rPr>
        <w:footnoteRef/>
      </w:r>
      <w:r>
        <w:t xml:space="preserve"> </w:t>
      </w:r>
      <w:r w:rsidRPr="00B641CD">
        <w:rPr>
          <w:sz w:val="18"/>
          <w:szCs w:val="18"/>
        </w:rPr>
        <w:t>Z objektívnych dôvodov však v rozpočte verejnej správy neboli zaradené rozpočty všetkých subjektov verejnej správy. Rozpočet verejnej správy na roky 2025 až 2027 neobsahoval príjmy a výdavky za 1 042 subjektov, pričom išlo prevažne o malé neziskové organizácie štátu, štátne podniky, či akciové spoločnosti v ústrednej správe a najmä neziskové účtovné jednotky v územnej samospráve (spolu 973 organizácií územnej samosprávy). Získavanie údajov od týchto subjektov by bolo problematické, pričom ich vplyv na bilanciu verejných financií bol za posledné roky zanedbateľný.</w:t>
      </w:r>
    </w:p>
  </w:footnote>
  <w:footnote w:id="3">
    <w:p w14:paraId="5951F461" w14:textId="77777777" w:rsidR="00172628" w:rsidRPr="00B641CD" w:rsidRDefault="00172628" w:rsidP="00B641CD">
      <w:pPr>
        <w:pStyle w:val="Textpoznmkypodiarou"/>
        <w:jc w:val="both"/>
        <w:rPr>
          <w:sz w:val="18"/>
          <w:szCs w:val="18"/>
        </w:rPr>
      </w:pPr>
      <w:r w:rsidRPr="00B641CD">
        <w:rPr>
          <w:rStyle w:val="Odkaznapoznmkupodiarou"/>
          <w:sz w:val="18"/>
          <w:szCs w:val="18"/>
        </w:rPr>
        <w:footnoteRef/>
      </w:r>
      <w:r w:rsidRPr="00B641CD">
        <w:rPr>
          <w:sz w:val="18"/>
          <w:szCs w:val="18"/>
        </w:rPr>
        <w:t xml:space="preserve"> FISIM – Financial Intermediation Services Indirectly Measured. Ide o odhad hodnoty služieb poskytovaných finančnými sprostredkovateľmi ako sú banky, za ktoré sa neúčtujú žiadne explicitné poplatky.</w:t>
      </w:r>
    </w:p>
  </w:footnote>
  <w:footnote w:id="4">
    <w:p w14:paraId="2BC2BDFD" w14:textId="31C73143" w:rsidR="007A7529" w:rsidRPr="000C3C49" w:rsidRDefault="007A7529" w:rsidP="009D3A3F">
      <w:pPr>
        <w:pStyle w:val="Textpoznmkypodiarou"/>
        <w:jc w:val="both"/>
        <w:rPr>
          <w:sz w:val="18"/>
          <w:szCs w:val="18"/>
        </w:rPr>
      </w:pPr>
      <w:r w:rsidRPr="000C3C49">
        <w:rPr>
          <w:rStyle w:val="Odkaznapoznmkupodiarou"/>
          <w:sz w:val="18"/>
          <w:szCs w:val="18"/>
        </w:rPr>
        <w:footnoteRef/>
      </w:r>
      <w:r w:rsidRPr="000C3C49">
        <w:rPr>
          <w:sz w:val="18"/>
          <w:szCs w:val="18"/>
        </w:rPr>
        <w:t xml:space="preserve"> Uznesením č. </w:t>
      </w:r>
      <w:r w:rsidR="00733558">
        <w:rPr>
          <w:sz w:val="18"/>
          <w:szCs w:val="18"/>
        </w:rPr>
        <w:t>606</w:t>
      </w:r>
      <w:r>
        <w:rPr>
          <w:sz w:val="18"/>
          <w:szCs w:val="18"/>
        </w:rPr>
        <w:t>/202</w:t>
      </w:r>
      <w:r w:rsidR="00733558">
        <w:rPr>
          <w:sz w:val="18"/>
          <w:szCs w:val="18"/>
        </w:rPr>
        <w:t>4</w:t>
      </w:r>
      <w:r w:rsidRPr="000C3C49">
        <w:rPr>
          <w:sz w:val="18"/>
          <w:szCs w:val="18"/>
        </w:rPr>
        <w:t xml:space="preserve">; </w:t>
      </w:r>
      <w:hyperlink r:id="rId3" w:history="1">
        <w:r w:rsidR="000524E5" w:rsidRPr="00FE7A9D">
          <w:rPr>
            <w:rStyle w:val="Hypertextovprepojenie"/>
            <w:sz w:val="18"/>
            <w:szCs w:val="18"/>
          </w:rPr>
          <w:t>https://rokovania.gov.sk/RVL/Resolution/21987/1</w:t>
        </w:r>
      </w:hyperlink>
    </w:p>
  </w:footnote>
  <w:footnote w:id="5">
    <w:p w14:paraId="68FF6448" w14:textId="6616647A" w:rsidR="007A7529" w:rsidRPr="000C3C49" w:rsidRDefault="007A7529" w:rsidP="009D3A3F">
      <w:pPr>
        <w:pStyle w:val="Textpoznmkypodiarou"/>
        <w:jc w:val="both"/>
        <w:rPr>
          <w:sz w:val="18"/>
          <w:szCs w:val="18"/>
        </w:rPr>
      </w:pPr>
      <w:r w:rsidRPr="000C3C49">
        <w:rPr>
          <w:rStyle w:val="Odkaznapoznmkupodiarou"/>
          <w:sz w:val="18"/>
          <w:szCs w:val="18"/>
        </w:rPr>
        <w:footnoteRef/>
      </w:r>
      <w:r w:rsidRPr="000C3C49">
        <w:rPr>
          <w:sz w:val="18"/>
          <w:szCs w:val="18"/>
        </w:rPr>
        <w:t xml:space="preserve"> Uzne</w:t>
      </w:r>
      <w:r>
        <w:rPr>
          <w:sz w:val="18"/>
          <w:szCs w:val="18"/>
        </w:rPr>
        <w:t xml:space="preserve">sením č. </w:t>
      </w:r>
      <w:r w:rsidR="000524E5">
        <w:rPr>
          <w:sz w:val="18"/>
          <w:szCs w:val="18"/>
        </w:rPr>
        <w:t>699</w:t>
      </w:r>
      <w:r>
        <w:rPr>
          <w:sz w:val="18"/>
          <w:szCs w:val="18"/>
        </w:rPr>
        <w:t>/202</w:t>
      </w:r>
      <w:r w:rsidR="000D4E28">
        <w:rPr>
          <w:sz w:val="18"/>
          <w:szCs w:val="18"/>
        </w:rPr>
        <w:t>4</w:t>
      </w:r>
      <w:r w:rsidRPr="000C3C49">
        <w:rPr>
          <w:sz w:val="18"/>
          <w:szCs w:val="18"/>
        </w:rPr>
        <w:t xml:space="preserve">; </w:t>
      </w:r>
      <w:r w:rsidR="000524E5" w:rsidRPr="000524E5">
        <w:rPr>
          <w:rStyle w:val="Hypertextovprepojenie"/>
          <w:sz w:val="18"/>
          <w:szCs w:val="18"/>
        </w:rPr>
        <w:t>https://www.nrsr.sk/web/Default.aspx?sid=schodze/uznesenie&amp;MasterID=15230</w:t>
      </w:r>
    </w:p>
  </w:footnote>
  <w:footnote w:id="6">
    <w:p w14:paraId="51F3884E" w14:textId="77777777" w:rsidR="00816218" w:rsidRPr="00E73EA2" w:rsidRDefault="00816218" w:rsidP="00816218">
      <w:pPr>
        <w:pStyle w:val="Textpoznmkypodiarou"/>
        <w:jc w:val="both"/>
        <w:rPr>
          <w:sz w:val="18"/>
          <w:szCs w:val="18"/>
        </w:rPr>
      </w:pPr>
      <w:r w:rsidRPr="00E73EA2">
        <w:rPr>
          <w:rStyle w:val="Odkaznapoznmkupodiarou"/>
          <w:sz w:val="18"/>
          <w:szCs w:val="18"/>
        </w:rPr>
        <w:footnoteRef/>
      </w:r>
      <w:r w:rsidRPr="00E73EA2">
        <w:rPr>
          <w:sz w:val="18"/>
          <w:szCs w:val="18"/>
        </w:rPr>
        <w:t xml:space="preserve"> V prípade viacerých daní ide len o odhad skutočnosti, nakoľko podľa metodiky akrualizácie sa dane uzatvárajú priebežne počas roka 2026. Ide o DPFO z podnikania, DPPO, DPH, daň z motorových vozidiel, osobitný odvod z podnikania v reg. odvetviach, sociálne odvody.</w:t>
      </w:r>
      <w:r>
        <w:rPr>
          <w:sz w:val="18"/>
          <w:szCs w:val="18"/>
        </w:rPr>
        <w:t xml:space="preserve"> Dorovnávacia daň za rok 2025 bude známa až v polke roka 2027.</w:t>
      </w:r>
    </w:p>
  </w:footnote>
  <w:footnote w:id="7">
    <w:p w14:paraId="0BB92299" w14:textId="77777777" w:rsidR="0050710A" w:rsidRPr="009D3A3F" w:rsidRDefault="0050710A" w:rsidP="009D3A3F">
      <w:pPr>
        <w:pStyle w:val="Textpoznmkypodiarou"/>
        <w:jc w:val="both"/>
        <w:rPr>
          <w:sz w:val="18"/>
          <w:szCs w:val="18"/>
        </w:rPr>
      </w:pPr>
      <w:r w:rsidRPr="009D3A3F">
        <w:rPr>
          <w:rStyle w:val="Odkaznapoznmkupodiarou"/>
          <w:sz w:val="18"/>
          <w:szCs w:val="18"/>
        </w:rPr>
        <w:footnoteRef/>
      </w:r>
      <w:r w:rsidRPr="009D3A3F">
        <w:rPr>
          <w:sz w:val="18"/>
          <w:szCs w:val="18"/>
        </w:rPr>
        <w:t xml:space="preserve"> Ide o dividendy štátneho rozpočtu a MH Manažment, a. s.</w:t>
      </w:r>
    </w:p>
  </w:footnote>
  <w:footnote w:id="8">
    <w:p w14:paraId="2DA61DEB" w14:textId="52CE81CF" w:rsidR="00071FF0" w:rsidRPr="00A048DC" w:rsidRDefault="00071FF0" w:rsidP="00A048DC">
      <w:pPr>
        <w:spacing w:line="240" w:lineRule="auto"/>
        <w:jc w:val="both"/>
        <w:rPr>
          <w:sz w:val="18"/>
          <w:szCs w:val="18"/>
        </w:rPr>
      </w:pPr>
      <w:r w:rsidRPr="00C97DA8">
        <w:rPr>
          <w:rStyle w:val="Odkaznapoznmkupodiarou"/>
          <w:sz w:val="18"/>
          <w:szCs w:val="18"/>
        </w:rPr>
        <w:footnoteRef/>
      </w:r>
      <w:r w:rsidRPr="00C97DA8">
        <w:rPr>
          <w:sz w:val="18"/>
          <w:szCs w:val="18"/>
        </w:rPr>
        <w:t xml:space="preserve"> </w:t>
      </w:r>
      <w:r w:rsidRPr="00A048DC">
        <w:rPr>
          <w:sz w:val="18"/>
          <w:szCs w:val="18"/>
        </w:rPr>
        <w:t>Pre zaznamenávanie výdavkov z </w:t>
      </w:r>
      <w:r w:rsidR="0003134B">
        <w:rPr>
          <w:sz w:val="18"/>
          <w:szCs w:val="18"/>
        </w:rPr>
        <w:t>POO</w:t>
      </w:r>
      <w:r w:rsidRPr="00A048DC">
        <w:rPr>
          <w:sz w:val="18"/>
          <w:szCs w:val="18"/>
        </w:rPr>
        <w:t xml:space="preserve"> hradených z EÚ platia rovnaké pravidlá ako pre</w:t>
      </w:r>
      <w:r w:rsidR="00A048DC">
        <w:rPr>
          <w:sz w:val="18"/>
          <w:szCs w:val="18"/>
        </w:rPr>
        <w:t> </w:t>
      </w:r>
      <w:r w:rsidRPr="00A048DC">
        <w:rPr>
          <w:sz w:val="18"/>
          <w:szCs w:val="18"/>
        </w:rPr>
        <w:t>zaznamenávanie prostriedkov z klasických Európskych štrukturálnych a investičných fondov, teda sa eliminuje ich vplyv na schodok verejnej správy. Hodnota tejto upravujúcej položky na schodok predstavovala v roku 2025 negatívnu hodnotu 7 007 tis. eur (hodnota celková výdavkov z POO bola nižšia ako hodnota celkových príjmov).</w:t>
      </w:r>
    </w:p>
  </w:footnote>
  <w:footnote w:id="9">
    <w:p w14:paraId="58D68C1F" w14:textId="77777777" w:rsidR="00071FF0" w:rsidRPr="00A048DC" w:rsidRDefault="00071FF0" w:rsidP="00A048DC">
      <w:pPr>
        <w:pStyle w:val="Textpoznmkypodiarou"/>
        <w:jc w:val="both"/>
        <w:rPr>
          <w:sz w:val="18"/>
          <w:szCs w:val="18"/>
        </w:rPr>
      </w:pPr>
      <w:r w:rsidRPr="00A048DC">
        <w:rPr>
          <w:rStyle w:val="Odkaznapoznmkupodiarou"/>
          <w:sz w:val="18"/>
          <w:szCs w:val="18"/>
        </w:rPr>
        <w:footnoteRef/>
      </w:r>
      <w:r w:rsidRPr="00A048DC">
        <w:rPr>
          <w:sz w:val="18"/>
          <w:szCs w:val="18"/>
        </w:rPr>
        <w:t xml:space="preserve"> Systémová korekcia vzniká v dôsledku opakujúceho sa nedostatku zisteného v rámci viacerých projektov, je dôsledkom závažného nedostatku účinného fungovania systémov riadenia a kontroly, a to vrátane nestanovenia vhodných postupov.</w:t>
      </w:r>
    </w:p>
  </w:footnote>
  <w:footnote w:id="10">
    <w:p w14:paraId="39CA739A" w14:textId="77777777" w:rsidR="00071FF0" w:rsidRPr="00A048DC" w:rsidRDefault="00071FF0" w:rsidP="00A048DC">
      <w:pPr>
        <w:pStyle w:val="Textpoznmkypodiarou"/>
        <w:jc w:val="both"/>
        <w:rPr>
          <w:sz w:val="18"/>
          <w:szCs w:val="18"/>
        </w:rPr>
      </w:pPr>
      <w:r w:rsidRPr="00A048DC">
        <w:rPr>
          <w:rStyle w:val="Odkaznapoznmkupodiarou"/>
          <w:sz w:val="18"/>
          <w:szCs w:val="18"/>
        </w:rPr>
        <w:footnoteRef/>
      </w:r>
      <w:r w:rsidRPr="00A048DC">
        <w:rPr>
          <w:sz w:val="18"/>
          <w:szCs w:val="18"/>
        </w:rPr>
        <w:t xml:space="preserve"> Individuálna nezrovnalosť je zistený nedostatok (jednorazová chyba), ktorý sa viaže k jednej operácii, resp. k jednému projektu a je nezávislý od iných chýb alebo nedostatkov v systéme riadenia a kontroly.</w:t>
      </w:r>
    </w:p>
  </w:footnote>
  <w:footnote w:id="11">
    <w:p w14:paraId="24896A80" w14:textId="5E587F78" w:rsidR="00353357" w:rsidRPr="00A048DC" w:rsidRDefault="00353357" w:rsidP="00A048DC">
      <w:pPr>
        <w:pStyle w:val="Textpoznmkypodiarou"/>
        <w:jc w:val="both"/>
        <w:rPr>
          <w:sz w:val="18"/>
          <w:szCs w:val="18"/>
        </w:rPr>
      </w:pPr>
      <w:r w:rsidRPr="00A048DC">
        <w:rPr>
          <w:rStyle w:val="Odkaznapoznmkupodiarou"/>
          <w:sz w:val="18"/>
          <w:szCs w:val="18"/>
        </w:rPr>
        <w:footnoteRef/>
      </w:r>
      <w:r w:rsidRPr="00A048DC">
        <w:rPr>
          <w:sz w:val="18"/>
          <w:szCs w:val="18"/>
        </w:rPr>
        <w:t xml:space="preserve"> Saldo podpory OZE a VUKVET z pohľadu spoločnosti OKTE bolo takmer vybilancované, na úrovni -833 tis. eur. Metodika ESA 2010 však očisťuje celkové výnosy a náklady o dofinancovanie nákladov na organizáciu trhu a financovanie ostatných činností organizátora trhu a zároveň z výnosov abstrahuje výnosy z tzv. korekcie systému podpory. Uvažuje len o vybranej TPS-ke v danom roku a vyplatenej podpore producentom OZE a VUKVET.</w:t>
      </w:r>
    </w:p>
  </w:footnote>
  <w:footnote w:id="12">
    <w:p w14:paraId="19F6A9B8" w14:textId="77777777" w:rsidR="00195F3E" w:rsidRPr="009D3A3F" w:rsidRDefault="00195F3E" w:rsidP="0046589E">
      <w:pPr>
        <w:pStyle w:val="Textpoznmkypodiarou"/>
        <w:jc w:val="both"/>
        <w:rPr>
          <w:sz w:val="18"/>
          <w:szCs w:val="18"/>
        </w:rPr>
      </w:pPr>
      <w:r w:rsidRPr="009D3A3F">
        <w:rPr>
          <w:rStyle w:val="Odkaznapoznmkupodiarou"/>
          <w:sz w:val="18"/>
          <w:szCs w:val="18"/>
        </w:rPr>
        <w:footnoteRef/>
      </w:r>
      <w:r w:rsidRPr="009D3A3F">
        <w:rPr>
          <w:sz w:val="18"/>
          <w:szCs w:val="18"/>
        </w:rPr>
        <w:t xml:space="preserve"> Bližší popis je uvedený v úvode kapitoly 2.2 v časti o daňových a odvodových príjmoch: „Výnos sociálnych a zdravotných odvodov“.</w:t>
      </w:r>
    </w:p>
  </w:footnote>
  <w:footnote w:id="13">
    <w:p w14:paraId="26D9B7AF" w14:textId="65D14A74" w:rsidR="00195F3E" w:rsidRPr="009D3A3F" w:rsidRDefault="00195F3E" w:rsidP="0046589E">
      <w:pPr>
        <w:pStyle w:val="Textpoznmkypodiarou"/>
        <w:jc w:val="both"/>
        <w:rPr>
          <w:sz w:val="18"/>
          <w:szCs w:val="18"/>
        </w:rPr>
      </w:pPr>
      <w:r w:rsidRPr="009D3A3F">
        <w:rPr>
          <w:rStyle w:val="Odkaznapoznmkupodiarou"/>
          <w:sz w:val="18"/>
          <w:szCs w:val="18"/>
        </w:rPr>
        <w:footnoteRef/>
      </w:r>
      <w:r w:rsidRPr="009D3A3F">
        <w:rPr>
          <w:sz w:val="18"/>
          <w:szCs w:val="18"/>
        </w:rPr>
        <w:t xml:space="preserve"> </w:t>
      </w:r>
      <w:r w:rsidRPr="009D3A3F">
        <w:rPr>
          <w:rFonts w:cs="Times New Roman"/>
          <w:sz w:val="18"/>
          <w:szCs w:val="18"/>
        </w:rPr>
        <w:t>Starobný dôchodok vypláca Sociálna poisťovňa vopred v pravidelných mesačných termínoch v zmysle zákona č. 461/2003</w:t>
      </w:r>
      <w:r w:rsidR="009D3A3F">
        <w:rPr>
          <w:rFonts w:cs="Times New Roman"/>
          <w:sz w:val="18"/>
          <w:szCs w:val="18"/>
        </w:rPr>
        <w:t> </w:t>
      </w:r>
      <w:r w:rsidRPr="009D3A3F">
        <w:rPr>
          <w:rFonts w:cs="Times New Roman"/>
          <w:sz w:val="18"/>
          <w:szCs w:val="18"/>
        </w:rPr>
        <w:t>Z.</w:t>
      </w:r>
      <w:r w:rsidR="009D3A3F">
        <w:rPr>
          <w:rFonts w:cs="Times New Roman"/>
          <w:sz w:val="18"/>
          <w:szCs w:val="18"/>
        </w:rPr>
        <w:t> </w:t>
      </w:r>
      <w:r w:rsidRPr="009D3A3F">
        <w:rPr>
          <w:rFonts w:cs="Times New Roman"/>
          <w:sz w:val="18"/>
          <w:szCs w:val="18"/>
        </w:rPr>
        <w:t>z. o Sociálnom poistení v znení neskorších predpisov. V tomto prípade vplyv časovo posunutého výdavku sa týka dôchodkových dávok, ktoré Sociálna poisťovňa vypláca v decembri bežného roka, na ktoré vznikol nárok v mesiaci január nasledujúceho roka (t.</w:t>
      </w:r>
      <w:r w:rsidR="009D3A3F">
        <w:rPr>
          <w:rFonts w:cs="Times New Roman"/>
          <w:sz w:val="18"/>
          <w:szCs w:val="18"/>
        </w:rPr>
        <w:t> </w:t>
      </w:r>
      <w:r w:rsidRPr="009D3A3F">
        <w:rPr>
          <w:rFonts w:cs="Times New Roman"/>
          <w:sz w:val="18"/>
          <w:szCs w:val="18"/>
        </w:rPr>
        <w:t>j. výplatný termín pripadá na sviatok resp. víkend).</w:t>
      </w:r>
      <w:r w:rsidRPr="009D3A3F">
        <w:rPr>
          <w:sz w:val="18"/>
          <w:szCs w:val="18"/>
        </w:rPr>
        <w:t>V súlade s metodikou ESA</w:t>
      </w:r>
      <w:r w:rsidR="009D3A3F">
        <w:rPr>
          <w:sz w:val="18"/>
          <w:szCs w:val="18"/>
        </w:rPr>
        <w:t> </w:t>
      </w:r>
      <w:r w:rsidRPr="009D3A3F">
        <w:rPr>
          <w:sz w:val="18"/>
          <w:szCs w:val="18"/>
        </w:rPr>
        <w:t>2010 sa dôchodkové dávky časovo rozlišujú do obdobia, s ktorým vecne súvisia.</w:t>
      </w:r>
    </w:p>
  </w:footnote>
  <w:footnote w:id="14">
    <w:p w14:paraId="774AB8E3" w14:textId="77777777" w:rsidR="005916A1" w:rsidRPr="00BA1D10" w:rsidRDefault="005916A1" w:rsidP="005916A1">
      <w:pPr>
        <w:pStyle w:val="Textpoznmkypodiarou"/>
        <w:jc w:val="both"/>
        <w:rPr>
          <w:sz w:val="18"/>
          <w:szCs w:val="18"/>
        </w:rPr>
      </w:pPr>
      <w:r w:rsidRPr="00BA1D10">
        <w:rPr>
          <w:rStyle w:val="Odkaznapoznmkupodiarou"/>
          <w:sz w:val="18"/>
          <w:szCs w:val="18"/>
        </w:rPr>
        <w:footnoteRef/>
      </w:r>
      <w:r w:rsidRPr="00BA1D10">
        <w:rPr>
          <w:sz w:val="18"/>
          <w:szCs w:val="18"/>
        </w:rPr>
        <w:t>Vláda SR uznesením č. 762/2022 schválila „Návrh na schválenie finančných prostriedkov určených na stabilizáciu zdravotníckych pracovníkov v rámci ústavnej zdravotnej starostlivosti a ambulancií záchrannej zdravotnej služby prostredníctvom stabilizačného príspevku.“</w:t>
      </w:r>
    </w:p>
  </w:footnote>
  <w:footnote w:id="15">
    <w:p w14:paraId="146AC45A" w14:textId="671E324B" w:rsidR="00C164B8" w:rsidRPr="00691349" w:rsidRDefault="00C164B8" w:rsidP="0020258E">
      <w:pPr>
        <w:pStyle w:val="Textpoznmkypodiarou"/>
        <w:jc w:val="both"/>
        <w:rPr>
          <w:sz w:val="18"/>
          <w:szCs w:val="18"/>
        </w:rPr>
      </w:pPr>
      <w:r w:rsidRPr="00691349">
        <w:rPr>
          <w:rStyle w:val="Odkaznapoznmkupodiarou"/>
          <w:sz w:val="18"/>
          <w:szCs w:val="18"/>
        </w:rPr>
        <w:footnoteRef/>
      </w:r>
      <w:r w:rsidRPr="00691349">
        <w:rPr>
          <w:sz w:val="18"/>
          <w:szCs w:val="18"/>
        </w:rPr>
        <w:t xml:space="preserve"> Okrem týchto vzťahov sa pri výpočte maastr</w:t>
      </w:r>
      <w:r>
        <w:rPr>
          <w:sz w:val="18"/>
          <w:szCs w:val="18"/>
        </w:rPr>
        <w:t>ichtského dlhu v rámci zložky „</w:t>
      </w:r>
      <w:r w:rsidRPr="00691349">
        <w:rPr>
          <w:sz w:val="18"/>
          <w:szCs w:val="18"/>
        </w:rPr>
        <w:t>štátny dlh“ abstrahuje od záväzkov Ministerstva financií SR voči Štátnej pokladnici z tzv. refinančného systému (</w:t>
      </w:r>
      <w:r>
        <w:rPr>
          <w:sz w:val="18"/>
          <w:szCs w:val="18"/>
        </w:rPr>
        <w:t>16 592 676 </w:t>
      </w:r>
      <w:r w:rsidRPr="00691349">
        <w:rPr>
          <w:sz w:val="18"/>
          <w:szCs w:val="18"/>
        </w:rPr>
        <w:t>tis.</w:t>
      </w:r>
      <w:r w:rsidR="0091008D">
        <w:rPr>
          <w:sz w:val="18"/>
          <w:szCs w:val="18"/>
        </w:rPr>
        <w:t> </w:t>
      </w:r>
      <w:r w:rsidRPr="00691349">
        <w:rPr>
          <w:sz w:val="18"/>
          <w:szCs w:val="18"/>
        </w:rPr>
        <w:t>eur) a od záväzkov z vkladov subjektov verejnej správy v Štátnej pokladnici (</w:t>
      </w:r>
      <w:r>
        <w:rPr>
          <w:sz w:val="18"/>
          <w:szCs w:val="18"/>
        </w:rPr>
        <w:t>10 994 464 </w:t>
      </w:r>
      <w:r w:rsidRPr="00691349">
        <w:rPr>
          <w:sz w:val="18"/>
          <w:szCs w:val="18"/>
        </w:rPr>
        <w:t>tis.</w:t>
      </w:r>
      <w:r w:rsidR="0091008D">
        <w:rPr>
          <w:sz w:val="18"/>
          <w:szCs w:val="18"/>
        </w:rPr>
        <w:t> </w:t>
      </w:r>
      <w:r w:rsidRPr="00691349">
        <w:rPr>
          <w:sz w:val="18"/>
          <w:szCs w:val="18"/>
        </w:rPr>
        <w:t>eur).</w:t>
      </w:r>
    </w:p>
  </w:footnote>
  <w:footnote w:id="16">
    <w:p w14:paraId="16F03041" w14:textId="7BB493FA" w:rsidR="00C164B8" w:rsidRDefault="00C164B8" w:rsidP="0091008D">
      <w:pPr>
        <w:pStyle w:val="Textpoznmkypodiarou"/>
        <w:jc w:val="both"/>
      </w:pPr>
      <w:r>
        <w:rPr>
          <w:rStyle w:val="Odkaznapoznmkupodiarou"/>
        </w:rPr>
        <w:footnoteRef/>
      </w:r>
      <w:r>
        <w:t xml:space="preserve"> </w:t>
      </w:r>
      <w:r w:rsidRPr="000B6BAD">
        <w:rPr>
          <w:sz w:val="18"/>
          <w:szCs w:val="18"/>
        </w:rPr>
        <w:t>Bankovými úvermi disponujú zdravotnícke zariadenia, ktoré sú obchodnými spoločnosťami.</w:t>
      </w:r>
    </w:p>
  </w:footnote>
  <w:footnote w:id="17">
    <w:p w14:paraId="5D87B55C" w14:textId="5FD91C60" w:rsidR="0097130E" w:rsidRPr="0097130E" w:rsidRDefault="0097130E" w:rsidP="0097130E">
      <w:pPr>
        <w:pStyle w:val="Textpoznmkypodiarou"/>
        <w:jc w:val="both"/>
        <w:rPr>
          <w:sz w:val="18"/>
          <w:szCs w:val="18"/>
        </w:rPr>
      </w:pPr>
      <w:r w:rsidRPr="0097130E">
        <w:rPr>
          <w:rStyle w:val="Odkaznapoznmkupodiarou"/>
          <w:sz w:val="18"/>
          <w:szCs w:val="18"/>
        </w:rPr>
        <w:footnoteRef/>
      </w:r>
      <w:r w:rsidRPr="0097130E">
        <w:rPr>
          <w:sz w:val="18"/>
          <w:szCs w:val="18"/>
        </w:rPr>
        <w:t xml:space="preserve"> Správa o očakávanej skutočnosti za rok 2025 v porovnaní so schváleným rozpočtom verejnej správy na rok 2025</w:t>
      </w:r>
      <w:r>
        <w:rPr>
          <w:sz w:val="18"/>
          <w:szCs w:val="18"/>
        </w:rPr>
        <w:t>.</w:t>
      </w:r>
    </w:p>
  </w:footnote>
  <w:footnote w:id="18">
    <w:p w14:paraId="31765A58" w14:textId="4D352BD7" w:rsidR="00C54C0D" w:rsidRPr="00C54C0D" w:rsidRDefault="00C54C0D" w:rsidP="00C54C0D">
      <w:pPr>
        <w:pStyle w:val="Textpoznmkypodiarou"/>
        <w:jc w:val="both"/>
        <w:rPr>
          <w:sz w:val="18"/>
          <w:szCs w:val="18"/>
        </w:rPr>
      </w:pPr>
      <w:r w:rsidRPr="00C54C0D">
        <w:rPr>
          <w:rStyle w:val="Odkaznapoznmkupodiarou"/>
          <w:sz w:val="18"/>
          <w:szCs w:val="18"/>
        </w:rPr>
        <w:footnoteRef/>
      </w:r>
      <w:r w:rsidRPr="00C54C0D">
        <w:rPr>
          <w:sz w:val="18"/>
          <w:szCs w:val="18"/>
        </w:rPr>
        <w:t xml:space="preserve"> Podľa Opatrenia MF SR č.</w:t>
      </w:r>
      <w:r>
        <w:rPr>
          <w:sz w:val="18"/>
          <w:szCs w:val="18"/>
        </w:rPr>
        <w:t> </w:t>
      </w:r>
      <w:r w:rsidRPr="00C54C0D">
        <w:rPr>
          <w:sz w:val="18"/>
          <w:szCs w:val="18"/>
        </w:rPr>
        <w:t>MF/017353/2017-352</w:t>
      </w:r>
      <w:r w:rsidRPr="00C54C0D">
        <w:rPr>
          <w:rFonts w:ascii="Source Sans Pro" w:hAnsi="Source Sans Pro"/>
          <w:color w:val="000000"/>
          <w:sz w:val="18"/>
          <w:szCs w:val="18"/>
          <w:shd w:val="clear" w:color="auto" w:fill="FFFFFF"/>
        </w:rPr>
        <w:t xml:space="preserve"> </w:t>
      </w:r>
      <w:r w:rsidRPr="00C54C0D">
        <w:rPr>
          <w:sz w:val="18"/>
          <w:szCs w:val="18"/>
        </w:rPr>
        <w:t>ktorým sa ustanovuje usporiadanie, obsahové vymedzenie, spôsob, termín a miesto predkladania informácií z účtovníctva a údajov potrebných na účely hodnotenia plnenia rozpočtu verejnej správy</w:t>
      </w:r>
      <w:r>
        <w:rPr>
          <w:sz w:val="18"/>
          <w:szCs w:val="18"/>
        </w:rPr>
        <w:t>.</w:t>
      </w:r>
    </w:p>
  </w:footnote>
  <w:footnote w:id="19">
    <w:p w14:paraId="2474C061" w14:textId="77777777" w:rsidR="00C54C0D" w:rsidRPr="00C54C0D" w:rsidRDefault="00C54C0D" w:rsidP="00C54C0D">
      <w:pPr>
        <w:pStyle w:val="Textpoznmkypodiarou"/>
        <w:jc w:val="both"/>
        <w:rPr>
          <w:sz w:val="18"/>
          <w:szCs w:val="18"/>
        </w:rPr>
      </w:pPr>
      <w:r w:rsidRPr="00C54C0D">
        <w:rPr>
          <w:rStyle w:val="Odkaznapoznmkupodiarou"/>
          <w:sz w:val="18"/>
          <w:szCs w:val="18"/>
        </w:rPr>
        <w:footnoteRef/>
      </w:r>
      <w:r w:rsidRPr="00C54C0D">
        <w:rPr>
          <w:sz w:val="18"/>
          <w:szCs w:val="18"/>
        </w:rPr>
        <w:t xml:space="preserve"> Prípadné číselné rozdiely medzi tabuľkovou prílohou a údajmi v textovej časti záverečného účtu sú spôsobené automatickým zaokrúhľovaním tabuľkovej časti.</w:t>
      </w:r>
    </w:p>
  </w:footnote>
  <w:footnote w:id="20">
    <w:p w14:paraId="2E051DFC" w14:textId="735CE11E" w:rsidR="00C54C0D" w:rsidRDefault="00C54C0D" w:rsidP="00C54C0D">
      <w:pPr>
        <w:pStyle w:val="Textpoznmkypodiarou"/>
        <w:jc w:val="both"/>
      </w:pPr>
      <w:r w:rsidRPr="00C54C0D">
        <w:rPr>
          <w:rStyle w:val="Odkaznapoznmkupodiarou"/>
          <w:sz w:val="18"/>
          <w:szCs w:val="18"/>
        </w:rPr>
        <w:footnoteRef/>
      </w:r>
      <w:r w:rsidRPr="00C54C0D">
        <w:rPr>
          <w:sz w:val="18"/>
          <w:szCs w:val="18"/>
        </w:rPr>
        <w:t xml:space="preserve"> Zostavené podľa Smernice MF SR č.</w:t>
      </w:r>
      <w:r>
        <w:rPr>
          <w:sz w:val="18"/>
          <w:szCs w:val="18"/>
        </w:rPr>
        <w:t> </w:t>
      </w:r>
      <w:r w:rsidRPr="00C54C0D">
        <w:rPr>
          <w:sz w:val="18"/>
          <w:szCs w:val="18"/>
        </w:rPr>
        <w:t>MF/007754/2026-31 na vypracovanie záverečných účtov kapitol štátneho rozpočtu a štátnych fondov za rok 2025</w:t>
      </w:r>
      <w:r>
        <w:rPr>
          <w:sz w:val="18"/>
          <w:szCs w:val="18"/>
        </w:rPr>
        <w:t>.</w:t>
      </w:r>
    </w:p>
  </w:footnote>
  <w:footnote w:id="21">
    <w:p w14:paraId="0444EBC9" w14:textId="2AEE5B00" w:rsidR="00560508" w:rsidRPr="00A264D2" w:rsidRDefault="00560508" w:rsidP="00560508">
      <w:pPr>
        <w:pStyle w:val="Textpoznmkypodiarou"/>
        <w:jc w:val="both"/>
        <w:rPr>
          <w:sz w:val="18"/>
          <w:szCs w:val="18"/>
        </w:rPr>
      </w:pPr>
      <w:r w:rsidRPr="00A264D2">
        <w:rPr>
          <w:rStyle w:val="Odkaznapoznmkupodiarou"/>
          <w:sz w:val="18"/>
          <w:szCs w:val="18"/>
        </w:rPr>
        <w:footnoteRef/>
      </w:r>
      <w:r w:rsidRPr="00A264D2">
        <w:rPr>
          <w:sz w:val="18"/>
          <w:szCs w:val="18"/>
        </w:rPr>
        <w:t xml:space="preserve"> </w:t>
      </w:r>
      <w:r w:rsidR="00D90A0C" w:rsidRPr="005B2B1B">
        <w:rPr>
          <w:sz w:val="18"/>
          <w:szCs w:val="18"/>
        </w:rPr>
        <w:t>Zákon č. 564/2004 Z. z. o rozpočtovom určení výnosu dane z príjmov územnej samospráve a o zmene a doplnení niektorých zákonov</w:t>
      </w:r>
      <w:r w:rsidR="00D90A0C">
        <w:rPr>
          <w:sz w:val="18"/>
          <w:szCs w:val="18"/>
        </w:rPr>
        <w:t>.</w:t>
      </w:r>
    </w:p>
  </w:footnote>
  <w:footnote w:id="22">
    <w:p w14:paraId="6E0A48E5" w14:textId="0941E054" w:rsidR="00632A05" w:rsidRDefault="00632A05" w:rsidP="00632A05">
      <w:pPr>
        <w:pStyle w:val="Textpoznmkypodiarou"/>
        <w:jc w:val="both"/>
      </w:pPr>
      <w:r>
        <w:rPr>
          <w:rStyle w:val="Odkaznapoznmkupodiarou"/>
        </w:rPr>
        <w:footnoteRef/>
      </w:r>
      <w:r>
        <w:t xml:space="preserve"> </w:t>
      </w:r>
      <w:r w:rsidRPr="003D5FCD">
        <w:t>Zdravotná poisťovňa poukazuje na účet ministerstva zdravotníctva príspevok na činnosti operačných stredísk tiesňového volania záchrannej zdravotnej služby v štvrťročných splátkach. Štvrťročné splátky príspevku sa uhrádzajú v kalendárnom roku do 5.</w:t>
      </w:r>
      <w:r w:rsidR="00EA47D2">
        <w:t> </w:t>
      </w:r>
      <w:r w:rsidRPr="003D5FCD">
        <w:t>januára, 20.</w:t>
      </w:r>
      <w:r w:rsidR="00EA47D2">
        <w:t> </w:t>
      </w:r>
      <w:r w:rsidRPr="003D5FCD">
        <w:t>apríla, 20.</w:t>
      </w:r>
      <w:r w:rsidR="00EA47D2">
        <w:t> </w:t>
      </w:r>
      <w:r w:rsidRPr="003D5FCD">
        <w:t>júla a 20.</w:t>
      </w:r>
      <w:r w:rsidR="00EA47D2">
        <w:t> </w:t>
      </w:r>
      <w:r w:rsidRPr="003D5FCD">
        <w:t>októbra. Výška štvrťročnej splátky je 25</w:t>
      </w:r>
      <w:r w:rsidR="00EA47D2">
        <w:t> </w:t>
      </w:r>
      <w:r w:rsidRPr="003D5FCD">
        <w:t>% z výšky príspevku a zaokrúhľuje sa na eurocent nahor. Výška príspevku je 0,40</w:t>
      </w:r>
      <w:r w:rsidR="00EA47D2">
        <w:t> </w:t>
      </w:r>
      <w:r w:rsidRPr="003D5FCD">
        <w:t>% zo základu na</w:t>
      </w:r>
      <w:r w:rsidR="00EA47D2">
        <w:t> </w:t>
      </w:r>
      <w:r w:rsidRPr="003D5FCD">
        <w:t>jej určenie. Základom na určenie výšky príspevku je celková suma z ročného prerozdeľovania poistného uvedená v</w:t>
      </w:r>
      <w:r w:rsidR="00EA47D2">
        <w:t> </w:t>
      </w:r>
      <w:r w:rsidRPr="003D5FCD">
        <w:t>rozhodnutí o ročnom prerozdeľovaní poistného podľa osobitného prepisu zaslanom v predchádzajúcom kalendárnom roku.</w:t>
      </w:r>
    </w:p>
  </w:footnote>
  <w:footnote w:id="23">
    <w:p w14:paraId="32C905A9" w14:textId="5DE31DFC" w:rsidR="00722F9F" w:rsidRPr="00864D75" w:rsidRDefault="00722F9F" w:rsidP="00864D75">
      <w:pPr>
        <w:pStyle w:val="Textpoznmkypodiarou"/>
        <w:jc w:val="both"/>
        <w:rPr>
          <w:sz w:val="18"/>
          <w:szCs w:val="18"/>
        </w:rPr>
      </w:pPr>
      <w:r w:rsidRPr="00864D75">
        <w:rPr>
          <w:rStyle w:val="Odkaznapoznmkupodiarou"/>
          <w:sz w:val="18"/>
          <w:szCs w:val="18"/>
        </w:rPr>
        <w:footnoteRef/>
      </w:r>
      <w:r w:rsidRPr="00864D75">
        <w:rPr>
          <w:sz w:val="18"/>
          <w:szCs w:val="18"/>
        </w:rPr>
        <w:t xml:space="preserve"> Zníženie limitu počtu zamestnancov o</w:t>
      </w:r>
      <w:r w:rsidR="00864D75">
        <w:rPr>
          <w:sz w:val="18"/>
          <w:szCs w:val="18"/>
        </w:rPr>
        <w:t> </w:t>
      </w:r>
      <w:r w:rsidRPr="00864D75">
        <w:rPr>
          <w:sz w:val="18"/>
          <w:szCs w:val="18"/>
        </w:rPr>
        <w:t>10</w:t>
      </w:r>
      <w:r w:rsidR="00864D75">
        <w:rPr>
          <w:sz w:val="18"/>
          <w:szCs w:val="18"/>
        </w:rPr>
        <w:t> </w:t>
      </w:r>
      <w:r w:rsidRPr="00864D75">
        <w:rPr>
          <w:sz w:val="18"/>
          <w:szCs w:val="18"/>
        </w:rPr>
        <w:t>% vyplývalo z uznesenia vlády Slovenskej republiky č.</w:t>
      </w:r>
      <w:r w:rsidR="00864D75">
        <w:rPr>
          <w:sz w:val="18"/>
          <w:szCs w:val="18"/>
        </w:rPr>
        <w:t> </w:t>
      </w:r>
      <w:r w:rsidRPr="00864D75">
        <w:rPr>
          <w:sz w:val="18"/>
          <w:szCs w:val="18"/>
        </w:rPr>
        <w:t>606/2024 a malo by priamy a výrazný dopad na kontrolnú činnosť úradu. Na základe uznesenia č.</w:t>
      </w:r>
      <w:r w:rsidR="00864D75">
        <w:rPr>
          <w:sz w:val="18"/>
          <w:szCs w:val="18"/>
        </w:rPr>
        <w:t> </w:t>
      </w:r>
      <w:r w:rsidRPr="00864D75">
        <w:rPr>
          <w:sz w:val="18"/>
          <w:szCs w:val="18"/>
        </w:rPr>
        <w:t>164/2024 Výboru Národnej rady pre financie zo</w:t>
      </w:r>
      <w:r w:rsidR="00864D75">
        <w:rPr>
          <w:sz w:val="18"/>
          <w:szCs w:val="18"/>
        </w:rPr>
        <w:t> </w:t>
      </w:r>
      <w:r w:rsidRPr="00864D75">
        <w:rPr>
          <w:sz w:val="18"/>
          <w:szCs w:val="18"/>
        </w:rPr>
        <w:t>dňa 26.11.2024 bolo rozpočtovým opatrením č.</w:t>
      </w:r>
      <w:r w:rsidR="00864D75">
        <w:rPr>
          <w:sz w:val="18"/>
          <w:szCs w:val="18"/>
        </w:rPr>
        <w:t> </w:t>
      </w:r>
      <w:r w:rsidRPr="00864D75">
        <w:rPr>
          <w:sz w:val="18"/>
          <w:szCs w:val="18"/>
        </w:rPr>
        <w:t>1/2025 pre kapitolu NKÚ realizované rozpočtové opatrenie na</w:t>
      </w:r>
      <w:r w:rsidR="00864D75">
        <w:rPr>
          <w:sz w:val="18"/>
          <w:szCs w:val="18"/>
        </w:rPr>
        <w:t> </w:t>
      </w:r>
      <w:r w:rsidRPr="00864D75">
        <w:rPr>
          <w:sz w:val="18"/>
          <w:szCs w:val="18"/>
        </w:rPr>
        <w:t>povolené prekročenie limitu výdavkov a limitu počtu zamestnancov o 31 osôb, ktoré bolo realizované z dôvodu potreby zabezpečenia nezávislého a efektívneho výkonu kontrolnej činnosti NKÚ.</w:t>
      </w:r>
    </w:p>
  </w:footnote>
  <w:footnote w:id="24">
    <w:p w14:paraId="364971F9" w14:textId="77777777" w:rsidR="005F15A4" w:rsidRDefault="005F15A4" w:rsidP="005F15A4">
      <w:pPr>
        <w:pStyle w:val="Textpoznmkypodiarou"/>
        <w:jc w:val="both"/>
      </w:pPr>
      <w:r>
        <w:rPr>
          <w:rStyle w:val="Odkaznapoznmkupodiarou"/>
        </w:rPr>
        <w:footnoteRef/>
      </w:r>
      <w:r>
        <w:t xml:space="preserve"> Na medziročné zvýšenie výdavkov mala aj vplyv zmena vykazovania pravidelných odmien a príspevkov v niektorých silových kapitolách ŠR, z ekonomickej podpoložky </w:t>
      </w:r>
      <w:r w:rsidRPr="00621893">
        <w:rPr>
          <w:i/>
          <w:iCs/>
        </w:rPr>
        <w:t>Peňažné náležitosti v ozbrojených silách a ozbrojených zboroch SR</w:t>
      </w:r>
      <w:r w:rsidRPr="00621893">
        <w:t xml:space="preserve"> na </w:t>
      </w:r>
      <w:r w:rsidRPr="00621893">
        <w:rPr>
          <w:i/>
          <w:iCs/>
        </w:rPr>
        <w:t>Odmeny a</w:t>
      </w:r>
      <w:r>
        <w:rPr>
          <w:i/>
          <w:iCs/>
        </w:rPr>
        <w:t> </w:t>
      </w:r>
      <w:r w:rsidRPr="00621893">
        <w:rPr>
          <w:i/>
          <w:iCs/>
        </w:rPr>
        <w:t>príspevky</w:t>
      </w:r>
      <w:r>
        <w:rPr>
          <w:i/>
          <w:iCs/>
        </w:rPr>
        <w:t>.</w:t>
      </w:r>
    </w:p>
  </w:footnote>
  <w:footnote w:id="25">
    <w:p w14:paraId="6222A54F" w14:textId="269DB7ED" w:rsidR="00F97A45" w:rsidRPr="00220CCB" w:rsidRDefault="00F97A45" w:rsidP="00220CCB">
      <w:pPr>
        <w:pStyle w:val="Textpoznmkypodiarou"/>
        <w:jc w:val="both"/>
        <w:rPr>
          <w:sz w:val="18"/>
          <w:szCs w:val="18"/>
        </w:rPr>
      </w:pPr>
      <w:r w:rsidRPr="00220CCB">
        <w:rPr>
          <w:rStyle w:val="Odkaznapoznmkupodiarou"/>
          <w:sz w:val="18"/>
          <w:szCs w:val="18"/>
        </w:rPr>
        <w:footnoteRef/>
      </w:r>
      <w:r w:rsidR="0043119E">
        <w:rPr>
          <w:sz w:val="18"/>
          <w:szCs w:val="18"/>
        </w:rPr>
        <w:t xml:space="preserve"> </w:t>
      </w:r>
      <w:r w:rsidRPr="00220CCB">
        <w:rPr>
          <w:sz w:val="18"/>
          <w:szCs w:val="18"/>
        </w:rPr>
        <w:t>Ministerstvo dopravy SR použilo 62 831 tis. eur v súvislosti s prebiehajúcim procesom prevodu vlastníckych práv k pracoviskám technicko-hygienickej údržby (THÚ) vlakových súprav v Nových Zámkoch, Zvolene a Humennom. Významnú sumu výdavkov vynaložil Mestský súd Bratislava, 56 419 tis. eur, na obstaranie budovy pre dva bratislavské súdy.</w:t>
      </w:r>
    </w:p>
  </w:footnote>
  <w:footnote w:id="26">
    <w:p w14:paraId="70852D93" w14:textId="77777777" w:rsidR="00702069" w:rsidRPr="00E4777C" w:rsidRDefault="00702069" w:rsidP="00702069">
      <w:pPr>
        <w:pStyle w:val="Textpoznmkypodiarou"/>
        <w:jc w:val="both"/>
        <w:rPr>
          <w:sz w:val="18"/>
          <w:szCs w:val="18"/>
        </w:rPr>
      </w:pPr>
      <w:r w:rsidRPr="00E4777C">
        <w:rPr>
          <w:rStyle w:val="Odkaznapoznmkupodiarou"/>
          <w:sz w:val="18"/>
          <w:szCs w:val="18"/>
        </w:rPr>
        <w:footnoteRef/>
      </w:r>
      <w:r w:rsidRPr="00E4777C">
        <w:rPr>
          <w:sz w:val="18"/>
          <w:szCs w:val="18"/>
        </w:rPr>
        <w:t xml:space="preserve"> Štátne finančné pasíva, ktorými sú najmä záväzky z vydaných štátnych dlhopisov a pokladničných poukážok, záväzky z prijatých vládnych úverov sú bližšie hodnotené v Súhrnnej účtovnej závierke, keďže ide o stavovú veličinu. Výdavkové finančné operácie na splátky istín a rozpočtové výdavky na úhradu úrokov z týchto záväzkov sú predmetom hotovostného plnenia štátneho rozpočtu opisovaného v tomto Štátnom záverečnom účte.</w:t>
      </w:r>
    </w:p>
  </w:footnote>
  <w:footnote w:id="27">
    <w:p w14:paraId="40325571" w14:textId="48C786E8" w:rsidR="00702069" w:rsidRPr="008172CD" w:rsidRDefault="00702069" w:rsidP="00702069">
      <w:pPr>
        <w:pStyle w:val="Textpoznmkypodiarou"/>
        <w:jc w:val="both"/>
        <w:rPr>
          <w:sz w:val="18"/>
          <w:szCs w:val="18"/>
        </w:rPr>
      </w:pPr>
      <w:r w:rsidRPr="00E4777C">
        <w:rPr>
          <w:rStyle w:val="Odkaznapoznmkupodiarou"/>
          <w:rFonts w:eastAsiaTheme="majorEastAsia"/>
          <w:sz w:val="18"/>
          <w:szCs w:val="18"/>
        </w:rPr>
        <w:footnoteRef/>
      </w:r>
      <w:r w:rsidRPr="00E4777C">
        <w:rPr>
          <w:sz w:val="18"/>
          <w:szCs w:val="18"/>
        </w:rPr>
        <w:t xml:space="preserve"> § 13 zákona č. 523/2004 Z. z. o rozpočtových pravidlách verejnej správy a o zmene a doplnení niektorých zákonov v z. n. p.</w:t>
      </w:r>
    </w:p>
  </w:footnote>
  <w:footnote w:id="28">
    <w:p w14:paraId="70F3A879" w14:textId="39DC270F" w:rsidR="00702069" w:rsidRPr="00E4777C" w:rsidRDefault="00702069" w:rsidP="00E4777C">
      <w:pPr>
        <w:pStyle w:val="Textpoznmkypodiarou"/>
        <w:jc w:val="both"/>
        <w:rPr>
          <w:sz w:val="18"/>
          <w:szCs w:val="18"/>
        </w:rPr>
      </w:pPr>
      <w:r w:rsidRPr="00E4777C">
        <w:rPr>
          <w:rStyle w:val="Odkaznapoznmkupodiarou"/>
          <w:sz w:val="18"/>
          <w:szCs w:val="18"/>
        </w:rPr>
        <w:footnoteRef/>
      </w:r>
      <w:r w:rsidRPr="00E4777C">
        <w:rPr>
          <w:sz w:val="18"/>
          <w:szCs w:val="18"/>
        </w:rPr>
        <w:t xml:space="preserve"> Uznesenie vlády SR č.</w:t>
      </w:r>
      <w:r w:rsidR="00E4777C" w:rsidRPr="00E4777C">
        <w:rPr>
          <w:sz w:val="18"/>
          <w:szCs w:val="18"/>
        </w:rPr>
        <w:t> </w:t>
      </w:r>
      <w:r w:rsidRPr="00E4777C">
        <w:rPr>
          <w:sz w:val="18"/>
          <w:szCs w:val="18"/>
        </w:rPr>
        <w:t>423/2023</w:t>
      </w:r>
    </w:p>
  </w:footnote>
  <w:footnote w:id="29">
    <w:p w14:paraId="4E9330FA" w14:textId="373A8DA0" w:rsidR="00702069" w:rsidRPr="00E4777C" w:rsidRDefault="00702069" w:rsidP="00E4777C">
      <w:pPr>
        <w:pStyle w:val="Textpoznmkypodiarou"/>
        <w:jc w:val="both"/>
        <w:rPr>
          <w:sz w:val="18"/>
          <w:szCs w:val="18"/>
        </w:rPr>
      </w:pPr>
      <w:r w:rsidRPr="00E4777C">
        <w:rPr>
          <w:rStyle w:val="Odkaznapoznmkupodiarou"/>
          <w:sz w:val="18"/>
          <w:szCs w:val="18"/>
        </w:rPr>
        <w:footnoteRef/>
      </w:r>
      <w:r w:rsidRPr="00E4777C">
        <w:rPr>
          <w:sz w:val="18"/>
          <w:szCs w:val="18"/>
        </w:rPr>
        <w:t xml:space="preserve"> Uznesenie vlády SR č.</w:t>
      </w:r>
      <w:r w:rsidR="00E4777C" w:rsidRPr="00E4777C">
        <w:rPr>
          <w:sz w:val="18"/>
          <w:szCs w:val="18"/>
        </w:rPr>
        <w:t> </w:t>
      </w:r>
      <w:r w:rsidRPr="00E4777C">
        <w:rPr>
          <w:sz w:val="18"/>
          <w:szCs w:val="18"/>
        </w:rPr>
        <w:t>291 z</w:t>
      </w:r>
      <w:r w:rsidR="00E4777C" w:rsidRPr="00E4777C">
        <w:rPr>
          <w:sz w:val="18"/>
          <w:szCs w:val="18"/>
        </w:rPr>
        <w:t> </w:t>
      </w:r>
      <w:r w:rsidRPr="00E4777C">
        <w:rPr>
          <w:sz w:val="18"/>
          <w:szCs w:val="18"/>
        </w:rPr>
        <w:t>28.</w:t>
      </w:r>
      <w:r w:rsidR="00E4777C" w:rsidRPr="00E4777C">
        <w:rPr>
          <w:sz w:val="18"/>
          <w:szCs w:val="18"/>
        </w:rPr>
        <w:t> </w:t>
      </w:r>
      <w:r w:rsidRPr="00E4777C">
        <w:rPr>
          <w:sz w:val="18"/>
          <w:szCs w:val="18"/>
        </w:rPr>
        <w:t>mája 2025 k návrhu na poskytnutie finančnej pomoci obciam a samosprávnym krajom na</w:t>
      </w:r>
      <w:r w:rsidR="00E4777C" w:rsidRPr="00E4777C">
        <w:rPr>
          <w:sz w:val="18"/>
          <w:szCs w:val="18"/>
        </w:rPr>
        <w:t> </w:t>
      </w:r>
      <w:r w:rsidRPr="00E4777C">
        <w:rPr>
          <w:sz w:val="18"/>
          <w:szCs w:val="18"/>
        </w:rPr>
        <w:t>vyplatenie 800</w:t>
      </w:r>
      <w:r w:rsidR="00E4777C" w:rsidRPr="00E4777C">
        <w:rPr>
          <w:sz w:val="18"/>
          <w:szCs w:val="18"/>
        </w:rPr>
        <w:t> </w:t>
      </w:r>
      <w:r w:rsidRPr="00E4777C">
        <w:rPr>
          <w:sz w:val="18"/>
          <w:szCs w:val="18"/>
        </w:rPr>
        <w:t>eur odmeny pre zamestnancov v originálnych kompetenciách</w:t>
      </w:r>
      <w:r w:rsidR="00E4777C" w:rsidRPr="00E4777C">
        <w:rPr>
          <w:sz w:val="18"/>
          <w:szCs w:val="18"/>
        </w:rPr>
        <w:t>.</w:t>
      </w:r>
    </w:p>
  </w:footnote>
  <w:footnote w:id="30">
    <w:p w14:paraId="5A5721EA" w14:textId="77777777" w:rsidR="00AF198B" w:rsidRPr="00776161" w:rsidRDefault="00AF198B" w:rsidP="00776161">
      <w:pPr>
        <w:pStyle w:val="Textpoznmkypodiarou"/>
        <w:jc w:val="both"/>
        <w:rPr>
          <w:sz w:val="18"/>
          <w:szCs w:val="18"/>
        </w:rPr>
      </w:pPr>
      <w:r w:rsidRPr="00776161">
        <w:rPr>
          <w:rStyle w:val="Odkaznapoznmkupodiarou"/>
          <w:sz w:val="18"/>
          <w:szCs w:val="18"/>
        </w:rPr>
        <w:footnoteRef/>
      </w:r>
      <w:r w:rsidRPr="00776161">
        <w:rPr>
          <w:sz w:val="18"/>
          <w:szCs w:val="18"/>
        </w:rPr>
        <w:t xml:space="preserve"> https://www.planobnovy.sk/</w:t>
      </w:r>
    </w:p>
  </w:footnote>
  <w:footnote w:id="31">
    <w:p w14:paraId="5BBCFDF3" w14:textId="45BF6494" w:rsidR="00AF198B" w:rsidRPr="00134DEB" w:rsidRDefault="00AF198B" w:rsidP="00134DEB">
      <w:pPr>
        <w:pStyle w:val="Textpoznmkypodiarou"/>
        <w:jc w:val="both"/>
        <w:rPr>
          <w:sz w:val="18"/>
          <w:szCs w:val="18"/>
        </w:rPr>
      </w:pPr>
      <w:r w:rsidRPr="00134DEB">
        <w:rPr>
          <w:rStyle w:val="Odkaznapoznmkupodiarou"/>
          <w:sz w:val="18"/>
          <w:szCs w:val="18"/>
        </w:rPr>
        <w:footnoteRef/>
      </w:r>
      <w:r w:rsidR="0043119E">
        <w:rPr>
          <w:sz w:val="18"/>
          <w:szCs w:val="18"/>
        </w:rPr>
        <w:t xml:space="preserve"> </w:t>
      </w:r>
      <w:hyperlink r:id="rId4" w:history="1">
        <w:r w:rsidRPr="00134DEB">
          <w:rPr>
            <w:rStyle w:val="Hypertextovprepojenie"/>
            <w:sz w:val="18"/>
            <w:szCs w:val="18"/>
          </w:rPr>
          <w:t>Európsky rozvojový fond</w:t>
        </w:r>
      </w:hyperlink>
      <w:r w:rsidRPr="00134DEB">
        <w:rPr>
          <w:sz w:val="18"/>
          <w:szCs w:val="18"/>
        </w:rPr>
        <w:t xml:space="preserve"> podporuje opatrenia v rozvojových krajinách a územiach na podporu hospodárskeho, sociálneho a ľudského rozvoja, ako aj na regionálnu podporu.</w:t>
      </w:r>
    </w:p>
  </w:footnote>
  <w:footnote w:id="32">
    <w:p w14:paraId="236968A7" w14:textId="77777777" w:rsidR="008C4EA3" w:rsidRPr="004C0741" w:rsidRDefault="008C4EA3" w:rsidP="008C4EA3">
      <w:pPr>
        <w:pStyle w:val="Textpoznmkypodiarou"/>
        <w:jc w:val="both"/>
        <w:rPr>
          <w:sz w:val="18"/>
          <w:szCs w:val="18"/>
        </w:rPr>
      </w:pPr>
      <w:r w:rsidRPr="004C0741">
        <w:rPr>
          <w:rStyle w:val="Odkaznapoznmkupodiarou"/>
          <w:sz w:val="18"/>
          <w:szCs w:val="18"/>
        </w:rPr>
        <w:footnoteRef/>
      </w:r>
      <w:r w:rsidRPr="004C0741">
        <w:rPr>
          <w:sz w:val="18"/>
          <w:szCs w:val="18"/>
        </w:rPr>
        <w:t xml:space="preserve"> Prípadné číselné rozdiely medzi tabuľkovou prílohou a údajmi v textovej časti záverečného účtu sú spôsobené automatickým zaokrúhľovaním.</w:t>
      </w:r>
    </w:p>
  </w:footnote>
  <w:footnote w:id="33">
    <w:p w14:paraId="3EF20016" w14:textId="7EDA0B44" w:rsidR="00A266D0" w:rsidRPr="00920A2D" w:rsidRDefault="00A266D0" w:rsidP="00A266D0">
      <w:pPr>
        <w:pStyle w:val="Textpoznmkypodiarou"/>
        <w:jc w:val="both"/>
        <w:rPr>
          <w:sz w:val="18"/>
          <w:szCs w:val="18"/>
        </w:rPr>
      </w:pPr>
      <w:r w:rsidRPr="00920A2D">
        <w:rPr>
          <w:rStyle w:val="Odkaznapoznmkupodiarou"/>
          <w:sz w:val="18"/>
          <w:szCs w:val="18"/>
        </w:rPr>
        <w:footnoteRef/>
      </w:r>
      <w:r w:rsidRPr="00920A2D">
        <w:rPr>
          <w:sz w:val="18"/>
          <w:szCs w:val="18"/>
        </w:rPr>
        <w:t xml:space="preserve"> </w:t>
      </w:r>
      <w:r w:rsidRPr="00920A2D">
        <w:rPr>
          <w:sz w:val="18"/>
          <w:szCs w:val="18"/>
          <w:lang w:eastAsia="sk-SK"/>
        </w:rPr>
        <w:t>V roku 2025 bol rozpočet príjmov za prostriedky EÚ upravený za Program Slovensko o</w:t>
      </w:r>
      <w:r w:rsidR="00920A2D">
        <w:rPr>
          <w:sz w:val="18"/>
          <w:szCs w:val="18"/>
          <w:lang w:eastAsia="sk-SK"/>
        </w:rPr>
        <w:t> </w:t>
      </w:r>
      <w:r w:rsidRPr="00920A2D">
        <w:rPr>
          <w:sz w:val="18"/>
          <w:szCs w:val="18"/>
          <w:lang w:eastAsia="sk-SK"/>
        </w:rPr>
        <w:t>vysporiadané individuálne nezrovnalosti a vratky vo výške 741</w:t>
      </w:r>
      <w:r w:rsidR="00920A2D">
        <w:rPr>
          <w:sz w:val="18"/>
          <w:szCs w:val="18"/>
          <w:lang w:eastAsia="sk-SK"/>
        </w:rPr>
        <w:t> </w:t>
      </w:r>
      <w:r w:rsidRPr="00920A2D">
        <w:rPr>
          <w:sz w:val="18"/>
          <w:szCs w:val="18"/>
          <w:lang w:eastAsia="sk-SK"/>
        </w:rPr>
        <w:t>tis</w:t>
      </w:r>
      <w:r w:rsidR="00920A2D">
        <w:rPr>
          <w:sz w:val="18"/>
          <w:szCs w:val="18"/>
          <w:lang w:eastAsia="sk-SK"/>
        </w:rPr>
        <w:t>. </w:t>
      </w:r>
      <w:r w:rsidRPr="00920A2D">
        <w:rPr>
          <w:sz w:val="18"/>
          <w:szCs w:val="18"/>
          <w:lang w:eastAsia="sk-SK"/>
        </w:rPr>
        <w:t>eur a za Program Interreg VI-A SK-CZ 2021-2027 o</w:t>
      </w:r>
      <w:r w:rsidR="00920A2D">
        <w:rPr>
          <w:sz w:val="18"/>
          <w:szCs w:val="18"/>
          <w:lang w:eastAsia="sk-SK"/>
        </w:rPr>
        <w:t> </w:t>
      </w:r>
      <w:r w:rsidRPr="00920A2D">
        <w:rPr>
          <w:sz w:val="18"/>
          <w:szCs w:val="18"/>
          <w:lang w:eastAsia="sk-SK"/>
        </w:rPr>
        <w:t>vysporiadané systémové nezrovnalosti vo výške 0,3</w:t>
      </w:r>
      <w:r w:rsidR="00920A2D">
        <w:rPr>
          <w:sz w:val="18"/>
          <w:szCs w:val="18"/>
          <w:lang w:eastAsia="sk-SK"/>
        </w:rPr>
        <w:t> </w:t>
      </w:r>
      <w:r w:rsidRPr="00920A2D">
        <w:rPr>
          <w:sz w:val="18"/>
          <w:szCs w:val="18"/>
          <w:lang w:eastAsia="sk-SK"/>
        </w:rPr>
        <w:t>tis.</w:t>
      </w:r>
      <w:r w:rsidR="00920A2D">
        <w:rPr>
          <w:sz w:val="18"/>
          <w:szCs w:val="18"/>
          <w:lang w:eastAsia="sk-SK"/>
        </w:rPr>
        <w:t> </w:t>
      </w:r>
      <w:r w:rsidRPr="00920A2D">
        <w:rPr>
          <w:sz w:val="18"/>
          <w:szCs w:val="18"/>
          <w:lang w:eastAsia="sk-SK"/>
        </w:rPr>
        <w:t>eur.</w:t>
      </w:r>
    </w:p>
  </w:footnote>
  <w:footnote w:id="34">
    <w:p w14:paraId="64FA2348" w14:textId="152136ED" w:rsidR="00A266D0" w:rsidRPr="00F73B54" w:rsidRDefault="00A266D0" w:rsidP="00A266D0">
      <w:pPr>
        <w:pStyle w:val="Textpoznmkypodiarou"/>
        <w:jc w:val="both"/>
        <w:rPr>
          <w:sz w:val="18"/>
          <w:szCs w:val="18"/>
        </w:rPr>
      </w:pPr>
      <w:r w:rsidRPr="00F73B54">
        <w:rPr>
          <w:rStyle w:val="Odkaznapoznmkupodiarou"/>
          <w:sz w:val="18"/>
          <w:szCs w:val="18"/>
        </w:rPr>
        <w:footnoteRef/>
      </w:r>
      <w:r w:rsidRPr="00F73B54">
        <w:rPr>
          <w:sz w:val="18"/>
          <w:szCs w:val="18"/>
        </w:rPr>
        <w:t xml:space="preserve"> </w:t>
      </w:r>
      <w:r w:rsidRPr="00F73B54">
        <w:rPr>
          <w:sz w:val="18"/>
          <w:szCs w:val="18"/>
          <w:lang w:eastAsia="sk-SK"/>
        </w:rPr>
        <w:t>V roku 2025 bol rozpočet príjmov za prostriedky EÚ upravený za Program Rozvoja vidieka 2014-2022 o</w:t>
      </w:r>
      <w:r w:rsidR="00F73B54">
        <w:rPr>
          <w:sz w:val="18"/>
          <w:szCs w:val="18"/>
          <w:lang w:eastAsia="sk-SK"/>
        </w:rPr>
        <w:t> </w:t>
      </w:r>
      <w:r w:rsidRPr="00F73B54">
        <w:rPr>
          <w:sz w:val="18"/>
          <w:szCs w:val="18"/>
          <w:lang w:eastAsia="sk-SK"/>
        </w:rPr>
        <w:t>vysporiadané individuálne nezrovnalosti a vratky vo výške 3</w:t>
      </w:r>
      <w:r w:rsidR="00F73B54">
        <w:rPr>
          <w:sz w:val="18"/>
          <w:szCs w:val="18"/>
          <w:lang w:eastAsia="sk-SK"/>
        </w:rPr>
        <w:t> </w:t>
      </w:r>
      <w:r w:rsidRPr="00F73B54">
        <w:rPr>
          <w:sz w:val="18"/>
          <w:szCs w:val="18"/>
          <w:lang w:eastAsia="sk-SK"/>
        </w:rPr>
        <w:t>343</w:t>
      </w:r>
      <w:r w:rsidR="00F73B54">
        <w:rPr>
          <w:sz w:val="18"/>
          <w:szCs w:val="18"/>
          <w:lang w:eastAsia="sk-SK"/>
        </w:rPr>
        <w:t> </w:t>
      </w:r>
      <w:r w:rsidRPr="00F73B54">
        <w:rPr>
          <w:sz w:val="18"/>
          <w:szCs w:val="18"/>
          <w:lang w:eastAsia="sk-SK"/>
        </w:rPr>
        <w:t>tis.</w:t>
      </w:r>
      <w:r w:rsidR="00F73B54">
        <w:rPr>
          <w:sz w:val="18"/>
          <w:szCs w:val="18"/>
          <w:lang w:eastAsia="sk-SK"/>
        </w:rPr>
        <w:t> </w:t>
      </w:r>
      <w:r w:rsidRPr="00F73B54">
        <w:rPr>
          <w:sz w:val="18"/>
          <w:szCs w:val="18"/>
          <w:lang w:eastAsia="sk-SK"/>
        </w:rPr>
        <w:t>eur.</w:t>
      </w:r>
    </w:p>
  </w:footnote>
  <w:footnote w:id="35">
    <w:p w14:paraId="2474D15A" w14:textId="3E531997" w:rsidR="001E018A" w:rsidRPr="00483FBE" w:rsidRDefault="001E018A" w:rsidP="001E018A">
      <w:pPr>
        <w:pStyle w:val="Textpoznmkypodiarou"/>
        <w:jc w:val="both"/>
        <w:rPr>
          <w:sz w:val="18"/>
          <w:szCs w:val="18"/>
        </w:rPr>
      </w:pPr>
      <w:r w:rsidRPr="00483FBE">
        <w:rPr>
          <w:rStyle w:val="Odkaznapoznmkupodiarou"/>
          <w:sz w:val="18"/>
          <w:szCs w:val="18"/>
        </w:rPr>
        <w:footnoteRef/>
      </w:r>
      <w:r w:rsidRPr="00483FBE">
        <w:rPr>
          <w:sz w:val="18"/>
          <w:szCs w:val="18"/>
        </w:rPr>
        <w:t xml:space="preserve"> </w:t>
      </w:r>
      <w:r w:rsidRPr="00483FBE">
        <w:rPr>
          <w:sz w:val="18"/>
          <w:szCs w:val="18"/>
          <w:lang w:eastAsia="sk-SK"/>
        </w:rPr>
        <w:t>V roku 2025 bol rozpočet výdavkov za prostriedky EÚ upravený za Program Slovensko o</w:t>
      </w:r>
      <w:r w:rsidR="00483FBE">
        <w:rPr>
          <w:sz w:val="18"/>
          <w:szCs w:val="18"/>
          <w:lang w:eastAsia="sk-SK"/>
        </w:rPr>
        <w:t> </w:t>
      </w:r>
      <w:r w:rsidRPr="00483FBE">
        <w:rPr>
          <w:sz w:val="18"/>
          <w:szCs w:val="18"/>
          <w:lang w:eastAsia="sk-SK"/>
        </w:rPr>
        <w:t>vysporiadané individuálne nezrovnalosti a vratky vo výške 6</w:t>
      </w:r>
      <w:r w:rsidR="00483FBE">
        <w:rPr>
          <w:sz w:val="18"/>
          <w:szCs w:val="18"/>
          <w:lang w:eastAsia="sk-SK"/>
        </w:rPr>
        <w:t> </w:t>
      </w:r>
      <w:r w:rsidRPr="00483FBE">
        <w:rPr>
          <w:sz w:val="18"/>
          <w:szCs w:val="18"/>
          <w:lang w:eastAsia="sk-SK"/>
        </w:rPr>
        <w:t>501</w:t>
      </w:r>
      <w:r w:rsidR="00483FBE">
        <w:rPr>
          <w:sz w:val="18"/>
          <w:szCs w:val="18"/>
          <w:lang w:eastAsia="sk-SK"/>
        </w:rPr>
        <w:t> </w:t>
      </w:r>
      <w:r w:rsidRPr="00483FBE">
        <w:rPr>
          <w:sz w:val="18"/>
          <w:szCs w:val="18"/>
          <w:lang w:eastAsia="sk-SK"/>
        </w:rPr>
        <w:t>tis</w:t>
      </w:r>
      <w:r w:rsidR="00483FBE">
        <w:rPr>
          <w:sz w:val="18"/>
          <w:szCs w:val="18"/>
          <w:lang w:eastAsia="sk-SK"/>
        </w:rPr>
        <w:t> </w:t>
      </w:r>
      <w:r w:rsidRPr="00483FBE">
        <w:rPr>
          <w:sz w:val="18"/>
          <w:szCs w:val="18"/>
          <w:lang w:eastAsia="sk-SK"/>
        </w:rPr>
        <w:t>eur a za Program Interreg VI-A SK-CZ 2021-2027 o</w:t>
      </w:r>
      <w:r w:rsidR="00483FBE">
        <w:rPr>
          <w:sz w:val="18"/>
          <w:szCs w:val="18"/>
          <w:lang w:eastAsia="sk-SK"/>
        </w:rPr>
        <w:t> </w:t>
      </w:r>
      <w:r w:rsidRPr="00483FBE">
        <w:rPr>
          <w:sz w:val="18"/>
          <w:szCs w:val="18"/>
          <w:lang w:eastAsia="sk-SK"/>
        </w:rPr>
        <w:t>vysporiadané individuálne nezrovnalosti a vratky vo výške 26</w:t>
      </w:r>
      <w:r w:rsidR="00483FBE">
        <w:rPr>
          <w:sz w:val="18"/>
          <w:szCs w:val="18"/>
          <w:lang w:eastAsia="sk-SK"/>
        </w:rPr>
        <w:t> </w:t>
      </w:r>
      <w:r w:rsidRPr="00483FBE">
        <w:rPr>
          <w:sz w:val="18"/>
          <w:szCs w:val="18"/>
          <w:lang w:eastAsia="sk-SK"/>
        </w:rPr>
        <w:t>tis.</w:t>
      </w:r>
      <w:r w:rsidR="00483FBE">
        <w:rPr>
          <w:sz w:val="18"/>
          <w:szCs w:val="18"/>
          <w:lang w:eastAsia="sk-SK"/>
        </w:rPr>
        <w:t> </w:t>
      </w:r>
      <w:r w:rsidRPr="00483FBE">
        <w:rPr>
          <w:sz w:val="18"/>
          <w:szCs w:val="18"/>
          <w:lang w:eastAsia="sk-SK"/>
        </w:rPr>
        <w:t>eur a o vysporiadané systémové nezrovnalosti vo výške 0,3</w:t>
      </w:r>
      <w:r w:rsidR="00483FBE">
        <w:rPr>
          <w:sz w:val="18"/>
          <w:szCs w:val="18"/>
          <w:lang w:eastAsia="sk-SK"/>
        </w:rPr>
        <w:t> </w:t>
      </w:r>
      <w:r w:rsidRPr="00483FBE">
        <w:rPr>
          <w:sz w:val="18"/>
          <w:szCs w:val="18"/>
          <w:lang w:eastAsia="sk-SK"/>
        </w:rPr>
        <w:t>tis.</w:t>
      </w:r>
      <w:r w:rsidR="00483FBE">
        <w:rPr>
          <w:sz w:val="18"/>
          <w:szCs w:val="18"/>
          <w:lang w:eastAsia="sk-SK"/>
        </w:rPr>
        <w:t> </w:t>
      </w:r>
      <w:r w:rsidRPr="00483FBE">
        <w:rPr>
          <w:sz w:val="18"/>
          <w:szCs w:val="18"/>
          <w:lang w:eastAsia="sk-SK"/>
        </w:rPr>
        <w:t>eur.</w:t>
      </w:r>
    </w:p>
  </w:footnote>
  <w:footnote w:id="36">
    <w:p w14:paraId="30901FB8" w14:textId="77B1F03E" w:rsidR="001E018A" w:rsidRPr="00483FBE" w:rsidRDefault="001E018A" w:rsidP="001E018A">
      <w:pPr>
        <w:pStyle w:val="Textpoznmkypodiarou"/>
        <w:jc w:val="both"/>
        <w:rPr>
          <w:sz w:val="18"/>
          <w:szCs w:val="18"/>
          <w:lang w:eastAsia="sk-SK"/>
        </w:rPr>
      </w:pPr>
      <w:r w:rsidRPr="00483FBE">
        <w:rPr>
          <w:sz w:val="18"/>
          <w:szCs w:val="18"/>
          <w:vertAlign w:val="superscript"/>
          <w:lang w:eastAsia="sk-SK"/>
        </w:rPr>
        <w:footnoteRef/>
      </w:r>
      <w:r w:rsidRPr="00483FBE">
        <w:rPr>
          <w:sz w:val="18"/>
          <w:szCs w:val="18"/>
          <w:lang w:eastAsia="sk-SK"/>
        </w:rPr>
        <w:t xml:space="preserve"> Skutočnosť na úrovni vybraných jednorazových titulov predstavuje reálne čerpanie na základe predložených žiadostí o platbu prijímateľom.</w:t>
      </w:r>
    </w:p>
  </w:footnote>
  <w:footnote w:id="37">
    <w:p w14:paraId="241DAE43" w14:textId="5EABB102" w:rsidR="001E018A" w:rsidRPr="00483FBE" w:rsidRDefault="001E018A" w:rsidP="001E018A">
      <w:pPr>
        <w:pStyle w:val="Textpoznmkypodiarou"/>
        <w:jc w:val="both"/>
        <w:rPr>
          <w:sz w:val="18"/>
          <w:szCs w:val="18"/>
        </w:rPr>
      </w:pPr>
      <w:r w:rsidRPr="00483FBE">
        <w:rPr>
          <w:rStyle w:val="Odkaznapoznmkupodiarou"/>
          <w:sz w:val="18"/>
          <w:szCs w:val="18"/>
        </w:rPr>
        <w:footnoteRef/>
      </w:r>
      <w:r w:rsidRPr="00483FBE">
        <w:rPr>
          <w:sz w:val="18"/>
          <w:szCs w:val="18"/>
        </w:rPr>
        <w:t xml:space="preserve"> </w:t>
      </w:r>
      <w:r w:rsidRPr="00483FBE">
        <w:rPr>
          <w:sz w:val="18"/>
          <w:szCs w:val="18"/>
          <w:lang w:eastAsia="sk-SK"/>
        </w:rPr>
        <w:t>V roku 2025 bol rozpočet výdavkov za prostriedky EÚ upravený za Program Rozvoja vidieka 2014-2022 o</w:t>
      </w:r>
      <w:r w:rsidR="00483FBE">
        <w:rPr>
          <w:sz w:val="18"/>
          <w:szCs w:val="18"/>
          <w:lang w:eastAsia="sk-SK"/>
        </w:rPr>
        <w:t> </w:t>
      </w:r>
      <w:r w:rsidRPr="00483FBE">
        <w:rPr>
          <w:sz w:val="18"/>
          <w:szCs w:val="18"/>
          <w:lang w:eastAsia="sk-SK"/>
        </w:rPr>
        <w:t>vysporiadané individuálne nezrovnalosti a vratky vo výške 3</w:t>
      </w:r>
      <w:r w:rsidR="00483FBE">
        <w:rPr>
          <w:sz w:val="18"/>
          <w:szCs w:val="18"/>
          <w:lang w:eastAsia="sk-SK"/>
        </w:rPr>
        <w:t> </w:t>
      </w:r>
      <w:r w:rsidRPr="00483FBE">
        <w:rPr>
          <w:sz w:val="18"/>
          <w:szCs w:val="18"/>
          <w:lang w:eastAsia="sk-SK"/>
        </w:rPr>
        <w:t>343</w:t>
      </w:r>
      <w:r w:rsidR="00483FBE">
        <w:rPr>
          <w:sz w:val="18"/>
          <w:szCs w:val="18"/>
          <w:lang w:eastAsia="sk-SK"/>
        </w:rPr>
        <w:t> </w:t>
      </w:r>
      <w:r w:rsidRPr="00483FBE">
        <w:rPr>
          <w:sz w:val="18"/>
          <w:szCs w:val="18"/>
          <w:lang w:eastAsia="sk-SK"/>
        </w:rPr>
        <w:t>tis.</w:t>
      </w:r>
      <w:r w:rsidR="00483FBE">
        <w:rPr>
          <w:sz w:val="18"/>
          <w:szCs w:val="18"/>
          <w:lang w:eastAsia="sk-SK"/>
        </w:rPr>
        <w:t> </w:t>
      </w:r>
      <w:r w:rsidRPr="00483FBE">
        <w:rPr>
          <w:sz w:val="18"/>
          <w:szCs w:val="18"/>
          <w:lang w:eastAsia="sk-SK"/>
        </w:rPr>
        <w:t>eur.</w:t>
      </w:r>
    </w:p>
  </w:footnote>
  <w:footnote w:id="38">
    <w:p w14:paraId="21B300B5" w14:textId="0F379976" w:rsidR="001E018A" w:rsidRPr="00D909C1" w:rsidRDefault="001E018A" w:rsidP="001E018A">
      <w:pPr>
        <w:pStyle w:val="Textpoznmkypodiarou"/>
        <w:jc w:val="both"/>
        <w:rPr>
          <w:sz w:val="16"/>
          <w:szCs w:val="16"/>
        </w:rPr>
      </w:pPr>
      <w:r w:rsidRPr="00483FBE">
        <w:rPr>
          <w:rStyle w:val="Odkaznapoznmkupodiarou"/>
          <w:sz w:val="18"/>
          <w:szCs w:val="18"/>
        </w:rPr>
        <w:footnoteRef/>
      </w:r>
      <w:r w:rsidRPr="00483FBE">
        <w:rPr>
          <w:sz w:val="18"/>
          <w:szCs w:val="18"/>
        </w:rPr>
        <w:t xml:space="preserve"> </w:t>
      </w:r>
      <w:r w:rsidRPr="00483FBE">
        <w:rPr>
          <w:sz w:val="18"/>
          <w:szCs w:val="18"/>
          <w:lang w:eastAsia="sk-SK"/>
        </w:rPr>
        <w:t>V roku 2025 bol rozpočet príjmov za prostriedky EÚ upravený za Program Rozvoja vidieka 2023-2027 o</w:t>
      </w:r>
      <w:r w:rsidR="00483FBE">
        <w:rPr>
          <w:sz w:val="18"/>
          <w:szCs w:val="18"/>
          <w:lang w:eastAsia="sk-SK"/>
        </w:rPr>
        <w:t> </w:t>
      </w:r>
      <w:r w:rsidRPr="00483FBE">
        <w:rPr>
          <w:sz w:val="18"/>
          <w:szCs w:val="18"/>
          <w:lang w:eastAsia="sk-SK"/>
        </w:rPr>
        <w:t>vysporiadané individuálne nezrovnalosti a vratky vo výške 10</w:t>
      </w:r>
      <w:r w:rsidR="00483FBE">
        <w:rPr>
          <w:sz w:val="18"/>
          <w:szCs w:val="18"/>
          <w:lang w:eastAsia="sk-SK"/>
        </w:rPr>
        <w:t> </w:t>
      </w:r>
      <w:r w:rsidRPr="00483FBE">
        <w:rPr>
          <w:sz w:val="18"/>
          <w:szCs w:val="18"/>
          <w:lang w:eastAsia="sk-SK"/>
        </w:rPr>
        <w:t>tis.</w:t>
      </w:r>
      <w:r w:rsidR="00483FBE">
        <w:rPr>
          <w:sz w:val="18"/>
          <w:szCs w:val="18"/>
          <w:lang w:eastAsia="sk-SK"/>
        </w:rPr>
        <w:t> </w:t>
      </w:r>
      <w:r w:rsidRPr="00483FBE">
        <w:rPr>
          <w:sz w:val="18"/>
          <w:szCs w:val="18"/>
          <w:lang w:eastAsia="sk-SK"/>
        </w:rPr>
        <w:t>eur.</w:t>
      </w:r>
    </w:p>
  </w:footnote>
  <w:footnote w:id="39">
    <w:p w14:paraId="139B372A" w14:textId="4B0FAC12" w:rsidR="004035FE" w:rsidRPr="004035FE" w:rsidRDefault="004035FE" w:rsidP="004035FE">
      <w:pPr>
        <w:pStyle w:val="Textpoznmkypodiarou"/>
        <w:jc w:val="both"/>
        <w:rPr>
          <w:sz w:val="18"/>
          <w:szCs w:val="18"/>
        </w:rPr>
      </w:pPr>
      <w:r w:rsidRPr="004035FE">
        <w:rPr>
          <w:rStyle w:val="Odkaznapoznmkupodiarou"/>
          <w:sz w:val="18"/>
          <w:szCs w:val="18"/>
        </w:rPr>
        <w:footnoteRef/>
      </w:r>
      <w:r w:rsidRPr="004035FE">
        <w:rPr>
          <w:sz w:val="18"/>
          <w:szCs w:val="18"/>
        </w:rPr>
        <w:t xml:space="preserve"> Prípadné číselné rozdiely medzi tabuľkovou prílohou a údajmi v textovej časti záverečného účtu sú spôsobené automatickým zaokrúhľovaním.</w:t>
      </w:r>
    </w:p>
  </w:footnote>
  <w:footnote w:id="40">
    <w:p w14:paraId="51C7D4DF" w14:textId="151E4811" w:rsidR="006645E5" w:rsidRPr="00C02E1F" w:rsidRDefault="006645E5" w:rsidP="006645E5">
      <w:pPr>
        <w:pStyle w:val="Textpoznmkypodiarou"/>
        <w:jc w:val="both"/>
      </w:pPr>
      <w:r w:rsidRPr="00C02E1F">
        <w:rPr>
          <w:rStyle w:val="Odkaznapoznmkupodiarou"/>
          <w:sz w:val="18"/>
          <w:szCs w:val="18"/>
        </w:rPr>
        <w:footnoteRef/>
      </w:r>
      <w:r w:rsidR="0043119E">
        <w:rPr>
          <w:sz w:val="18"/>
          <w:szCs w:val="18"/>
        </w:rPr>
        <w:t xml:space="preserve"> </w:t>
      </w:r>
      <w:r w:rsidRPr="00C02E1F">
        <w:rPr>
          <w:sz w:val="18"/>
          <w:szCs w:val="18"/>
          <w:lang w:eastAsia="sk-SK"/>
        </w:rPr>
        <w:t>V roku 2025 bol rozpočet prostriedkov na spolufinancovanie</w:t>
      </w:r>
      <w:r>
        <w:rPr>
          <w:sz w:val="18"/>
          <w:szCs w:val="18"/>
          <w:lang w:eastAsia="sk-SK"/>
        </w:rPr>
        <w:t xml:space="preserve"> zo štátneho rozpočtu</w:t>
      </w:r>
      <w:r w:rsidRPr="00C02E1F">
        <w:rPr>
          <w:sz w:val="18"/>
          <w:szCs w:val="18"/>
          <w:lang w:eastAsia="sk-SK"/>
        </w:rPr>
        <w:t xml:space="preserve"> upravený za</w:t>
      </w:r>
      <w:r>
        <w:rPr>
          <w:sz w:val="18"/>
          <w:szCs w:val="18"/>
          <w:lang w:eastAsia="sk-SK"/>
        </w:rPr>
        <w:t> </w:t>
      </w:r>
      <w:r w:rsidRPr="00C02E1F">
        <w:rPr>
          <w:sz w:val="18"/>
          <w:szCs w:val="18"/>
          <w:lang w:eastAsia="sk-SK"/>
        </w:rPr>
        <w:t>Program Slovensko o</w:t>
      </w:r>
      <w:r>
        <w:rPr>
          <w:sz w:val="18"/>
          <w:szCs w:val="18"/>
          <w:lang w:eastAsia="sk-SK"/>
        </w:rPr>
        <w:t> </w:t>
      </w:r>
      <w:r w:rsidRPr="00C02E1F">
        <w:rPr>
          <w:sz w:val="18"/>
          <w:szCs w:val="18"/>
          <w:lang w:eastAsia="sk-SK"/>
        </w:rPr>
        <w:t>vysporiadané individuálne nezrovnalosti a vratky vo výške 1</w:t>
      </w:r>
      <w:r>
        <w:rPr>
          <w:sz w:val="18"/>
          <w:szCs w:val="18"/>
          <w:lang w:eastAsia="sk-SK"/>
        </w:rPr>
        <w:t> 837 </w:t>
      </w:r>
      <w:r w:rsidRPr="00C02E1F">
        <w:rPr>
          <w:sz w:val="18"/>
          <w:szCs w:val="18"/>
          <w:lang w:eastAsia="sk-SK"/>
        </w:rPr>
        <w:t>tis</w:t>
      </w:r>
      <w:r>
        <w:rPr>
          <w:sz w:val="18"/>
          <w:szCs w:val="18"/>
          <w:lang w:eastAsia="sk-SK"/>
        </w:rPr>
        <w:t>. </w:t>
      </w:r>
      <w:r w:rsidRPr="00C02E1F">
        <w:rPr>
          <w:sz w:val="18"/>
          <w:szCs w:val="18"/>
          <w:lang w:eastAsia="sk-SK"/>
        </w:rPr>
        <w:t>eur a za Program Interreg VI-A SK-CZ 2021-2027 o</w:t>
      </w:r>
      <w:r>
        <w:rPr>
          <w:sz w:val="18"/>
          <w:szCs w:val="18"/>
          <w:lang w:eastAsia="sk-SK"/>
        </w:rPr>
        <w:t> </w:t>
      </w:r>
      <w:r w:rsidRPr="00C02E1F">
        <w:rPr>
          <w:sz w:val="18"/>
          <w:szCs w:val="18"/>
          <w:lang w:eastAsia="sk-SK"/>
        </w:rPr>
        <w:t>vysporiadané individuálne nezrovnalosti a vratky vo výške 4</w:t>
      </w:r>
      <w:r>
        <w:rPr>
          <w:sz w:val="18"/>
          <w:szCs w:val="18"/>
          <w:lang w:eastAsia="sk-SK"/>
        </w:rPr>
        <w:t> </w:t>
      </w:r>
      <w:r w:rsidRPr="00C02E1F">
        <w:rPr>
          <w:sz w:val="18"/>
          <w:szCs w:val="18"/>
          <w:lang w:eastAsia="sk-SK"/>
        </w:rPr>
        <w:t>tis.</w:t>
      </w:r>
      <w:r>
        <w:rPr>
          <w:sz w:val="18"/>
          <w:szCs w:val="18"/>
          <w:lang w:eastAsia="sk-SK"/>
        </w:rPr>
        <w:t> </w:t>
      </w:r>
      <w:r w:rsidRPr="00C02E1F">
        <w:rPr>
          <w:sz w:val="18"/>
          <w:szCs w:val="18"/>
          <w:lang w:eastAsia="sk-SK"/>
        </w:rPr>
        <w:t>eur a o vysporiadané systémové nezrovnalosti vo</w:t>
      </w:r>
      <w:r>
        <w:rPr>
          <w:sz w:val="18"/>
          <w:szCs w:val="18"/>
          <w:lang w:eastAsia="sk-SK"/>
        </w:rPr>
        <w:t> </w:t>
      </w:r>
      <w:r w:rsidRPr="00C02E1F">
        <w:rPr>
          <w:sz w:val="18"/>
          <w:szCs w:val="18"/>
          <w:lang w:eastAsia="sk-SK"/>
        </w:rPr>
        <w:t>výške 0,05</w:t>
      </w:r>
      <w:r>
        <w:rPr>
          <w:sz w:val="18"/>
          <w:szCs w:val="18"/>
          <w:lang w:eastAsia="sk-SK"/>
        </w:rPr>
        <w:t> </w:t>
      </w:r>
      <w:r w:rsidRPr="00C02E1F">
        <w:rPr>
          <w:sz w:val="18"/>
          <w:szCs w:val="18"/>
          <w:lang w:eastAsia="sk-SK"/>
        </w:rPr>
        <w:t>tis.</w:t>
      </w:r>
      <w:r>
        <w:rPr>
          <w:sz w:val="18"/>
          <w:szCs w:val="18"/>
          <w:lang w:eastAsia="sk-SK"/>
        </w:rPr>
        <w:t> </w:t>
      </w:r>
      <w:r w:rsidRPr="00C02E1F">
        <w:rPr>
          <w:sz w:val="18"/>
          <w:szCs w:val="18"/>
          <w:lang w:eastAsia="sk-SK"/>
        </w:rPr>
        <w:t>eur.</w:t>
      </w:r>
    </w:p>
  </w:footnote>
  <w:footnote w:id="41">
    <w:p w14:paraId="7A3E5CA1" w14:textId="2F2D3979" w:rsidR="006645E5" w:rsidRPr="009364D0" w:rsidRDefault="006645E5" w:rsidP="006645E5">
      <w:pPr>
        <w:pStyle w:val="Textpoznmkypodiarou"/>
        <w:jc w:val="both"/>
        <w:rPr>
          <w:sz w:val="18"/>
          <w:szCs w:val="18"/>
        </w:rPr>
      </w:pPr>
      <w:r w:rsidRPr="00F3544F">
        <w:rPr>
          <w:sz w:val="18"/>
          <w:szCs w:val="18"/>
          <w:vertAlign w:val="superscript"/>
          <w:lang w:eastAsia="sk-SK"/>
        </w:rPr>
        <w:footnoteRef/>
      </w:r>
      <w:r w:rsidRPr="00F3544F">
        <w:rPr>
          <w:sz w:val="18"/>
          <w:szCs w:val="18"/>
          <w:lang w:eastAsia="sk-SK"/>
        </w:rPr>
        <w:t xml:space="preserve"> Skutočnosť na úrovni vybraných jednorazových titulov predstavuje reálne čerpanie</w:t>
      </w:r>
      <w:r w:rsidRPr="00DE5D26">
        <w:rPr>
          <w:sz w:val="18"/>
          <w:szCs w:val="18"/>
          <w:lang w:eastAsia="sk-SK"/>
        </w:rPr>
        <w:t xml:space="preserve"> </w:t>
      </w:r>
      <w:r>
        <w:rPr>
          <w:sz w:val="18"/>
          <w:szCs w:val="18"/>
          <w:lang w:eastAsia="sk-SK"/>
        </w:rPr>
        <w:t>na základe predložených žiadostí o platbu prijímateľom</w:t>
      </w:r>
      <w:r w:rsidRPr="00F3544F">
        <w:rPr>
          <w:sz w:val="18"/>
          <w:szCs w:val="18"/>
          <w:lang w:eastAsia="sk-SK"/>
        </w:rPr>
        <w:t>.</w:t>
      </w:r>
    </w:p>
  </w:footnote>
  <w:footnote w:id="42">
    <w:p w14:paraId="457482BA" w14:textId="5E4092B3" w:rsidR="006645E5" w:rsidRPr="006645E5" w:rsidRDefault="006645E5" w:rsidP="006645E5">
      <w:pPr>
        <w:pStyle w:val="Textpoznmkypodiarou"/>
        <w:jc w:val="both"/>
        <w:rPr>
          <w:sz w:val="18"/>
          <w:szCs w:val="18"/>
        </w:rPr>
      </w:pPr>
      <w:r w:rsidRPr="006645E5">
        <w:rPr>
          <w:rStyle w:val="Odkaznapoznmkupodiarou"/>
          <w:sz w:val="18"/>
          <w:szCs w:val="18"/>
        </w:rPr>
        <w:footnoteRef/>
      </w:r>
      <w:r w:rsidRPr="006645E5">
        <w:rPr>
          <w:sz w:val="18"/>
          <w:szCs w:val="18"/>
        </w:rPr>
        <w:t xml:space="preserve"> </w:t>
      </w:r>
      <w:r w:rsidRPr="006645E5">
        <w:rPr>
          <w:sz w:val="18"/>
          <w:szCs w:val="18"/>
          <w:lang w:eastAsia="sk-SK"/>
        </w:rPr>
        <w:t>V roku 2025 bol rozpočet prostriedkov na spolufinancovanie zo štátneho rozpočtu upravený za Program Rozvoja vidieka 2014-2022 o vysporiadané individuálne nezrovnalosti a vratky vo výške 1</w:t>
      </w:r>
      <w:r>
        <w:rPr>
          <w:sz w:val="18"/>
          <w:szCs w:val="18"/>
          <w:lang w:eastAsia="sk-SK"/>
        </w:rPr>
        <w:t> </w:t>
      </w:r>
      <w:r w:rsidRPr="006645E5">
        <w:rPr>
          <w:sz w:val="18"/>
          <w:szCs w:val="18"/>
          <w:lang w:eastAsia="sk-SK"/>
        </w:rPr>
        <w:t>114</w:t>
      </w:r>
      <w:r>
        <w:rPr>
          <w:sz w:val="18"/>
          <w:szCs w:val="18"/>
          <w:lang w:eastAsia="sk-SK"/>
        </w:rPr>
        <w:t> </w:t>
      </w:r>
      <w:r w:rsidRPr="006645E5">
        <w:rPr>
          <w:sz w:val="18"/>
          <w:szCs w:val="18"/>
          <w:lang w:eastAsia="sk-SK"/>
        </w:rPr>
        <w:t>tis.</w:t>
      </w:r>
      <w:r>
        <w:rPr>
          <w:sz w:val="18"/>
          <w:szCs w:val="18"/>
          <w:lang w:eastAsia="sk-SK"/>
        </w:rPr>
        <w:t> </w:t>
      </w:r>
      <w:r w:rsidRPr="006645E5">
        <w:rPr>
          <w:sz w:val="18"/>
          <w:szCs w:val="18"/>
          <w:lang w:eastAsia="sk-SK"/>
        </w:rPr>
        <w:t>eur.</w:t>
      </w:r>
    </w:p>
  </w:footnote>
  <w:footnote w:id="43">
    <w:p w14:paraId="21C7E553" w14:textId="300999D9" w:rsidR="006645E5" w:rsidRPr="00C02E1F" w:rsidRDefault="006645E5" w:rsidP="006645E5">
      <w:pPr>
        <w:pStyle w:val="Textpoznmkypodiarou"/>
        <w:jc w:val="both"/>
      </w:pPr>
      <w:r w:rsidRPr="006645E5">
        <w:rPr>
          <w:rStyle w:val="Odkaznapoznmkupodiarou"/>
          <w:sz w:val="18"/>
          <w:szCs w:val="18"/>
        </w:rPr>
        <w:footnoteRef/>
      </w:r>
      <w:r w:rsidRPr="006645E5">
        <w:rPr>
          <w:sz w:val="18"/>
          <w:szCs w:val="18"/>
        </w:rPr>
        <w:t xml:space="preserve"> </w:t>
      </w:r>
      <w:r w:rsidRPr="006645E5">
        <w:rPr>
          <w:sz w:val="18"/>
          <w:szCs w:val="18"/>
          <w:lang w:eastAsia="sk-SK"/>
        </w:rPr>
        <w:t>V roku 2025 bol rozpočet prostriedkov na spolufinancovanie zo štátneho rozpočtu upravený za Program Rozvoja vidieka 2023-2027 o vysporiadané individuálne nezrovnalosti a vratky vo výške 3</w:t>
      </w:r>
      <w:r>
        <w:rPr>
          <w:sz w:val="18"/>
          <w:szCs w:val="18"/>
          <w:lang w:eastAsia="sk-SK"/>
        </w:rPr>
        <w:t> </w:t>
      </w:r>
      <w:r w:rsidRPr="006645E5">
        <w:rPr>
          <w:sz w:val="18"/>
          <w:szCs w:val="18"/>
          <w:lang w:eastAsia="sk-SK"/>
        </w:rPr>
        <w:t>tis.</w:t>
      </w:r>
      <w:r>
        <w:rPr>
          <w:sz w:val="18"/>
          <w:szCs w:val="18"/>
          <w:lang w:eastAsia="sk-SK"/>
        </w:rPr>
        <w:t> </w:t>
      </w:r>
      <w:r w:rsidRPr="006645E5">
        <w:rPr>
          <w:sz w:val="18"/>
          <w:szCs w:val="18"/>
          <w:lang w:eastAsia="sk-SK"/>
        </w:rPr>
        <w:t>eur.</w:t>
      </w:r>
    </w:p>
  </w:footnote>
  <w:footnote w:id="44">
    <w:p w14:paraId="6E8B41EC" w14:textId="675A7821" w:rsidR="007A7529" w:rsidRPr="00997931" w:rsidRDefault="007A7529" w:rsidP="00997931">
      <w:pPr>
        <w:pStyle w:val="Textpoznmkypodiarou"/>
        <w:jc w:val="both"/>
        <w:rPr>
          <w:sz w:val="18"/>
          <w:szCs w:val="18"/>
        </w:rPr>
      </w:pPr>
      <w:r w:rsidRPr="00E96C74">
        <w:rPr>
          <w:rStyle w:val="Odkaznapoznmkupodiarou"/>
          <w:sz w:val="18"/>
          <w:szCs w:val="18"/>
        </w:rPr>
        <w:footnoteRef/>
      </w:r>
      <w:r w:rsidRPr="00E96C74">
        <w:rPr>
          <w:sz w:val="18"/>
          <w:szCs w:val="18"/>
        </w:rPr>
        <w:t xml:space="preserve"> </w:t>
      </w:r>
      <w:r w:rsidR="00997931" w:rsidRPr="00997931">
        <w:rPr>
          <w:sz w:val="18"/>
          <w:szCs w:val="18"/>
        </w:rPr>
        <w:t>Údaje len za fondy ERDF, ESF/ESF+, KF, FST, ENRG, ENRAF</w:t>
      </w:r>
      <w:r w:rsidRPr="00997931">
        <w:rPr>
          <w:sz w:val="18"/>
          <w:szCs w:val="18"/>
        </w:rPr>
        <w:t>.</w:t>
      </w:r>
    </w:p>
  </w:footnote>
  <w:footnote w:id="45">
    <w:p w14:paraId="4C5D155E" w14:textId="7F72E7E0" w:rsidR="00A4283A" w:rsidRPr="00E736F9" w:rsidRDefault="00A4283A" w:rsidP="00E736F9">
      <w:pPr>
        <w:pStyle w:val="Textpoznmkypodiarou"/>
        <w:contextualSpacing/>
        <w:jc w:val="both"/>
        <w:rPr>
          <w:rStyle w:val="Hypertextovprepojenie"/>
          <w:rFonts w:cs="Times New Roman"/>
          <w:sz w:val="18"/>
          <w:szCs w:val="18"/>
        </w:rPr>
      </w:pPr>
      <w:r w:rsidRPr="00E736F9">
        <w:rPr>
          <w:rStyle w:val="Odkaznapoznmkupodiarou"/>
          <w:rFonts w:cs="Times New Roman"/>
          <w:sz w:val="18"/>
          <w:szCs w:val="18"/>
        </w:rPr>
        <w:footnoteRef/>
      </w:r>
      <w:r w:rsidRPr="00E736F9">
        <w:rPr>
          <w:rFonts w:cs="Times New Roman"/>
          <w:sz w:val="18"/>
          <w:szCs w:val="18"/>
        </w:rPr>
        <w:t xml:space="preserve"> </w:t>
      </w:r>
      <w:hyperlink r:id="rId5" w:history="1">
        <w:r w:rsidRPr="00E736F9">
          <w:rPr>
            <w:rStyle w:val="Hypertextovprepojenie"/>
            <w:rFonts w:cs="Times New Roman"/>
            <w:sz w:val="18"/>
            <w:szCs w:val="18"/>
          </w:rPr>
          <w:t>https://data.consilium.europa.eu/doc/document/ST-11205-2023-INIT/en/pdf</w:t>
        </w:r>
      </w:hyperlink>
    </w:p>
  </w:footnote>
  <w:footnote w:id="46">
    <w:p w14:paraId="2A09933D" w14:textId="77777777" w:rsidR="00A4283A" w:rsidRPr="00E736F9" w:rsidRDefault="00A4283A" w:rsidP="00E736F9">
      <w:pPr>
        <w:pStyle w:val="Textpoznmkypodiarou"/>
        <w:contextualSpacing/>
        <w:jc w:val="both"/>
        <w:rPr>
          <w:sz w:val="18"/>
          <w:szCs w:val="18"/>
        </w:rPr>
      </w:pPr>
      <w:r w:rsidRPr="00E736F9">
        <w:rPr>
          <w:rStyle w:val="Odkaznapoznmkupodiarou"/>
          <w:rFonts w:cs="Times New Roman"/>
          <w:sz w:val="18"/>
          <w:szCs w:val="18"/>
        </w:rPr>
        <w:footnoteRef/>
      </w:r>
      <w:r w:rsidRPr="00E736F9">
        <w:rPr>
          <w:rFonts w:cs="Times New Roman"/>
          <w:sz w:val="18"/>
          <w:szCs w:val="18"/>
        </w:rPr>
        <w:t xml:space="preserve"> </w:t>
      </w:r>
      <w:hyperlink r:id="rId6" w:history="1">
        <w:r w:rsidRPr="00E736F9">
          <w:rPr>
            <w:rStyle w:val="Hypertextovprepojenie"/>
            <w:rFonts w:cs="Times New Roman"/>
            <w:sz w:val="18"/>
            <w:szCs w:val="18"/>
          </w:rPr>
          <w:t>https://data.consilium.europa.eu/doc/document/ST-11205-2023-ADD-1/en/pdf</w:t>
        </w:r>
      </w:hyperlink>
    </w:p>
  </w:footnote>
  <w:footnote w:id="47">
    <w:p w14:paraId="4C6247B4" w14:textId="483401A9" w:rsidR="00A4283A" w:rsidRPr="00E736F9" w:rsidRDefault="00A4283A" w:rsidP="00E736F9">
      <w:pPr>
        <w:pStyle w:val="Textpoznmkypodiarou"/>
        <w:jc w:val="both"/>
        <w:rPr>
          <w:sz w:val="18"/>
          <w:szCs w:val="18"/>
        </w:rPr>
      </w:pPr>
      <w:r w:rsidRPr="00E736F9">
        <w:rPr>
          <w:rStyle w:val="Odkaznapoznmkupodiarou"/>
          <w:sz w:val="18"/>
          <w:szCs w:val="18"/>
        </w:rPr>
        <w:footnoteRef/>
      </w:r>
      <w:r w:rsidR="00E736F9">
        <w:rPr>
          <w:sz w:val="18"/>
          <w:szCs w:val="18"/>
        </w:rPr>
        <w:t> </w:t>
      </w:r>
      <w:hyperlink r:id="rId7" w:history="1">
        <w:r w:rsidR="00E736F9" w:rsidRPr="00753A9F">
          <w:rPr>
            <w:rStyle w:val="Hypertextovprepojenie"/>
            <w:sz w:val="18"/>
            <w:szCs w:val="18"/>
          </w:rPr>
          <w:t>https://data.consilium.europa.eu/doc/document/ST-8054-2025-INIT/sk/pdf</w:t>
        </w:r>
      </w:hyperlink>
      <w:r w:rsidRPr="00E736F9">
        <w:rPr>
          <w:sz w:val="18"/>
          <w:szCs w:val="18"/>
        </w:rPr>
        <w:t>,</w:t>
      </w:r>
      <w:r w:rsidR="00E736F9">
        <w:rPr>
          <w:sz w:val="18"/>
          <w:szCs w:val="18"/>
        </w:rPr>
        <w:t xml:space="preserve"> </w:t>
      </w:r>
      <w:hyperlink r:id="rId8" w:history="1">
        <w:r w:rsidR="00E736F9" w:rsidRPr="00753A9F">
          <w:rPr>
            <w:rStyle w:val="Hypertextovprepojenie"/>
            <w:sz w:val="18"/>
            <w:szCs w:val="18"/>
          </w:rPr>
          <w:t>https://data.consilium.europa.eu/doc/document/ST-8054-2025-ADD-1/sk/pdf</w:t>
        </w:r>
      </w:hyperlink>
    </w:p>
  </w:footnote>
  <w:footnote w:id="48">
    <w:p w14:paraId="7165953C" w14:textId="1BF195FC" w:rsidR="00A4283A" w:rsidRDefault="00A4283A" w:rsidP="00E736F9">
      <w:pPr>
        <w:pStyle w:val="Textpoznmkypodiarou"/>
        <w:jc w:val="both"/>
      </w:pPr>
      <w:r w:rsidRPr="00E736F9">
        <w:rPr>
          <w:rStyle w:val="Odkaznapoznmkupodiarou"/>
          <w:sz w:val="18"/>
          <w:szCs w:val="18"/>
        </w:rPr>
        <w:footnoteRef/>
      </w:r>
      <w:r w:rsidR="00E736F9">
        <w:rPr>
          <w:sz w:val="18"/>
          <w:szCs w:val="18"/>
        </w:rPr>
        <w:t> </w:t>
      </w:r>
      <w:hyperlink r:id="rId9" w:history="1">
        <w:r w:rsidR="00E736F9" w:rsidRPr="00753A9F">
          <w:rPr>
            <w:rStyle w:val="Hypertextovprepojenie"/>
            <w:sz w:val="18"/>
            <w:szCs w:val="18"/>
          </w:rPr>
          <w:t>https://data.consilium.europa.eu/doc/document/ST-14450-2025-INIT/en/pdf</w:t>
        </w:r>
      </w:hyperlink>
      <w:r w:rsidRPr="00E736F9">
        <w:rPr>
          <w:sz w:val="18"/>
          <w:szCs w:val="18"/>
        </w:rPr>
        <w:t xml:space="preserve">, </w:t>
      </w:r>
      <w:hyperlink r:id="rId10" w:history="1">
        <w:r w:rsidRPr="00E736F9">
          <w:rPr>
            <w:rStyle w:val="Hypertextovprepojenie"/>
            <w:sz w:val="18"/>
            <w:szCs w:val="18"/>
          </w:rPr>
          <w:t>https://data.consilium.europa.eu/doc/document/ST-14450-2025-ADD-1/en/pdf</w:t>
        </w:r>
      </w:hyperlink>
    </w:p>
  </w:footnote>
  <w:footnote w:id="49">
    <w:p w14:paraId="0575FA12" w14:textId="14031092" w:rsidR="008921B6" w:rsidRPr="00A743F2" w:rsidRDefault="008921B6" w:rsidP="008921B6">
      <w:pPr>
        <w:pStyle w:val="Textpoznmkypodiarou"/>
        <w:jc w:val="both"/>
        <w:rPr>
          <w:sz w:val="18"/>
          <w:szCs w:val="18"/>
        </w:rPr>
      </w:pPr>
      <w:r w:rsidRPr="00A743F2">
        <w:rPr>
          <w:rStyle w:val="Odkaznapoznmkupodiarou"/>
          <w:sz w:val="18"/>
          <w:szCs w:val="18"/>
        </w:rPr>
        <w:footnoteRef/>
      </w:r>
      <w:r w:rsidRPr="00A743F2">
        <w:rPr>
          <w:sz w:val="18"/>
          <w:szCs w:val="18"/>
        </w:rPr>
        <w:t xml:space="preserve"> K 17.</w:t>
      </w:r>
      <w:r w:rsidR="00A743F2">
        <w:rPr>
          <w:sz w:val="18"/>
          <w:szCs w:val="18"/>
        </w:rPr>
        <w:t> </w:t>
      </w:r>
      <w:r w:rsidRPr="00A743F2">
        <w:rPr>
          <w:sz w:val="18"/>
          <w:szCs w:val="18"/>
        </w:rPr>
        <w:t>aprílu 2026 boli v rámci komitologického výboru schválené platby za</w:t>
      </w:r>
      <w:r w:rsidR="00A743F2">
        <w:rPr>
          <w:sz w:val="18"/>
          <w:szCs w:val="18"/>
        </w:rPr>
        <w:t> </w:t>
      </w:r>
      <w:r w:rsidRPr="00A743F2">
        <w:rPr>
          <w:sz w:val="18"/>
          <w:szCs w:val="18"/>
        </w:rPr>
        <w:t>6. a</w:t>
      </w:r>
      <w:r w:rsidR="00A743F2">
        <w:rPr>
          <w:sz w:val="18"/>
          <w:szCs w:val="18"/>
        </w:rPr>
        <w:t> </w:t>
      </w:r>
      <w:r w:rsidRPr="00A743F2">
        <w:rPr>
          <w:sz w:val="18"/>
          <w:szCs w:val="18"/>
        </w:rPr>
        <w:t>7.</w:t>
      </w:r>
      <w:r w:rsidR="00A743F2">
        <w:rPr>
          <w:sz w:val="18"/>
          <w:szCs w:val="18"/>
        </w:rPr>
        <w:t> </w:t>
      </w:r>
      <w:r w:rsidRPr="00A743F2">
        <w:rPr>
          <w:sz w:val="18"/>
          <w:szCs w:val="18"/>
        </w:rPr>
        <w:t>žiadosť o</w:t>
      </w:r>
      <w:r w:rsidR="00A743F2">
        <w:rPr>
          <w:sz w:val="18"/>
          <w:szCs w:val="18"/>
        </w:rPr>
        <w:t> </w:t>
      </w:r>
      <w:r w:rsidRPr="00A743F2">
        <w:rPr>
          <w:sz w:val="18"/>
          <w:szCs w:val="18"/>
        </w:rPr>
        <w:t xml:space="preserve">platbu </w:t>
      </w:r>
      <w:r w:rsidR="00E50EF7">
        <w:rPr>
          <w:sz w:val="18"/>
          <w:szCs w:val="18"/>
        </w:rPr>
        <w:t>POO</w:t>
      </w:r>
      <w:r w:rsidRPr="00A743F2">
        <w:rPr>
          <w:sz w:val="18"/>
          <w:szCs w:val="18"/>
        </w:rPr>
        <w:t>. Predpokladaná výška platby za 6.</w:t>
      </w:r>
      <w:r w:rsidR="00A743F2">
        <w:rPr>
          <w:sz w:val="18"/>
          <w:szCs w:val="18"/>
        </w:rPr>
        <w:t> </w:t>
      </w:r>
      <w:r w:rsidRPr="00A743F2">
        <w:rPr>
          <w:sz w:val="18"/>
          <w:szCs w:val="18"/>
        </w:rPr>
        <w:t>žiadosť o platbu predstavuje približne 590,6</w:t>
      </w:r>
      <w:r w:rsidR="00A743F2">
        <w:rPr>
          <w:sz w:val="18"/>
          <w:szCs w:val="18"/>
        </w:rPr>
        <w:t> </w:t>
      </w:r>
      <w:r w:rsidRPr="00A743F2">
        <w:rPr>
          <w:sz w:val="18"/>
          <w:szCs w:val="18"/>
        </w:rPr>
        <w:t>mil.</w:t>
      </w:r>
      <w:r w:rsidR="00A743F2">
        <w:rPr>
          <w:sz w:val="18"/>
          <w:szCs w:val="18"/>
        </w:rPr>
        <w:t> </w:t>
      </w:r>
      <w:r w:rsidRPr="00A743F2">
        <w:rPr>
          <w:sz w:val="18"/>
          <w:szCs w:val="18"/>
        </w:rPr>
        <w:t>eur a</w:t>
      </w:r>
      <w:r w:rsidR="00A743F2">
        <w:rPr>
          <w:sz w:val="18"/>
          <w:szCs w:val="18"/>
        </w:rPr>
        <w:t> </w:t>
      </w:r>
      <w:r w:rsidRPr="00A743F2">
        <w:rPr>
          <w:sz w:val="18"/>
          <w:szCs w:val="18"/>
        </w:rPr>
        <w:t>za</w:t>
      </w:r>
      <w:r w:rsidR="00A743F2">
        <w:rPr>
          <w:sz w:val="18"/>
          <w:szCs w:val="18"/>
        </w:rPr>
        <w:t> </w:t>
      </w:r>
      <w:r w:rsidRPr="00A743F2">
        <w:rPr>
          <w:sz w:val="18"/>
          <w:szCs w:val="18"/>
        </w:rPr>
        <w:t>7.</w:t>
      </w:r>
      <w:r w:rsidR="00A743F2">
        <w:rPr>
          <w:sz w:val="18"/>
          <w:szCs w:val="18"/>
        </w:rPr>
        <w:t> </w:t>
      </w:r>
      <w:r w:rsidRPr="00A743F2">
        <w:rPr>
          <w:sz w:val="18"/>
          <w:szCs w:val="18"/>
        </w:rPr>
        <w:t>žiadosť o</w:t>
      </w:r>
      <w:r w:rsidR="00A743F2">
        <w:rPr>
          <w:sz w:val="18"/>
          <w:szCs w:val="18"/>
        </w:rPr>
        <w:t> </w:t>
      </w:r>
      <w:r w:rsidRPr="00A743F2">
        <w:rPr>
          <w:sz w:val="18"/>
          <w:szCs w:val="18"/>
        </w:rPr>
        <w:t>platbu približne 652,86</w:t>
      </w:r>
      <w:r w:rsidR="00A743F2">
        <w:rPr>
          <w:sz w:val="18"/>
          <w:szCs w:val="18"/>
        </w:rPr>
        <w:t> </w:t>
      </w:r>
      <w:r w:rsidRPr="00A743F2">
        <w:rPr>
          <w:sz w:val="18"/>
          <w:szCs w:val="18"/>
        </w:rPr>
        <w:t>mil.</w:t>
      </w:r>
      <w:r w:rsidR="00A743F2">
        <w:rPr>
          <w:sz w:val="18"/>
          <w:szCs w:val="18"/>
        </w:rPr>
        <w:t> </w:t>
      </w:r>
      <w:r w:rsidRPr="00A743F2">
        <w:rPr>
          <w:sz w:val="18"/>
          <w:szCs w:val="18"/>
        </w:rPr>
        <w:t>eur (so</w:t>
      </w:r>
      <w:r w:rsidR="00E50EF7">
        <w:rPr>
          <w:sz w:val="18"/>
          <w:szCs w:val="18"/>
        </w:rPr>
        <w:t> </w:t>
      </w:r>
      <w:r w:rsidRPr="00A743F2">
        <w:rPr>
          <w:sz w:val="18"/>
          <w:szCs w:val="18"/>
        </w:rPr>
        <w:t xml:space="preserve">znížením z dôvodu pozastavenia čiastkovej platby za </w:t>
      </w:r>
      <w:r w:rsidRPr="00BC6277">
        <w:rPr>
          <w:sz w:val="18"/>
          <w:szCs w:val="18"/>
        </w:rPr>
        <w:t>míľnik 16.7 v</w:t>
      </w:r>
      <w:r w:rsidRPr="00E21A04">
        <w:rPr>
          <w:sz w:val="18"/>
          <w:szCs w:val="18"/>
        </w:rPr>
        <w:t xml:space="preserve"> sume</w:t>
      </w:r>
      <w:r w:rsidRPr="00A743F2">
        <w:rPr>
          <w:sz w:val="18"/>
          <w:szCs w:val="18"/>
        </w:rPr>
        <w:t xml:space="preserve"> cca 5,99</w:t>
      </w:r>
      <w:r w:rsidR="00A743F2">
        <w:rPr>
          <w:sz w:val="18"/>
          <w:szCs w:val="18"/>
        </w:rPr>
        <w:t> </w:t>
      </w:r>
      <w:r w:rsidRPr="00A743F2">
        <w:rPr>
          <w:sz w:val="18"/>
          <w:szCs w:val="18"/>
        </w:rPr>
        <w:t>mil.</w:t>
      </w:r>
      <w:r w:rsidR="00A743F2">
        <w:rPr>
          <w:sz w:val="18"/>
          <w:szCs w:val="18"/>
        </w:rPr>
        <w:t> </w:t>
      </w:r>
      <w:r w:rsidRPr="00A743F2">
        <w:rPr>
          <w:sz w:val="18"/>
          <w:szCs w:val="18"/>
        </w:rPr>
        <w:t>eur), pričom ich vyplatenie sa očakáva v mesiaci máj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539F" w14:textId="436A5BC5" w:rsidR="00D46A5E" w:rsidRDefault="00D46A5E">
    <w:pPr>
      <w:pStyle w:val="Hlavika"/>
    </w:pPr>
    <w:r>
      <w:rPr>
        <w:noProof/>
        <w:lang w:eastAsia="sk-SK"/>
      </w:rPr>
      <w:drawing>
        <wp:anchor distT="0" distB="0" distL="114300" distR="114300" simplePos="0" relativeHeight="251662336" behindDoc="0" locked="0" layoutInCell="1" allowOverlap="1" wp14:anchorId="014C1FF0" wp14:editId="316653D3">
          <wp:simplePos x="0" y="0"/>
          <wp:positionH relativeFrom="margin">
            <wp:posOffset>-38100</wp:posOffset>
          </wp:positionH>
          <wp:positionV relativeFrom="paragraph">
            <wp:posOffset>-229235</wp:posOffset>
          </wp:positionV>
          <wp:extent cx="1575435" cy="533400"/>
          <wp:effectExtent l="0" t="0" r="1905" b="0"/>
          <wp:wrapNone/>
          <wp:docPr id="1249482562" name="Obrázok 1249482562" descr="Obrázok, na ktorom je text, písmo, symbol, log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5" descr="Obrázok, na ktorom je text, písmo, symbol, logo&#10;&#10;Obsah vygenerovaný pomocou AI môže byť nesprávny."/>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7543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Pr>
        <w:b/>
        <w:color w:val="595959" w:themeColor="text1" w:themeTint="A6"/>
        <w:sz w:val="20"/>
      </w:rPr>
      <w:t>Štátny</w:t>
    </w:r>
    <w:r w:rsidRPr="00094104">
      <w:rPr>
        <w:b/>
        <w:color w:val="595959" w:themeColor="text1" w:themeTint="A6"/>
        <w:sz w:val="20"/>
      </w:rPr>
      <w:t xml:space="preserve"> </w:t>
    </w:r>
    <w:r>
      <w:rPr>
        <w:b/>
        <w:color w:val="595959" w:themeColor="text1" w:themeTint="A6"/>
        <w:sz w:val="20"/>
      </w:rPr>
      <w:t>záverečný účet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F48"/>
    <w:multiLevelType w:val="hybridMultilevel"/>
    <w:tmpl w:val="AA98145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12D6907"/>
    <w:multiLevelType w:val="hybridMultilevel"/>
    <w:tmpl w:val="E4B6CE3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17F3FF1"/>
    <w:multiLevelType w:val="multilevel"/>
    <w:tmpl w:val="F54AB4A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256A0C11"/>
    <w:multiLevelType w:val="hybridMultilevel"/>
    <w:tmpl w:val="233611F0"/>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2FD52A2D"/>
    <w:multiLevelType w:val="multilevel"/>
    <w:tmpl w:val="0D3280E6"/>
    <w:styleLink w:val="tl1"/>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9E70846"/>
    <w:multiLevelType w:val="hybridMultilevel"/>
    <w:tmpl w:val="227665D8"/>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3EA46160"/>
    <w:multiLevelType w:val="hybridMultilevel"/>
    <w:tmpl w:val="27402D8A"/>
    <w:lvl w:ilvl="0" w:tplc="A36E3E12">
      <w:start w:val="3"/>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71B0E57"/>
    <w:multiLevelType w:val="hybridMultilevel"/>
    <w:tmpl w:val="B7D0208E"/>
    <w:lvl w:ilvl="0" w:tplc="A36E3E12">
      <w:start w:val="3"/>
      <w:numFmt w:val="bullet"/>
      <w:lvlText w:val="-"/>
      <w:lvlJc w:val="left"/>
      <w:pPr>
        <w:ind w:left="784" w:hanging="360"/>
      </w:pPr>
      <w:rPr>
        <w:rFonts w:ascii="Arial Narrow" w:eastAsia="Times New Roman" w:hAnsi="Arial Narrow"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8" w15:restartNumberingAfterBreak="0">
    <w:nsid w:val="528F7090"/>
    <w:multiLevelType w:val="hybridMultilevel"/>
    <w:tmpl w:val="AF8C3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85775C6"/>
    <w:multiLevelType w:val="hybridMultilevel"/>
    <w:tmpl w:val="D8F82C0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C7B3D03"/>
    <w:multiLevelType w:val="hybridMultilevel"/>
    <w:tmpl w:val="94B0A522"/>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num w:numId="1" w16cid:durableId="1339313681">
    <w:abstractNumId w:val="6"/>
  </w:num>
  <w:num w:numId="2" w16cid:durableId="770511714">
    <w:abstractNumId w:val="0"/>
  </w:num>
  <w:num w:numId="3" w16cid:durableId="205024122">
    <w:abstractNumId w:val="9"/>
  </w:num>
  <w:num w:numId="4" w16cid:durableId="753361263">
    <w:abstractNumId w:val="1"/>
  </w:num>
  <w:num w:numId="5" w16cid:durableId="850220544">
    <w:abstractNumId w:val="3"/>
  </w:num>
  <w:num w:numId="6" w16cid:durableId="1076586335">
    <w:abstractNumId w:val="5"/>
  </w:num>
  <w:num w:numId="7" w16cid:durableId="1123619571">
    <w:abstractNumId w:val="4"/>
  </w:num>
  <w:num w:numId="8" w16cid:durableId="96952793">
    <w:abstractNumId w:val="7"/>
  </w:num>
  <w:num w:numId="9" w16cid:durableId="780955479">
    <w:abstractNumId w:val="2"/>
  </w:num>
  <w:num w:numId="10" w16cid:durableId="1196651499">
    <w:abstractNumId w:val="8"/>
  </w:num>
  <w:num w:numId="11" w16cid:durableId="102605933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5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EB4"/>
    <w:rsid w:val="00000201"/>
    <w:rsid w:val="000009AA"/>
    <w:rsid w:val="00000ACF"/>
    <w:rsid w:val="00001E09"/>
    <w:rsid w:val="00002B52"/>
    <w:rsid w:val="00002C07"/>
    <w:rsid w:val="00003185"/>
    <w:rsid w:val="00004436"/>
    <w:rsid w:val="0000559C"/>
    <w:rsid w:val="00005A9B"/>
    <w:rsid w:val="00005D7D"/>
    <w:rsid w:val="00005F22"/>
    <w:rsid w:val="00005FDB"/>
    <w:rsid w:val="00006045"/>
    <w:rsid w:val="00006284"/>
    <w:rsid w:val="00006D04"/>
    <w:rsid w:val="00006F2B"/>
    <w:rsid w:val="00006FC6"/>
    <w:rsid w:val="000072F7"/>
    <w:rsid w:val="00007899"/>
    <w:rsid w:val="00007C06"/>
    <w:rsid w:val="000106B9"/>
    <w:rsid w:val="00010C37"/>
    <w:rsid w:val="00010CE2"/>
    <w:rsid w:val="00010D7B"/>
    <w:rsid w:val="00010D90"/>
    <w:rsid w:val="00010F86"/>
    <w:rsid w:val="00011ABC"/>
    <w:rsid w:val="00011F71"/>
    <w:rsid w:val="000127B7"/>
    <w:rsid w:val="0001332C"/>
    <w:rsid w:val="00014C76"/>
    <w:rsid w:val="00014F97"/>
    <w:rsid w:val="000156A6"/>
    <w:rsid w:val="00015756"/>
    <w:rsid w:val="000160CA"/>
    <w:rsid w:val="000172A6"/>
    <w:rsid w:val="00017CFD"/>
    <w:rsid w:val="000200DC"/>
    <w:rsid w:val="00020396"/>
    <w:rsid w:val="000203FA"/>
    <w:rsid w:val="00020746"/>
    <w:rsid w:val="00021DF5"/>
    <w:rsid w:val="00021EB3"/>
    <w:rsid w:val="00022082"/>
    <w:rsid w:val="0002242F"/>
    <w:rsid w:val="000227C0"/>
    <w:rsid w:val="00022D01"/>
    <w:rsid w:val="000235AD"/>
    <w:rsid w:val="0002384D"/>
    <w:rsid w:val="00023CC6"/>
    <w:rsid w:val="00023E31"/>
    <w:rsid w:val="000240DA"/>
    <w:rsid w:val="000247A8"/>
    <w:rsid w:val="00024990"/>
    <w:rsid w:val="00024D82"/>
    <w:rsid w:val="00025612"/>
    <w:rsid w:val="00026426"/>
    <w:rsid w:val="000265AB"/>
    <w:rsid w:val="00026608"/>
    <w:rsid w:val="00026FB5"/>
    <w:rsid w:val="00027720"/>
    <w:rsid w:val="00027919"/>
    <w:rsid w:val="00030868"/>
    <w:rsid w:val="0003134B"/>
    <w:rsid w:val="000313E4"/>
    <w:rsid w:val="000316FB"/>
    <w:rsid w:val="000320EF"/>
    <w:rsid w:val="00032212"/>
    <w:rsid w:val="000329AD"/>
    <w:rsid w:val="00032A8E"/>
    <w:rsid w:val="00032FD2"/>
    <w:rsid w:val="000337EE"/>
    <w:rsid w:val="00033AD0"/>
    <w:rsid w:val="0003451B"/>
    <w:rsid w:val="000347AD"/>
    <w:rsid w:val="0003538A"/>
    <w:rsid w:val="00035949"/>
    <w:rsid w:val="0003620E"/>
    <w:rsid w:val="000371F5"/>
    <w:rsid w:val="000379CA"/>
    <w:rsid w:val="00040457"/>
    <w:rsid w:val="00040939"/>
    <w:rsid w:val="00040B78"/>
    <w:rsid w:val="0004106B"/>
    <w:rsid w:val="00042458"/>
    <w:rsid w:val="0004287C"/>
    <w:rsid w:val="00042F5E"/>
    <w:rsid w:val="00043311"/>
    <w:rsid w:val="00043553"/>
    <w:rsid w:val="0004373C"/>
    <w:rsid w:val="00044031"/>
    <w:rsid w:val="00044C54"/>
    <w:rsid w:val="00044F35"/>
    <w:rsid w:val="0004536B"/>
    <w:rsid w:val="00045828"/>
    <w:rsid w:val="0004591C"/>
    <w:rsid w:val="00045BE3"/>
    <w:rsid w:val="00046082"/>
    <w:rsid w:val="000461C0"/>
    <w:rsid w:val="0004633C"/>
    <w:rsid w:val="00046382"/>
    <w:rsid w:val="00046DF3"/>
    <w:rsid w:val="00047619"/>
    <w:rsid w:val="000477CA"/>
    <w:rsid w:val="00047A6B"/>
    <w:rsid w:val="00047D17"/>
    <w:rsid w:val="00047F86"/>
    <w:rsid w:val="00050148"/>
    <w:rsid w:val="000503CE"/>
    <w:rsid w:val="00050D7D"/>
    <w:rsid w:val="00051013"/>
    <w:rsid w:val="00051AED"/>
    <w:rsid w:val="00051DD2"/>
    <w:rsid w:val="0005211B"/>
    <w:rsid w:val="000524E5"/>
    <w:rsid w:val="0005259F"/>
    <w:rsid w:val="00052A6C"/>
    <w:rsid w:val="000535E8"/>
    <w:rsid w:val="00053AFE"/>
    <w:rsid w:val="00053BA4"/>
    <w:rsid w:val="00053C7A"/>
    <w:rsid w:val="00054358"/>
    <w:rsid w:val="00054518"/>
    <w:rsid w:val="00054EE5"/>
    <w:rsid w:val="000550BC"/>
    <w:rsid w:val="000562AA"/>
    <w:rsid w:val="00056CD8"/>
    <w:rsid w:val="00057121"/>
    <w:rsid w:val="00057142"/>
    <w:rsid w:val="00057A9F"/>
    <w:rsid w:val="00057E5C"/>
    <w:rsid w:val="0006055A"/>
    <w:rsid w:val="00060EF5"/>
    <w:rsid w:val="00062135"/>
    <w:rsid w:val="0006225E"/>
    <w:rsid w:val="00062A3B"/>
    <w:rsid w:val="00063234"/>
    <w:rsid w:val="000633AA"/>
    <w:rsid w:val="00063595"/>
    <w:rsid w:val="00063B08"/>
    <w:rsid w:val="00063ECA"/>
    <w:rsid w:val="00063F2E"/>
    <w:rsid w:val="000643AF"/>
    <w:rsid w:val="0006463F"/>
    <w:rsid w:val="00064795"/>
    <w:rsid w:val="00064D2C"/>
    <w:rsid w:val="00064D49"/>
    <w:rsid w:val="00064E22"/>
    <w:rsid w:val="00065C28"/>
    <w:rsid w:val="00065CB2"/>
    <w:rsid w:val="00065E4A"/>
    <w:rsid w:val="000665E4"/>
    <w:rsid w:val="00066627"/>
    <w:rsid w:val="0006664D"/>
    <w:rsid w:val="00067698"/>
    <w:rsid w:val="0006773E"/>
    <w:rsid w:val="00070082"/>
    <w:rsid w:val="000702C3"/>
    <w:rsid w:val="0007053F"/>
    <w:rsid w:val="000705FB"/>
    <w:rsid w:val="00070A80"/>
    <w:rsid w:val="00071652"/>
    <w:rsid w:val="0007167C"/>
    <w:rsid w:val="00071D40"/>
    <w:rsid w:val="00071FF0"/>
    <w:rsid w:val="00072BE7"/>
    <w:rsid w:val="00072CDB"/>
    <w:rsid w:val="0007321A"/>
    <w:rsid w:val="000736E0"/>
    <w:rsid w:val="00073B7D"/>
    <w:rsid w:val="00073BD6"/>
    <w:rsid w:val="00074282"/>
    <w:rsid w:val="00074436"/>
    <w:rsid w:val="000746D4"/>
    <w:rsid w:val="000747B5"/>
    <w:rsid w:val="000747E2"/>
    <w:rsid w:val="00074811"/>
    <w:rsid w:val="000748F9"/>
    <w:rsid w:val="000754AC"/>
    <w:rsid w:val="00075BC5"/>
    <w:rsid w:val="00076144"/>
    <w:rsid w:val="0007679C"/>
    <w:rsid w:val="00076C23"/>
    <w:rsid w:val="000779E1"/>
    <w:rsid w:val="00077B7B"/>
    <w:rsid w:val="00077D54"/>
    <w:rsid w:val="00077E09"/>
    <w:rsid w:val="00077E5D"/>
    <w:rsid w:val="00080194"/>
    <w:rsid w:val="000801AF"/>
    <w:rsid w:val="000812C5"/>
    <w:rsid w:val="00081A92"/>
    <w:rsid w:val="000821CD"/>
    <w:rsid w:val="000821EE"/>
    <w:rsid w:val="0008303C"/>
    <w:rsid w:val="00083C0D"/>
    <w:rsid w:val="00083DC3"/>
    <w:rsid w:val="00083F62"/>
    <w:rsid w:val="000840E0"/>
    <w:rsid w:val="00084D1A"/>
    <w:rsid w:val="0008539A"/>
    <w:rsid w:val="0008566D"/>
    <w:rsid w:val="000858FD"/>
    <w:rsid w:val="0008618C"/>
    <w:rsid w:val="000866C2"/>
    <w:rsid w:val="0008687F"/>
    <w:rsid w:val="000868C2"/>
    <w:rsid w:val="00087077"/>
    <w:rsid w:val="000870CD"/>
    <w:rsid w:val="00087221"/>
    <w:rsid w:val="00087253"/>
    <w:rsid w:val="00087C69"/>
    <w:rsid w:val="000909A0"/>
    <w:rsid w:val="00090D49"/>
    <w:rsid w:val="000911E5"/>
    <w:rsid w:val="00091942"/>
    <w:rsid w:val="00091E03"/>
    <w:rsid w:val="000920F8"/>
    <w:rsid w:val="0009362B"/>
    <w:rsid w:val="000936F1"/>
    <w:rsid w:val="00093D4B"/>
    <w:rsid w:val="00094048"/>
    <w:rsid w:val="00094327"/>
    <w:rsid w:val="00094785"/>
    <w:rsid w:val="00094BBE"/>
    <w:rsid w:val="000956A5"/>
    <w:rsid w:val="000961B7"/>
    <w:rsid w:val="00096580"/>
    <w:rsid w:val="00096A96"/>
    <w:rsid w:val="00096F71"/>
    <w:rsid w:val="00097736"/>
    <w:rsid w:val="00097D1A"/>
    <w:rsid w:val="00097F73"/>
    <w:rsid w:val="000A019E"/>
    <w:rsid w:val="000A02AC"/>
    <w:rsid w:val="000A082F"/>
    <w:rsid w:val="000A08FC"/>
    <w:rsid w:val="000A0D15"/>
    <w:rsid w:val="000A21AD"/>
    <w:rsid w:val="000A2B3E"/>
    <w:rsid w:val="000A2B5E"/>
    <w:rsid w:val="000A2BD1"/>
    <w:rsid w:val="000A2CD1"/>
    <w:rsid w:val="000A37A5"/>
    <w:rsid w:val="000A3929"/>
    <w:rsid w:val="000A3C84"/>
    <w:rsid w:val="000A3E55"/>
    <w:rsid w:val="000A3EDD"/>
    <w:rsid w:val="000A3FA3"/>
    <w:rsid w:val="000A43B3"/>
    <w:rsid w:val="000A4AFB"/>
    <w:rsid w:val="000A5247"/>
    <w:rsid w:val="000A52F4"/>
    <w:rsid w:val="000A5E6A"/>
    <w:rsid w:val="000A6683"/>
    <w:rsid w:val="000A69B1"/>
    <w:rsid w:val="000B07EE"/>
    <w:rsid w:val="000B11F9"/>
    <w:rsid w:val="000B224E"/>
    <w:rsid w:val="000B2434"/>
    <w:rsid w:val="000B322D"/>
    <w:rsid w:val="000B391C"/>
    <w:rsid w:val="000B3D3D"/>
    <w:rsid w:val="000B3D9D"/>
    <w:rsid w:val="000B3DC0"/>
    <w:rsid w:val="000B3FA7"/>
    <w:rsid w:val="000B476C"/>
    <w:rsid w:val="000B47A7"/>
    <w:rsid w:val="000B4A89"/>
    <w:rsid w:val="000B4DCC"/>
    <w:rsid w:val="000B5435"/>
    <w:rsid w:val="000B5651"/>
    <w:rsid w:val="000B56AD"/>
    <w:rsid w:val="000B61F4"/>
    <w:rsid w:val="000B69FA"/>
    <w:rsid w:val="000B6BAD"/>
    <w:rsid w:val="000B6FD6"/>
    <w:rsid w:val="000B75C0"/>
    <w:rsid w:val="000B7718"/>
    <w:rsid w:val="000B78C4"/>
    <w:rsid w:val="000B790D"/>
    <w:rsid w:val="000C03E3"/>
    <w:rsid w:val="000C0B4D"/>
    <w:rsid w:val="000C12A5"/>
    <w:rsid w:val="000C16D1"/>
    <w:rsid w:val="000C19A7"/>
    <w:rsid w:val="000C2381"/>
    <w:rsid w:val="000C2605"/>
    <w:rsid w:val="000C2D17"/>
    <w:rsid w:val="000C3131"/>
    <w:rsid w:val="000C3C49"/>
    <w:rsid w:val="000C46CA"/>
    <w:rsid w:val="000C483D"/>
    <w:rsid w:val="000C4CC0"/>
    <w:rsid w:val="000C4F18"/>
    <w:rsid w:val="000C4F2B"/>
    <w:rsid w:val="000C4F76"/>
    <w:rsid w:val="000C5B4E"/>
    <w:rsid w:val="000C5FD2"/>
    <w:rsid w:val="000C6109"/>
    <w:rsid w:val="000C6F8E"/>
    <w:rsid w:val="000C71F6"/>
    <w:rsid w:val="000C74CA"/>
    <w:rsid w:val="000C75A3"/>
    <w:rsid w:val="000C7E91"/>
    <w:rsid w:val="000D0294"/>
    <w:rsid w:val="000D02B0"/>
    <w:rsid w:val="000D0C1A"/>
    <w:rsid w:val="000D0C9C"/>
    <w:rsid w:val="000D1669"/>
    <w:rsid w:val="000D18AA"/>
    <w:rsid w:val="000D1F37"/>
    <w:rsid w:val="000D1FAF"/>
    <w:rsid w:val="000D1FBA"/>
    <w:rsid w:val="000D2302"/>
    <w:rsid w:val="000D35AE"/>
    <w:rsid w:val="000D3F48"/>
    <w:rsid w:val="000D42C0"/>
    <w:rsid w:val="000D4942"/>
    <w:rsid w:val="000D4E28"/>
    <w:rsid w:val="000D553C"/>
    <w:rsid w:val="000D557B"/>
    <w:rsid w:val="000D5C00"/>
    <w:rsid w:val="000D5CED"/>
    <w:rsid w:val="000D5D8D"/>
    <w:rsid w:val="000D5DA5"/>
    <w:rsid w:val="000D60E6"/>
    <w:rsid w:val="000D6114"/>
    <w:rsid w:val="000D7202"/>
    <w:rsid w:val="000D731D"/>
    <w:rsid w:val="000D7B65"/>
    <w:rsid w:val="000E04B2"/>
    <w:rsid w:val="000E0B50"/>
    <w:rsid w:val="000E0E99"/>
    <w:rsid w:val="000E1594"/>
    <w:rsid w:val="000E18B3"/>
    <w:rsid w:val="000E212E"/>
    <w:rsid w:val="000E25A5"/>
    <w:rsid w:val="000E2643"/>
    <w:rsid w:val="000E4B91"/>
    <w:rsid w:val="000E4EE1"/>
    <w:rsid w:val="000E539A"/>
    <w:rsid w:val="000E5D88"/>
    <w:rsid w:val="000E67F6"/>
    <w:rsid w:val="000E6900"/>
    <w:rsid w:val="000E7784"/>
    <w:rsid w:val="000F02FD"/>
    <w:rsid w:val="000F07B6"/>
    <w:rsid w:val="000F0D26"/>
    <w:rsid w:val="000F157D"/>
    <w:rsid w:val="000F21D2"/>
    <w:rsid w:val="000F2C29"/>
    <w:rsid w:val="000F375D"/>
    <w:rsid w:val="000F3834"/>
    <w:rsid w:val="000F4537"/>
    <w:rsid w:val="000F4980"/>
    <w:rsid w:val="000F4D1F"/>
    <w:rsid w:val="000F4E53"/>
    <w:rsid w:val="000F4E7E"/>
    <w:rsid w:val="000F5B64"/>
    <w:rsid w:val="000F5E6B"/>
    <w:rsid w:val="000F607C"/>
    <w:rsid w:val="000F60F9"/>
    <w:rsid w:val="000F6518"/>
    <w:rsid w:val="000F6C8A"/>
    <w:rsid w:val="000F72B5"/>
    <w:rsid w:val="000F7410"/>
    <w:rsid w:val="000F751F"/>
    <w:rsid w:val="000F7527"/>
    <w:rsid w:val="000F7646"/>
    <w:rsid w:val="000F7935"/>
    <w:rsid w:val="000F7ABA"/>
    <w:rsid w:val="000F7DD7"/>
    <w:rsid w:val="0010031C"/>
    <w:rsid w:val="001006BF"/>
    <w:rsid w:val="001008C1"/>
    <w:rsid w:val="0010096F"/>
    <w:rsid w:val="00100B63"/>
    <w:rsid w:val="0010106D"/>
    <w:rsid w:val="00101B88"/>
    <w:rsid w:val="0010218E"/>
    <w:rsid w:val="0010242B"/>
    <w:rsid w:val="001027C7"/>
    <w:rsid w:val="00102BBA"/>
    <w:rsid w:val="00102D5B"/>
    <w:rsid w:val="001033F9"/>
    <w:rsid w:val="0010383D"/>
    <w:rsid w:val="00103E6B"/>
    <w:rsid w:val="001048BE"/>
    <w:rsid w:val="00104953"/>
    <w:rsid w:val="001049B6"/>
    <w:rsid w:val="00104B0B"/>
    <w:rsid w:val="0010515D"/>
    <w:rsid w:val="001051D8"/>
    <w:rsid w:val="0010567A"/>
    <w:rsid w:val="0010570E"/>
    <w:rsid w:val="00105B67"/>
    <w:rsid w:val="00105BF8"/>
    <w:rsid w:val="00105F74"/>
    <w:rsid w:val="00106883"/>
    <w:rsid w:val="00106F8B"/>
    <w:rsid w:val="0011029C"/>
    <w:rsid w:val="001103E0"/>
    <w:rsid w:val="00110545"/>
    <w:rsid w:val="00110CA4"/>
    <w:rsid w:val="0011109D"/>
    <w:rsid w:val="00111CC0"/>
    <w:rsid w:val="00111D91"/>
    <w:rsid w:val="00111E27"/>
    <w:rsid w:val="00112134"/>
    <w:rsid w:val="001121AE"/>
    <w:rsid w:val="0011227E"/>
    <w:rsid w:val="00112357"/>
    <w:rsid w:val="001126E7"/>
    <w:rsid w:val="00112E7C"/>
    <w:rsid w:val="00112ECB"/>
    <w:rsid w:val="00113AFD"/>
    <w:rsid w:val="00114152"/>
    <w:rsid w:val="00114612"/>
    <w:rsid w:val="001146F6"/>
    <w:rsid w:val="0011482D"/>
    <w:rsid w:val="00114A29"/>
    <w:rsid w:val="00115076"/>
    <w:rsid w:val="001153B0"/>
    <w:rsid w:val="0011636A"/>
    <w:rsid w:val="00116BCD"/>
    <w:rsid w:val="00116EA0"/>
    <w:rsid w:val="001179AC"/>
    <w:rsid w:val="001200B1"/>
    <w:rsid w:val="0012020C"/>
    <w:rsid w:val="001205D5"/>
    <w:rsid w:val="001205FE"/>
    <w:rsid w:val="00120749"/>
    <w:rsid w:val="001207C9"/>
    <w:rsid w:val="0012087C"/>
    <w:rsid w:val="00120E01"/>
    <w:rsid w:val="00122D00"/>
    <w:rsid w:val="00122D65"/>
    <w:rsid w:val="001236BA"/>
    <w:rsid w:val="00123BB0"/>
    <w:rsid w:val="00124A80"/>
    <w:rsid w:val="00124CD8"/>
    <w:rsid w:val="0012566C"/>
    <w:rsid w:val="0012574B"/>
    <w:rsid w:val="00125DC5"/>
    <w:rsid w:val="00125FE0"/>
    <w:rsid w:val="0012632A"/>
    <w:rsid w:val="00126697"/>
    <w:rsid w:val="001273F0"/>
    <w:rsid w:val="00127484"/>
    <w:rsid w:val="00127C08"/>
    <w:rsid w:val="00127DA4"/>
    <w:rsid w:val="00127ED5"/>
    <w:rsid w:val="00127F66"/>
    <w:rsid w:val="0013027B"/>
    <w:rsid w:val="00130426"/>
    <w:rsid w:val="00130DE8"/>
    <w:rsid w:val="001311E9"/>
    <w:rsid w:val="00131246"/>
    <w:rsid w:val="0013146B"/>
    <w:rsid w:val="0013260D"/>
    <w:rsid w:val="00133B51"/>
    <w:rsid w:val="00133DEA"/>
    <w:rsid w:val="00134383"/>
    <w:rsid w:val="00134CE1"/>
    <w:rsid w:val="00134DEB"/>
    <w:rsid w:val="00135126"/>
    <w:rsid w:val="001359C3"/>
    <w:rsid w:val="00135AFC"/>
    <w:rsid w:val="00135D9E"/>
    <w:rsid w:val="00136364"/>
    <w:rsid w:val="00136895"/>
    <w:rsid w:val="00136C54"/>
    <w:rsid w:val="001376BA"/>
    <w:rsid w:val="00140227"/>
    <w:rsid w:val="001402E1"/>
    <w:rsid w:val="00140B5A"/>
    <w:rsid w:val="00141083"/>
    <w:rsid w:val="00141A5D"/>
    <w:rsid w:val="001432A2"/>
    <w:rsid w:val="001436B3"/>
    <w:rsid w:val="00143C91"/>
    <w:rsid w:val="00143CA3"/>
    <w:rsid w:val="00143EC8"/>
    <w:rsid w:val="001440B7"/>
    <w:rsid w:val="00144775"/>
    <w:rsid w:val="001453ED"/>
    <w:rsid w:val="00145663"/>
    <w:rsid w:val="00145EA0"/>
    <w:rsid w:val="00146229"/>
    <w:rsid w:val="00147092"/>
    <w:rsid w:val="00147FE6"/>
    <w:rsid w:val="00150B92"/>
    <w:rsid w:val="00150F61"/>
    <w:rsid w:val="0015169B"/>
    <w:rsid w:val="00151971"/>
    <w:rsid w:val="00151F12"/>
    <w:rsid w:val="0015273A"/>
    <w:rsid w:val="001527AB"/>
    <w:rsid w:val="00152CE0"/>
    <w:rsid w:val="00153857"/>
    <w:rsid w:val="001538E7"/>
    <w:rsid w:val="00153978"/>
    <w:rsid w:val="00153D59"/>
    <w:rsid w:val="001544E3"/>
    <w:rsid w:val="001547BC"/>
    <w:rsid w:val="00154AB2"/>
    <w:rsid w:val="0015633C"/>
    <w:rsid w:val="00156341"/>
    <w:rsid w:val="00156FC4"/>
    <w:rsid w:val="00157D9C"/>
    <w:rsid w:val="001601E3"/>
    <w:rsid w:val="00161134"/>
    <w:rsid w:val="001613EE"/>
    <w:rsid w:val="00161914"/>
    <w:rsid w:val="0016220A"/>
    <w:rsid w:val="00162608"/>
    <w:rsid w:val="00162CED"/>
    <w:rsid w:val="00164536"/>
    <w:rsid w:val="00164F67"/>
    <w:rsid w:val="00164FE8"/>
    <w:rsid w:val="00165021"/>
    <w:rsid w:val="0016515E"/>
    <w:rsid w:val="00165360"/>
    <w:rsid w:val="001656EA"/>
    <w:rsid w:val="00165E7D"/>
    <w:rsid w:val="00165F88"/>
    <w:rsid w:val="00166244"/>
    <w:rsid w:val="00166452"/>
    <w:rsid w:val="001665F3"/>
    <w:rsid w:val="00166B38"/>
    <w:rsid w:val="00166CF0"/>
    <w:rsid w:val="00167C7A"/>
    <w:rsid w:val="001706CF"/>
    <w:rsid w:val="0017186F"/>
    <w:rsid w:val="00171ABF"/>
    <w:rsid w:val="00171F34"/>
    <w:rsid w:val="00171F51"/>
    <w:rsid w:val="00172628"/>
    <w:rsid w:val="001726E9"/>
    <w:rsid w:val="0017281B"/>
    <w:rsid w:val="00172AA1"/>
    <w:rsid w:val="00172CA7"/>
    <w:rsid w:val="001737A0"/>
    <w:rsid w:val="0017407C"/>
    <w:rsid w:val="001742D7"/>
    <w:rsid w:val="001747AE"/>
    <w:rsid w:val="00174AE6"/>
    <w:rsid w:val="00174B01"/>
    <w:rsid w:val="0017536F"/>
    <w:rsid w:val="001757A1"/>
    <w:rsid w:val="00175A81"/>
    <w:rsid w:val="00175B89"/>
    <w:rsid w:val="00176102"/>
    <w:rsid w:val="00176518"/>
    <w:rsid w:val="00176953"/>
    <w:rsid w:val="00176C4A"/>
    <w:rsid w:val="00177948"/>
    <w:rsid w:val="001802D9"/>
    <w:rsid w:val="00180436"/>
    <w:rsid w:val="001811C6"/>
    <w:rsid w:val="00181464"/>
    <w:rsid w:val="00181EAF"/>
    <w:rsid w:val="001827AB"/>
    <w:rsid w:val="00183C25"/>
    <w:rsid w:val="00184143"/>
    <w:rsid w:val="00184BAC"/>
    <w:rsid w:val="00184D2D"/>
    <w:rsid w:val="00185548"/>
    <w:rsid w:val="001859BD"/>
    <w:rsid w:val="0018600F"/>
    <w:rsid w:val="00186138"/>
    <w:rsid w:val="00186A4D"/>
    <w:rsid w:val="00186EDF"/>
    <w:rsid w:val="001871C8"/>
    <w:rsid w:val="00187814"/>
    <w:rsid w:val="00187F9D"/>
    <w:rsid w:val="001903EC"/>
    <w:rsid w:val="001908BA"/>
    <w:rsid w:val="0019171E"/>
    <w:rsid w:val="00191791"/>
    <w:rsid w:val="00191E3C"/>
    <w:rsid w:val="00192236"/>
    <w:rsid w:val="00192270"/>
    <w:rsid w:val="00192B3E"/>
    <w:rsid w:val="001931A3"/>
    <w:rsid w:val="00193358"/>
    <w:rsid w:val="0019388B"/>
    <w:rsid w:val="00194FA4"/>
    <w:rsid w:val="00195857"/>
    <w:rsid w:val="00195981"/>
    <w:rsid w:val="00195AB8"/>
    <w:rsid w:val="00195F3E"/>
    <w:rsid w:val="00195FE3"/>
    <w:rsid w:val="0019620A"/>
    <w:rsid w:val="0019687C"/>
    <w:rsid w:val="00196EE7"/>
    <w:rsid w:val="00197430"/>
    <w:rsid w:val="0019788F"/>
    <w:rsid w:val="001A0195"/>
    <w:rsid w:val="001A0EE8"/>
    <w:rsid w:val="001A0FD5"/>
    <w:rsid w:val="001A10B8"/>
    <w:rsid w:val="001A14AF"/>
    <w:rsid w:val="001A1586"/>
    <w:rsid w:val="001A1993"/>
    <w:rsid w:val="001A1F07"/>
    <w:rsid w:val="001A269C"/>
    <w:rsid w:val="001A2911"/>
    <w:rsid w:val="001A2E80"/>
    <w:rsid w:val="001A333C"/>
    <w:rsid w:val="001A38B4"/>
    <w:rsid w:val="001A3E40"/>
    <w:rsid w:val="001A4B6D"/>
    <w:rsid w:val="001A4F1B"/>
    <w:rsid w:val="001A55BE"/>
    <w:rsid w:val="001A56BA"/>
    <w:rsid w:val="001A5BBF"/>
    <w:rsid w:val="001A66EA"/>
    <w:rsid w:val="001A6B6B"/>
    <w:rsid w:val="001A73BE"/>
    <w:rsid w:val="001A797B"/>
    <w:rsid w:val="001B072E"/>
    <w:rsid w:val="001B0779"/>
    <w:rsid w:val="001B0F8C"/>
    <w:rsid w:val="001B1225"/>
    <w:rsid w:val="001B13C6"/>
    <w:rsid w:val="001B148C"/>
    <w:rsid w:val="001B1630"/>
    <w:rsid w:val="001B1812"/>
    <w:rsid w:val="001B1B8E"/>
    <w:rsid w:val="001B1FCB"/>
    <w:rsid w:val="001B221C"/>
    <w:rsid w:val="001B282A"/>
    <w:rsid w:val="001B29DD"/>
    <w:rsid w:val="001B2D89"/>
    <w:rsid w:val="001B2E8F"/>
    <w:rsid w:val="001B2F09"/>
    <w:rsid w:val="001B34E6"/>
    <w:rsid w:val="001B382F"/>
    <w:rsid w:val="001B38AF"/>
    <w:rsid w:val="001B399E"/>
    <w:rsid w:val="001B3B69"/>
    <w:rsid w:val="001B4083"/>
    <w:rsid w:val="001B4BBA"/>
    <w:rsid w:val="001B4FF7"/>
    <w:rsid w:val="001B549A"/>
    <w:rsid w:val="001B60C2"/>
    <w:rsid w:val="001B62B2"/>
    <w:rsid w:val="001B6519"/>
    <w:rsid w:val="001B67FC"/>
    <w:rsid w:val="001B6E92"/>
    <w:rsid w:val="001B774D"/>
    <w:rsid w:val="001B7A1A"/>
    <w:rsid w:val="001C0814"/>
    <w:rsid w:val="001C0A69"/>
    <w:rsid w:val="001C0BCD"/>
    <w:rsid w:val="001C116E"/>
    <w:rsid w:val="001C119A"/>
    <w:rsid w:val="001C1318"/>
    <w:rsid w:val="001C159F"/>
    <w:rsid w:val="001C1BFB"/>
    <w:rsid w:val="001C2606"/>
    <w:rsid w:val="001C2A0B"/>
    <w:rsid w:val="001C2E29"/>
    <w:rsid w:val="001C3131"/>
    <w:rsid w:val="001C3737"/>
    <w:rsid w:val="001C37AC"/>
    <w:rsid w:val="001C3AA5"/>
    <w:rsid w:val="001C4761"/>
    <w:rsid w:val="001C47F8"/>
    <w:rsid w:val="001C4CA7"/>
    <w:rsid w:val="001C4DF1"/>
    <w:rsid w:val="001C4E82"/>
    <w:rsid w:val="001C5135"/>
    <w:rsid w:val="001C531B"/>
    <w:rsid w:val="001C5FA3"/>
    <w:rsid w:val="001C6D9A"/>
    <w:rsid w:val="001C6F9E"/>
    <w:rsid w:val="001C798E"/>
    <w:rsid w:val="001D0256"/>
    <w:rsid w:val="001D0537"/>
    <w:rsid w:val="001D0678"/>
    <w:rsid w:val="001D0A5F"/>
    <w:rsid w:val="001D0B23"/>
    <w:rsid w:val="001D0D92"/>
    <w:rsid w:val="001D1048"/>
    <w:rsid w:val="001D18C1"/>
    <w:rsid w:val="001D2108"/>
    <w:rsid w:val="001D2C2C"/>
    <w:rsid w:val="001D310E"/>
    <w:rsid w:val="001D31B8"/>
    <w:rsid w:val="001D4463"/>
    <w:rsid w:val="001D525E"/>
    <w:rsid w:val="001D580F"/>
    <w:rsid w:val="001D59C7"/>
    <w:rsid w:val="001D5D4E"/>
    <w:rsid w:val="001D5F54"/>
    <w:rsid w:val="001D6597"/>
    <w:rsid w:val="001D79DF"/>
    <w:rsid w:val="001D7E9B"/>
    <w:rsid w:val="001E018A"/>
    <w:rsid w:val="001E076F"/>
    <w:rsid w:val="001E0969"/>
    <w:rsid w:val="001E09D2"/>
    <w:rsid w:val="001E0C46"/>
    <w:rsid w:val="001E16C4"/>
    <w:rsid w:val="001E195E"/>
    <w:rsid w:val="001E1B0C"/>
    <w:rsid w:val="001E1E5F"/>
    <w:rsid w:val="001E1EAA"/>
    <w:rsid w:val="001E2155"/>
    <w:rsid w:val="001E2922"/>
    <w:rsid w:val="001E345C"/>
    <w:rsid w:val="001E3D1D"/>
    <w:rsid w:val="001E3F7B"/>
    <w:rsid w:val="001E4438"/>
    <w:rsid w:val="001E493B"/>
    <w:rsid w:val="001E5172"/>
    <w:rsid w:val="001E5686"/>
    <w:rsid w:val="001E56AB"/>
    <w:rsid w:val="001E6B52"/>
    <w:rsid w:val="001E7237"/>
    <w:rsid w:val="001E76AC"/>
    <w:rsid w:val="001E7766"/>
    <w:rsid w:val="001E7D83"/>
    <w:rsid w:val="001F0570"/>
    <w:rsid w:val="001F0782"/>
    <w:rsid w:val="001F0B47"/>
    <w:rsid w:val="001F121E"/>
    <w:rsid w:val="001F1295"/>
    <w:rsid w:val="001F131C"/>
    <w:rsid w:val="001F1E66"/>
    <w:rsid w:val="001F20A6"/>
    <w:rsid w:val="001F21CC"/>
    <w:rsid w:val="001F2757"/>
    <w:rsid w:val="001F2AD6"/>
    <w:rsid w:val="001F3027"/>
    <w:rsid w:val="001F3AE6"/>
    <w:rsid w:val="001F42DE"/>
    <w:rsid w:val="001F4330"/>
    <w:rsid w:val="001F4382"/>
    <w:rsid w:val="001F469D"/>
    <w:rsid w:val="001F4CEA"/>
    <w:rsid w:val="001F4D7C"/>
    <w:rsid w:val="001F4FC8"/>
    <w:rsid w:val="001F55C8"/>
    <w:rsid w:val="001F5877"/>
    <w:rsid w:val="001F588C"/>
    <w:rsid w:val="001F6F5A"/>
    <w:rsid w:val="001F723D"/>
    <w:rsid w:val="001F7763"/>
    <w:rsid w:val="001F78A4"/>
    <w:rsid w:val="001F7AF8"/>
    <w:rsid w:val="00200355"/>
    <w:rsid w:val="00200377"/>
    <w:rsid w:val="002003C0"/>
    <w:rsid w:val="00200966"/>
    <w:rsid w:val="00201C3D"/>
    <w:rsid w:val="00201CFC"/>
    <w:rsid w:val="0020232B"/>
    <w:rsid w:val="0020258E"/>
    <w:rsid w:val="00202B2E"/>
    <w:rsid w:val="002031C9"/>
    <w:rsid w:val="00203665"/>
    <w:rsid w:val="00203AA3"/>
    <w:rsid w:val="00204446"/>
    <w:rsid w:val="00204601"/>
    <w:rsid w:val="002046BA"/>
    <w:rsid w:val="00204F56"/>
    <w:rsid w:val="002059E7"/>
    <w:rsid w:val="00205FD1"/>
    <w:rsid w:val="00206474"/>
    <w:rsid w:val="00206FC3"/>
    <w:rsid w:val="00206FF5"/>
    <w:rsid w:val="00207550"/>
    <w:rsid w:val="0020774D"/>
    <w:rsid w:val="0020775D"/>
    <w:rsid w:val="00207768"/>
    <w:rsid w:val="002077ED"/>
    <w:rsid w:val="00207875"/>
    <w:rsid w:val="00207B7D"/>
    <w:rsid w:val="00210671"/>
    <w:rsid w:val="00210FD1"/>
    <w:rsid w:val="00211789"/>
    <w:rsid w:val="00211BE4"/>
    <w:rsid w:val="00211E85"/>
    <w:rsid w:val="0021256D"/>
    <w:rsid w:val="0021264E"/>
    <w:rsid w:val="00212A07"/>
    <w:rsid w:val="00213151"/>
    <w:rsid w:val="00213267"/>
    <w:rsid w:val="0021355F"/>
    <w:rsid w:val="002136EE"/>
    <w:rsid w:val="0021385B"/>
    <w:rsid w:val="002142EB"/>
    <w:rsid w:val="0021453B"/>
    <w:rsid w:val="00214802"/>
    <w:rsid w:val="002152E9"/>
    <w:rsid w:val="00215466"/>
    <w:rsid w:val="002163D6"/>
    <w:rsid w:val="0021648B"/>
    <w:rsid w:val="002166EB"/>
    <w:rsid w:val="002168AC"/>
    <w:rsid w:val="00216B52"/>
    <w:rsid w:val="00216D4C"/>
    <w:rsid w:val="002172C3"/>
    <w:rsid w:val="00220406"/>
    <w:rsid w:val="0022050F"/>
    <w:rsid w:val="00220CCB"/>
    <w:rsid w:val="00220E6A"/>
    <w:rsid w:val="00220F9B"/>
    <w:rsid w:val="0022202B"/>
    <w:rsid w:val="00222265"/>
    <w:rsid w:val="0022384F"/>
    <w:rsid w:val="00223D6E"/>
    <w:rsid w:val="00223DE6"/>
    <w:rsid w:val="002253FA"/>
    <w:rsid w:val="002265B7"/>
    <w:rsid w:val="002267CE"/>
    <w:rsid w:val="002272DE"/>
    <w:rsid w:val="002276B3"/>
    <w:rsid w:val="0022797E"/>
    <w:rsid w:val="00227A22"/>
    <w:rsid w:val="002304A1"/>
    <w:rsid w:val="0023065C"/>
    <w:rsid w:val="00230EC4"/>
    <w:rsid w:val="00230FD6"/>
    <w:rsid w:val="0023176D"/>
    <w:rsid w:val="00231D4D"/>
    <w:rsid w:val="002321A0"/>
    <w:rsid w:val="0023263A"/>
    <w:rsid w:val="00233CD5"/>
    <w:rsid w:val="002347A1"/>
    <w:rsid w:val="00234C09"/>
    <w:rsid w:val="0023509E"/>
    <w:rsid w:val="00235228"/>
    <w:rsid w:val="0023537F"/>
    <w:rsid w:val="002358F0"/>
    <w:rsid w:val="00235FDB"/>
    <w:rsid w:val="002363AD"/>
    <w:rsid w:val="00237058"/>
    <w:rsid w:val="002372F9"/>
    <w:rsid w:val="002379D7"/>
    <w:rsid w:val="0024047D"/>
    <w:rsid w:val="002405B6"/>
    <w:rsid w:val="00240940"/>
    <w:rsid w:val="002409A9"/>
    <w:rsid w:val="00240ABB"/>
    <w:rsid w:val="00240D55"/>
    <w:rsid w:val="0024131C"/>
    <w:rsid w:val="00241ED1"/>
    <w:rsid w:val="002424FD"/>
    <w:rsid w:val="00242609"/>
    <w:rsid w:val="00242BE6"/>
    <w:rsid w:val="0024394A"/>
    <w:rsid w:val="00243D7C"/>
    <w:rsid w:val="00244138"/>
    <w:rsid w:val="00244D68"/>
    <w:rsid w:val="00245F8C"/>
    <w:rsid w:val="00246CF3"/>
    <w:rsid w:val="00246E8A"/>
    <w:rsid w:val="00247C84"/>
    <w:rsid w:val="00247E9C"/>
    <w:rsid w:val="00250744"/>
    <w:rsid w:val="00250806"/>
    <w:rsid w:val="00250BFC"/>
    <w:rsid w:val="00251BD7"/>
    <w:rsid w:val="00251C51"/>
    <w:rsid w:val="00251DF4"/>
    <w:rsid w:val="00251FC3"/>
    <w:rsid w:val="00252583"/>
    <w:rsid w:val="002536EA"/>
    <w:rsid w:val="00253847"/>
    <w:rsid w:val="00253925"/>
    <w:rsid w:val="00253EDE"/>
    <w:rsid w:val="00254F4F"/>
    <w:rsid w:val="00255F8E"/>
    <w:rsid w:val="002571B2"/>
    <w:rsid w:val="0025765E"/>
    <w:rsid w:val="002600B5"/>
    <w:rsid w:val="002604CC"/>
    <w:rsid w:val="00260B27"/>
    <w:rsid w:val="00260F81"/>
    <w:rsid w:val="00261D8C"/>
    <w:rsid w:val="00262136"/>
    <w:rsid w:val="00262473"/>
    <w:rsid w:val="00263348"/>
    <w:rsid w:val="002633C2"/>
    <w:rsid w:val="0026368A"/>
    <w:rsid w:val="002653E3"/>
    <w:rsid w:val="00266F0E"/>
    <w:rsid w:val="0026737F"/>
    <w:rsid w:val="00270836"/>
    <w:rsid w:val="00270F34"/>
    <w:rsid w:val="00271111"/>
    <w:rsid w:val="0027130A"/>
    <w:rsid w:val="00272EF8"/>
    <w:rsid w:val="00272FD4"/>
    <w:rsid w:val="0027346F"/>
    <w:rsid w:val="002734DC"/>
    <w:rsid w:val="002739FA"/>
    <w:rsid w:val="00273B98"/>
    <w:rsid w:val="00274483"/>
    <w:rsid w:val="00274C54"/>
    <w:rsid w:val="0027509D"/>
    <w:rsid w:val="00275367"/>
    <w:rsid w:val="00275CDA"/>
    <w:rsid w:val="002762F6"/>
    <w:rsid w:val="00276373"/>
    <w:rsid w:val="00276A01"/>
    <w:rsid w:val="00276BF1"/>
    <w:rsid w:val="00276DC3"/>
    <w:rsid w:val="00276E75"/>
    <w:rsid w:val="002770D2"/>
    <w:rsid w:val="002770D5"/>
    <w:rsid w:val="00277355"/>
    <w:rsid w:val="002803D5"/>
    <w:rsid w:val="00280521"/>
    <w:rsid w:val="00280735"/>
    <w:rsid w:val="00281281"/>
    <w:rsid w:val="00281D43"/>
    <w:rsid w:val="0028230A"/>
    <w:rsid w:val="00282713"/>
    <w:rsid w:val="0028379F"/>
    <w:rsid w:val="0028448B"/>
    <w:rsid w:val="00284563"/>
    <w:rsid w:val="0028456F"/>
    <w:rsid w:val="00284665"/>
    <w:rsid w:val="00284B51"/>
    <w:rsid w:val="00284EB4"/>
    <w:rsid w:val="00285018"/>
    <w:rsid w:val="00285695"/>
    <w:rsid w:val="00285C26"/>
    <w:rsid w:val="00285FC4"/>
    <w:rsid w:val="002861C2"/>
    <w:rsid w:val="00286D65"/>
    <w:rsid w:val="00286FED"/>
    <w:rsid w:val="002874DF"/>
    <w:rsid w:val="002900DE"/>
    <w:rsid w:val="00290521"/>
    <w:rsid w:val="002908BE"/>
    <w:rsid w:val="00290B39"/>
    <w:rsid w:val="002910FA"/>
    <w:rsid w:val="00291B58"/>
    <w:rsid w:val="00291B8E"/>
    <w:rsid w:val="00291BCA"/>
    <w:rsid w:val="002923BD"/>
    <w:rsid w:val="00292A98"/>
    <w:rsid w:val="0029337E"/>
    <w:rsid w:val="00293566"/>
    <w:rsid w:val="0029368D"/>
    <w:rsid w:val="00293850"/>
    <w:rsid w:val="00294DB4"/>
    <w:rsid w:val="00294E64"/>
    <w:rsid w:val="00294F97"/>
    <w:rsid w:val="002956F1"/>
    <w:rsid w:val="00295A10"/>
    <w:rsid w:val="00295BBC"/>
    <w:rsid w:val="00295BE5"/>
    <w:rsid w:val="00296228"/>
    <w:rsid w:val="00296337"/>
    <w:rsid w:val="0029681C"/>
    <w:rsid w:val="0029688C"/>
    <w:rsid w:val="002975AB"/>
    <w:rsid w:val="002A0DA6"/>
    <w:rsid w:val="002A1188"/>
    <w:rsid w:val="002A21EC"/>
    <w:rsid w:val="002A2A77"/>
    <w:rsid w:val="002A2EAF"/>
    <w:rsid w:val="002A3869"/>
    <w:rsid w:val="002A3E52"/>
    <w:rsid w:val="002A4082"/>
    <w:rsid w:val="002A4114"/>
    <w:rsid w:val="002A42D2"/>
    <w:rsid w:val="002A452D"/>
    <w:rsid w:val="002A49B4"/>
    <w:rsid w:val="002A4A8A"/>
    <w:rsid w:val="002A4BE9"/>
    <w:rsid w:val="002A4C68"/>
    <w:rsid w:val="002A4CA9"/>
    <w:rsid w:val="002A4D0B"/>
    <w:rsid w:val="002A4ECC"/>
    <w:rsid w:val="002A4F8F"/>
    <w:rsid w:val="002A5AF1"/>
    <w:rsid w:val="002A5B11"/>
    <w:rsid w:val="002A67CB"/>
    <w:rsid w:val="002A6C35"/>
    <w:rsid w:val="002A6E4B"/>
    <w:rsid w:val="002A79FA"/>
    <w:rsid w:val="002A7B86"/>
    <w:rsid w:val="002A7C98"/>
    <w:rsid w:val="002A7F5E"/>
    <w:rsid w:val="002B058C"/>
    <w:rsid w:val="002B100E"/>
    <w:rsid w:val="002B1164"/>
    <w:rsid w:val="002B1F0F"/>
    <w:rsid w:val="002B27C1"/>
    <w:rsid w:val="002B2B4E"/>
    <w:rsid w:val="002B427F"/>
    <w:rsid w:val="002B42D8"/>
    <w:rsid w:val="002B49D7"/>
    <w:rsid w:val="002B4CA3"/>
    <w:rsid w:val="002B4F8D"/>
    <w:rsid w:val="002B55FE"/>
    <w:rsid w:val="002B6078"/>
    <w:rsid w:val="002B68D0"/>
    <w:rsid w:val="002B6C92"/>
    <w:rsid w:val="002B6E3F"/>
    <w:rsid w:val="002B7295"/>
    <w:rsid w:val="002B7939"/>
    <w:rsid w:val="002C02FB"/>
    <w:rsid w:val="002C0411"/>
    <w:rsid w:val="002C09C6"/>
    <w:rsid w:val="002C0B2A"/>
    <w:rsid w:val="002C0D06"/>
    <w:rsid w:val="002C1420"/>
    <w:rsid w:val="002C37B2"/>
    <w:rsid w:val="002C39DC"/>
    <w:rsid w:val="002C439E"/>
    <w:rsid w:val="002C51C0"/>
    <w:rsid w:val="002C534E"/>
    <w:rsid w:val="002C5374"/>
    <w:rsid w:val="002C6030"/>
    <w:rsid w:val="002C6038"/>
    <w:rsid w:val="002C610D"/>
    <w:rsid w:val="002C6402"/>
    <w:rsid w:val="002C6D0B"/>
    <w:rsid w:val="002C6D1B"/>
    <w:rsid w:val="002C705A"/>
    <w:rsid w:val="002C758A"/>
    <w:rsid w:val="002C7D85"/>
    <w:rsid w:val="002D0CEA"/>
    <w:rsid w:val="002D0D67"/>
    <w:rsid w:val="002D224F"/>
    <w:rsid w:val="002D2470"/>
    <w:rsid w:val="002D319E"/>
    <w:rsid w:val="002D374A"/>
    <w:rsid w:val="002D40EA"/>
    <w:rsid w:val="002D4A5D"/>
    <w:rsid w:val="002D4BD7"/>
    <w:rsid w:val="002D4ED5"/>
    <w:rsid w:val="002D5411"/>
    <w:rsid w:val="002D5C58"/>
    <w:rsid w:val="002D6655"/>
    <w:rsid w:val="002D67BA"/>
    <w:rsid w:val="002D69DE"/>
    <w:rsid w:val="002D69FC"/>
    <w:rsid w:val="002D6BA3"/>
    <w:rsid w:val="002D7346"/>
    <w:rsid w:val="002D7D9A"/>
    <w:rsid w:val="002E0DFC"/>
    <w:rsid w:val="002E0E9B"/>
    <w:rsid w:val="002E1517"/>
    <w:rsid w:val="002E157D"/>
    <w:rsid w:val="002E1BC0"/>
    <w:rsid w:val="002E2A66"/>
    <w:rsid w:val="002E30AA"/>
    <w:rsid w:val="002E30D8"/>
    <w:rsid w:val="002E36BC"/>
    <w:rsid w:val="002E36EA"/>
    <w:rsid w:val="002E395C"/>
    <w:rsid w:val="002E462C"/>
    <w:rsid w:val="002E52D0"/>
    <w:rsid w:val="002E52D5"/>
    <w:rsid w:val="002E53AE"/>
    <w:rsid w:val="002E53BB"/>
    <w:rsid w:val="002E55E2"/>
    <w:rsid w:val="002E56EB"/>
    <w:rsid w:val="002E591A"/>
    <w:rsid w:val="002E5BB3"/>
    <w:rsid w:val="002E5CAD"/>
    <w:rsid w:val="002E6471"/>
    <w:rsid w:val="002E6F09"/>
    <w:rsid w:val="002E71B5"/>
    <w:rsid w:val="002E733A"/>
    <w:rsid w:val="002E7B3E"/>
    <w:rsid w:val="002E7C17"/>
    <w:rsid w:val="002E7D0E"/>
    <w:rsid w:val="002F1461"/>
    <w:rsid w:val="002F16EC"/>
    <w:rsid w:val="002F202C"/>
    <w:rsid w:val="002F2778"/>
    <w:rsid w:val="002F2AF9"/>
    <w:rsid w:val="002F2F6E"/>
    <w:rsid w:val="002F32E3"/>
    <w:rsid w:val="002F394B"/>
    <w:rsid w:val="002F39C7"/>
    <w:rsid w:val="002F4E72"/>
    <w:rsid w:val="002F511E"/>
    <w:rsid w:val="002F5193"/>
    <w:rsid w:val="002F569F"/>
    <w:rsid w:val="002F5855"/>
    <w:rsid w:val="002F5BB0"/>
    <w:rsid w:val="002F62F8"/>
    <w:rsid w:val="002F6388"/>
    <w:rsid w:val="002F7294"/>
    <w:rsid w:val="002F7836"/>
    <w:rsid w:val="002F7A83"/>
    <w:rsid w:val="002F7C29"/>
    <w:rsid w:val="00300B7E"/>
    <w:rsid w:val="0030124F"/>
    <w:rsid w:val="00301321"/>
    <w:rsid w:val="00301873"/>
    <w:rsid w:val="00301993"/>
    <w:rsid w:val="00301E73"/>
    <w:rsid w:val="003024FA"/>
    <w:rsid w:val="00302560"/>
    <w:rsid w:val="003027F4"/>
    <w:rsid w:val="0030281D"/>
    <w:rsid w:val="00303726"/>
    <w:rsid w:val="00303898"/>
    <w:rsid w:val="00303AB6"/>
    <w:rsid w:val="00304439"/>
    <w:rsid w:val="003044C3"/>
    <w:rsid w:val="003056F8"/>
    <w:rsid w:val="003059F5"/>
    <w:rsid w:val="00305A97"/>
    <w:rsid w:val="00305F01"/>
    <w:rsid w:val="00305F9B"/>
    <w:rsid w:val="00305FC5"/>
    <w:rsid w:val="003061C7"/>
    <w:rsid w:val="00306552"/>
    <w:rsid w:val="003066E2"/>
    <w:rsid w:val="00306A2A"/>
    <w:rsid w:val="00307207"/>
    <w:rsid w:val="00307871"/>
    <w:rsid w:val="00307928"/>
    <w:rsid w:val="003079A6"/>
    <w:rsid w:val="00307A8E"/>
    <w:rsid w:val="00307CE1"/>
    <w:rsid w:val="00310BB9"/>
    <w:rsid w:val="003114D8"/>
    <w:rsid w:val="003117C8"/>
    <w:rsid w:val="0031192A"/>
    <w:rsid w:val="00311FDB"/>
    <w:rsid w:val="0031292B"/>
    <w:rsid w:val="0031296D"/>
    <w:rsid w:val="00312C1B"/>
    <w:rsid w:val="00312CA1"/>
    <w:rsid w:val="00313284"/>
    <w:rsid w:val="003137DC"/>
    <w:rsid w:val="00313879"/>
    <w:rsid w:val="00313A05"/>
    <w:rsid w:val="00314C53"/>
    <w:rsid w:val="003153FB"/>
    <w:rsid w:val="00315928"/>
    <w:rsid w:val="00315992"/>
    <w:rsid w:val="0031658D"/>
    <w:rsid w:val="00316720"/>
    <w:rsid w:val="00316A22"/>
    <w:rsid w:val="003171D1"/>
    <w:rsid w:val="00317CDC"/>
    <w:rsid w:val="00317D5C"/>
    <w:rsid w:val="003203CF"/>
    <w:rsid w:val="0032061A"/>
    <w:rsid w:val="00320825"/>
    <w:rsid w:val="0032150D"/>
    <w:rsid w:val="00322BEC"/>
    <w:rsid w:val="003234A0"/>
    <w:rsid w:val="00323964"/>
    <w:rsid w:val="00325073"/>
    <w:rsid w:val="003259FA"/>
    <w:rsid w:val="00325C33"/>
    <w:rsid w:val="003260AC"/>
    <w:rsid w:val="003262F1"/>
    <w:rsid w:val="00326435"/>
    <w:rsid w:val="00326B2A"/>
    <w:rsid w:val="00326DC3"/>
    <w:rsid w:val="00326E42"/>
    <w:rsid w:val="0032707C"/>
    <w:rsid w:val="0032743B"/>
    <w:rsid w:val="00327600"/>
    <w:rsid w:val="00330490"/>
    <w:rsid w:val="00330ABD"/>
    <w:rsid w:val="00331568"/>
    <w:rsid w:val="0033164B"/>
    <w:rsid w:val="00332089"/>
    <w:rsid w:val="00333E1D"/>
    <w:rsid w:val="003342C5"/>
    <w:rsid w:val="00335449"/>
    <w:rsid w:val="003354F2"/>
    <w:rsid w:val="003360E1"/>
    <w:rsid w:val="0033628E"/>
    <w:rsid w:val="0033680F"/>
    <w:rsid w:val="00336881"/>
    <w:rsid w:val="00336B7F"/>
    <w:rsid w:val="0033744D"/>
    <w:rsid w:val="00337847"/>
    <w:rsid w:val="00340042"/>
    <w:rsid w:val="00340046"/>
    <w:rsid w:val="00340171"/>
    <w:rsid w:val="00340D0A"/>
    <w:rsid w:val="0034124E"/>
    <w:rsid w:val="003421E9"/>
    <w:rsid w:val="0034220F"/>
    <w:rsid w:val="003432FB"/>
    <w:rsid w:val="00344297"/>
    <w:rsid w:val="0034481B"/>
    <w:rsid w:val="003459D0"/>
    <w:rsid w:val="00345AD8"/>
    <w:rsid w:val="00345BC6"/>
    <w:rsid w:val="00346A92"/>
    <w:rsid w:val="00347085"/>
    <w:rsid w:val="0034738C"/>
    <w:rsid w:val="00347802"/>
    <w:rsid w:val="003506AF"/>
    <w:rsid w:val="00350745"/>
    <w:rsid w:val="00350D0A"/>
    <w:rsid w:val="00350D73"/>
    <w:rsid w:val="00351175"/>
    <w:rsid w:val="0035143E"/>
    <w:rsid w:val="00351659"/>
    <w:rsid w:val="00351CAB"/>
    <w:rsid w:val="0035297E"/>
    <w:rsid w:val="00352D03"/>
    <w:rsid w:val="00352FE0"/>
    <w:rsid w:val="00353072"/>
    <w:rsid w:val="00353357"/>
    <w:rsid w:val="0035337C"/>
    <w:rsid w:val="00353C53"/>
    <w:rsid w:val="00353F0C"/>
    <w:rsid w:val="00354633"/>
    <w:rsid w:val="00354C9D"/>
    <w:rsid w:val="003555C9"/>
    <w:rsid w:val="0035565B"/>
    <w:rsid w:val="003559E4"/>
    <w:rsid w:val="0035605C"/>
    <w:rsid w:val="003566E5"/>
    <w:rsid w:val="00356A3D"/>
    <w:rsid w:val="00357FA0"/>
    <w:rsid w:val="00360695"/>
    <w:rsid w:val="00360F53"/>
    <w:rsid w:val="0036102F"/>
    <w:rsid w:val="00361085"/>
    <w:rsid w:val="00361651"/>
    <w:rsid w:val="00362185"/>
    <w:rsid w:val="00362208"/>
    <w:rsid w:val="00363063"/>
    <w:rsid w:val="003632AE"/>
    <w:rsid w:val="0036331A"/>
    <w:rsid w:val="003633EA"/>
    <w:rsid w:val="003635C6"/>
    <w:rsid w:val="00363F60"/>
    <w:rsid w:val="00364160"/>
    <w:rsid w:val="0036419E"/>
    <w:rsid w:val="003641D1"/>
    <w:rsid w:val="00364857"/>
    <w:rsid w:val="003655FE"/>
    <w:rsid w:val="00365D11"/>
    <w:rsid w:val="0036644E"/>
    <w:rsid w:val="0036650F"/>
    <w:rsid w:val="0036697B"/>
    <w:rsid w:val="003675DD"/>
    <w:rsid w:val="00367871"/>
    <w:rsid w:val="00367D9D"/>
    <w:rsid w:val="00370208"/>
    <w:rsid w:val="00370401"/>
    <w:rsid w:val="0037056C"/>
    <w:rsid w:val="00370CC4"/>
    <w:rsid w:val="00371115"/>
    <w:rsid w:val="003713D2"/>
    <w:rsid w:val="003720FA"/>
    <w:rsid w:val="003721C9"/>
    <w:rsid w:val="00372C28"/>
    <w:rsid w:val="00372D66"/>
    <w:rsid w:val="0037308A"/>
    <w:rsid w:val="00373A75"/>
    <w:rsid w:val="0037415F"/>
    <w:rsid w:val="003741D3"/>
    <w:rsid w:val="00374D0A"/>
    <w:rsid w:val="003754BC"/>
    <w:rsid w:val="00376600"/>
    <w:rsid w:val="00377378"/>
    <w:rsid w:val="003773BE"/>
    <w:rsid w:val="00377642"/>
    <w:rsid w:val="00377C28"/>
    <w:rsid w:val="00377F60"/>
    <w:rsid w:val="003801EF"/>
    <w:rsid w:val="00380877"/>
    <w:rsid w:val="0038139D"/>
    <w:rsid w:val="00381469"/>
    <w:rsid w:val="00381820"/>
    <w:rsid w:val="00381A82"/>
    <w:rsid w:val="00382A08"/>
    <w:rsid w:val="00382D98"/>
    <w:rsid w:val="0038330D"/>
    <w:rsid w:val="00383F10"/>
    <w:rsid w:val="003843F0"/>
    <w:rsid w:val="0038477C"/>
    <w:rsid w:val="00384A61"/>
    <w:rsid w:val="00384CEF"/>
    <w:rsid w:val="003853C7"/>
    <w:rsid w:val="003855B7"/>
    <w:rsid w:val="003856FA"/>
    <w:rsid w:val="003857BB"/>
    <w:rsid w:val="00385988"/>
    <w:rsid w:val="003859C1"/>
    <w:rsid w:val="00385C61"/>
    <w:rsid w:val="00385DE7"/>
    <w:rsid w:val="00386824"/>
    <w:rsid w:val="003879D1"/>
    <w:rsid w:val="00387B36"/>
    <w:rsid w:val="00387BCC"/>
    <w:rsid w:val="00387C63"/>
    <w:rsid w:val="00387CAF"/>
    <w:rsid w:val="00387EE0"/>
    <w:rsid w:val="00390238"/>
    <w:rsid w:val="003913E4"/>
    <w:rsid w:val="00391C90"/>
    <w:rsid w:val="0039249B"/>
    <w:rsid w:val="00393506"/>
    <w:rsid w:val="00393C0B"/>
    <w:rsid w:val="00393CCA"/>
    <w:rsid w:val="0039563D"/>
    <w:rsid w:val="00395727"/>
    <w:rsid w:val="00395E42"/>
    <w:rsid w:val="003963B0"/>
    <w:rsid w:val="00396442"/>
    <w:rsid w:val="00396BE8"/>
    <w:rsid w:val="00397392"/>
    <w:rsid w:val="00397B80"/>
    <w:rsid w:val="00397CD2"/>
    <w:rsid w:val="003A0393"/>
    <w:rsid w:val="003A03FC"/>
    <w:rsid w:val="003A0432"/>
    <w:rsid w:val="003A0696"/>
    <w:rsid w:val="003A0A95"/>
    <w:rsid w:val="003A0C92"/>
    <w:rsid w:val="003A1173"/>
    <w:rsid w:val="003A146D"/>
    <w:rsid w:val="003A16A8"/>
    <w:rsid w:val="003A1F87"/>
    <w:rsid w:val="003A21ED"/>
    <w:rsid w:val="003A2968"/>
    <w:rsid w:val="003A2A5E"/>
    <w:rsid w:val="003A2ABC"/>
    <w:rsid w:val="003A2EBD"/>
    <w:rsid w:val="003A30E2"/>
    <w:rsid w:val="003A3BAB"/>
    <w:rsid w:val="003A3C32"/>
    <w:rsid w:val="003A3F12"/>
    <w:rsid w:val="003A430A"/>
    <w:rsid w:val="003A4748"/>
    <w:rsid w:val="003A4A5A"/>
    <w:rsid w:val="003A4D09"/>
    <w:rsid w:val="003A5900"/>
    <w:rsid w:val="003A599A"/>
    <w:rsid w:val="003A61EF"/>
    <w:rsid w:val="003A648A"/>
    <w:rsid w:val="003A6566"/>
    <w:rsid w:val="003A686F"/>
    <w:rsid w:val="003A6C49"/>
    <w:rsid w:val="003A70DE"/>
    <w:rsid w:val="003A70DF"/>
    <w:rsid w:val="003A7C1F"/>
    <w:rsid w:val="003B03E0"/>
    <w:rsid w:val="003B042A"/>
    <w:rsid w:val="003B076C"/>
    <w:rsid w:val="003B0D48"/>
    <w:rsid w:val="003B1124"/>
    <w:rsid w:val="003B15E8"/>
    <w:rsid w:val="003B1754"/>
    <w:rsid w:val="003B1965"/>
    <w:rsid w:val="003B1987"/>
    <w:rsid w:val="003B1D36"/>
    <w:rsid w:val="003B24C4"/>
    <w:rsid w:val="003B266A"/>
    <w:rsid w:val="003B307E"/>
    <w:rsid w:val="003B3096"/>
    <w:rsid w:val="003B3B17"/>
    <w:rsid w:val="003B3FA1"/>
    <w:rsid w:val="003B450C"/>
    <w:rsid w:val="003B45BD"/>
    <w:rsid w:val="003B4DC9"/>
    <w:rsid w:val="003B57EC"/>
    <w:rsid w:val="003B6649"/>
    <w:rsid w:val="003B68F5"/>
    <w:rsid w:val="003B69D0"/>
    <w:rsid w:val="003B7AF0"/>
    <w:rsid w:val="003B7DD8"/>
    <w:rsid w:val="003B7DEF"/>
    <w:rsid w:val="003C0AC0"/>
    <w:rsid w:val="003C0AEF"/>
    <w:rsid w:val="003C22B1"/>
    <w:rsid w:val="003C2C8A"/>
    <w:rsid w:val="003C3314"/>
    <w:rsid w:val="003C3ABB"/>
    <w:rsid w:val="003C3B9B"/>
    <w:rsid w:val="003C3EA4"/>
    <w:rsid w:val="003C400C"/>
    <w:rsid w:val="003C4372"/>
    <w:rsid w:val="003C440C"/>
    <w:rsid w:val="003C45AF"/>
    <w:rsid w:val="003C5315"/>
    <w:rsid w:val="003C541C"/>
    <w:rsid w:val="003C5ABA"/>
    <w:rsid w:val="003C5ADA"/>
    <w:rsid w:val="003C5B4D"/>
    <w:rsid w:val="003C5D1E"/>
    <w:rsid w:val="003C6680"/>
    <w:rsid w:val="003C717B"/>
    <w:rsid w:val="003C71D3"/>
    <w:rsid w:val="003C77D5"/>
    <w:rsid w:val="003D0A72"/>
    <w:rsid w:val="003D0D1E"/>
    <w:rsid w:val="003D16A9"/>
    <w:rsid w:val="003D1DD3"/>
    <w:rsid w:val="003D27B0"/>
    <w:rsid w:val="003D2CB8"/>
    <w:rsid w:val="003D3382"/>
    <w:rsid w:val="003D35D5"/>
    <w:rsid w:val="003D4172"/>
    <w:rsid w:val="003D4279"/>
    <w:rsid w:val="003D5851"/>
    <w:rsid w:val="003D591D"/>
    <w:rsid w:val="003D5A59"/>
    <w:rsid w:val="003D7020"/>
    <w:rsid w:val="003D74E7"/>
    <w:rsid w:val="003D7991"/>
    <w:rsid w:val="003E01D2"/>
    <w:rsid w:val="003E09DE"/>
    <w:rsid w:val="003E0AE6"/>
    <w:rsid w:val="003E10EA"/>
    <w:rsid w:val="003E13E4"/>
    <w:rsid w:val="003E1502"/>
    <w:rsid w:val="003E19FA"/>
    <w:rsid w:val="003E1F41"/>
    <w:rsid w:val="003E1F86"/>
    <w:rsid w:val="003E206C"/>
    <w:rsid w:val="003E2409"/>
    <w:rsid w:val="003E2C66"/>
    <w:rsid w:val="003E32F3"/>
    <w:rsid w:val="003E33B1"/>
    <w:rsid w:val="003E361B"/>
    <w:rsid w:val="003E3E21"/>
    <w:rsid w:val="003E3E82"/>
    <w:rsid w:val="003E428F"/>
    <w:rsid w:val="003E4840"/>
    <w:rsid w:val="003E5627"/>
    <w:rsid w:val="003E57B9"/>
    <w:rsid w:val="003E5812"/>
    <w:rsid w:val="003E594E"/>
    <w:rsid w:val="003E5ACD"/>
    <w:rsid w:val="003E5DF8"/>
    <w:rsid w:val="003E682E"/>
    <w:rsid w:val="003E6AA8"/>
    <w:rsid w:val="003E6C13"/>
    <w:rsid w:val="003E7903"/>
    <w:rsid w:val="003E7AC3"/>
    <w:rsid w:val="003F03C7"/>
    <w:rsid w:val="003F0490"/>
    <w:rsid w:val="003F0535"/>
    <w:rsid w:val="003F0717"/>
    <w:rsid w:val="003F0BA0"/>
    <w:rsid w:val="003F0DD9"/>
    <w:rsid w:val="003F0E10"/>
    <w:rsid w:val="003F1119"/>
    <w:rsid w:val="003F1280"/>
    <w:rsid w:val="003F12C5"/>
    <w:rsid w:val="003F1357"/>
    <w:rsid w:val="003F16BB"/>
    <w:rsid w:val="003F1DE2"/>
    <w:rsid w:val="003F1E84"/>
    <w:rsid w:val="003F2153"/>
    <w:rsid w:val="003F246D"/>
    <w:rsid w:val="003F2524"/>
    <w:rsid w:val="003F25F2"/>
    <w:rsid w:val="003F27EA"/>
    <w:rsid w:val="003F3165"/>
    <w:rsid w:val="003F3205"/>
    <w:rsid w:val="003F328C"/>
    <w:rsid w:val="003F3567"/>
    <w:rsid w:val="003F3730"/>
    <w:rsid w:val="003F468D"/>
    <w:rsid w:val="003F4BCE"/>
    <w:rsid w:val="003F4E07"/>
    <w:rsid w:val="003F51E8"/>
    <w:rsid w:val="003F570E"/>
    <w:rsid w:val="003F5846"/>
    <w:rsid w:val="003F5C26"/>
    <w:rsid w:val="003F5C9A"/>
    <w:rsid w:val="003F605E"/>
    <w:rsid w:val="003F6330"/>
    <w:rsid w:val="003F64BA"/>
    <w:rsid w:val="003F6FD3"/>
    <w:rsid w:val="003F7794"/>
    <w:rsid w:val="003F7A22"/>
    <w:rsid w:val="00400055"/>
    <w:rsid w:val="0040034C"/>
    <w:rsid w:val="004004A4"/>
    <w:rsid w:val="004007E2"/>
    <w:rsid w:val="00400A6C"/>
    <w:rsid w:val="00401151"/>
    <w:rsid w:val="004019D4"/>
    <w:rsid w:val="00401E8A"/>
    <w:rsid w:val="00402102"/>
    <w:rsid w:val="00402275"/>
    <w:rsid w:val="00402471"/>
    <w:rsid w:val="00403199"/>
    <w:rsid w:val="00403301"/>
    <w:rsid w:val="0040343C"/>
    <w:rsid w:val="004034FE"/>
    <w:rsid w:val="004035FE"/>
    <w:rsid w:val="00403B2D"/>
    <w:rsid w:val="004044D7"/>
    <w:rsid w:val="00404FB3"/>
    <w:rsid w:val="00406DDB"/>
    <w:rsid w:val="00406EBD"/>
    <w:rsid w:val="0040746C"/>
    <w:rsid w:val="0040791D"/>
    <w:rsid w:val="0041022D"/>
    <w:rsid w:val="00410269"/>
    <w:rsid w:val="004107A8"/>
    <w:rsid w:val="004108FA"/>
    <w:rsid w:val="004110A9"/>
    <w:rsid w:val="0041115C"/>
    <w:rsid w:val="00411EBB"/>
    <w:rsid w:val="00411F2A"/>
    <w:rsid w:val="004121C1"/>
    <w:rsid w:val="00412666"/>
    <w:rsid w:val="00412B53"/>
    <w:rsid w:val="00412B94"/>
    <w:rsid w:val="00412EB1"/>
    <w:rsid w:val="00412FEB"/>
    <w:rsid w:val="004135D5"/>
    <w:rsid w:val="00414A85"/>
    <w:rsid w:val="00414CFB"/>
    <w:rsid w:val="00415038"/>
    <w:rsid w:val="00415273"/>
    <w:rsid w:val="00415451"/>
    <w:rsid w:val="00415605"/>
    <w:rsid w:val="00415AB8"/>
    <w:rsid w:val="00416834"/>
    <w:rsid w:val="004168DE"/>
    <w:rsid w:val="00416AA7"/>
    <w:rsid w:val="0041776E"/>
    <w:rsid w:val="004179BC"/>
    <w:rsid w:val="0042118D"/>
    <w:rsid w:val="004212F3"/>
    <w:rsid w:val="00421837"/>
    <w:rsid w:val="004218B4"/>
    <w:rsid w:val="00422C0A"/>
    <w:rsid w:val="004230A5"/>
    <w:rsid w:val="00423379"/>
    <w:rsid w:val="00423874"/>
    <w:rsid w:val="004239B2"/>
    <w:rsid w:val="00423FCA"/>
    <w:rsid w:val="004240C3"/>
    <w:rsid w:val="00424907"/>
    <w:rsid w:val="00424B19"/>
    <w:rsid w:val="00424C27"/>
    <w:rsid w:val="0042505D"/>
    <w:rsid w:val="00425191"/>
    <w:rsid w:val="00425419"/>
    <w:rsid w:val="0042587D"/>
    <w:rsid w:val="00425C58"/>
    <w:rsid w:val="0042635A"/>
    <w:rsid w:val="004265B0"/>
    <w:rsid w:val="00426B17"/>
    <w:rsid w:val="00427D0F"/>
    <w:rsid w:val="0043016E"/>
    <w:rsid w:val="00430A99"/>
    <w:rsid w:val="00430EAD"/>
    <w:rsid w:val="0043119E"/>
    <w:rsid w:val="0043153C"/>
    <w:rsid w:val="00431549"/>
    <w:rsid w:val="00432491"/>
    <w:rsid w:val="00432979"/>
    <w:rsid w:val="00432C31"/>
    <w:rsid w:val="00432E24"/>
    <w:rsid w:val="0043380F"/>
    <w:rsid w:val="0043399E"/>
    <w:rsid w:val="00433CB1"/>
    <w:rsid w:val="004344F0"/>
    <w:rsid w:val="004347B6"/>
    <w:rsid w:val="0043499B"/>
    <w:rsid w:val="00434F30"/>
    <w:rsid w:val="004354AF"/>
    <w:rsid w:val="0043572E"/>
    <w:rsid w:val="00436461"/>
    <w:rsid w:val="00436A25"/>
    <w:rsid w:val="00436E70"/>
    <w:rsid w:val="00436F7E"/>
    <w:rsid w:val="00437773"/>
    <w:rsid w:val="00437B91"/>
    <w:rsid w:val="00437F0A"/>
    <w:rsid w:val="0044026B"/>
    <w:rsid w:val="00442412"/>
    <w:rsid w:val="0044244B"/>
    <w:rsid w:val="00442609"/>
    <w:rsid w:val="004428D1"/>
    <w:rsid w:val="00442FF3"/>
    <w:rsid w:val="004437B3"/>
    <w:rsid w:val="00443DF7"/>
    <w:rsid w:val="004441F8"/>
    <w:rsid w:val="00444209"/>
    <w:rsid w:val="00444436"/>
    <w:rsid w:val="00444F86"/>
    <w:rsid w:val="00444F89"/>
    <w:rsid w:val="004457A4"/>
    <w:rsid w:val="004466D9"/>
    <w:rsid w:val="00446775"/>
    <w:rsid w:val="00446D0C"/>
    <w:rsid w:val="0044726E"/>
    <w:rsid w:val="0044744A"/>
    <w:rsid w:val="0044781D"/>
    <w:rsid w:val="004505D4"/>
    <w:rsid w:val="00450AEE"/>
    <w:rsid w:val="00450ECA"/>
    <w:rsid w:val="004520E6"/>
    <w:rsid w:val="0045238F"/>
    <w:rsid w:val="0045297A"/>
    <w:rsid w:val="00453217"/>
    <w:rsid w:val="0045368E"/>
    <w:rsid w:val="0045434A"/>
    <w:rsid w:val="004546C1"/>
    <w:rsid w:val="004551CE"/>
    <w:rsid w:val="00455BDF"/>
    <w:rsid w:val="004567F7"/>
    <w:rsid w:val="00456B40"/>
    <w:rsid w:val="00456D59"/>
    <w:rsid w:val="0045778F"/>
    <w:rsid w:val="00460216"/>
    <w:rsid w:val="0046030A"/>
    <w:rsid w:val="004603BE"/>
    <w:rsid w:val="004604CA"/>
    <w:rsid w:val="0046086B"/>
    <w:rsid w:val="00460AE0"/>
    <w:rsid w:val="00460FC4"/>
    <w:rsid w:val="0046114C"/>
    <w:rsid w:val="00462067"/>
    <w:rsid w:val="00462703"/>
    <w:rsid w:val="00462D1E"/>
    <w:rsid w:val="00463BBE"/>
    <w:rsid w:val="00463C67"/>
    <w:rsid w:val="0046518B"/>
    <w:rsid w:val="0046589E"/>
    <w:rsid w:val="00465D8E"/>
    <w:rsid w:val="0046616F"/>
    <w:rsid w:val="004668B8"/>
    <w:rsid w:val="004668F5"/>
    <w:rsid w:val="00466D03"/>
    <w:rsid w:val="00467C94"/>
    <w:rsid w:val="00467F0B"/>
    <w:rsid w:val="0047038C"/>
    <w:rsid w:val="004706F8"/>
    <w:rsid w:val="00470D91"/>
    <w:rsid w:val="00470E91"/>
    <w:rsid w:val="004710E7"/>
    <w:rsid w:val="00471D81"/>
    <w:rsid w:val="00471D97"/>
    <w:rsid w:val="00471EB4"/>
    <w:rsid w:val="00471EDD"/>
    <w:rsid w:val="00472152"/>
    <w:rsid w:val="004728A5"/>
    <w:rsid w:val="00472D6C"/>
    <w:rsid w:val="00473490"/>
    <w:rsid w:val="00473662"/>
    <w:rsid w:val="00473BC0"/>
    <w:rsid w:val="0047458C"/>
    <w:rsid w:val="004758FB"/>
    <w:rsid w:val="004759D4"/>
    <w:rsid w:val="00475DF3"/>
    <w:rsid w:val="00476126"/>
    <w:rsid w:val="0047684A"/>
    <w:rsid w:val="00477377"/>
    <w:rsid w:val="0048038C"/>
    <w:rsid w:val="004805E9"/>
    <w:rsid w:val="00480A4B"/>
    <w:rsid w:val="00480B55"/>
    <w:rsid w:val="00481AFA"/>
    <w:rsid w:val="004820B5"/>
    <w:rsid w:val="00483B69"/>
    <w:rsid w:val="00483BC9"/>
    <w:rsid w:val="00483FBE"/>
    <w:rsid w:val="0048413F"/>
    <w:rsid w:val="00484192"/>
    <w:rsid w:val="00484382"/>
    <w:rsid w:val="0048578C"/>
    <w:rsid w:val="0048739F"/>
    <w:rsid w:val="004901E5"/>
    <w:rsid w:val="0049177B"/>
    <w:rsid w:val="004928DB"/>
    <w:rsid w:val="00492E8C"/>
    <w:rsid w:val="00492F18"/>
    <w:rsid w:val="0049359B"/>
    <w:rsid w:val="00493C51"/>
    <w:rsid w:val="00494227"/>
    <w:rsid w:val="004942CF"/>
    <w:rsid w:val="00494C63"/>
    <w:rsid w:val="00494DB5"/>
    <w:rsid w:val="00494FAB"/>
    <w:rsid w:val="00495572"/>
    <w:rsid w:val="004967E3"/>
    <w:rsid w:val="00496BB1"/>
    <w:rsid w:val="004970AD"/>
    <w:rsid w:val="00497379"/>
    <w:rsid w:val="00497587"/>
    <w:rsid w:val="00497930"/>
    <w:rsid w:val="00497A3C"/>
    <w:rsid w:val="00497D9E"/>
    <w:rsid w:val="004A00A6"/>
    <w:rsid w:val="004A0D87"/>
    <w:rsid w:val="004A10D5"/>
    <w:rsid w:val="004A1839"/>
    <w:rsid w:val="004A1F94"/>
    <w:rsid w:val="004A24CE"/>
    <w:rsid w:val="004A29BC"/>
    <w:rsid w:val="004A2C04"/>
    <w:rsid w:val="004A2F63"/>
    <w:rsid w:val="004A32EE"/>
    <w:rsid w:val="004A3B31"/>
    <w:rsid w:val="004A3C53"/>
    <w:rsid w:val="004A4621"/>
    <w:rsid w:val="004A47FF"/>
    <w:rsid w:val="004A5585"/>
    <w:rsid w:val="004A5951"/>
    <w:rsid w:val="004A59F5"/>
    <w:rsid w:val="004A5D5F"/>
    <w:rsid w:val="004A6E2F"/>
    <w:rsid w:val="004A71C4"/>
    <w:rsid w:val="004A7EE5"/>
    <w:rsid w:val="004B0C23"/>
    <w:rsid w:val="004B0FC9"/>
    <w:rsid w:val="004B12FB"/>
    <w:rsid w:val="004B21D2"/>
    <w:rsid w:val="004B24AD"/>
    <w:rsid w:val="004B2662"/>
    <w:rsid w:val="004B2AB6"/>
    <w:rsid w:val="004B33ED"/>
    <w:rsid w:val="004B4082"/>
    <w:rsid w:val="004B4573"/>
    <w:rsid w:val="004B479C"/>
    <w:rsid w:val="004B49B1"/>
    <w:rsid w:val="004B4F61"/>
    <w:rsid w:val="004B5478"/>
    <w:rsid w:val="004B56F7"/>
    <w:rsid w:val="004B5D5E"/>
    <w:rsid w:val="004B6124"/>
    <w:rsid w:val="004B63E7"/>
    <w:rsid w:val="004B6995"/>
    <w:rsid w:val="004B7FC9"/>
    <w:rsid w:val="004C03DD"/>
    <w:rsid w:val="004C043F"/>
    <w:rsid w:val="004C05A3"/>
    <w:rsid w:val="004C05E1"/>
    <w:rsid w:val="004C0741"/>
    <w:rsid w:val="004C15B6"/>
    <w:rsid w:val="004C1709"/>
    <w:rsid w:val="004C175B"/>
    <w:rsid w:val="004C1B2A"/>
    <w:rsid w:val="004C20D6"/>
    <w:rsid w:val="004C214D"/>
    <w:rsid w:val="004C247B"/>
    <w:rsid w:val="004C293E"/>
    <w:rsid w:val="004C2D7E"/>
    <w:rsid w:val="004C2EA9"/>
    <w:rsid w:val="004C3312"/>
    <w:rsid w:val="004C3436"/>
    <w:rsid w:val="004C34BB"/>
    <w:rsid w:val="004C36D8"/>
    <w:rsid w:val="004C3906"/>
    <w:rsid w:val="004C3989"/>
    <w:rsid w:val="004C3C04"/>
    <w:rsid w:val="004C3C10"/>
    <w:rsid w:val="004C3E27"/>
    <w:rsid w:val="004C4298"/>
    <w:rsid w:val="004C4579"/>
    <w:rsid w:val="004C457E"/>
    <w:rsid w:val="004C4D1B"/>
    <w:rsid w:val="004C4DE0"/>
    <w:rsid w:val="004C5923"/>
    <w:rsid w:val="004C5C54"/>
    <w:rsid w:val="004C6700"/>
    <w:rsid w:val="004C6852"/>
    <w:rsid w:val="004C765D"/>
    <w:rsid w:val="004C796B"/>
    <w:rsid w:val="004C7B10"/>
    <w:rsid w:val="004C7D74"/>
    <w:rsid w:val="004D00A1"/>
    <w:rsid w:val="004D03EA"/>
    <w:rsid w:val="004D216F"/>
    <w:rsid w:val="004D24AB"/>
    <w:rsid w:val="004D2DE1"/>
    <w:rsid w:val="004D2F4E"/>
    <w:rsid w:val="004D2FC0"/>
    <w:rsid w:val="004D37B5"/>
    <w:rsid w:val="004D3DC4"/>
    <w:rsid w:val="004D3FB1"/>
    <w:rsid w:val="004D44B2"/>
    <w:rsid w:val="004D4C21"/>
    <w:rsid w:val="004D4D11"/>
    <w:rsid w:val="004D5206"/>
    <w:rsid w:val="004D5FE3"/>
    <w:rsid w:val="004D66A6"/>
    <w:rsid w:val="004D69BF"/>
    <w:rsid w:val="004D69FB"/>
    <w:rsid w:val="004D6EE7"/>
    <w:rsid w:val="004D6FBC"/>
    <w:rsid w:val="004D7008"/>
    <w:rsid w:val="004D751D"/>
    <w:rsid w:val="004D7824"/>
    <w:rsid w:val="004D7C1A"/>
    <w:rsid w:val="004E03FC"/>
    <w:rsid w:val="004E04CA"/>
    <w:rsid w:val="004E0C1A"/>
    <w:rsid w:val="004E0FD1"/>
    <w:rsid w:val="004E1751"/>
    <w:rsid w:val="004E1DB3"/>
    <w:rsid w:val="004E1DED"/>
    <w:rsid w:val="004E20CE"/>
    <w:rsid w:val="004E279E"/>
    <w:rsid w:val="004E38F6"/>
    <w:rsid w:val="004E3AEC"/>
    <w:rsid w:val="004E3B7F"/>
    <w:rsid w:val="004E3D66"/>
    <w:rsid w:val="004E64D3"/>
    <w:rsid w:val="004E668B"/>
    <w:rsid w:val="004E6F37"/>
    <w:rsid w:val="004E704E"/>
    <w:rsid w:val="004E7160"/>
    <w:rsid w:val="004E72F7"/>
    <w:rsid w:val="004E774D"/>
    <w:rsid w:val="004E7773"/>
    <w:rsid w:val="004E77D1"/>
    <w:rsid w:val="004E78B7"/>
    <w:rsid w:val="004F0026"/>
    <w:rsid w:val="004F146C"/>
    <w:rsid w:val="004F1EFC"/>
    <w:rsid w:val="004F23A6"/>
    <w:rsid w:val="004F3825"/>
    <w:rsid w:val="004F390C"/>
    <w:rsid w:val="004F3BEB"/>
    <w:rsid w:val="004F3CBA"/>
    <w:rsid w:val="004F51B5"/>
    <w:rsid w:val="004F52DB"/>
    <w:rsid w:val="004F5A42"/>
    <w:rsid w:val="004F6392"/>
    <w:rsid w:val="004F6B36"/>
    <w:rsid w:val="004F6C3B"/>
    <w:rsid w:val="004F6EA0"/>
    <w:rsid w:val="004F6F5B"/>
    <w:rsid w:val="004F7095"/>
    <w:rsid w:val="004F7FA9"/>
    <w:rsid w:val="0050153F"/>
    <w:rsid w:val="00501B7F"/>
    <w:rsid w:val="00501BD5"/>
    <w:rsid w:val="00501E92"/>
    <w:rsid w:val="00501FFE"/>
    <w:rsid w:val="00502387"/>
    <w:rsid w:val="00502A9F"/>
    <w:rsid w:val="00502FDD"/>
    <w:rsid w:val="005036E3"/>
    <w:rsid w:val="00503F12"/>
    <w:rsid w:val="00503FC8"/>
    <w:rsid w:val="0050402E"/>
    <w:rsid w:val="005042CC"/>
    <w:rsid w:val="00504303"/>
    <w:rsid w:val="0050431B"/>
    <w:rsid w:val="00504963"/>
    <w:rsid w:val="005050C0"/>
    <w:rsid w:val="005053E6"/>
    <w:rsid w:val="00505B7C"/>
    <w:rsid w:val="0050652C"/>
    <w:rsid w:val="00506EA0"/>
    <w:rsid w:val="0050710A"/>
    <w:rsid w:val="00507DFC"/>
    <w:rsid w:val="0051057F"/>
    <w:rsid w:val="00510AEE"/>
    <w:rsid w:val="00510AF9"/>
    <w:rsid w:val="005115FB"/>
    <w:rsid w:val="005119D9"/>
    <w:rsid w:val="00512097"/>
    <w:rsid w:val="00512108"/>
    <w:rsid w:val="00512257"/>
    <w:rsid w:val="005128F7"/>
    <w:rsid w:val="00512AD6"/>
    <w:rsid w:val="00512C7A"/>
    <w:rsid w:val="00512DAF"/>
    <w:rsid w:val="005133ED"/>
    <w:rsid w:val="005133F0"/>
    <w:rsid w:val="00513A78"/>
    <w:rsid w:val="00513B89"/>
    <w:rsid w:val="0051484D"/>
    <w:rsid w:val="00514D92"/>
    <w:rsid w:val="00514FC6"/>
    <w:rsid w:val="005159A9"/>
    <w:rsid w:val="0051636E"/>
    <w:rsid w:val="005169D0"/>
    <w:rsid w:val="00516BF4"/>
    <w:rsid w:val="00516DC4"/>
    <w:rsid w:val="005172AE"/>
    <w:rsid w:val="00517D07"/>
    <w:rsid w:val="00517E1F"/>
    <w:rsid w:val="00517F4B"/>
    <w:rsid w:val="00520352"/>
    <w:rsid w:val="005209E6"/>
    <w:rsid w:val="005209F3"/>
    <w:rsid w:val="00520A6F"/>
    <w:rsid w:val="0052116B"/>
    <w:rsid w:val="0052153F"/>
    <w:rsid w:val="00521D7D"/>
    <w:rsid w:val="00523353"/>
    <w:rsid w:val="00523A23"/>
    <w:rsid w:val="00524067"/>
    <w:rsid w:val="00524216"/>
    <w:rsid w:val="0052495C"/>
    <w:rsid w:val="00524DFB"/>
    <w:rsid w:val="00525148"/>
    <w:rsid w:val="005259F5"/>
    <w:rsid w:val="00525BB6"/>
    <w:rsid w:val="00526359"/>
    <w:rsid w:val="0052779E"/>
    <w:rsid w:val="005277CB"/>
    <w:rsid w:val="00527A6F"/>
    <w:rsid w:val="00530112"/>
    <w:rsid w:val="005301DF"/>
    <w:rsid w:val="005316D2"/>
    <w:rsid w:val="005319EC"/>
    <w:rsid w:val="00531E10"/>
    <w:rsid w:val="00532A8E"/>
    <w:rsid w:val="00532D85"/>
    <w:rsid w:val="00533595"/>
    <w:rsid w:val="00533A68"/>
    <w:rsid w:val="00533E51"/>
    <w:rsid w:val="00533EDE"/>
    <w:rsid w:val="00534039"/>
    <w:rsid w:val="005347D5"/>
    <w:rsid w:val="00534CE2"/>
    <w:rsid w:val="005355F5"/>
    <w:rsid w:val="0053563F"/>
    <w:rsid w:val="00536426"/>
    <w:rsid w:val="00536A26"/>
    <w:rsid w:val="00536B4C"/>
    <w:rsid w:val="00536C98"/>
    <w:rsid w:val="005371DF"/>
    <w:rsid w:val="00537521"/>
    <w:rsid w:val="0053755D"/>
    <w:rsid w:val="005376D3"/>
    <w:rsid w:val="00537EC3"/>
    <w:rsid w:val="005410DB"/>
    <w:rsid w:val="005410E9"/>
    <w:rsid w:val="00541EE1"/>
    <w:rsid w:val="005422C7"/>
    <w:rsid w:val="0054276F"/>
    <w:rsid w:val="005429B9"/>
    <w:rsid w:val="00542A45"/>
    <w:rsid w:val="00543339"/>
    <w:rsid w:val="005433B4"/>
    <w:rsid w:val="00543627"/>
    <w:rsid w:val="005436C5"/>
    <w:rsid w:val="0054373F"/>
    <w:rsid w:val="005437C2"/>
    <w:rsid w:val="00543E28"/>
    <w:rsid w:val="0054460C"/>
    <w:rsid w:val="00544916"/>
    <w:rsid w:val="00544A74"/>
    <w:rsid w:val="00544FF1"/>
    <w:rsid w:val="00545013"/>
    <w:rsid w:val="00545BC2"/>
    <w:rsid w:val="00545E6C"/>
    <w:rsid w:val="00546625"/>
    <w:rsid w:val="005469A6"/>
    <w:rsid w:val="00546F0F"/>
    <w:rsid w:val="00547A79"/>
    <w:rsid w:val="00547C43"/>
    <w:rsid w:val="00550176"/>
    <w:rsid w:val="005504D3"/>
    <w:rsid w:val="00550504"/>
    <w:rsid w:val="00550549"/>
    <w:rsid w:val="00550751"/>
    <w:rsid w:val="00550BF4"/>
    <w:rsid w:val="00550CD0"/>
    <w:rsid w:val="00551D9A"/>
    <w:rsid w:val="0055280A"/>
    <w:rsid w:val="0055396F"/>
    <w:rsid w:val="00553F33"/>
    <w:rsid w:val="00554654"/>
    <w:rsid w:val="0055649B"/>
    <w:rsid w:val="005566FB"/>
    <w:rsid w:val="0055698B"/>
    <w:rsid w:val="00556B33"/>
    <w:rsid w:val="00556CF0"/>
    <w:rsid w:val="00557059"/>
    <w:rsid w:val="005575CD"/>
    <w:rsid w:val="005578D6"/>
    <w:rsid w:val="00557A9B"/>
    <w:rsid w:val="00557DEA"/>
    <w:rsid w:val="00560508"/>
    <w:rsid w:val="00560E84"/>
    <w:rsid w:val="00561113"/>
    <w:rsid w:val="005613CD"/>
    <w:rsid w:val="005614B1"/>
    <w:rsid w:val="005624FD"/>
    <w:rsid w:val="00562DF6"/>
    <w:rsid w:val="00562E58"/>
    <w:rsid w:val="0056347F"/>
    <w:rsid w:val="00563683"/>
    <w:rsid w:val="00563B26"/>
    <w:rsid w:val="00563E40"/>
    <w:rsid w:val="00563EDD"/>
    <w:rsid w:val="00564010"/>
    <w:rsid w:val="005641E0"/>
    <w:rsid w:val="00564260"/>
    <w:rsid w:val="005645AB"/>
    <w:rsid w:val="0056462B"/>
    <w:rsid w:val="00565590"/>
    <w:rsid w:val="00565D3B"/>
    <w:rsid w:val="0056688F"/>
    <w:rsid w:val="00566D5A"/>
    <w:rsid w:val="00566F24"/>
    <w:rsid w:val="00566F5A"/>
    <w:rsid w:val="005671F2"/>
    <w:rsid w:val="005673B1"/>
    <w:rsid w:val="00567FAC"/>
    <w:rsid w:val="0057041F"/>
    <w:rsid w:val="00570CA9"/>
    <w:rsid w:val="005717A4"/>
    <w:rsid w:val="00571BA7"/>
    <w:rsid w:val="0057211B"/>
    <w:rsid w:val="00572A64"/>
    <w:rsid w:val="00572F67"/>
    <w:rsid w:val="00574126"/>
    <w:rsid w:val="00574DFB"/>
    <w:rsid w:val="005763CE"/>
    <w:rsid w:val="00576533"/>
    <w:rsid w:val="00576A2A"/>
    <w:rsid w:val="00576C2A"/>
    <w:rsid w:val="00576D8E"/>
    <w:rsid w:val="00577050"/>
    <w:rsid w:val="00577700"/>
    <w:rsid w:val="00577A5E"/>
    <w:rsid w:val="00577EB1"/>
    <w:rsid w:val="0058017A"/>
    <w:rsid w:val="0058106B"/>
    <w:rsid w:val="005812D5"/>
    <w:rsid w:val="0058172C"/>
    <w:rsid w:val="00581791"/>
    <w:rsid w:val="00581C22"/>
    <w:rsid w:val="00581F68"/>
    <w:rsid w:val="00582169"/>
    <w:rsid w:val="0058288E"/>
    <w:rsid w:val="00582C51"/>
    <w:rsid w:val="00583DF0"/>
    <w:rsid w:val="00583E05"/>
    <w:rsid w:val="00584096"/>
    <w:rsid w:val="005845DB"/>
    <w:rsid w:val="00584FC8"/>
    <w:rsid w:val="00585AAF"/>
    <w:rsid w:val="00585DEF"/>
    <w:rsid w:val="005861B1"/>
    <w:rsid w:val="0058648F"/>
    <w:rsid w:val="00587214"/>
    <w:rsid w:val="0059070B"/>
    <w:rsid w:val="00590F0E"/>
    <w:rsid w:val="005916A1"/>
    <w:rsid w:val="00591A3A"/>
    <w:rsid w:val="00592635"/>
    <w:rsid w:val="0059281A"/>
    <w:rsid w:val="00592B32"/>
    <w:rsid w:val="00592C72"/>
    <w:rsid w:val="00592DD4"/>
    <w:rsid w:val="005933A8"/>
    <w:rsid w:val="0059347A"/>
    <w:rsid w:val="00593BFD"/>
    <w:rsid w:val="005943F0"/>
    <w:rsid w:val="00596D3D"/>
    <w:rsid w:val="00597493"/>
    <w:rsid w:val="005A00C0"/>
    <w:rsid w:val="005A029E"/>
    <w:rsid w:val="005A081B"/>
    <w:rsid w:val="005A0A7B"/>
    <w:rsid w:val="005A0CC3"/>
    <w:rsid w:val="005A0EB2"/>
    <w:rsid w:val="005A0F2D"/>
    <w:rsid w:val="005A1223"/>
    <w:rsid w:val="005A14B8"/>
    <w:rsid w:val="005A17A9"/>
    <w:rsid w:val="005A24A6"/>
    <w:rsid w:val="005A2F64"/>
    <w:rsid w:val="005A3D5C"/>
    <w:rsid w:val="005A42CE"/>
    <w:rsid w:val="005A4506"/>
    <w:rsid w:val="005A48EE"/>
    <w:rsid w:val="005A4D7A"/>
    <w:rsid w:val="005A4F98"/>
    <w:rsid w:val="005A5BE5"/>
    <w:rsid w:val="005A6812"/>
    <w:rsid w:val="005A7D71"/>
    <w:rsid w:val="005A7E6E"/>
    <w:rsid w:val="005B135C"/>
    <w:rsid w:val="005B14E9"/>
    <w:rsid w:val="005B185B"/>
    <w:rsid w:val="005B1A70"/>
    <w:rsid w:val="005B1EDC"/>
    <w:rsid w:val="005B22E6"/>
    <w:rsid w:val="005B2627"/>
    <w:rsid w:val="005B3803"/>
    <w:rsid w:val="005B3A04"/>
    <w:rsid w:val="005B4281"/>
    <w:rsid w:val="005B4561"/>
    <w:rsid w:val="005B47EF"/>
    <w:rsid w:val="005B5415"/>
    <w:rsid w:val="005B6BBA"/>
    <w:rsid w:val="005B6D17"/>
    <w:rsid w:val="005B7877"/>
    <w:rsid w:val="005B7B74"/>
    <w:rsid w:val="005C01E4"/>
    <w:rsid w:val="005C0285"/>
    <w:rsid w:val="005C116E"/>
    <w:rsid w:val="005C1277"/>
    <w:rsid w:val="005C1D11"/>
    <w:rsid w:val="005C1E62"/>
    <w:rsid w:val="005C251B"/>
    <w:rsid w:val="005C3A16"/>
    <w:rsid w:val="005C4AEB"/>
    <w:rsid w:val="005C4E71"/>
    <w:rsid w:val="005C58EE"/>
    <w:rsid w:val="005C65B3"/>
    <w:rsid w:val="005C6EFC"/>
    <w:rsid w:val="005D1899"/>
    <w:rsid w:val="005D2C1D"/>
    <w:rsid w:val="005D392B"/>
    <w:rsid w:val="005D4B04"/>
    <w:rsid w:val="005D4E21"/>
    <w:rsid w:val="005D50E0"/>
    <w:rsid w:val="005D545B"/>
    <w:rsid w:val="005D593D"/>
    <w:rsid w:val="005D5A2D"/>
    <w:rsid w:val="005D63D8"/>
    <w:rsid w:val="005D72CA"/>
    <w:rsid w:val="005D7382"/>
    <w:rsid w:val="005D7A85"/>
    <w:rsid w:val="005D7B56"/>
    <w:rsid w:val="005E01D1"/>
    <w:rsid w:val="005E0D3F"/>
    <w:rsid w:val="005E0EE9"/>
    <w:rsid w:val="005E1134"/>
    <w:rsid w:val="005E1D4F"/>
    <w:rsid w:val="005E257E"/>
    <w:rsid w:val="005E31EB"/>
    <w:rsid w:val="005E34EF"/>
    <w:rsid w:val="005E3558"/>
    <w:rsid w:val="005E427F"/>
    <w:rsid w:val="005E4541"/>
    <w:rsid w:val="005E461A"/>
    <w:rsid w:val="005E484B"/>
    <w:rsid w:val="005E4981"/>
    <w:rsid w:val="005E557B"/>
    <w:rsid w:val="005F15A4"/>
    <w:rsid w:val="005F16E5"/>
    <w:rsid w:val="005F1B11"/>
    <w:rsid w:val="005F211B"/>
    <w:rsid w:val="005F254D"/>
    <w:rsid w:val="005F3F35"/>
    <w:rsid w:val="005F414B"/>
    <w:rsid w:val="005F43BA"/>
    <w:rsid w:val="005F43DB"/>
    <w:rsid w:val="005F4C16"/>
    <w:rsid w:val="005F4CCE"/>
    <w:rsid w:val="005F4E83"/>
    <w:rsid w:val="005F5391"/>
    <w:rsid w:val="005F5412"/>
    <w:rsid w:val="005F57DD"/>
    <w:rsid w:val="005F5A53"/>
    <w:rsid w:val="005F5B88"/>
    <w:rsid w:val="005F5D7E"/>
    <w:rsid w:val="005F6015"/>
    <w:rsid w:val="005F6042"/>
    <w:rsid w:val="005F60D7"/>
    <w:rsid w:val="005F6E5F"/>
    <w:rsid w:val="005F7A33"/>
    <w:rsid w:val="00600144"/>
    <w:rsid w:val="006002CE"/>
    <w:rsid w:val="0060044C"/>
    <w:rsid w:val="00601245"/>
    <w:rsid w:val="0060172E"/>
    <w:rsid w:val="00602738"/>
    <w:rsid w:val="00602BB9"/>
    <w:rsid w:val="00602D67"/>
    <w:rsid w:val="006031B2"/>
    <w:rsid w:val="00603353"/>
    <w:rsid w:val="00603CF3"/>
    <w:rsid w:val="00604735"/>
    <w:rsid w:val="00604E69"/>
    <w:rsid w:val="00604EDD"/>
    <w:rsid w:val="00605987"/>
    <w:rsid w:val="00605DD4"/>
    <w:rsid w:val="0060602C"/>
    <w:rsid w:val="00606726"/>
    <w:rsid w:val="00606E0F"/>
    <w:rsid w:val="006070B3"/>
    <w:rsid w:val="0060719A"/>
    <w:rsid w:val="006071C9"/>
    <w:rsid w:val="00607784"/>
    <w:rsid w:val="00607CED"/>
    <w:rsid w:val="0061035B"/>
    <w:rsid w:val="00610499"/>
    <w:rsid w:val="0061079A"/>
    <w:rsid w:val="0061083A"/>
    <w:rsid w:val="0061083E"/>
    <w:rsid w:val="00610C61"/>
    <w:rsid w:val="006114A7"/>
    <w:rsid w:val="0061183B"/>
    <w:rsid w:val="00612131"/>
    <w:rsid w:val="00612838"/>
    <w:rsid w:val="00612952"/>
    <w:rsid w:val="00613E7F"/>
    <w:rsid w:val="00614307"/>
    <w:rsid w:val="00614470"/>
    <w:rsid w:val="00614751"/>
    <w:rsid w:val="00614F69"/>
    <w:rsid w:val="006150D1"/>
    <w:rsid w:val="006151CA"/>
    <w:rsid w:val="00615D66"/>
    <w:rsid w:val="0061694F"/>
    <w:rsid w:val="00616B20"/>
    <w:rsid w:val="00616D55"/>
    <w:rsid w:val="00616F6F"/>
    <w:rsid w:val="00617B38"/>
    <w:rsid w:val="00620255"/>
    <w:rsid w:val="0062090E"/>
    <w:rsid w:val="0062145E"/>
    <w:rsid w:val="00621823"/>
    <w:rsid w:val="0062185B"/>
    <w:rsid w:val="0062195B"/>
    <w:rsid w:val="00622807"/>
    <w:rsid w:val="0062297D"/>
    <w:rsid w:val="00622C46"/>
    <w:rsid w:val="00622D2E"/>
    <w:rsid w:val="00622D4E"/>
    <w:rsid w:val="00622D7B"/>
    <w:rsid w:val="00622D90"/>
    <w:rsid w:val="00622F2E"/>
    <w:rsid w:val="00623036"/>
    <w:rsid w:val="00623E6E"/>
    <w:rsid w:val="00624389"/>
    <w:rsid w:val="006243D7"/>
    <w:rsid w:val="00624699"/>
    <w:rsid w:val="006247CA"/>
    <w:rsid w:val="00624A0B"/>
    <w:rsid w:val="00624CB9"/>
    <w:rsid w:val="0062515C"/>
    <w:rsid w:val="00626B5B"/>
    <w:rsid w:val="00626C28"/>
    <w:rsid w:val="00626E4F"/>
    <w:rsid w:val="0062736B"/>
    <w:rsid w:val="00630581"/>
    <w:rsid w:val="006306FB"/>
    <w:rsid w:val="00630921"/>
    <w:rsid w:val="00631B26"/>
    <w:rsid w:val="00631ECE"/>
    <w:rsid w:val="00631F1A"/>
    <w:rsid w:val="00631F33"/>
    <w:rsid w:val="006327EF"/>
    <w:rsid w:val="00632A05"/>
    <w:rsid w:val="00632F5D"/>
    <w:rsid w:val="006332AD"/>
    <w:rsid w:val="006335E0"/>
    <w:rsid w:val="0063411B"/>
    <w:rsid w:val="006341F4"/>
    <w:rsid w:val="006349F7"/>
    <w:rsid w:val="0063503B"/>
    <w:rsid w:val="00635342"/>
    <w:rsid w:val="00635B62"/>
    <w:rsid w:val="00635C21"/>
    <w:rsid w:val="00635CBE"/>
    <w:rsid w:val="00635DB0"/>
    <w:rsid w:val="00635F10"/>
    <w:rsid w:val="006364AA"/>
    <w:rsid w:val="00636C28"/>
    <w:rsid w:val="00636E18"/>
    <w:rsid w:val="00637142"/>
    <w:rsid w:val="00640A02"/>
    <w:rsid w:val="00640C66"/>
    <w:rsid w:val="00641675"/>
    <w:rsid w:val="006421D5"/>
    <w:rsid w:val="0064229B"/>
    <w:rsid w:val="006423E5"/>
    <w:rsid w:val="0064267F"/>
    <w:rsid w:val="00642A8F"/>
    <w:rsid w:val="00642B82"/>
    <w:rsid w:val="00643048"/>
    <w:rsid w:val="0064368D"/>
    <w:rsid w:val="00643D58"/>
    <w:rsid w:val="00644E56"/>
    <w:rsid w:val="00644FFF"/>
    <w:rsid w:val="00645132"/>
    <w:rsid w:val="00645CAE"/>
    <w:rsid w:val="00645D80"/>
    <w:rsid w:val="00645E8D"/>
    <w:rsid w:val="00645F04"/>
    <w:rsid w:val="00646061"/>
    <w:rsid w:val="006460C8"/>
    <w:rsid w:val="006467E3"/>
    <w:rsid w:val="00647576"/>
    <w:rsid w:val="00647635"/>
    <w:rsid w:val="00647F68"/>
    <w:rsid w:val="00650014"/>
    <w:rsid w:val="00650043"/>
    <w:rsid w:val="00650DA9"/>
    <w:rsid w:val="0065101E"/>
    <w:rsid w:val="006516C3"/>
    <w:rsid w:val="00651876"/>
    <w:rsid w:val="00651A6C"/>
    <w:rsid w:val="00651BB9"/>
    <w:rsid w:val="00651CE7"/>
    <w:rsid w:val="00651E56"/>
    <w:rsid w:val="00652A6A"/>
    <w:rsid w:val="00652CF3"/>
    <w:rsid w:val="00653105"/>
    <w:rsid w:val="006534F2"/>
    <w:rsid w:val="00653CDF"/>
    <w:rsid w:val="0065403D"/>
    <w:rsid w:val="00654EBD"/>
    <w:rsid w:val="006552A0"/>
    <w:rsid w:val="00657468"/>
    <w:rsid w:val="00657D4F"/>
    <w:rsid w:val="00660773"/>
    <w:rsid w:val="00661127"/>
    <w:rsid w:val="006614E6"/>
    <w:rsid w:val="006616A2"/>
    <w:rsid w:val="0066223C"/>
    <w:rsid w:val="00662B40"/>
    <w:rsid w:val="0066311D"/>
    <w:rsid w:val="00663576"/>
    <w:rsid w:val="00663918"/>
    <w:rsid w:val="006639E0"/>
    <w:rsid w:val="006645E5"/>
    <w:rsid w:val="00664B74"/>
    <w:rsid w:val="00665894"/>
    <w:rsid w:val="00665CC5"/>
    <w:rsid w:val="00666F4D"/>
    <w:rsid w:val="0066704D"/>
    <w:rsid w:val="006671FD"/>
    <w:rsid w:val="00667419"/>
    <w:rsid w:val="00670486"/>
    <w:rsid w:val="006704DE"/>
    <w:rsid w:val="0067071E"/>
    <w:rsid w:val="0067164F"/>
    <w:rsid w:val="00671A62"/>
    <w:rsid w:val="00671C25"/>
    <w:rsid w:val="00671F51"/>
    <w:rsid w:val="00672245"/>
    <w:rsid w:val="00672440"/>
    <w:rsid w:val="0067254A"/>
    <w:rsid w:val="006733E7"/>
    <w:rsid w:val="00673E40"/>
    <w:rsid w:val="00673FB2"/>
    <w:rsid w:val="006744E3"/>
    <w:rsid w:val="006746AB"/>
    <w:rsid w:val="00674C20"/>
    <w:rsid w:val="00675BBD"/>
    <w:rsid w:val="00675C6B"/>
    <w:rsid w:val="00675DC3"/>
    <w:rsid w:val="0067601F"/>
    <w:rsid w:val="0067699D"/>
    <w:rsid w:val="00676CEF"/>
    <w:rsid w:val="006777E3"/>
    <w:rsid w:val="00677A44"/>
    <w:rsid w:val="00677C03"/>
    <w:rsid w:val="00680064"/>
    <w:rsid w:val="006809DA"/>
    <w:rsid w:val="00680A79"/>
    <w:rsid w:val="00680C34"/>
    <w:rsid w:val="006819C8"/>
    <w:rsid w:val="00681C72"/>
    <w:rsid w:val="00681CB9"/>
    <w:rsid w:val="00681D17"/>
    <w:rsid w:val="00681E17"/>
    <w:rsid w:val="00681EE0"/>
    <w:rsid w:val="00681FC0"/>
    <w:rsid w:val="006822D1"/>
    <w:rsid w:val="00682BB9"/>
    <w:rsid w:val="00682E40"/>
    <w:rsid w:val="00682F90"/>
    <w:rsid w:val="00683A61"/>
    <w:rsid w:val="00683D6E"/>
    <w:rsid w:val="00684916"/>
    <w:rsid w:val="0068494F"/>
    <w:rsid w:val="0068505B"/>
    <w:rsid w:val="0068552D"/>
    <w:rsid w:val="00685F68"/>
    <w:rsid w:val="0068662D"/>
    <w:rsid w:val="0068671B"/>
    <w:rsid w:val="006868BB"/>
    <w:rsid w:val="006871CE"/>
    <w:rsid w:val="006875C3"/>
    <w:rsid w:val="00687C53"/>
    <w:rsid w:val="00690B9D"/>
    <w:rsid w:val="00690EF0"/>
    <w:rsid w:val="00691349"/>
    <w:rsid w:val="006913C3"/>
    <w:rsid w:val="006913FB"/>
    <w:rsid w:val="006927F4"/>
    <w:rsid w:val="006928CA"/>
    <w:rsid w:val="006933D7"/>
    <w:rsid w:val="006934D2"/>
    <w:rsid w:val="006936FF"/>
    <w:rsid w:val="006937A0"/>
    <w:rsid w:val="00694130"/>
    <w:rsid w:val="00694150"/>
    <w:rsid w:val="006943E3"/>
    <w:rsid w:val="00694471"/>
    <w:rsid w:val="00694760"/>
    <w:rsid w:val="006949F5"/>
    <w:rsid w:val="00694B3B"/>
    <w:rsid w:val="00695D7C"/>
    <w:rsid w:val="00696186"/>
    <w:rsid w:val="006964C8"/>
    <w:rsid w:val="006967E9"/>
    <w:rsid w:val="006968EA"/>
    <w:rsid w:val="00697006"/>
    <w:rsid w:val="00697268"/>
    <w:rsid w:val="00697A44"/>
    <w:rsid w:val="006A0292"/>
    <w:rsid w:val="006A0B96"/>
    <w:rsid w:val="006A0CAD"/>
    <w:rsid w:val="006A1AC1"/>
    <w:rsid w:val="006A1EE3"/>
    <w:rsid w:val="006A3472"/>
    <w:rsid w:val="006A3891"/>
    <w:rsid w:val="006A4053"/>
    <w:rsid w:val="006A45BA"/>
    <w:rsid w:val="006A54A5"/>
    <w:rsid w:val="006A570E"/>
    <w:rsid w:val="006A58D2"/>
    <w:rsid w:val="006A7004"/>
    <w:rsid w:val="006A729A"/>
    <w:rsid w:val="006A75AB"/>
    <w:rsid w:val="006A75BA"/>
    <w:rsid w:val="006B037D"/>
    <w:rsid w:val="006B10B9"/>
    <w:rsid w:val="006B2361"/>
    <w:rsid w:val="006B23F4"/>
    <w:rsid w:val="006B2E4F"/>
    <w:rsid w:val="006B3187"/>
    <w:rsid w:val="006B3718"/>
    <w:rsid w:val="006B3D51"/>
    <w:rsid w:val="006B4135"/>
    <w:rsid w:val="006B4787"/>
    <w:rsid w:val="006B48C3"/>
    <w:rsid w:val="006B4BF0"/>
    <w:rsid w:val="006B4C8A"/>
    <w:rsid w:val="006B54FE"/>
    <w:rsid w:val="006B617A"/>
    <w:rsid w:val="006B625E"/>
    <w:rsid w:val="006B76F1"/>
    <w:rsid w:val="006B77B8"/>
    <w:rsid w:val="006B783D"/>
    <w:rsid w:val="006B78BB"/>
    <w:rsid w:val="006C0026"/>
    <w:rsid w:val="006C0304"/>
    <w:rsid w:val="006C0351"/>
    <w:rsid w:val="006C0380"/>
    <w:rsid w:val="006C0D20"/>
    <w:rsid w:val="006C0E68"/>
    <w:rsid w:val="006C0ED5"/>
    <w:rsid w:val="006C12DA"/>
    <w:rsid w:val="006C1451"/>
    <w:rsid w:val="006C2586"/>
    <w:rsid w:val="006C28D2"/>
    <w:rsid w:val="006C28DF"/>
    <w:rsid w:val="006C3577"/>
    <w:rsid w:val="006C3825"/>
    <w:rsid w:val="006C394C"/>
    <w:rsid w:val="006C39C7"/>
    <w:rsid w:val="006C4004"/>
    <w:rsid w:val="006C4401"/>
    <w:rsid w:val="006C496C"/>
    <w:rsid w:val="006C4BA8"/>
    <w:rsid w:val="006C50E7"/>
    <w:rsid w:val="006C7170"/>
    <w:rsid w:val="006C76D4"/>
    <w:rsid w:val="006C7EB3"/>
    <w:rsid w:val="006D0009"/>
    <w:rsid w:val="006D0844"/>
    <w:rsid w:val="006D0C70"/>
    <w:rsid w:val="006D0CC5"/>
    <w:rsid w:val="006D0E61"/>
    <w:rsid w:val="006D12D2"/>
    <w:rsid w:val="006D1BCA"/>
    <w:rsid w:val="006D1CF4"/>
    <w:rsid w:val="006D2114"/>
    <w:rsid w:val="006D253B"/>
    <w:rsid w:val="006D2695"/>
    <w:rsid w:val="006D31E7"/>
    <w:rsid w:val="006D3318"/>
    <w:rsid w:val="006D3331"/>
    <w:rsid w:val="006D341D"/>
    <w:rsid w:val="006D3644"/>
    <w:rsid w:val="006D37B3"/>
    <w:rsid w:val="006D37EA"/>
    <w:rsid w:val="006D3AAD"/>
    <w:rsid w:val="006D3B65"/>
    <w:rsid w:val="006D424B"/>
    <w:rsid w:val="006D4677"/>
    <w:rsid w:val="006D499E"/>
    <w:rsid w:val="006D59A7"/>
    <w:rsid w:val="006D5C28"/>
    <w:rsid w:val="006D66ED"/>
    <w:rsid w:val="006D6BBF"/>
    <w:rsid w:val="006D734D"/>
    <w:rsid w:val="006D748A"/>
    <w:rsid w:val="006D77EF"/>
    <w:rsid w:val="006D7A3B"/>
    <w:rsid w:val="006D7F43"/>
    <w:rsid w:val="006E00BA"/>
    <w:rsid w:val="006E095B"/>
    <w:rsid w:val="006E0B6D"/>
    <w:rsid w:val="006E1848"/>
    <w:rsid w:val="006E204D"/>
    <w:rsid w:val="006E2A38"/>
    <w:rsid w:val="006E2AB3"/>
    <w:rsid w:val="006E2D31"/>
    <w:rsid w:val="006E4112"/>
    <w:rsid w:val="006E4692"/>
    <w:rsid w:val="006E4F88"/>
    <w:rsid w:val="006E5382"/>
    <w:rsid w:val="006E5635"/>
    <w:rsid w:val="006E5787"/>
    <w:rsid w:val="006E6317"/>
    <w:rsid w:val="006E653F"/>
    <w:rsid w:val="006E67F8"/>
    <w:rsid w:val="006E6879"/>
    <w:rsid w:val="006E68E8"/>
    <w:rsid w:val="006E69E5"/>
    <w:rsid w:val="006E6CD9"/>
    <w:rsid w:val="006E6F7D"/>
    <w:rsid w:val="006E7698"/>
    <w:rsid w:val="006E7C24"/>
    <w:rsid w:val="006E7E3B"/>
    <w:rsid w:val="006F0C60"/>
    <w:rsid w:val="006F13FC"/>
    <w:rsid w:val="006F14F4"/>
    <w:rsid w:val="006F1B72"/>
    <w:rsid w:val="006F2191"/>
    <w:rsid w:val="006F231B"/>
    <w:rsid w:val="006F232F"/>
    <w:rsid w:val="006F2822"/>
    <w:rsid w:val="006F2B27"/>
    <w:rsid w:val="006F44BE"/>
    <w:rsid w:val="006F483C"/>
    <w:rsid w:val="006F4875"/>
    <w:rsid w:val="006F4C37"/>
    <w:rsid w:val="006F4F54"/>
    <w:rsid w:val="006F5295"/>
    <w:rsid w:val="006F5CF7"/>
    <w:rsid w:val="006F5E8E"/>
    <w:rsid w:val="006F6649"/>
    <w:rsid w:val="006F6A11"/>
    <w:rsid w:val="006F6DE5"/>
    <w:rsid w:val="00700207"/>
    <w:rsid w:val="00700390"/>
    <w:rsid w:val="00700DE0"/>
    <w:rsid w:val="0070158D"/>
    <w:rsid w:val="007019D5"/>
    <w:rsid w:val="00701AC0"/>
    <w:rsid w:val="00701B52"/>
    <w:rsid w:val="00702069"/>
    <w:rsid w:val="00702083"/>
    <w:rsid w:val="00702372"/>
    <w:rsid w:val="0070263C"/>
    <w:rsid w:val="00702DCE"/>
    <w:rsid w:val="00702DF7"/>
    <w:rsid w:val="00703C11"/>
    <w:rsid w:val="00703CF8"/>
    <w:rsid w:val="00703D42"/>
    <w:rsid w:val="0070481D"/>
    <w:rsid w:val="00704E6C"/>
    <w:rsid w:val="00705013"/>
    <w:rsid w:val="007050A5"/>
    <w:rsid w:val="0070573A"/>
    <w:rsid w:val="00705751"/>
    <w:rsid w:val="007059D3"/>
    <w:rsid w:val="00705B33"/>
    <w:rsid w:val="00705E16"/>
    <w:rsid w:val="0070660B"/>
    <w:rsid w:val="00706725"/>
    <w:rsid w:val="00706A90"/>
    <w:rsid w:val="00706C28"/>
    <w:rsid w:val="007071ED"/>
    <w:rsid w:val="00707336"/>
    <w:rsid w:val="00707343"/>
    <w:rsid w:val="00707BC4"/>
    <w:rsid w:val="007104C7"/>
    <w:rsid w:val="00710E4C"/>
    <w:rsid w:val="0071136C"/>
    <w:rsid w:val="00711530"/>
    <w:rsid w:val="00711A88"/>
    <w:rsid w:val="00711A8C"/>
    <w:rsid w:val="00711B8C"/>
    <w:rsid w:val="00711F20"/>
    <w:rsid w:val="0071244C"/>
    <w:rsid w:val="00712803"/>
    <w:rsid w:val="00712A11"/>
    <w:rsid w:val="00712D17"/>
    <w:rsid w:val="0071379D"/>
    <w:rsid w:val="00714545"/>
    <w:rsid w:val="007146C6"/>
    <w:rsid w:val="00714E98"/>
    <w:rsid w:val="00715186"/>
    <w:rsid w:val="00715A6A"/>
    <w:rsid w:val="00716CF7"/>
    <w:rsid w:val="00716F38"/>
    <w:rsid w:val="0071716D"/>
    <w:rsid w:val="00717AE7"/>
    <w:rsid w:val="007203CE"/>
    <w:rsid w:val="0072044C"/>
    <w:rsid w:val="00720E03"/>
    <w:rsid w:val="0072189B"/>
    <w:rsid w:val="00722048"/>
    <w:rsid w:val="007221F3"/>
    <w:rsid w:val="00722450"/>
    <w:rsid w:val="00722558"/>
    <w:rsid w:val="007228CC"/>
    <w:rsid w:val="00722AAD"/>
    <w:rsid w:val="00722F9F"/>
    <w:rsid w:val="007232E9"/>
    <w:rsid w:val="00723C0C"/>
    <w:rsid w:val="00723D77"/>
    <w:rsid w:val="00724095"/>
    <w:rsid w:val="007246CA"/>
    <w:rsid w:val="0072489E"/>
    <w:rsid w:val="007248F0"/>
    <w:rsid w:val="0072513C"/>
    <w:rsid w:val="007253DE"/>
    <w:rsid w:val="00725AC6"/>
    <w:rsid w:val="00725FC2"/>
    <w:rsid w:val="007269FA"/>
    <w:rsid w:val="00727BDF"/>
    <w:rsid w:val="00727D27"/>
    <w:rsid w:val="00730382"/>
    <w:rsid w:val="00732647"/>
    <w:rsid w:val="00733558"/>
    <w:rsid w:val="007340D7"/>
    <w:rsid w:val="0073476F"/>
    <w:rsid w:val="00735324"/>
    <w:rsid w:val="007354C1"/>
    <w:rsid w:val="007363D7"/>
    <w:rsid w:val="00736463"/>
    <w:rsid w:val="00736668"/>
    <w:rsid w:val="007367AB"/>
    <w:rsid w:val="007367CC"/>
    <w:rsid w:val="00736B69"/>
    <w:rsid w:val="00736CEA"/>
    <w:rsid w:val="00737156"/>
    <w:rsid w:val="00737580"/>
    <w:rsid w:val="00737D94"/>
    <w:rsid w:val="007403E9"/>
    <w:rsid w:val="00740C74"/>
    <w:rsid w:val="007417EB"/>
    <w:rsid w:val="00741CF5"/>
    <w:rsid w:val="00742D2D"/>
    <w:rsid w:val="00743099"/>
    <w:rsid w:val="007432B2"/>
    <w:rsid w:val="00743316"/>
    <w:rsid w:val="007436E5"/>
    <w:rsid w:val="00743AFC"/>
    <w:rsid w:val="007453BD"/>
    <w:rsid w:val="00745CCE"/>
    <w:rsid w:val="00746949"/>
    <w:rsid w:val="00746BBD"/>
    <w:rsid w:val="00747939"/>
    <w:rsid w:val="0074793F"/>
    <w:rsid w:val="007504F3"/>
    <w:rsid w:val="00750B9E"/>
    <w:rsid w:val="007521F4"/>
    <w:rsid w:val="0075264E"/>
    <w:rsid w:val="0075282C"/>
    <w:rsid w:val="00752862"/>
    <w:rsid w:val="00752D9F"/>
    <w:rsid w:val="00752EB6"/>
    <w:rsid w:val="00753813"/>
    <w:rsid w:val="00753DB7"/>
    <w:rsid w:val="00754596"/>
    <w:rsid w:val="007548F2"/>
    <w:rsid w:val="00754948"/>
    <w:rsid w:val="00754E73"/>
    <w:rsid w:val="00755E65"/>
    <w:rsid w:val="00755F94"/>
    <w:rsid w:val="0075634A"/>
    <w:rsid w:val="0075657F"/>
    <w:rsid w:val="00756AF4"/>
    <w:rsid w:val="00757547"/>
    <w:rsid w:val="0076026A"/>
    <w:rsid w:val="00760283"/>
    <w:rsid w:val="00760291"/>
    <w:rsid w:val="0076156F"/>
    <w:rsid w:val="0076205F"/>
    <w:rsid w:val="00762324"/>
    <w:rsid w:val="0076268D"/>
    <w:rsid w:val="007639FE"/>
    <w:rsid w:val="00763A0B"/>
    <w:rsid w:val="00763D06"/>
    <w:rsid w:val="00763F03"/>
    <w:rsid w:val="007640FA"/>
    <w:rsid w:val="00764998"/>
    <w:rsid w:val="00765190"/>
    <w:rsid w:val="00765387"/>
    <w:rsid w:val="00765E62"/>
    <w:rsid w:val="0076625D"/>
    <w:rsid w:val="00766879"/>
    <w:rsid w:val="00766E41"/>
    <w:rsid w:val="00767661"/>
    <w:rsid w:val="00767F2D"/>
    <w:rsid w:val="00770D06"/>
    <w:rsid w:val="007710DA"/>
    <w:rsid w:val="0077221F"/>
    <w:rsid w:val="007724D7"/>
    <w:rsid w:val="00772677"/>
    <w:rsid w:val="00772FFF"/>
    <w:rsid w:val="007730E7"/>
    <w:rsid w:val="007733FC"/>
    <w:rsid w:val="00773F64"/>
    <w:rsid w:val="0077421E"/>
    <w:rsid w:val="007745DC"/>
    <w:rsid w:val="0077470F"/>
    <w:rsid w:val="00775596"/>
    <w:rsid w:val="00775872"/>
    <w:rsid w:val="00775931"/>
    <w:rsid w:val="00775EB1"/>
    <w:rsid w:val="00776161"/>
    <w:rsid w:val="007764E9"/>
    <w:rsid w:val="00776B01"/>
    <w:rsid w:val="00776CB9"/>
    <w:rsid w:val="0077711E"/>
    <w:rsid w:val="007776FE"/>
    <w:rsid w:val="00777BF6"/>
    <w:rsid w:val="00780083"/>
    <w:rsid w:val="0078040B"/>
    <w:rsid w:val="00780543"/>
    <w:rsid w:val="007807BC"/>
    <w:rsid w:val="0078085C"/>
    <w:rsid w:val="00780CA6"/>
    <w:rsid w:val="00781025"/>
    <w:rsid w:val="00781447"/>
    <w:rsid w:val="0078224A"/>
    <w:rsid w:val="0078225F"/>
    <w:rsid w:val="00782989"/>
    <w:rsid w:val="007850DA"/>
    <w:rsid w:val="007859D3"/>
    <w:rsid w:val="00785C38"/>
    <w:rsid w:val="00785DD7"/>
    <w:rsid w:val="00786FC2"/>
    <w:rsid w:val="007871F0"/>
    <w:rsid w:val="00787919"/>
    <w:rsid w:val="00787E7F"/>
    <w:rsid w:val="00790178"/>
    <w:rsid w:val="0079025D"/>
    <w:rsid w:val="00790612"/>
    <w:rsid w:val="0079107A"/>
    <w:rsid w:val="00791849"/>
    <w:rsid w:val="007918CD"/>
    <w:rsid w:val="00791BB7"/>
    <w:rsid w:val="00791BC9"/>
    <w:rsid w:val="00791C06"/>
    <w:rsid w:val="00791FCC"/>
    <w:rsid w:val="00792687"/>
    <w:rsid w:val="0079276B"/>
    <w:rsid w:val="00792BAC"/>
    <w:rsid w:val="00792DC3"/>
    <w:rsid w:val="00793D48"/>
    <w:rsid w:val="00793D92"/>
    <w:rsid w:val="00794339"/>
    <w:rsid w:val="007945E8"/>
    <w:rsid w:val="007946CB"/>
    <w:rsid w:val="0079471B"/>
    <w:rsid w:val="0079518C"/>
    <w:rsid w:val="00795343"/>
    <w:rsid w:val="007957E8"/>
    <w:rsid w:val="00795AAA"/>
    <w:rsid w:val="00795CF7"/>
    <w:rsid w:val="00795D97"/>
    <w:rsid w:val="00795E45"/>
    <w:rsid w:val="00796036"/>
    <w:rsid w:val="00796085"/>
    <w:rsid w:val="007961A0"/>
    <w:rsid w:val="00796335"/>
    <w:rsid w:val="00796A6C"/>
    <w:rsid w:val="00796B6C"/>
    <w:rsid w:val="007977C9"/>
    <w:rsid w:val="007A0434"/>
    <w:rsid w:val="007A083F"/>
    <w:rsid w:val="007A1405"/>
    <w:rsid w:val="007A2DF8"/>
    <w:rsid w:val="007A3048"/>
    <w:rsid w:val="007A316E"/>
    <w:rsid w:val="007A37F7"/>
    <w:rsid w:val="007A3B66"/>
    <w:rsid w:val="007A426F"/>
    <w:rsid w:val="007A49DD"/>
    <w:rsid w:val="007A4C35"/>
    <w:rsid w:val="007A4DCA"/>
    <w:rsid w:val="007A5A77"/>
    <w:rsid w:val="007A5C5B"/>
    <w:rsid w:val="007A5DB1"/>
    <w:rsid w:val="007A6812"/>
    <w:rsid w:val="007A6ECE"/>
    <w:rsid w:val="007A71EE"/>
    <w:rsid w:val="007A7401"/>
    <w:rsid w:val="007A7529"/>
    <w:rsid w:val="007A7713"/>
    <w:rsid w:val="007A778D"/>
    <w:rsid w:val="007A7F4C"/>
    <w:rsid w:val="007B03D6"/>
    <w:rsid w:val="007B047B"/>
    <w:rsid w:val="007B0BF5"/>
    <w:rsid w:val="007B1240"/>
    <w:rsid w:val="007B1477"/>
    <w:rsid w:val="007B1D9C"/>
    <w:rsid w:val="007B22ED"/>
    <w:rsid w:val="007B2308"/>
    <w:rsid w:val="007B273C"/>
    <w:rsid w:val="007B2C2E"/>
    <w:rsid w:val="007B2F68"/>
    <w:rsid w:val="007B3789"/>
    <w:rsid w:val="007B38F3"/>
    <w:rsid w:val="007B3F20"/>
    <w:rsid w:val="007B440D"/>
    <w:rsid w:val="007B49CB"/>
    <w:rsid w:val="007B651D"/>
    <w:rsid w:val="007B654A"/>
    <w:rsid w:val="007B7135"/>
    <w:rsid w:val="007B76A2"/>
    <w:rsid w:val="007B7D36"/>
    <w:rsid w:val="007B7F5E"/>
    <w:rsid w:val="007C0760"/>
    <w:rsid w:val="007C0A7A"/>
    <w:rsid w:val="007C1B5E"/>
    <w:rsid w:val="007C1CDF"/>
    <w:rsid w:val="007C2C6F"/>
    <w:rsid w:val="007C2DF8"/>
    <w:rsid w:val="007C36E8"/>
    <w:rsid w:val="007C3AE4"/>
    <w:rsid w:val="007C3FD6"/>
    <w:rsid w:val="007C4622"/>
    <w:rsid w:val="007C4770"/>
    <w:rsid w:val="007C490B"/>
    <w:rsid w:val="007C4C67"/>
    <w:rsid w:val="007C54A2"/>
    <w:rsid w:val="007C5651"/>
    <w:rsid w:val="007C56F9"/>
    <w:rsid w:val="007C5767"/>
    <w:rsid w:val="007C5FE8"/>
    <w:rsid w:val="007C6B3E"/>
    <w:rsid w:val="007C7FB1"/>
    <w:rsid w:val="007C7FB5"/>
    <w:rsid w:val="007D0832"/>
    <w:rsid w:val="007D0A81"/>
    <w:rsid w:val="007D12A6"/>
    <w:rsid w:val="007D17DD"/>
    <w:rsid w:val="007D1D53"/>
    <w:rsid w:val="007D2888"/>
    <w:rsid w:val="007D2A76"/>
    <w:rsid w:val="007D57AB"/>
    <w:rsid w:val="007D5989"/>
    <w:rsid w:val="007D6221"/>
    <w:rsid w:val="007D65C4"/>
    <w:rsid w:val="007D6731"/>
    <w:rsid w:val="007D6E87"/>
    <w:rsid w:val="007D769F"/>
    <w:rsid w:val="007D7833"/>
    <w:rsid w:val="007D79C4"/>
    <w:rsid w:val="007D7EF7"/>
    <w:rsid w:val="007E0108"/>
    <w:rsid w:val="007E01C8"/>
    <w:rsid w:val="007E0614"/>
    <w:rsid w:val="007E1679"/>
    <w:rsid w:val="007E199A"/>
    <w:rsid w:val="007E1B2E"/>
    <w:rsid w:val="007E22C9"/>
    <w:rsid w:val="007E3653"/>
    <w:rsid w:val="007E3FEA"/>
    <w:rsid w:val="007E48CF"/>
    <w:rsid w:val="007E4B29"/>
    <w:rsid w:val="007E4E10"/>
    <w:rsid w:val="007E4F0E"/>
    <w:rsid w:val="007E51AD"/>
    <w:rsid w:val="007E5507"/>
    <w:rsid w:val="007E5EA0"/>
    <w:rsid w:val="007E64DC"/>
    <w:rsid w:val="007E659C"/>
    <w:rsid w:val="007E662D"/>
    <w:rsid w:val="007E6B83"/>
    <w:rsid w:val="007E7471"/>
    <w:rsid w:val="007F069B"/>
    <w:rsid w:val="007F0880"/>
    <w:rsid w:val="007F093C"/>
    <w:rsid w:val="007F0D38"/>
    <w:rsid w:val="007F1ABE"/>
    <w:rsid w:val="007F2028"/>
    <w:rsid w:val="007F2068"/>
    <w:rsid w:val="007F2E4F"/>
    <w:rsid w:val="007F394D"/>
    <w:rsid w:val="007F3F98"/>
    <w:rsid w:val="007F42B1"/>
    <w:rsid w:val="007F4B05"/>
    <w:rsid w:val="007F4CDB"/>
    <w:rsid w:val="007F4FB0"/>
    <w:rsid w:val="007F55D6"/>
    <w:rsid w:val="007F5BE3"/>
    <w:rsid w:val="007F664D"/>
    <w:rsid w:val="007F699F"/>
    <w:rsid w:val="007F6FCC"/>
    <w:rsid w:val="007F707F"/>
    <w:rsid w:val="007F70E9"/>
    <w:rsid w:val="007F723B"/>
    <w:rsid w:val="007F7853"/>
    <w:rsid w:val="007F7C21"/>
    <w:rsid w:val="0080073E"/>
    <w:rsid w:val="008013A0"/>
    <w:rsid w:val="00801FE5"/>
    <w:rsid w:val="0080284F"/>
    <w:rsid w:val="00802B15"/>
    <w:rsid w:val="00804119"/>
    <w:rsid w:val="00804474"/>
    <w:rsid w:val="008056FF"/>
    <w:rsid w:val="00806114"/>
    <w:rsid w:val="0080635C"/>
    <w:rsid w:val="00806630"/>
    <w:rsid w:val="0080699E"/>
    <w:rsid w:val="00806A1A"/>
    <w:rsid w:val="00807128"/>
    <w:rsid w:val="0080713B"/>
    <w:rsid w:val="00807D70"/>
    <w:rsid w:val="00807DA3"/>
    <w:rsid w:val="00810484"/>
    <w:rsid w:val="00810578"/>
    <w:rsid w:val="00811A31"/>
    <w:rsid w:val="0081225F"/>
    <w:rsid w:val="0081302C"/>
    <w:rsid w:val="00813772"/>
    <w:rsid w:val="00813EDC"/>
    <w:rsid w:val="00814346"/>
    <w:rsid w:val="008143CC"/>
    <w:rsid w:val="0081444E"/>
    <w:rsid w:val="00814529"/>
    <w:rsid w:val="00814B7F"/>
    <w:rsid w:val="00814F8C"/>
    <w:rsid w:val="0081502F"/>
    <w:rsid w:val="008157C3"/>
    <w:rsid w:val="00816218"/>
    <w:rsid w:val="00816F72"/>
    <w:rsid w:val="00816FEF"/>
    <w:rsid w:val="008172CD"/>
    <w:rsid w:val="008172DD"/>
    <w:rsid w:val="008203D5"/>
    <w:rsid w:val="0082069F"/>
    <w:rsid w:val="0082140E"/>
    <w:rsid w:val="008216E2"/>
    <w:rsid w:val="00821A33"/>
    <w:rsid w:val="00821C82"/>
    <w:rsid w:val="00821D8B"/>
    <w:rsid w:val="00821E10"/>
    <w:rsid w:val="00822070"/>
    <w:rsid w:val="00822A7D"/>
    <w:rsid w:val="00822ACE"/>
    <w:rsid w:val="00823135"/>
    <w:rsid w:val="00824768"/>
    <w:rsid w:val="00824C04"/>
    <w:rsid w:val="00824CF4"/>
    <w:rsid w:val="00825080"/>
    <w:rsid w:val="00825348"/>
    <w:rsid w:val="008254BE"/>
    <w:rsid w:val="00825D98"/>
    <w:rsid w:val="008264DF"/>
    <w:rsid w:val="00826C39"/>
    <w:rsid w:val="00827B49"/>
    <w:rsid w:val="00827D73"/>
    <w:rsid w:val="00827DC6"/>
    <w:rsid w:val="00830255"/>
    <w:rsid w:val="008317E9"/>
    <w:rsid w:val="008317F7"/>
    <w:rsid w:val="00831D1A"/>
    <w:rsid w:val="0083210E"/>
    <w:rsid w:val="00832E5F"/>
    <w:rsid w:val="00832EA1"/>
    <w:rsid w:val="00833763"/>
    <w:rsid w:val="0083391C"/>
    <w:rsid w:val="00833971"/>
    <w:rsid w:val="0083406F"/>
    <w:rsid w:val="00834371"/>
    <w:rsid w:val="008346C0"/>
    <w:rsid w:val="00834E51"/>
    <w:rsid w:val="00835DA4"/>
    <w:rsid w:val="00836EB5"/>
    <w:rsid w:val="008376A4"/>
    <w:rsid w:val="00837EB9"/>
    <w:rsid w:val="0084035B"/>
    <w:rsid w:val="008407FD"/>
    <w:rsid w:val="00840EBD"/>
    <w:rsid w:val="00841DDE"/>
    <w:rsid w:val="00842366"/>
    <w:rsid w:val="0084256F"/>
    <w:rsid w:val="008429C7"/>
    <w:rsid w:val="00842F2E"/>
    <w:rsid w:val="0084300E"/>
    <w:rsid w:val="008430C6"/>
    <w:rsid w:val="008430D3"/>
    <w:rsid w:val="008438A5"/>
    <w:rsid w:val="00843E2C"/>
    <w:rsid w:val="008444D9"/>
    <w:rsid w:val="008447E2"/>
    <w:rsid w:val="00845614"/>
    <w:rsid w:val="00845BCB"/>
    <w:rsid w:val="0084639A"/>
    <w:rsid w:val="00846579"/>
    <w:rsid w:val="00846781"/>
    <w:rsid w:val="0084726C"/>
    <w:rsid w:val="008472A6"/>
    <w:rsid w:val="008472BD"/>
    <w:rsid w:val="00847487"/>
    <w:rsid w:val="00847856"/>
    <w:rsid w:val="00847952"/>
    <w:rsid w:val="008479E9"/>
    <w:rsid w:val="00847B6D"/>
    <w:rsid w:val="00847E13"/>
    <w:rsid w:val="00847E1E"/>
    <w:rsid w:val="00850506"/>
    <w:rsid w:val="008506D5"/>
    <w:rsid w:val="00850A2C"/>
    <w:rsid w:val="00850E03"/>
    <w:rsid w:val="00850EBC"/>
    <w:rsid w:val="00850FAC"/>
    <w:rsid w:val="00850FFD"/>
    <w:rsid w:val="00851405"/>
    <w:rsid w:val="00851B15"/>
    <w:rsid w:val="00851F7C"/>
    <w:rsid w:val="0085227A"/>
    <w:rsid w:val="008526D4"/>
    <w:rsid w:val="00852815"/>
    <w:rsid w:val="00852C51"/>
    <w:rsid w:val="00852DC6"/>
    <w:rsid w:val="008535D7"/>
    <w:rsid w:val="00854248"/>
    <w:rsid w:val="00854B34"/>
    <w:rsid w:val="008557A1"/>
    <w:rsid w:val="00856967"/>
    <w:rsid w:val="00857C22"/>
    <w:rsid w:val="00860048"/>
    <w:rsid w:val="00860168"/>
    <w:rsid w:val="00860249"/>
    <w:rsid w:val="008602B0"/>
    <w:rsid w:val="0086070E"/>
    <w:rsid w:val="00860772"/>
    <w:rsid w:val="00860D3E"/>
    <w:rsid w:val="00861AB8"/>
    <w:rsid w:val="00862982"/>
    <w:rsid w:val="0086373B"/>
    <w:rsid w:val="00863D3D"/>
    <w:rsid w:val="008644B4"/>
    <w:rsid w:val="0086493C"/>
    <w:rsid w:val="00864D75"/>
    <w:rsid w:val="00864E24"/>
    <w:rsid w:val="00865994"/>
    <w:rsid w:val="00865B7D"/>
    <w:rsid w:val="00865E34"/>
    <w:rsid w:val="008662A3"/>
    <w:rsid w:val="0086660B"/>
    <w:rsid w:val="00866701"/>
    <w:rsid w:val="00867564"/>
    <w:rsid w:val="0086767F"/>
    <w:rsid w:val="00867CCC"/>
    <w:rsid w:val="00867FC1"/>
    <w:rsid w:val="00870046"/>
    <w:rsid w:val="0087029A"/>
    <w:rsid w:val="00870500"/>
    <w:rsid w:val="00870505"/>
    <w:rsid w:val="00870A07"/>
    <w:rsid w:val="00870B05"/>
    <w:rsid w:val="00870B33"/>
    <w:rsid w:val="0087122F"/>
    <w:rsid w:val="008720AB"/>
    <w:rsid w:val="00872D79"/>
    <w:rsid w:val="00872F0C"/>
    <w:rsid w:val="0087339D"/>
    <w:rsid w:val="0087380D"/>
    <w:rsid w:val="00873AEB"/>
    <w:rsid w:val="00873ED9"/>
    <w:rsid w:val="00873FAD"/>
    <w:rsid w:val="0087468A"/>
    <w:rsid w:val="00874CB5"/>
    <w:rsid w:val="0087576A"/>
    <w:rsid w:val="008757D1"/>
    <w:rsid w:val="00875F2B"/>
    <w:rsid w:val="00876587"/>
    <w:rsid w:val="008769E0"/>
    <w:rsid w:val="0087703A"/>
    <w:rsid w:val="008771DE"/>
    <w:rsid w:val="008771F8"/>
    <w:rsid w:val="008772BC"/>
    <w:rsid w:val="0087783F"/>
    <w:rsid w:val="0088066E"/>
    <w:rsid w:val="00880BA0"/>
    <w:rsid w:val="00880E72"/>
    <w:rsid w:val="00880F52"/>
    <w:rsid w:val="0088147E"/>
    <w:rsid w:val="00881642"/>
    <w:rsid w:val="008819A4"/>
    <w:rsid w:val="00881BBC"/>
    <w:rsid w:val="00881BDB"/>
    <w:rsid w:val="0088230E"/>
    <w:rsid w:val="00882557"/>
    <w:rsid w:val="00882FA3"/>
    <w:rsid w:val="008834CD"/>
    <w:rsid w:val="00883866"/>
    <w:rsid w:val="00883D61"/>
    <w:rsid w:val="0088439E"/>
    <w:rsid w:val="0088441B"/>
    <w:rsid w:val="008857A0"/>
    <w:rsid w:val="0088597C"/>
    <w:rsid w:val="00886238"/>
    <w:rsid w:val="00886B41"/>
    <w:rsid w:val="00887302"/>
    <w:rsid w:val="0088737D"/>
    <w:rsid w:val="008875FD"/>
    <w:rsid w:val="00887DCB"/>
    <w:rsid w:val="008901EE"/>
    <w:rsid w:val="008907AE"/>
    <w:rsid w:val="008909AC"/>
    <w:rsid w:val="00890D13"/>
    <w:rsid w:val="00890D7C"/>
    <w:rsid w:val="00891210"/>
    <w:rsid w:val="008921B6"/>
    <w:rsid w:val="00892AAA"/>
    <w:rsid w:val="00892C68"/>
    <w:rsid w:val="00892FC5"/>
    <w:rsid w:val="00893D44"/>
    <w:rsid w:val="008945E6"/>
    <w:rsid w:val="00894CE3"/>
    <w:rsid w:val="00895789"/>
    <w:rsid w:val="00895A93"/>
    <w:rsid w:val="0089687F"/>
    <w:rsid w:val="008978E7"/>
    <w:rsid w:val="00897E25"/>
    <w:rsid w:val="008A0537"/>
    <w:rsid w:val="008A0EE6"/>
    <w:rsid w:val="008A1376"/>
    <w:rsid w:val="008A1A53"/>
    <w:rsid w:val="008A22A4"/>
    <w:rsid w:val="008A2922"/>
    <w:rsid w:val="008A29D7"/>
    <w:rsid w:val="008A3498"/>
    <w:rsid w:val="008A3610"/>
    <w:rsid w:val="008A4DC2"/>
    <w:rsid w:val="008A585A"/>
    <w:rsid w:val="008A5D2A"/>
    <w:rsid w:val="008A5DB4"/>
    <w:rsid w:val="008A5DD4"/>
    <w:rsid w:val="008A62B6"/>
    <w:rsid w:val="008A6314"/>
    <w:rsid w:val="008A6C23"/>
    <w:rsid w:val="008A6D8F"/>
    <w:rsid w:val="008A6DF2"/>
    <w:rsid w:val="008A7D52"/>
    <w:rsid w:val="008B0541"/>
    <w:rsid w:val="008B1431"/>
    <w:rsid w:val="008B1513"/>
    <w:rsid w:val="008B1B98"/>
    <w:rsid w:val="008B1F81"/>
    <w:rsid w:val="008B1FB2"/>
    <w:rsid w:val="008B21BB"/>
    <w:rsid w:val="008B234A"/>
    <w:rsid w:val="008B237B"/>
    <w:rsid w:val="008B2A14"/>
    <w:rsid w:val="008B2D48"/>
    <w:rsid w:val="008B3212"/>
    <w:rsid w:val="008B3B5F"/>
    <w:rsid w:val="008B3C3A"/>
    <w:rsid w:val="008B3F75"/>
    <w:rsid w:val="008B5909"/>
    <w:rsid w:val="008B59FF"/>
    <w:rsid w:val="008B6A12"/>
    <w:rsid w:val="008B7190"/>
    <w:rsid w:val="008B73F6"/>
    <w:rsid w:val="008B7688"/>
    <w:rsid w:val="008B77D5"/>
    <w:rsid w:val="008B7993"/>
    <w:rsid w:val="008B7B85"/>
    <w:rsid w:val="008B7F70"/>
    <w:rsid w:val="008C040F"/>
    <w:rsid w:val="008C063C"/>
    <w:rsid w:val="008C0B60"/>
    <w:rsid w:val="008C105D"/>
    <w:rsid w:val="008C14DE"/>
    <w:rsid w:val="008C19E4"/>
    <w:rsid w:val="008C2638"/>
    <w:rsid w:val="008C296B"/>
    <w:rsid w:val="008C3CA3"/>
    <w:rsid w:val="008C454A"/>
    <w:rsid w:val="008C4679"/>
    <w:rsid w:val="008C4E73"/>
    <w:rsid w:val="008C4EA3"/>
    <w:rsid w:val="008C500E"/>
    <w:rsid w:val="008C525A"/>
    <w:rsid w:val="008C55DF"/>
    <w:rsid w:val="008C57B7"/>
    <w:rsid w:val="008C5966"/>
    <w:rsid w:val="008C6022"/>
    <w:rsid w:val="008C70AA"/>
    <w:rsid w:val="008C75DA"/>
    <w:rsid w:val="008C7D00"/>
    <w:rsid w:val="008D0228"/>
    <w:rsid w:val="008D18AA"/>
    <w:rsid w:val="008D1BAA"/>
    <w:rsid w:val="008D1FFD"/>
    <w:rsid w:val="008D2A70"/>
    <w:rsid w:val="008D2EB0"/>
    <w:rsid w:val="008D3223"/>
    <w:rsid w:val="008D3444"/>
    <w:rsid w:val="008D3F21"/>
    <w:rsid w:val="008D43E0"/>
    <w:rsid w:val="008D455B"/>
    <w:rsid w:val="008D4660"/>
    <w:rsid w:val="008D46B4"/>
    <w:rsid w:val="008D4732"/>
    <w:rsid w:val="008D4C2B"/>
    <w:rsid w:val="008D5C33"/>
    <w:rsid w:val="008D5E90"/>
    <w:rsid w:val="008D5E94"/>
    <w:rsid w:val="008D7367"/>
    <w:rsid w:val="008D75E2"/>
    <w:rsid w:val="008D79D4"/>
    <w:rsid w:val="008E083F"/>
    <w:rsid w:val="008E0DFD"/>
    <w:rsid w:val="008E0EF3"/>
    <w:rsid w:val="008E112F"/>
    <w:rsid w:val="008E169C"/>
    <w:rsid w:val="008E196E"/>
    <w:rsid w:val="008E1B82"/>
    <w:rsid w:val="008E1DB1"/>
    <w:rsid w:val="008E1EF3"/>
    <w:rsid w:val="008E1F10"/>
    <w:rsid w:val="008E202B"/>
    <w:rsid w:val="008E2137"/>
    <w:rsid w:val="008E21DC"/>
    <w:rsid w:val="008E272D"/>
    <w:rsid w:val="008E27C6"/>
    <w:rsid w:val="008E2E44"/>
    <w:rsid w:val="008E3B15"/>
    <w:rsid w:val="008E3BFA"/>
    <w:rsid w:val="008E4025"/>
    <w:rsid w:val="008E439E"/>
    <w:rsid w:val="008E457F"/>
    <w:rsid w:val="008E4CC7"/>
    <w:rsid w:val="008E5816"/>
    <w:rsid w:val="008E5E05"/>
    <w:rsid w:val="008E6066"/>
    <w:rsid w:val="008E6555"/>
    <w:rsid w:val="008E65AC"/>
    <w:rsid w:val="008E6BBC"/>
    <w:rsid w:val="008E6BE7"/>
    <w:rsid w:val="008E6D5E"/>
    <w:rsid w:val="008E7992"/>
    <w:rsid w:val="008E7D36"/>
    <w:rsid w:val="008E7DDA"/>
    <w:rsid w:val="008F02EC"/>
    <w:rsid w:val="008F06AB"/>
    <w:rsid w:val="008F07C8"/>
    <w:rsid w:val="008F0C64"/>
    <w:rsid w:val="008F10B4"/>
    <w:rsid w:val="008F10FA"/>
    <w:rsid w:val="008F17AE"/>
    <w:rsid w:val="008F219F"/>
    <w:rsid w:val="008F23E5"/>
    <w:rsid w:val="008F2525"/>
    <w:rsid w:val="008F38B0"/>
    <w:rsid w:val="008F3998"/>
    <w:rsid w:val="008F3B5D"/>
    <w:rsid w:val="008F3BDF"/>
    <w:rsid w:val="008F3D82"/>
    <w:rsid w:val="008F43B6"/>
    <w:rsid w:val="008F4860"/>
    <w:rsid w:val="008F513A"/>
    <w:rsid w:val="008F6C40"/>
    <w:rsid w:val="008F6C5E"/>
    <w:rsid w:val="008F75C2"/>
    <w:rsid w:val="008F7C77"/>
    <w:rsid w:val="008F7E95"/>
    <w:rsid w:val="008F7F11"/>
    <w:rsid w:val="00900249"/>
    <w:rsid w:val="009002C7"/>
    <w:rsid w:val="0090081E"/>
    <w:rsid w:val="0090183F"/>
    <w:rsid w:val="00901E7F"/>
    <w:rsid w:val="00903AF4"/>
    <w:rsid w:val="00903E84"/>
    <w:rsid w:val="0090449A"/>
    <w:rsid w:val="009044E0"/>
    <w:rsid w:val="00904A6C"/>
    <w:rsid w:val="009051A6"/>
    <w:rsid w:val="00905511"/>
    <w:rsid w:val="009059AF"/>
    <w:rsid w:val="00906D79"/>
    <w:rsid w:val="00907015"/>
    <w:rsid w:val="009072B5"/>
    <w:rsid w:val="0090778A"/>
    <w:rsid w:val="0091008D"/>
    <w:rsid w:val="0091035E"/>
    <w:rsid w:val="009104D1"/>
    <w:rsid w:val="00910DB6"/>
    <w:rsid w:val="00910E61"/>
    <w:rsid w:val="009115E6"/>
    <w:rsid w:val="00911698"/>
    <w:rsid w:val="009117B0"/>
    <w:rsid w:val="0091184A"/>
    <w:rsid w:val="00911EB7"/>
    <w:rsid w:val="00911F47"/>
    <w:rsid w:val="00911FBE"/>
    <w:rsid w:val="00912667"/>
    <w:rsid w:val="00912E50"/>
    <w:rsid w:val="009133D0"/>
    <w:rsid w:val="00913495"/>
    <w:rsid w:val="0091356D"/>
    <w:rsid w:val="00913F08"/>
    <w:rsid w:val="00914618"/>
    <w:rsid w:val="0091494E"/>
    <w:rsid w:val="00914D4D"/>
    <w:rsid w:val="00916D7C"/>
    <w:rsid w:val="00917CC2"/>
    <w:rsid w:val="00920A2D"/>
    <w:rsid w:val="00920F21"/>
    <w:rsid w:val="009216AF"/>
    <w:rsid w:val="00921942"/>
    <w:rsid w:val="0092254B"/>
    <w:rsid w:val="0092270C"/>
    <w:rsid w:val="00922722"/>
    <w:rsid w:val="00922C86"/>
    <w:rsid w:val="00922F60"/>
    <w:rsid w:val="0092407C"/>
    <w:rsid w:val="009243E9"/>
    <w:rsid w:val="0092442E"/>
    <w:rsid w:val="00924465"/>
    <w:rsid w:val="00924EF4"/>
    <w:rsid w:val="0092508E"/>
    <w:rsid w:val="0092521A"/>
    <w:rsid w:val="009256E8"/>
    <w:rsid w:val="00925C91"/>
    <w:rsid w:val="00926243"/>
    <w:rsid w:val="0092655D"/>
    <w:rsid w:val="0092674A"/>
    <w:rsid w:val="00926F06"/>
    <w:rsid w:val="009270F8"/>
    <w:rsid w:val="00927171"/>
    <w:rsid w:val="00927407"/>
    <w:rsid w:val="00927963"/>
    <w:rsid w:val="00927B94"/>
    <w:rsid w:val="0093129E"/>
    <w:rsid w:val="00931F7D"/>
    <w:rsid w:val="00931FAA"/>
    <w:rsid w:val="009320F1"/>
    <w:rsid w:val="00932C82"/>
    <w:rsid w:val="00932E37"/>
    <w:rsid w:val="009333E5"/>
    <w:rsid w:val="00933769"/>
    <w:rsid w:val="00933B07"/>
    <w:rsid w:val="00933FEA"/>
    <w:rsid w:val="00934430"/>
    <w:rsid w:val="00934EB1"/>
    <w:rsid w:val="00935231"/>
    <w:rsid w:val="00935B24"/>
    <w:rsid w:val="00935CD2"/>
    <w:rsid w:val="00936A96"/>
    <w:rsid w:val="00936B4C"/>
    <w:rsid w:val="009371D2"/>
    <w:rsid w:val="0094078E"/>
    <w:rsid w:val="00940C6B"/>
    <w:rsid w:val="00940FA4"/>
    <w:rsid w:val="009423E6"/>
    <w:rsid w:val="0094273F"/>
    <w:rsid w:val="00942955"/>
    <w:rsid w:val="00942D75"/>
    <w:rsid w:val="00943A84"/>
    <w:rsid w:val="00943D69"/>
    <w:rsid w:val="00944014"/>
    <w:rsid w:val="00944382"/>
    <w:rsid w:val="00945410"/>
    <w:rsid w:val="0094547D"/>
    <w:rsid w:val="00945827"/>
    <w:rsid w:val="00945D72"/>
    <w:rsid w:val="00950739"/>
    <w:rsid w:val="0095178A"/>
    <w:rsid w:val="0095214F"/>
    <w:rsid w:val="00952306"/>
    <w:rsid w:val="00952B05"/>
    <w:rsid w:val="00952B49"/>
    <w:rsid w:val="00954115"/>
    <w:rsid w:val="009546E1"/>
    <w:rsid w:val="00954D2B"/>
    <w:rsid w:val="00954EA5"/>
    <w:rsid w:val="00955229"/>
    <w:rsid w:val="009557B9"/>
    <w:rsid w:val="009558AC"/>
    <w:rsid w:val="00955C2F"/>
    <w:rsid w:val="00955D7D"/>
    <w:rsid w:val="00956277"/>
    <w:rsid w:val="00956BDB"/>
    <w:rsid w:val="00956C56"/>
    <w:rsid w:val="00956FEF"/>
    <w:rsid w:val="0095754A"/>
    <w:rsid w:val="0095767C"/>
    <w:rsid w:val="00957B2D"/>
    <w:rsid w:val="00957C24"/>
    <w:rsid w:val="0096027C"/>
    <w:rsid w:val="00960A87"/>
    <w:rsid w:val="00961C05"/>
    <w:rsid w:val="00961CC4"/>
    <w:rsid w:val="00962B7A"/>
    <w:rsid w:val="009635A8"/>
    <w:rsid w:val="00963754"/>
    <w:rsid w:val="0096376B"/>
    <w:rsid w:val="00963B72"/>
    <w:rsid w:val="00963D9F"/>
    <w:rsid w:val="00963E0F"/>
    <w:rsid w:val="009641BC"/>
    <w:rsid w:val="00966462"/>
    <w:rsid w:val="0096715B"/>
    <w:rsid w:val="00967BF4"/>
    <w:rsid w:val="00967CD4"/>
    <w:rsid w:val="00967E14"/>
    <w:rsid w:val="0097056E"/>
    <w:rsid w:val="00970AB4"/>
    <w:rsid w:val="00970AF9"/>
    <w:rsid w:val="00970FAF"/>
    <w:rsid w:val="0097130E"/>
    <w:rsid w:val="00971AC3"/>
    <w:rsid w:val="00971BE2"/>
    <w:rsid w:val="00971C63"/>
    <w:rsid w:val="00971CC6"/>
    <w:rsid w:val="00972505"/>
    <w:rsid w:val="00972545"/>
    <w:rsid w:val="009726A1"/>
    <w:rsid w:val="00972B6D"/>
    <w:rsid w:val="0097504E"/>
    <w:rsid w:val="00975959"/>
    <w:rsid w:val="00975B99"/>
    <w:rsid w:val="00976AAC"/>
    <w:rsid w:val="00980573"/>
    <w:rsid w:val="00981019"/>
    <w:rsid w:val="0098126A"/>
    <w:rsid w:val="009815F8"/>
    <w:rsid w:val="009819F0"/>
    <w:rsid w:val="00981A90"/>
    <w:rsid w:val="00981EF0"/>
    <w:rsid w:val="009837C7"/>
    <w:rsid w:val="00984187"/>
    <w:rsid w:val="0098453F"/>
    <w:rsid w:val="00984575"/>
    <w:rsid w:val="00984A30"/>
    <w:rsid w:val="0098515B"/>
    <w:rsid w:val="009851E0"/>
    <w:rsid w:val="009864FF"/>
    <w:rsid w:val="00986FD8"/>
    <w:rsid w:val="00987204"/>
    <w:rsid w:val="0098727D"/>
    <w:rsid w:val="009873C3"/>
    <w:rsid w:val="00990121"/>
    <w:rsid w:val="009904D9"/>
    <w:rsid w:val="00991D99"/>
    <w:rsid w:val="0099295D"/>
    <w:rsid w:val="00992F00"/>
    <w:rsid w:val="00992FF2"/>
    <w:rsid w:val="00993411"/>
    <w:rsid w:val="00994374"/>
    <w:rsid w:val="00994F35"/>
    <w:rsid w:val="00995280"/>
    <w:rsid w:val="00995C6D"/>
    <w:rsid w:val="00995FFF"/>
    <w:rsid w:val="009960C4"/>
    <w:rsid w:val="00996C44"/>
    <w:rsid w:val="00996D2F"/>
    <w:rsid w:val="009973C7"/>
    <w:rsid w:val="00997931"/>
    <w:rsid w:val="00997FBB"/>
    <w:rsid w:val="009A05C7"/>
    <w:rsid w:val="009A0768"/>
    <w:rsid w:val="009A0BA4"/>
    <w:rsid w:val="009A0CAF"/>
    <w:rsid w:val="009A0F27"/>
    <w:rsid w:val="009A1540"/>
    <w:rsid w:val="009A2164"/>
    <w:rsid w:val="009A2D00"/>
    <w:rsid w:val="009A368E"/>
    <w:rsid w:val="009A3806"/>
    <w:rsid w:val="009A3A58"/>
    <w:rsid w:val="009A4D30"/>
    <w:rsid w:val="009A4FA9"/>
    <w:rsid w:val="009A5723"/>
    <w:rsid w:val="009A5903"/>
    <w:rsid w:val="009A5E72"/>
    <w:rsid w:val="009A649C"/>
    <w:rsid w:val="009A6D81"/>
    <w:rsid w:val="009A6EBE"/>
    <w:rsid w:val="009A78D3"/>
    <w:rsid w:val="009A7CF5"/>
    <w:rsid w:val="009A7EAC"/>
    <w:rsid w:val="009A7F32"/>
    <w:rsid w:val="009B05B3"/>
    <w:rsid w:val="009B0F0B"/>
    <w:rsid w:val="009B173D"/>
    <w:rsid w:val="009B204F"/>
    <w:rsid w:val="009B2C0E"/>
    <w:rsid w:val="009B2EC0"/>
    <w:rsid w:val="009B3786"/>
    <w:rsid w:val="009B392B"/>
    <w:rsid w:val="009B3D56"/>
    <w:rsid w:val="009B47B3"/>
    <w:rsid w:val="009B48B5"/>
    <w:rsid w:val="009B50A9"/>
    <w:rsid w:val="009B5765"/>
    <w:rsid w:val="009B5822"/>
    <w:rsid w:val="009B5C46"/>
    <w:rsid w:val="009B63FC"/>
    <w:rsid w:val="009B6D33"/>
    <w:rsid w:val="009B7C60"/>
    <w:rsid w:val="009C0447"/>
    <w:rsid w:val="009C0D1E"/>
    <w:rsid w:val="009C238D"/>
    <w:rsid w:val="009C250D"/>
    <w:rsid w:val="009C2CF5"/>
    <w:rsid w:val="009C351B"/>
    <w:rsid w:val="009C3647"/>
    <w:rsid w:val="009C3B2A"/>
    <w:rsid w:val="009C3D39"/>
    <w:rsid w:val="009C424C"/>
    <w:rsid w:val="009C4320"/>
    <w:rsid w:val="009C4C17"/>
    <w:rsid w:val="009C5EF7"/>
    <w:rsid w:val="009C63C5"/>
    <w:rsid w:val="009C643D"/>
    <w:rsid w:val="009C66DE"/>
    <w:rsid w:val="009C67C9"/>
    <w:rsid w:val="009C6BF0"/>
    <w:rsid w:val="009C6FB2"/>
    <w:rsid w:val="009C6FE8"/>
    <w:rsid w:val="009C703E"/>
    <w:rsid w:val="009C79A9"/>
    <w:rsid w:val="009C7AF8"/>
    <w:rsid w:val="009D0294"/>
    <w:rsid w:val="009D046C"/>
    <w:rsid w:val="009D0894"/>
    <w:rsid w:val="009D0E19"/>
    <w:rsid w:val="009D1848"/>
    <w:rsid w:val="009D232B"/>
    <w:rsid w:val="009D2CFC"/>
    <w:rsid w:val="009D3A3F"/>
    <w:rsid w:val="009D3C19"/>
    <w:rsid w:val="009D462F"/>
    <w:rsid w:val="009D4666"/>
    <w:rsid w:val="009D48BA"/>
    <w:rsid w:val="009D4E9C"/>
    <w:rsid w:val="009D5B22"/>
    <w:rsid w:val="009D6B23"/>
    <w:rsid w:val="009D70DD"/>
    <w:rsid w:val="009D79F5"/>
    <w:rsid w:val="009E1846"/>
    <w:rsid w:val="009E1E93"/>
    <w:rsid w:val="009E2B08"/>
    <w:rsid w:val="009E2E54"/>
    <w:rsid w:val="009E3231"/>
    <w:rsid w:val="009E3910"/>
    <w:rsid w:val="009E3EEF"/>
    <w:rsid w:val="009E404B"/>
    <w:rsid w:val="009E4259"/>
    <w:rsid w:val="009E4A01"/>
    <w:rsid w:val="009E4C72"/>
    <w:rsid w:val="009E537C"/>
    <w:rsid w:val="009E6B93"/>
    <w:rsid w:val="009E6D34"/>
    <w:rsid w:val="009E7884"/>
    <w:rsid w:val="009F02DA"/>
    <w:rsid w:val="009F0E95"/>
    <w:rsid w:val="009F1299"/>
    <w:rsid w:val="009F186B"/>
    <w:rsid w:val="009F1C9B"/>
    <w:rsid w:val="009F25E6"/>
    <w:rsid w:val="009F32AB"/>
    <w:rsid w:val="009F3474"/>
    <w:rsid w:val="009F3963"/>
    <w:rsid w:val="009F4124"/>
    <w:rsid w:val="009F4CD0"/>
    <w:rsid w:val="009F566E"/>
    <w:rsid w:val="009F5CAD"/>
    <w:rsid w:val="009F5D35"/>
    <w:rsid w:val="009F6272"/>
    <w:rsid w:val="009F7144"/>
    <w:rsid w:val="009F7FF6"/>
    <w:rsid w:val="00A001B6"/>
    <w:rsid w:val="00A00362"/>
    <w:rsid w:val="00A00FDD"/>
    <w:rsid w:val="00A0115B"/>
    <w:rsid w:val="00A01D63"/>
    <w:rsid w:val="00A02135"/>
    <w:rsid w:val="00A02569"/>
    <w:rsid w:val="00A028EF"/>
    <w:rsid w:val="00A048AA"/>
    <w:rsid w:val="00A048DC"/>
    <w:rsid w:val="00A04B0C"/>
    <w:rsid w:val="00A06265"/>
    <w:rsid w:val="00A0658E"/>
    <w:rsid w:val="00A07359"/>
    <w:rsid w:val="00A105FD"/>
    <w:rsid w:val="00A1063B"/>
    <w:rsid w:val="00A10B2A"/>
    <w:rsid w:val="00A1147F"/>
    <w:rsid w:val="00A11A80"/>
    <w:rsid w:val="00A11D21"/>
    <w:rsid w:val="00A11D93"/>
    <w:rsid w:val="00A122F1"/>
    <w:rsid w:val="00A1378B"/>
    <w:rsid w:val="00A13B27"/>
    <w:rsid w:val="00A13BB5"/>
    <w:rsid w:val="00A13BE4"/>
    <w:rsid w:val="00A13DC4"/>
    <w:rsid w:val="00A13DCF"/>
    <w:rsid w:val="00A13E42"/>
    <w:rsid w:val="00A13FC3"/>
    <w:rsid w:val="00A13FDC"/>
    <w:rsid w:val="00A14E4C"/>
    <w:rsid w:val="00A1593F"/>
    <w:rsid w:val="00A15EC2"/>
    <w:rsid w:val="00A162C1"/>
    <w:rsid w:val="00A1636E"/>
    <w:rsid w:val="00A1647A"/>
    <w:rsid w:val="00A164E5"/>
    <w:rsid w:val="00A17B61"/>
    <w:rsid w:val="00A17C2A"/>
    <w:rsid w:val="00A208E5"/>
    <w:rsid w:val="00A20EDF"/>
    <w:rsid w:val="00A21287"/>
    <w:rsid w:val="00A21294"/>
    <w:rsid w:val="00A214B2"/>
    <w:rsid w:val="00A21A1A"/>
    <w:rsid w:val="00A21D6C"/>
    <w:rsid w:val="00A22275"/>
    <w:rsid w:val="00A22355"/>
    <w:rsid w:val="00A226A7"/>
    <w:rsid w:val="00A2318B"/>
    <w:rsid w:val="00A23694"/>
    <w:rsid w:val="00A236F5"/>
    <w:rsid w:val="00A23A00"/>
    <w:rsid w:val="00A23BE9"/>
    <w:rsid w:val="00A23D3A"/>
    <w:rsid w:val="00A247EB"/>
    <w:rsid w:val="00A2483A"/>
    <w:rsid w:val="00A2490F"/>
    <w:rsid w:val="00A24BD4"/>
    <w:rsid w:val="00A24E89"/>
    <w:rsid w:val="00A252D7"/>
    <w:rsid w:val="00A263D7"/>
    <w:rsid w:val="00A264D2"/>
    <w:rsid w:val="00A265D6"/>
    <w:rsid w:val="00A2662C"/>
    <w:rsid w:val="00A266D0"/>
    <w:rsid w:val="00A268F0"/>
    <w:rsid w:val="00A26915"/>
    <w:rsid w:val="00A26BCA"/>
    <w:rsid w:val="00A303F6"/>
    <w:rsid w:val="00A30E61"/>
    <w:rsid w:val="00A30F13"/>
    <w:rsid w:val="00A3126D"/>
    <w:rsid w:val="00A313BD"/>
    <w:rsid w:val="00A31782"/>
    <w:rsid w:val="00A31B3F"/>
    <w:rsid w:val="00A32607"/>
    <w:rsid w:val="00A328FB"/>
    <w:rsid w:val="00A32910"/>
    <w:rsid w:val="00A32E02"/>
    <w:rsid w:val="00A34256"/>
    <w:rsid w:val="00A34259"/>
    <w:rsid w:val="00A34E1A"/>
    <w:rsid w:val="00A34FE2"/>
    <w:rsid w:val="00A357E5"/>
    <w:rsid w:val="00A35B5E"/>
    <w:rsid w:val="00A35EE1"/>
    <w:rsid w:val="00A3627F"/>
    <w:rsid w:val="00A36542"/>
    <w:rsid w:val="00A365D9"/>
    <w:rsid w:val="00A3664A"/>
    <w:rsid w:val="00A370EE"/>
    <w:rsid w:val="00A3774E"/>
    <w:rsid w:val="00A41CC0"/>
    <w:rsid w:val="00A420ED"/>
    <w:rsid w:val="00A4283A"/>
    <w:rsid w:val="00A428FA"/>
    <w:rsid w:val="00A42AD5"/>
    <w:rsid w:val="00A43638"/>
    <w:rsid w:val="00A43BEA"/>
    <w:rsid w:val="00A4418A"/>
    <w:rsid w:val="00A44746"/>
    <w:rsid w:val="00A447A8"/>
    <w:rsid w:val="00A44C19"/>
    <w:rsid w:val="00A44C43"/>
    <w:rsid w:val="00A4509F"/>
    <w:rsid w:val="00A454C4"/>
    <w:rsid w:val="00A45C24"/>
    <w:rsid w:val="00A45CBD"/>
    <w:rsid w:val="00A464E2"/>
    <w:rsid w:val="00A47930"/>
    <w:rsid w:val="00A50103"/>
    <w:rsid w:val="00A50582"/>
    <w:rsid w:val="00A50A25"/>
    <w:rsid w:val="00A510D7"/>
    <w:rsid w:val="00A51492"/>
    <w:rsid w:val="00A5232D"/>
    <w:rsid w:val="00A534E7"/>
    <w:rsid w:val="00A55088"/>
    <w:rsid w:val="00A55096"/>
    <w:rsid w:val="00A555B3"/>
    <w:rsid w:val="00A55687"/>
    <w:rsid w:val="00A5583F"/>
    <w:rsid w:val="00A55A39"/>
    <w:rsid w:val="00A56E80"/>
    <w:rsid w:val="00A57736"/>
    <w:rsid w:val="00A577E3"/>
    <w:rsid w:val="00A57E2E"/>
    <w:rsid w:val="00A57E96"/>
    <w:rsid w:val="00A57EE4"/>
    <w:rsid w:val="00A57F2D"/>
    <w:rsid w:val="00A61343"/>
    <w:rsid w:val="00A61C4D"/>
    <w:rsid w:val="00A62355"/>
    <w:rsid w:val="00A62E0F"/>
    <w:rsid w:val="00A632C8"/>
    <w:rsid w:val="00A63CD3"/>
    <w:rsid w:val="00A640D5"/>
    <w:rsid w:val="00A64224"/>
    <w:rsid w:val="00A642D7"/>
    <w:rsid w:val="00A643E2"/>
    <w:rsid w:val="00A64ED5"/>
    <w:rsid w:val="00A651C1"/>
    <w:rsid w:val="00A65300"/>
    <w:rsid w:val="00A656BB"/>
    <w:rsid w:val="00A65AF1"/>
    <w:rsid w:val="00A65B08"/>
    <w:rsid w:val="00A65DD2"/>
    <w:rsid w:val="00A669DB"/>
    <w:rsid w:val="00A67914"/>
    <w:rsid w:val="00A71CC7"/>
    <w:rsid w:val="00A71FEE"/>
    <w:rsid w:val="00A7238A"/>
    <w:rsid w:val="00A7279C"/>
    <w:rsid w:val="00A72D5D"/>
    <w:rsid w:val="00A73023"/>
    <w:rsid w:val="00A73D61"/>
    <w:rsid w:val="00A7421E"/>
    <w:rsid w:val="00A743F2"/>
    <w:rsid w:val="00A74FD5"/>
    <w:rsid w:val="00A75AFE"/>
    <w:rsid w:val="00A75F5F"/>
    <w:rsid w:val="00A772D4"/>
    <w:rsid w:val="00A77698"/>
    <w:rsid w:val="00A77A4A"/>
    <w:rsid w:val="00A77F29"/>
    <w:rsid w:val="00A80AAF"/>
    <w:rsid w:val="00A80B30"/>
    <w:rsid w:val="00A8128C"/>
    <w:rsid w:val="00A81A8E"/>
    <w:rsid w:val="00A81C2B"/>
    <w:rsid w:val="00A81FFB"/>
    <w:rsid w:val="00A83282"/>
    <w:rsid w:val="00A83DC7"/>
    <w:rsid w:val="00A83FD8"/>
    <w:rsid w:val="00A83FEC"/>
    <w:rsid w:val="00A8438E"/>
    <w:rsid w:val="00A84A20"/>
    <w:rsid w:val="00A84BC5"/>
    <w:rsid w:val="00A84F7A"/>
    <w:rsid w:val="00A852FE"/>
    <w:rsid w:val="00A86470"/>
    <w:rsid w:val="00A869E6"/>
    <w:rsid w:val="00A87036"/>
    <w:rsid w:val="00A872F0"/>
    <w:rsid w:val="00A87509"/>
    <w:rsid w:val="00A877D8"/>
    <w:rsid w:val="00A878F4"/>
    <w:rsid w:val="00A87E55"/>
    <w:rsid w:val="00A87F55"/>
    <w:rsid w:val="00A90367"/>
    <w:rsid w:val="00A903E4"/>
    <w:rsid w:val="00A9047A"/>
    <w:rsid w:val="00A90D92"/>
    <w:rsid w:val="00A91356"/>
    <w:rsid w:val="00A91B3E"/>
    <w:rsid w:val="00A920EA"/>
    <w:rsid w:val="00A9225F"/>
    <w:rsid w:val="00A9272E"/>
    <w:rsid w:val="00A92E0A"/>
    <w:rsid w:val="00A92EDA"/>
    <w:rsid w:val="00A931E7"/>
    <w:rsid w:val="00A93C97"/>
    <w:rsid w:val="00A943BC"/>
    <w:rsid w:val="00A94BAA"/>
    <w:rsid w:val="00A9663D"/>
    <w:rsid w:val="00A96E0F"/>
    <w:rsid w:val="00A970E1"/>
    <w:rsid w:val="00A972FB"/>
    <w:rsid w:val="00A974C2"/>
    <w:rsid w:val="00AA01FD"/>
    <w:rsid w:val="00AA0772"/>
    <w:rsid w:val="00AA08D4"/>
    <w:rsid w:val="00AA0B6D"/>
    <w:rsid w:val="00AA0DBC"/>
    <w:rsid w:val="00AA0E56"/>
    <w:rsid w:val="00AA0ED4"/>
    <w:rsid w:val="00AA0F74"/>
    <w:rsid w:val="00AA1189"/>
    <w:rsid w:val="00AA1476"/>
    <w:rsid w:val="00AA1AA2"/>
    <w:rsid w:val="00AA1EB9"/>
    <w:rsid w:val="00AA2486"/>
    <w:rsid w:val="00AA3241"/>
    <w:rsid w:val="00AA32B4"/>
    <w:rsid w:val="00AA3649"/>
    <w:rsid w:val="00AA382F"/>
    <w:rsid w:val="00AA43DB"/>
    <w:rsid w:val="00AA45D3"/>
    <w:rsid w:val="00AA476E"/>
    <w:rsid w:val="00AA4DCF"/>
    <w:rsid w:val="00AA59AD"/>
    <w:rsid w:val="00AA5B6D"/>
    <w:rsid w:val="00AA5F68"/>
    <w:rsid w:val="00AA652C"/>
    <w:rsid w:val="00AA6802"/>
    <w:rsid w:val="00AA6832"/>
    <w:rsid w:val="00AA68BF"/>
    <w:rsid w:val="00AA6E49"/>
    <w:rsid w:val="00AA7E19"/>
    <w:rsid w:val="00AB0350"/>
    <w:rsid w:val="00AB035A"/>
    <w:rsid w:val="00AB0898"/>
    <w:rsid w:val="00AB0C4A"/>
    <w:rsid w:val="00AB0EFE"/>
    <w:rsid w:val="00AB10A9"/>
    <w:rsid w:val="00AB1731"/>
    <w:rsid w:val="00AB176E"/>
    <w:rsid w:val="00AB21D9"/>
    <w:rsid w:val="00AB2491"/>
    <w:rsid w:val="00AB2767"/>
    <w:rsid w:val="00AB2D5B"/>
    <w:rsid w:val="00AB2F9D"/>
    <w:rsid w:val="00AB3F63"/>
    <w:rsid w:val="00AB41C5"/>
    <w:rsid w:val="00AB488C"/>
    <w:rsid w:val="00AB5467"/>
    <w:rsid w:val="00AB5D32"/>
    <w:rsid w:val="00AB6419"/>
    <w:rsid w:val="00AB67A2"/>
    <w:rsid w:val="00AB6E7E"/>
    <w:rsid w:val="00AB7C7E"/>
    <w:rsid w:val="00AC0420"/>
    <w:rsid w:val="00AC0510"/>
    <w:rsid w:val="00AC1638"/>
    <w:rsid w:val="00AC174C"/>
    <w:rsid w:val="00AC1CF5"/>
    <w:rsid w:val="00AC1D94"/>
    <w:rsid w:val="00AC293D"/>
    <w:rsid w:val="00AC2B5B"/>
    <w:rsid w:val="00AC437A"/>
    <w:rsid w:val="00AC465E"/>
    <w:rsid w:val="00AC4A47"/>
    <w:rsid w:val="00AC6002"/>
    <w:rsid w:val="00AC665A"/>
    <w:rsid w:val="00AC68A6"/>
    <w:rsid w:val="00AC7DD3"/>
    <w:rsid w:val="00AD00C9"/>
    <w:rsid w:val="00AD04AA"/>
    <w:rsid w:val="00AD09B5"/>
    <w:rsid w:val="00AD09F0"/>
    <w:rsid w:val="00AD17FD"/>
    <w:rsid w:val="00AD18A4"/>
    <w:rsid w:val="00AD2C5F"/>
    <w:rsid w:val="00AD3EA0"/>
    <w:rsid w:val="00AD4A64"/>
    <w:rsid w:val="00AD5035"/>
    <w:rsid w:val="00AD594B"/>
    <w:rsid w:val="00AD5A41"/>
    <w:rsid w:val="00AD5DB8"/>
    <w:rsid w:val="00AD5E0C"/>
    <w:rsid w:val="00AD6CF6"/>
    <w:rsid w:val="00AD6FB9"/>
    <w:rsid w:val="00AD75B8"/>
    <w:rsid w:val="00AD7B6E"/>
    <w:rsid w:val="00AE0294"/>
    <w:rsid w:val="00AE02C9"/>
    <w:rsid w:val="00AE097F"/>
    <w:rsid w:val="00AE1F8C"/>
    <w:rsid w:val="00AE2893"/>
    <w:rsid w:val="00AE3137"/>
    <w:rsid w:val="00AE34EE"/>
    <w:rsid w:val="00AE3D2B"/>
    <w:rsid w:val="00AE4A27"/>
    <w:rsid w:val="00AE5047"/>
    <w:rsid w:val="00AE5247"/>
    <w:rsid w:val="00AE6122"/>
    <w:rsid w:val="00AE7364"/>
    <w:rsid w:val="00AF065B"/>
    <w:rsid w:val="00AF14ED"/>
    <w:rsid w:val="00AF181B"/>
    <w:rsid w:val="00AF18DB"/>
    <w:rsid w:val="00AF198B"/>
    <w:rsid w:val="00AF3083"/>
    <w:rsid w:val="00AF365B"/>
    <w:rsid w:val="00AF3D2E"/>
    <w:rsid w:val="00AF3FEB"/>
    <w:rsid w:val="00AF4582"/>
    <w:rsid w:val="00AF4BE6"/>
    <w:rsid w:val="00AF4D15"/>
    <w:rsid w:val="00AF53F9"/>
    <w:rsid w:val="00AF5529"/>
    <w:rsid w:val="00AF58B9"/>
    <w:rsid w:val="00AF58F9"/>
    <w:rsid w:val="00AF598C"/>
    <w:rsid w:val="00AF5A4B"/>
    <w:rsid w:val="00AF5C05"/>
    <w:rsid w:val="00AF603C"/>
    <w:rsid w:val="00AF64A8"/>
    <w:rsid w:val="00AF6706"/>
    <w:rsid w:val="00AF67C8"/>
    <w:rsid w:val="00AF6B73"/>
    <w:rsid w:val="00AF6DFE"/>
    <w:rsid w:val="00AF7377"/>
    <w:rsid w:val="00AF7C97"/>
    <w:rsid w:val="00AF7DF0"/>
    <w:rsid w:val="00AF7F63"/>
    <w:rsid w:val="00B00B95"/>
    <w:rsid w:val="00B00CBE"/>
    <w:rsid w:val="00B00EB7"/>
    <w:rsid w:val="00B00EE0"/>
    <w:rsid w:val="00B012D6"/>
    <w:rsid w:val="00B019AA"/>
    <w:rsid w:val="00B02097"/>
    <w:rsid w:val="00B020F5"/>
    <w:rsid w:val="00B0288A"/>
    <w:rsid w:val="00B0344E"/>
    <w:rsid w:val="00B0398F"/>
    <w:rsid w:val="00B03A73"/>
    <w:rsid w:val="00B0429F"/>
    <w:rsid w:val="00B050BC"/>
    <w:rsid w:val="00B0596A"/>
    <w:rsid w:val="00B05A82"/>
    <w:rsid w:val="00B05BA8"/>
    <w:rsid w:val="00B05F80"/>
    <w:rsid w:val="00B06430"/>
    <w:rsid w:val="00B0643F"/>
    <w:rsid w:val="00B06485"/>
    <w:rsid w:val="00B064BE"/>
    <w:rsid w:val="00B06AE8"/>
    <w:rsid w:val="00B06F71"/>
    <w:rsid w:val="00B07375"/>
    <w:rsid w:val="00B07C92"/>
    <w:rsid w:val="00B10BCC"/>
    <w:rsid w:val="00B1180A"/>
    <w:rsid w:val="00B119A9"/>
    <w:rsid w:val="00B11E87"/>
    <w:rsid w:val="00B1277D"/>
    <w:rsid w:val="00B127F1"/>
    <w:rsid w:val="00B1398A"/>
    <w:rsid w:val="00B13BEC"/>
    <w:rsid w:val="00B1417D"/>
    <w:rsid w:val="00B1440A"/>
    <w:rsid w:val="00B15253"/>
    <w:rsid w:val="00B1662E"/>
    <w:rsid w:val="00B170DE"/>
    <w:rsid w:val="00B17261"/>
    <w:rsid w:val="00B17300"/>
    <w:rsid w:val="00B1749D"/>
    <w:rsid w:val="00B17CEF"/>
    <w:rsid w:val="00B17F0D"/>
    <w:rsid w:val="00B20B5A"/>
    <w:rsid w:val="00B2103D"/>
    <w:rsid w:val="00B2111F"/>
    <w:rsid w:val="00B216B4"/>
    <w:rsid w:val="00B2185A"/>
    <w:rsid w:val="00B21E4B"/>
    <w:rsid w:val="00B21EE1"/>
    <w:rsid w:val="00B21FF0"/>
    <w:rsid w:val="00B2244B"/>
    <w:rsid w:val="00B22B22"/>
    <w:rsid w:val="00B22F61"/>
    <w:rsid w:val="00B237AD"/>
    <w:rsid w:val="00B23C47"/>
    <w:rsid w:val="00B2402D"/>
    <w:rsid w:val="00B24548"/>
    <w:rsid w:val="00B25023"/>
    <w:rsid w:val="00B25831"/>
    <w:rsid w:val="00B25A31"/>
    <w:rsid w:val="00B25DF7"/>
    <w:rsid w:val="00B26412"/>
    <w:rsid w:val="00B26446"/>
    <w:rsid w:val="00B26908"/>
    <w:rsid w:val="00B2708A"/>
    <w:rsid w:val="00B27986"/>
    <w:rsid w:val="00B27B57"/>
    <w:rsid w:val="00B27E03"/>
    <w:rsid w:val="00B31223"/>
    <w:rsid w:val="00B313B6"/>
    <w:rsid w:val="00B319C9"/>
    <w:rsid w:val="00B32509"/>
    <w:rsid w:val="00B330A9"/>
    <w:rsid w:val="00B3420B"/>
    <w:rsid w:val="00B34551"/>
    <w:rsid w:val="00B3489C"/>
    <w:rsid w:val="00B36DAC"/>
    <w:rsid w:val="00B36E22"/>
    <w:rsid w:val="00B36EB3"/>
    <w:rsid w:val="00B3763F"/>
    <w:rsid w:val="00B3776A"/>
    <w:rsid w:val="00B37AAF"/>
    <w:rsid w:val="00B37F43"/>
    <w:rsid w:val="00B40B75"/>
    <w:rsid w:val="00B40C1B"/>
    <w:rsid w:val="00B412B1"/>
    <w:rsid w:val="00B41352"/>
    <w:rsid w:val="00B41EFC"/>
    <w:rsid w:val="00B420DC"/>
    <w:rsid w:val="00B42188"/>
    <w:rsid w:val="00B42742"/>
    <w:rsid w:val="00B42968"/>
    <w:rsid w:val="00B430BB"/>
    <w:rsid w:val="00B43324"/>
    <w:rsid w:val="00B44585"/>
    <w:rsid w:val="00B44B76"/>
    <w:rsid w:val="00B44DE2"/>
    <w:rsid w:val="00B44FC0"/>
    <w:rsid w:val="00B465D8"/>
    <w:rsid w:val="00B4679B"/>
    <w:rsid w:val="00B46D1A"/>
    <w:rsid w:val="00B47276"/>
    <w:rsid w:val="00B476AF"/>
    <w:rsid w:val="00B47B95"/>
    <w:rsid w:val="00B501C3"/>
    <w:rsid w:val="00B50B4C"/>
    <w:rsid w:val="00B518A1"/>
    <w:rsid w:val="00B52E1B"/>
    <w:rsid w:val="00B531B8"/>
    <w:rsid w:val="00B53338"/>
    <w:rsid w:val="00B53FFF"/>
    <w:rsid w:val="00B54C90"/>
    <w:rsid w:val="00B56006"/>
    <w:rsid w:val="00B5642D"/>
    <w:rsid w:val="00B5689D"/>
    <w:rsid w:val="00B56A1D"/>
    <w:rsid w:val="00B56A72"/>
    <w:rsid w:val="00B56DEB"/>
    <w:rsid w:val="00B5714D"/>
    <w:rsid w:val="00B573FA"/>
    <w:rsid w:val="00B5778F"/>
    <w:rsid w:val="00B600C1"/>
    <w:rsid w:val="00B60B60"/>
    <w:rsid w:val="00B60E36"/>
    <w:rsid w:val="00B60EAD"/>
    <w:rsid w:val="00B61487"/>
    <w:rsid w:val="00B61ADD"/>
    <w:rsid w:val="00B61C4B"/>
    <w:rsid w:val="00B62071"/>
    <w:rsid w:val="00B622C2"/>
    <w:rsid w:val="00B622D1"/>
    <w:rsid w:val="00B626CE"/>
    <w:rsid w:val="00B62DB5"/>
    <w:rsid w:val="00B62F98"/>
    <w:rsid w:val="00B63021"/>
    <w:rsid w:val="00B6304C"/>
    <w:rsid w:val="00B632D5"/>
    <w:rsid w:val="00B63B26"/>
    <w:rsid w:val="00B641CD"/>
    <w:rsid w:val="00B64DDE"/>
    <w:rsid w:val="00B65E87"/>
    <w:rsid w:val="00B65F18"/>
    <w:rsid w:val="00B70436"/>
    <w:rsid w:val="00B7083F"/>
    <w:rsid w:val="00B71526"/>
    <w:rsid w:val="00B71CA3"/>
    <w:rsid w:val="00B71F88"/>
    <w:rsid w:val="00B72C90"/>
    <w:rsid w:val="00B72E5F"/>
    <w:rsid w:val="00B733F4"/>
    <w:rsid w:val="00B73402"/>
    <w:rsid w:val="00B73898"/>
    <w:rsid w:val="00B7397E"/>
    <w:rsid w:val="00B7577D"/>
    <w:rsid w:val="00B75AEE"/>
    <w:rsid w:val="00B7671D"/>
    <w:rsid w:val="00B768D9"/>
    <w:rsid w:val="00B76A88"/>
    <w:rsid w:val="00B76DAE"/>
    <w:rsid w:val="00B7729C"/>
    <w:rsid w:val="00B77625"/>
    <w:rsid w:val="00B7765C"/>
    <w:rsid w:val="00B7767F"/>
    <w:rsid w:val="00B77A90"/>
    <w:rsid w:val="00B77CDE"/>
    <w:rsid w:val="00B77CE8"/>
    <w:rsid w:val="00B80136"/>
    <w:rsid w:val="00B8022D"/>
    <w:rsid w:val="00B81041"/>
    <w:rsid w:val="00B810F7"/>
    <w:rsid w:val="00B8145B"/>
    <w:rsid w:val="00B81485"/>
    <w:rsid w:val="00B81657"/>
    <w:rsid w:val="00B818E0"/>
    <w:rsid w:val="00B81AD7"/>
    <w:rsid w:val="00B8262F"/>
    <w:rsid w:val="00B8297D"/>
    <w:rsid w:val="00B831FA"/>
    <w:rsid w:val="00B83C43"/>
    <w:rsid w:val="00B84957"/>
    <w:rsid w:val="00B850E1"/>
    <w:rsid w:val="00B856CC"/>
    <w:rsid w:val="00B8577B"/>
    <w:rsid w:val="00B85910"/>
    <w:rsid w:val="00B85D60"/>
    <w:rsid w:val="00B86748"/>
    <w:rsid w:val="00B86965"/>
    <w:rsid w:val="00B86AD5"/>
    <w:rsid w:val="00B871AC"/>
    <w:rsid w:val="00B871F3"/>
    <w:rsid w:val="00B874DC"/>
    <w:rsid w:val="00B87DB8"/>
    <w:rsid w:val="00B900B3"/>
    <w:rsid w:val="00B9052A"/>
    <w:rsid w:val="00B905B3"/>
    <w:rsid w:val="00B905CE"/>
    <w:rsid w:val="00B90AE1"/>
    <w:rsid w:val="00B90B86"/>
    <w:rsid w:val="00B910B0"/>
    <w:rsid w:val="00B911F8"/>
    <w:rsid w:val="00B912F9"/>
    <w:rsid w:val="00B9138A"/>
    <w:rsid w:val="00B91B5A"/>
    <w:rsid w:val="00B91C5C"/>
    <w:rsid w:val="00B91D78"/>
    <w:rsid w:val="00B920B4"/>
    <w:rsid w:val="00B92889"/>
    <w:rsid w:val="00B92F77"/>
    <w:rsid w:val="00B92FF9"/>
    <w:rsid w:val="00B933CE"/>
    <w:rsid w:val="00B938AC"/>
    <w:rsid w:val="00B93A5F"/>
    <w:rsid w:val="00B94D28"/>
    <w:rsid w:val="00B950A2"/>
    <w:rsid w:val="00B956E9"/>
    <w:rsid w:val="00B9572C"/>
    <w:rsid w:val="00B96228"/>
    <w:rsid w:val="00B96905"/>
    <w:rsid w:val="00B96C29"/>
    <w:rsid w:val="00B972B6"/>
    <w:rsid w:val="00B972D0"/>
    <w:rsid w:val="00B9740C"/>
    <w:rsid w:val="00B97AA2"/>
    <w:rsid w:val="00BA01F3"/>
    <w:rsid w:val="00BA0ED1"/>
    <w:rsid w:val="00BA12C0"/>
    <w:rsid w:val="00BA1795"/>
    <w:rsid w:val="00BA1D10"/>
    <w:rsid w:val="00BA3301"/>
    <w:rsid w:val="00BA38E1"/>
    <w:rsid w:val="00BA3DAB"/>
    <w:rsid w:val="00BA40BC"/>
    <w:rsid w:val="00BA40FB"/>
    <w:rsid w:val="00BA4619"/>
    <w:rsid w:val="00BA4D8B"/>
    <w:rsid w:val="00BA5125"/>
    <w:rsid w:val="00BA5DD8"/>
    <w:rsid w:val="00BA6247"/>
    <w:rsid w:val="00BA628C"/>
    <w:rsid w:val="00BA6397"/>
    <w:rsid w:val="00BA6717"/>
    <w:rsid w:val="00BA7616"/>
    <w:rsid w:val="00BA7D3B"/>
    <w:rsid w:val="00BA7D90"/>
    <w:rsid w:val="00BA7F25"/>
    <w:rsid w:val="00BB0860"/>
    <w:rsid w:val="00BB09F8"/>
    <w:rsid w:val="00BB0CC8"/>
    <w:rsid w:val="00BB12ED"/>
    <w:rsid w:val="00BB1727"/>
    <w:rsid w:val="00BB180C"/>
    <w:rsid w:val="00BB1B8F"/>
    <w:rsid w:val="00BB1BEF"/>
    <w:rsid w:val="00BB1D4F"/>
    <w:rsid w:val="00BB234F"/>
    <w:rsid w:val="00BB23C3"/>
    <w:rsid w:val="00BB26F9"/>
    <w:rsid w:val="00BB281E"/>
    <w:rsid w:val="00BB2AB4"/>
    <w:rsid w:val="00BB3555"/>
    <w:rsid w:val="00BB35D1"/>
    <w:rsid w:val="00BB3707"/>
    <w:rsid w:val="00BB3915"/>
    <w:rsid w:val="00BB3BED"/>
    <w:rsid w:val="00BB4267"/>
    <w:rsid w:val="00BB4B5E"/>
    <w:rsid w:val="00BB4DD7"/>
    <w:rsid w:val="00BB4F23"/>
    <w:rsid w:val="00BB5109"/>
    <w:rsid w:val="00BB5166"/>
    <w:rsid w:val="00BB5855"/>
    <w:rsid w:val="00BB6048"/>
    <w:rsid w:val="00BB6208"/>
    <w:rsid w:val="00BB6715"/>
    <w:rsid w:val="00BB69CA"/>
    <w:rsid w:val="00BB69DA"/>
    <w:rsid w:val="00BB6D87"/>
    <w:rsid w:val="00BB72CA"/>
    <w:rsid w:val="00BB7AE9"/>
    <w:rsid w:val="00BB7E4F"/>
    <w:rsid w:val="00BC2708"/>
    <w:rsid w:val="00BC3049"/>
    <w:rsid w:val="00BC36DF"/>
    <w:rsid w:val="00BC3A38"/>
    <w:rsid w:val="00BC3B84"/>
    <w:rsid w:val="00BC4157"/>
    <w:rsid w:val="00BC45B8"/>
    <w:rsid w:val="00BC4E11"/>
    <w:rsid w:val="00BC4E99"/>
    <w:rsid w:val="00BC5A35"/>
    <w:rsid w:val="00BC626F"/>
    <w:rsid w:val="00BC6277"/>
    <w:rsid w:val="00BC6C68"/>
    <w:rsid w:val="00BC71DB"/>
    <w:rsid w:val="00BC7851"/>
    <w:rsid w:val="00BC7993"/>
    <w:rsid w:val="00BD0032"/>
    <w:rsid w:val="00BD02D9"/>
    <w:rsid w:val="00BD1BDC"/>
    <w:rsid w:val="00BD1EC8"/>
    <w:rsid w:val="00BD2284"/>
    <w:rsid w:val="00BD240E"/>
    <w:rsid w:val="00BD29FE"/>
    <w:rsid w:val="00BD3BE9"/>
    <w:rsid w:val="00BD4088"/>
    <w:rsid w:val="00BD413B"/>
    <w:rsid w:val="00BD6B92"/>
    <w:rsid w:val="00BD751C"/>
    <w:rsid w:val="00BD7931"/>
    <w:rsid w:val="00BD79E7"/>
    <w:rsid w:val="00BD7AC2"/>
    <w:rsid w:val="00BD7F77"/>
    <w:rsid w:val="00BE07D2"/>
    <w:rsid w:val="00BE095B"/>
    <w:rsid w:val="00BE0E94"/>
    <w:rsid w:val="00BE0F79"/>
    <w:rsid w:val="00BE191B"/>
    <w:rsid w:val="00BE1B82"/>
    <w:rsid w:val="00BE1EEE"/>
    <w:rsid w:val="00BE2156"/>
    <w:rsid w:val="00BE2165"/>
    <w:rsid w:val="00BE2173"/>
    <w:rsid w:val="00BE2226"/>
    <w:rsid w:val="00BE272D"/>
    <w:rsid w:val="00BE40A0"/>
    <w:rsid w:val="00BE4231"/>
    <w:rsid w:val="00BE44CB"/>
    <w:rsid w:val="00BE4B94"/>
    <w:rsid w:val="00BE4C33"/>
    <w:rsid w:val="00BE4C99"/>
    <w:rsid w:val="00BE5055"/>
    <w:rsid w:val="00BE55AD"/>
    <w:rsid w:val="00BE56E0"/>
    <w:rsid w:val="00BE618B"/>
    <w:rsid w:val="00BE63AE"/>
    <w:rsid w:val="00BE65B1"/>
    <w:rsid w:val="00BE6F66"/>
    <w:rsid w:val="00BE71E6"/>
    <w:rsid w:val="00BE75DF"/>
    <w:rsid w:val="00BF0355"/>
    <w:rsid w:val="00BF0B29"/>
    <w:rsid w:val="00BF0EB7"/>
    <w:rsid w:val="00BF1387"/>
    <w:rsid w:val="00BF1990"/>
    <w:rsid w:val="00BF19D8"/>
    <w:rsid w:val="00BF23A1"/>
    <w:rsid w:val="00BF2B01"/>
    <w:rsid w:val="00BF2E37"/>
    <w:rsid w:val="00BF4235"/>
    <w:rsid w:val="00BF476F"/>
    <w:rsid w:val="00BF4866"/>
    <w:rsid w:val="00BF49A8"/>
    <w:rsid w:val="00BF4B27"/>
    <w:rsid w:val="00BF5D19"/>
    <w:rsid w:val="00BF620D"/>
    <w:rsid w:val="00BF67ED"/>
    <w:rsid w:val="00BF6FCF"/>
    <w:rsid w:val="00BF744F"/>
    <w:rsid w:val="00BF751E"/>
    <w:rsid w:val="00BF7976"/>
    <w:rsid w:val="00BF7D4A"/>
    <w:rsid w:val="00C00478"/>
    <w:rsid w:val="00C0056F"/>
    <w:rsid w:val="00C006CB"/>
    <w:rsid w:val="00C00919"/>
    <w:rsid w:val="00C009A2"/>
    <w:rsid w:val="00C00D3A"/>
    <w:rsid w:val="00C00E65"/>
    <w:rsid w:val="00C0149A"/>
    <w:rsid w:val="00C0162E"/>
    <w:rsid w:val="00C01921"/>
    <w:rsid w:val="00C01F52"/>
    <w:rsid w:val="00C0235C"/>
    <w:rsid w:val="00C024B4"/>
    <w:rsid w:val="00C0259E"/>
    <w:rsid w:val="00C03A90"/>
    <w:rsid w:val="00C046F7"/>
    <w:rsid w:val="00C05148"/>
    <w:rsid w:val="00C06501"/>
    <w:rsid w:val="00C0741C"/>
    <w:rsid w:val="00C0771E"/>
    <w:rsid w:val="00C0783D"/>
    <w:rsid w:val="00C07E13"/>
    <w:rsid w:val="00C11A19"/>
    <w:rsid w:val="00C11AC8"/>
    <w:rsid w:val="00C11BF6"/>
    <w:rsid w:val="00C120AF"/>
    <w:rsid w:val="00C123FE"/>
    <w:rsid w:val="00C12647"/>
    <w:rsid w:val="00C12E3A"/>
    <w:rsid w:val="00C1329E"/>
    <w:rsid w:val="00C14555"/>
    <w:rsid w:val="00C148B1"/>
    <w:rsid w:val="00C154E4"/>
    <w:rsid w:val="00C158A4"/>
    <w:rsid w:val="00C15DD8"/>
    <w:rsid w:val="00C164B8"/>
    <w:rsid w:val="00C16766"/>
    <w:rsid w:val="00C1685C"/>
    <w:rsid w:val="00C173C5"/>
    <w:rsid w:val="00C22128"/>
    <w:rsid w:val="00C22C09"/>
    <w:rsid w:val="00C22C0E"/>
    <w:rsid w:val="00C22C38"/>
    <w:rsid w:val="00C2345E"/>
    <w:rsid w:val="00C23948"/>
    <w:rsid w:val="00C23982"/>
    <w:rsid w:val="00C23BDA"/>
    <w:rsid w:val="00C24120"/>
    <w:rsid w:val="00C2434C"/>
    <w:rsid w:val="00C24614"/>
    <w:rsid w:val="00C24665"/>
    <w:rsid w:val="00C24825"/>
    <w:rsid w:val="00C253F8"/>
    <w:rsid w:val="00C254DF"/>
    <w:rsid w:val="00C26A07"/>
    <w:rsid w:val="00C26DDF"/>
    <w:rsid w:val="00C27205"/>
    <w:rsid w:val="00C304A4"/>
    <w:rsid w:val="00C30641"/>
    <w:rsid w:val="00C3071E"/>
    <w:rsid w:val="00C30981"/>
    <w:rsid w:val="00C31056"/>
    <w:rsid w:val="00C31F3B"/>
    <w:rsid w:val="00C32052"/>
    <w:rsid w:val="00C32417"/>
    <w:rsid w:val="00C3291C"/>
    <w:rsid w:val="00C33790"/>
    <w:rsid w:val="00C34351"/>
    <w:rsid w:val="00C34E95"/>
    <w:rsid w:val="00C350CE"/>
    <w:rsid w:val="00C35517"/>
    <w:rsid w:val="00C35AA3"/>
    <w:rsid w:val="00C36507"/>
    <w:rsid w:val="00C370DF"/>
    <w:rsid w:val="00C37509"/>
    <w:rsid w:val="00C37597"/>
    <w:rsid w:val="00C37707"/>
    <w:rsid w:val="00C37B3A"/>
    <w:rsid w:val="00C4036E"/>
    <w:rsid w:val="00C4074D"/>
    <w:rsid w:val="00C40E08"/>
    <w:rsid w:val="00C414C0"/>
    <w:rsid w:val="00C41BC9"/>
    <w:rsid w:val="00C41F61"/>
    <w:rsid w:val="00C420F3"/>
    <w:rsid w:val="00C421BB"/>
    <w:rsid w:val="00C427F9"/>
    <w:rsid w:val="00C428DA"/>
    <w:rsid w:val="00C42FE9"/>
    <w:rsid w:val="00C43776"/>
    <w:rsid w:val="00C439C3"/>
    <w:rsid w:val="00C43EFB"/>
    <w:rsid w:val="00C441D4"/>
    <w:rsid w:val="00C442E3"/>
    <w:rsid w:val="00C45BAF"/>
    <w:rsid w:val="00C45DED"/>
    <w:rsid w:val="00C463F7"/>
    <w:rsid w:val="00C464CF"/>
    <w:rsid w:val="00C46D89"/>
    <w:rsid w:val="00C4733A"/>
    <w:rsid w:val="00C47FE6"/>
    <w:rsid w:val="00C50050"/>
    <w:rsid w:val="00C5018C"/>
    <w:rsid w:val="00C5091D"/>
    <w:rsid w:val="00C509D3"/>
    <w:rsid w:val="00C50A41"/>
    <w:rsid w:val="00C518CB"/>
    <w:rsid w:val="00C51AE3"/>
    <w:rsid w:val="00C52DA0"/>
    <w:rsid w:val="00C53138"/>
    <w:rsid w:val="00C53668"/>
    <w:rsid w:val="00C53B97"/>
    <w:rsid w:val="00C53E67"/>
    <w:rsid w:val="00C54C0D"/>
    <w:rsid w:val="00C54C4D"/>
    <w:rsid w:val="00C56599"/>
    <w:rsid w:val="00C565F3"/>
    <w:rsid w:val="00C566E3"/>
    <w:rsid w:val="00C56741"/>
    <w:rsid w:val="00C568F0"/>
    <w:rsid w:val="00C56CC4"/>
    <w:rsid w:val="00C57293"/>
    <w:rsid w:val="00C57489"/>
    <w:rsid w:val="00C574C1"/>
    <w:rsid w:val="00C5794B"/>
    <w:rsid w:val="00C57FB2"/>
    <w:rsid w:val="00C604BE"/>
    <w:rsid w:val="00C60C49"/>
    <w:rsid w:val="00C615FA"/>
    <w:rsid w:val="00C6204D"/>
    <w:rsid w:val="00C620FF"/>
    <w:rsid w:val="00C62162"/>
    <w:rsid w:val="00C62E98"/>
    <w:rsid w:val="00C62EDE"/>
    <w:rsid w:val="00C6394B"/>
    <w:rsid w:val="00C63A86"/>
    <w:rsid w:val="00C64A41"/>
    <w:rsid w:val="00C64CBA"/>
    <w:rsid w:val="00C64D79"/>
    <w:rsid w:val="00C65116"/>
    <w:rsid w:val="00C651BD"/>
    <w:rsid w:val="00C6573E"/>
    <w:rsid w:val="00C65CD4"/>
    <w:rsid w:val="00C65E25"/>
    <w:rsid w:val="00C663FA"/>
    <w:rsid w:val="00C67377"/>
    <w:rsid w:val="00C675C9"/>
    <w:rsid w:val="00C704A7"/>
    <w:rsid w:val="00C70D4E"/>
    <w:rsid w:val="00C718C5"/>
    <w:rsid w:val="00C71C3F"/>
    <w:rsid w:val="00C71EBE"/>
    <w:rsid w:val="00C72B71"/>
    <w:rsid w:val="00C7303B"/>
    <w:rsid w:val="00C7327F"/>
    <w:rsid w:val="00C74456"/>
    <w:rsid w:val="00C7509B"/>
    <w:rsid w:val="00C75173"/>
    <w:rsid w:val="00C75512"/>
    <w:rsid w:val="00C75B27"/>
    <w:rsid w:val="00C75C3F"/>
    <w:rsid w:val="00C767BF"/>
    <w:rsid w:val="00C7747E"/>
    <w:rsid w:val="00C80201"/>
    <w:rsid w:val="00C80446"/>
    <w:rsid w:val="00C80A84"/>
    <w:rsid w:val="00C80D79"/>
    <w:rsid w:val="00C80DC7"/>
    <w:rsid w:val="00C81531"/>
    <w:rsid w:val="00C8173C"/>
    <w:rsid w:val="00C821B2"/>
    <w:rsid w:val="00C83274"/>
    <w:rsid w:val="00C840B4"/>
    <w:rsid w:val="00C84627"/>
    <w:rsid w:val="00C84850"/>
    <w:rsid w:val="00C8500A"/>
    <w:rsid w:val="00C85020"/>
    <w:rsid w:val="00C85ADD"/>
    <w:rsid w:val="00C85F06"/>
    <w:rsid w:val="00C86013"/>
    <w:rsid w:val="00C86420"/>
    <w:rsid w:val="00C86460"/>
    <w:rsid w:val="00C86B57"/>
    <w:rsid w:val="00C87100"/>
    <w:rsid w:val="00C87919"/>
    <w:rsid w:val="00C87B43"/>
    <w:rsid w:val="00C87E37"/>
    <w:rsid w:val="00C9012C"/>
    <w:rsid w:val="00C9051C"/>
    <w:rsid w:val="00C90960"/>
    <w:rsid w:val="00C9133A"/>
    <w:rsid w:val="00C91667"/>
    <w:rsid w:val="00C91C7D"/>
    <w:rsid w:val="00C922BD"/>
    <w:rsid w:val="00C923B7"/>
    <w:rsid w:val="00C92682"/>
    <w:rsid w:val="00C935CE"/>
    <w:rsid w:val="00C9381A"/>
    <w:rsid w:val="00C94046"/>
    <w:rsid w:val="00C94250"/>
    <w:rsid w:val="00C945B5"/>
    <w:rsid w:val="00C945BC"/>
    <w:rsid w:val="00C94D88"/>
    <w:rsid w:val="00C94DF7"/>
    <w:rsid w:val="00C95497"/>
    <w:rsid w:val="00C96127"/>
    <w:rsid w:val="00C96910"/>
    <w:rsid w:val="00C96DD7"/>
    <w:rsid w:val="00C97AF7"/>
    <w:rsid w:val="00C97D41"/>
    <w:rsid w:val="00CA0323"/>
    <w:rsid w:val="00CA07D4"/>
    <w:rsid w:val="00CA0809"/>
    <w:rsid w:val="00CA0835"/>
    <w:rsid w:val="00CA106E"/>
    <w:rsid w:val="00CA131A"/>
    <w:rsid w:val="00CA1B5D"/>
    <w:rsid w:val="00CA23BE"/>
    <w:rsid w:val="00CA279A"/>
    <w:rsid w:val="00CA27C6"/>
    <w:rsid w:val="00CA2D13"/>
    <w:rsid w:val="00CA3ABE"/>
    <w:rsid w:val="00CA3BE9"/>
    <w:rsid w:val="00CA3D7D"/>
    <w:rsid w:val="00CA4B91"/>
    <w:rsid w:val="00CA4BE5"/>
    <w:rsid w:val="00CA553F"/>
    <w:rsid w:val="00CA5634"/>
    <w:rsid w:val="00CA5851"/>
    <w:rsid w:val="00CA5E2F"/>
    <w:rsid w:val="00CA6CE3"/>
    <w:rsid w:val="00CA77E8"/>
    <w:rsid w:val="00CA7A72"/>
    <w:rsid w:val="00CA7B8B"/>
    <w:rsid w:val="00CA7DCB"/>
    <w:rsid w:val="00CB025A"/>
    <w:rsid w:val="00CB08D6"/>
    <w:rsid w:val="00CB2432"/>
    <w:rsid w:val="00CB257C"/>
    <w:rsid w:val="00CB29F4"/>
    <w:rsid w:val="00CB3C45"/>
    <w:rsid w:val="00CB3DFD"/>
    <w:rsid w:val="00CB43A9"/>
    <w:rsid w:val="00CB4AD6"/>
    <w:rsid w:val="00CB4F6C"/>
    <w:rsid w:val="00CB56A0"/>
    <w:rsid w:val="00CB57C2"/>
    <w:rsid w:val="00CB5AE5"/>
    <w:rsid w:val="00CB627C"/>
    <w:rsid w:val="00CB6968"/>
    <w:rsid w:val="00CB7BF2"/>
    <w:rsid w:val="00CC0072"/>
    <w:rsid w:val="00CC0F34"/>
    <w:rsid w:val="00CC1476"/>
    <w:rsid w:val="00CC1964"/>
    <w:rsid w:val="00CC1E89"/>
    <w:rsid w:val="00CC1F8B"/>
    <w:rsid w:val="00CC2327"/>
    <w:rsid w:val="00CC2AE1"/>
    <w:rsid w:val="00CC3205"/>
    <w:rsid w:val="00CC3880"/>
    <w:rsid w:val="00CC4077"/>
    <w:rsid w:val="00CC444F"/>
    <w:rsid w:val="00CC554F"/>
    <w:rsid w:val="00CC5633"/>
    <w:rsid w:val="00CC5ED2"/>
    <w:rsid w:val="00CC62B4"/>
    <w:rsid w:val="00CC6374"/>
    <w:rsid w:val="00CC6645"/>
    <w:rsid w:val="00CC68FA"/>
    <w:rsid w:val="00CC6CB7"/>
    <w:rsid w:val="00CC6D25"/>
    <w:rsid w:val="00CD077D"/>
    <w:rsid w:val="00CD07BA"/>
    <w:rsid w:val="00CD134F"/>
    <w:rsid w:val="00CD1433"/>
    <w:rsid w:val="00CD1C39"/>
    <w:rsid w:val="00CD1E8D"/>
    <w:rsid w:val="00CD260F"/>
    <w:rsid w:val="00CD29CC"/>
    <w:rsid w:val="00CD3619"/>
    <w:rsid w:val="00CD4148"/>
    <w:rsid w:val="00CD42EC"/>
    <w:rsid w:val="00CD5A4B"/>
    <w:rsid w:val="00CD5FC1"/>
    <w:rsid w:val="00CD663F"/>
    <w:rsid w:val="00CD6C32"/>
    <w:rsid w:val="00CE03D0"/>
    <w:rsid w:val="00CE1795"/>
    <w:rsid w:val="00CE18B4"/>
    <w:rsid w:val="00CE18D3"/>
    <w:rsid w:val="00CE1E98"/>
    <w:rsid w:val="00CE31C1"/>
    <w:rsid w:val="00CE362A"/>
    <w:rsid w:val="00CE4290"/>
    <w:rsid w:val="00CE446E"/>
    <w:rsid w:val="00CE4ED5"/>
    <w:rsid w:val="00CE58C4"/>
    <w:rsid w:val="00CE5F98"/>
    <w:rsid w:val="00CE6178"/>
    <w:rsid w:val="00CE623C"/>
    <w:rsid w:val="00CE695F"/>
    <w:rsid w:val="00CE6BD5"/>
    <w:rsid w:val="00CE6D28"/>
    <w:rsid w:val="00CE7134"/>
    <w:rsid w:val="00CE73C2"/>
    <w:rsid w:val="00CE7CC6"/>
    <w:rsid w:val="00CE7E53"/>
    <w:rsid w:val="00CF0415"/>
    <w:rsid w:val="00CF0B68"/>
    <w:rsid w:val="00CF214D"/>
    <w:rsid w:val="00CF2884"/>
    <w:rsid w:val="00CF37CE"/>
    <w:rsid w:val="00CF3D8F"/>
    <w:rsid w:val="00CF419B"/>
    <w:rsid w:val="00CF41A4"/>
    <w:rsid w:val="00CF4AE9"/>
    <w:rsid w:val="00CF4CEF"/>
    <w:rsid w:val="00CF5584"/>
    <w:rsid w:val="00CF5BE2"/>
    <w:rsid w:val="00CF61F3"/>
    <w:rsid w:val="00CF64DA"/>
    <w:rsid w:val="00CF6502"/>
    <w:rsid w:val="00CF6DD2"/>
    <w:rsid w:val="00CF709A"/>
    <w:rsid w:val="00CF7356"/>
    <w:rsid w:val="00D0015E"/>
    <w:rsid w:val="00D003A5"/>
    <w:rsid w:val="00D0053A"/>
    <w:rsid w:val="00D0091C"/>
    <w:rsid w:val="00D00DBC"/>
    <w:rsid w:val="00D00F1A"/>
    <w:rsid w:val="00D0101A"/>
    <w:rsid w:val="00D016AD"/>
    <w:rsid w:val="00D0395E"/>
    <w:rsid w:val="00D04835"/>
    <w:rsid w:val="00D04A2A"/>
    <w:rsid w:val="00D04C2C"/>
    <w:rsid w:val="00D05093"/>
    <w:rsid w:val="00D059F9"/>
    <w:rsid w:val="00D05FC0"/>
    <w:rsid w:val="00D073FF"/>
    <w:rsid w:val="00D075A6"/>
    <w:rsid w:val="00D07B24"/>
    <w:rsid w:val="00D07E14"/>
    <w:rsid w:val="00D10397"/>
    <w:rsid w:val="00D1091A"/>
    <w:rsid w:val="00D1154D"/>
    <w:rsid w:val="00D11F20"/>
    <w:rsid w:val="00D11F55"/>
    <w:rsid w:val="00D12013"/>
    <w:rsid w:val="00D120D9"/>
    <w:rsid w:val="00D127B8"/>
    <w:rsid w:val="00D12ECB"/>
    <w:rsid w:val="00D130FA"/>
    <w:rsid w:val="00D13751"/>
    <w:rsid w:val="00D13819"/>
    <w:rsid w:val="00D13A4A"/>
    <w:rsid w:val="00D142B9"/>
    <w:rsid w:val="00D146DB"/>
    <w:rsid w:val="00D14ECD"/>
    <w:rsid w:val="00D16040"/>
    <w:rsid w:val="00D166E3"/>
    <w:rsid w:val="00D16A60"/>
    <w:rsid w:val="00D1782A"/>
    <w:rsid w:val="00D17D61"/>
    <w:rsid w:val="00D2014E"/>
    <w:rsid w:val="00D20476"/>
    <w:rsid w:val="00D20819"/>
    <w:rsid w:val="00D20FB2"/>
    <w:rsid w:val="00D2110C"/>
    <w:rsid w:val="00D21587"/>
    <w:rsid w:val="00D2172A"/>
    <w:rsid w:val="00D217DE"/>
    <w:rsid w:val="00D21AEE"/>
    <w:rsid w:val="00D2263A"/>
    <w:rsid w:val="00D2271A"/>
    <w:rsid w:val="00D22AAB"/>
    <w:rsid w:val="00D23641"/>
    <w:rsid w:val="00D2391D"/>
    <w:rsid w:val="00D24024"/>
    <w:rsid w:val="00D24E7D"/>
    <w:rsid w:val="00D253A4"/>
    <w:rsid w:val="00D254FA"/>
    <w:rsid w:val="00D2560E"/>
    <w:rsid w:val="00D259E2"/>
    <w:rsid w:val="00D25FEA"/>
    <w:rsid w:val="00D261D6"/>
    <w:rsid w:val="00D263E3"/>
    <w:rsid w:val="00D265F5"/>
    <w:rsid w:val="00D26F54"/>
    <w:rsid w:val="00D27C13"/>
    <w:rsid w:val="00D30D4B"/>
    <w:rsid w:val="00D30D7D"/>
    <w:rsid w:val="00D31146"/>
    <w:rsid w:val="00D314BB"/>
    <w:rsid w:val="00D317C8"/>
    <w:rsid w:val="00D31B91"/>
    <w:rsid w:val="00D322F5"/>
    <w:rsid w:val="00D329D4"/>
    <w:rsid w:val="00D33464"/>
    <w:rsid w:val="00D335C6"/>
    <w:rsid w:val="00D335CA"/>
    <w:rsid w:val="00D3460E"/>
    <w:rsid w:val="00D347F4"/>
    <w:rsid w:val="00D34BA8"/>
    <w:rsid w:val="00D351AB"/>
    <w:rsid w:val="00D351E1"/>
    <w:rsid w:val="00D35435"/>
    <w:rsid w:val="00D35BBE"/>
    <w:rsid w:val="00D36579"/>
    <w:rsid w:val="00D36F61"/>
    <w:rsid w:val="00D37962"/>
    <w:rsid w:val="00D40CDE"/>
    <w:rsid w:val="00D41AD0"/>
    <w:rsid w:val="00D41B32"/>
    <w:rsid w:val="00D41D6C"/>
    <w:rsid w:val="00D41F35"/>
    <w:rsid w:val="00D42F2A"/>
    <w:rsid w:val="00D43B14"/>
    <w:rsid w:val="00D45A9A"/>
    <w:rsid w:val="00D45E1B"/>
    <w:rsid w:val="00D45EDB"/>
    <w:rsid w:val="00D4620A"/>
    <w:rsid w:val="00D46A5E"/>
    <w:rsid w:val="00D46E50"/>
    <w:rsid w:val="00D46EC6"/>
    <w:rsid w:val="00D472E9"/>
    <w:rsid w:val="00D50203"/>
    <w:rsid w:val="00D50A8D"/>
    <w:rsid w:val="00D50C11"/>
    <w:rsid w:val="00D50C99"/>
    <w:rsid w:val="00D5121D"/>
    <w:rsid w:val="00D51D56"/>
    <w:rsid w:val="00D5241C"/>
    <w:rsid w:val="00D52C62"/>
    <w:rsid w:val="00D52F29"/>
    <w:rsid w:val="00D535B1"/>
    <w:rsid w:val="00D54F91"/>
    <w:rsid w:val="00D55611"/>
    <w:rsid w:val="00D55B12"/>
    <w:rsid w:val="00D5605D"/>
    <w:rsid w:val="00D569E5"/>
    <w:rsid w:val="00D56D11"/>
    <w:rsid w:val="00D570C8"/>
    <w:rsid w:val="00D572CA"/>
    <w:rsid w:val="00D572DA"/>
    <w:rsid w:val="00D575C2"/>
    <w:rsid w:val="00D5791A"/>
    <w:rsid w:val="00D57D15"/>
    <w:rsid w:val="00D57FF9"/>
    <w:rsid w:val="00D601E2"/>
    <w:rsid w:val="00D60B38"/>
    <w:rsid w:val="00D60E74"/>
    <w:rsid w:val="00D612F7"/>
    <w:rsid w:val="00D6185E"/>
    <w:rsid w:val="00D61871"/>
    <w:rsid w:val="00D618AD"/>
    <w:rsid w:val="00D61C05"/>
    <w:rsid w:val="00D61F13"/>
    <w:rsid w:val="00D627BA"/>
    <w:rsid w:val="00D63B64"/>
    <w:rsid w:val="00D63BA2"/>
    <w:rsid w:val="00D63E37"/>
    <w:rsid w:val="00D641D9"/>
    <w:rsid w:val="00D643CE"/>
    <w:rsid w:val="00D64792"/>
    <w:rsid w:val="00D6565A"/>
    <w:rsid w:val="00D65994"/>
    <w:rsid w:val="00D65BED"/>
    <w:rsid w:val="00D65C1F"/>
    <w:rsid w:val="00D6622C"/>
    <w:rsid w:val="00D66269"/>
    <w:rsid w:val="00D66760"/>
    <w:rsid w:val="00D676D0"/>
    <w:rsid w:val="00D679B5"/>
    <w:rsid w:val="00D70C96"/>
    <w:rsid w:val="00D715AF"/>
    <w:rsid w:val="00D715E7"/>
    <w:rsid w:val="00D719DE"/>
    <w:rsid w:val="00D71C66"/>
    <w:rsid w:val="00D72D2B"/>
    <w:rsid w:val="00D74311"/>
    <w:rsid w:val="00D7452C"/>
    <w:rsid w:val="00D74893"/>
    <w:rsid w:val="00D74A23"/>
    <w:rsid w:val="00D74F11"/>
    <w:rsid w:val="00D761CB"/>
    <w:rsid w:val="00D76848"/>
    <w:rsid w:val="00D76A78"/>
    <w:rsid w:val="00D77714"/>
    <w:rsid w:val="00D779A1"/>
    <w:rsid w:val="00D8124D"/>
    <w:rsid w:val="00D8132F"/>
    <w:rsid w:val="00D81A11"/>
    <w:rsid w:val="00D8284F"/>
    <w:rsid w:val="00D828E6"/>
    <w:rsid w:val="00D82CA2"/>
    <w:rsid w:val="00D82CA8"/>
    <w:rsid w:val="00D82E5B"/>
    <w:rsid w:val="00D83632"/>
    <w:rsid w:val="00D83E0F"/>
    <w:rsid w:val="00D842DA"/>
    <w:rsid w:val="00D84794"/>
    <w:rsid w:val="00D84981"/>
    <w:rsid w:val="00D85083"/>
    <w:rsid w:val="00D8553A"/>
    <w:rsid w:val="00D8576F"/>
    <w:rsid w:val="00D87200"/>
    <w:rsid w:val="00D8751E"/>
    <w:rsid w:val="00D904A9"/>
    <w:rsid w:val="00D90A0C"/>
    <w:rsid w:val="00D90A90"/>
    <w:rsid w:val="00D9182B"/>
    <w:rsid w:val="00D922C9"/>
    <w:rsid w:val="00D92F90"/>
    <w:rsid w:val="00D9317C"/>
    <w:rsid w:val="00D935EF"/>
    <w:rsid w:val="00D9398A"/>
    <w:rsid w:val="00D93C66"/>
    <w:rsid w:val="00D93D55"/>
    <w:rsid w:val="00D93D5F"/>
    <w:rsid w:val="00D9466F"/>
    <w:rsid w:val="00D9506A"/>
    <w:rsid w:val="00D953FE"/>
    <w:rsid w:val="00D957AD"/>
    <w:rsid w:val="00D95EE9"/>
    <w:rsid w:val="00D96E6C"/>
    <w:rsid w:val="00D97296"/>
    <w:rsid w:val="00D97429"/>
    <w:rsid w:val="00D97CA6"/>
    <w:rsid w:val="00DA100D"/>
    <w:rsid w:val="00DA1BC7"/>
    <w:rsid w:val="00DA1E5C"/>
    <w:rsid w:val="00DA209F"/>
    <w:rsid w:val="00DA251F"/>
    <w:rsid w:val="00DA25FA"/>
    <w:rsid w:val="00DA28BE"/>
    <w:rsid w:val="00DA2A65"/>
    <w:rsid w:val="00DA3553"/>
    <w:rsid w:val="00DA3BFD"/>
    <w:rsid w:val="00DA486C"/>
    <w:rsid w:val="00DA52C9"/>
    <w:rsid w:val="00DA52D0"/>
    <w:rsid w:val="00DA562D"/>
    <w:rsid w:val="00DA6082"/>
    <w:rsid w:val="00DA651B"/>
    <w:rsid w:val="00DA6790"/>
    <w:rsid w:val="00DA69C1"/>
    <w:rsid w:val="00DA7857"/>
    <w:rsid w:val="00DA7858"/>
    <w:rsid w:val="00DA7E33"/>
    <w:rsid w:val="00DA7EA3"/>
    <w:rsid w:val="00DB005E"/>
    <w:rsid w:val="00DB0271"/>
    <w:rsid w:val="00DB0759"/>
    <w:rsid w:val="00DB08A8"/>
    <w:rsid w:val="00DB08D4"/>
    <w:rsid w:val="00DB1D7B"/>
    <w:rsid w:val="00DB2343"/>
    <w:rsid w:val="00DB2499"/>
    <w:rsid w:val="00DB2BA0"/>
    <w:rsid w:val="00DB3511"/>
    <w:rsid w:val="00DB4798"/>
    <w:rsid w:val="00DB4AB0"/>
    <w:rsid w:val="00DB4BD3"/>
    <w:rsid w:val="00DB4C1F"/>
    <w:rsid w:val="00DB4D6A"/>
    <w:rsid w:val="00DB5113"/>
    <w:rsid w:val="00DB5223"/>
    <w:rsid w:val="00DB5323"/>
    <w:rsid w:val="00DB5CB6"/>
    <w:rsid w:val="00DB6376"/>
    <w:rsid w:val="00DB674E"/>
    <w:rsid w:val="00DB7048"/>
    <w:rsid w:val="00DB720E"/>
    <w:rsid w:val="00DB726B"/>
    <w:rsid w:val="00DC03E6"/>
    <w:rsid w:val="00DC0589"/>
    <w:rsid w:val="00DC0BD2"/>
    <w:rsid w:val="00DC1969"/>
    <w:rsid w:val="00DC1A1A"/>
    <w:rsid w:val="00DC21D4"/>
    <w:rsid w:val="00DC2482"/>
    <w:rsid w:val="00DC26E1"/>
    <w:rsid w:val="00DC2846"/>
    <w:rsid w:val="00DC2F84"/>
    <w:rsid w:val="00DC3B76"/>
    <w:rsid w:val="00DC3CAA"/>
    <w:rsid w:val="00DC3E84"/>
    <w:rsid w:val="00DC3EBD"/>
    <w:rsid w:val="00DC418D"/>
    <w:rsid w:val="00DC45D0"/>
    <w:rsid w:val="00DC4760"/>
    <w:rsid w:val="00DC4EEE"/>
    <w:rsid w:val="00DC4FC8"/>
    <w:rsid w:val="00DC5529"/>
    <w:rsid w:val="00DC5EDB"/>
    <w:rsid w:val="00DC663C"/>
    <w:rsid w:val="00DC6707"/>
    <w:rsid w:val="00DC6B0D"/>
    <w:rsid w:val="00DC6D03"/>
    <w:rsid w:val="00DC6E50"/>
    <w:rsid w:val="00DC79F8"/>
    <w:rsid w:val="00DC7CDE"/>
    <w:rsid w:val="00DD0108"/>
    <w:rsid w:val="00DD022A"/>
    <w:rsid w:val="00DD088F"/>
    <w:rsid w:val="00DD0A04"/>
    <w:rsid w:val="00DD0CBF"/>
    <w:rsid w:val="00DD0F08"/>
    <w:rsid w:val="00DD13A1"/>
    <w:rsid w:val="00DD15A3"/>
    <w:rsid w:val="00DD1AA1"/>
    <w:rsid w:val="00DD21F8"/>
    <w:rsid w:val="00DD2218"/>
    <w:rsid w:val="00DD26DD"/>
    <w:rsid w:val="00DD3074"/>
    <w:rsid w:val="00DD32E3"/>
    <w:rsid w:val="00DD3348"/>
    <w:rsid w:val="00DD36B6"/>
    <w:rsid w:val="00DD400F"/>
    <w:rsid w:val="00DD4150"/>
    <w:rsid w:val="00DD5086"/>
    <w:rsid w:val="00DD5CA4"/>
    <w:rsid w:val="00DD5D4A"/>
    <w:rsid w:val="00DD7034"/>
    <w:rsid w:val="00DD7A66"/>
    <w:rsid w:val="00DE0207"/>
    <w:rsid w:val="00DE0719"/>
    <w:rsid w:val="00DE0EEF"/>
    <w:rsid w:val="00DE14CE"/>
    <w:rsid w:val="00DE17D3"/>
    <w:rsid w:val="00DE1DF0"/>
    <w:rsid w:val="00DE203D"/>
    <w:rsid w:val="00DE260D"/>
    <w:rsid w:val="00DE2A01"/>
    <w:rsid w:val="00DE2F03"/>
    <w:rsid w:val="00DE31EF"/>
    <w:rsid w:val="00DE34E3"/>
    <w:rsid w:val="00DE38A6"/>
    <w:rsid w:val="00DE4665"/>
    <w:rsid w:val="00DE4B01"/>
    <w:rsid w:val="00DE4F24"/>
    <w:rsid w:val="00DE6802"/>
    <w:rsid w:val="00DE68DD"/>
    <w:rsid w:val="00DE765D"/>
    <w:rsid w:val="00DF1AD2"/>
    <w:rsid w:val="00DF1C0F"/>
    <w:rsid w:val="00DF2444"/>
    <w:rsid w:val="00DF249B"/>
    <w:rsid w:val="00DF2AC9"/>
    <w:rsid w:val="00DF2C01"/>
    <w:rsid w:val="00DF2CA6"/>
    <w:rsid w:val="00DF30C6"/>
    <w:rsid w:val="00DF3219"/>
    <w:rsid w:val="00DF3416"/>
    <w:rsid w:val="00DF3562"/>
    <w:rsid w:val="00DF3AB5"/>
    <w:rsid w:val="00DF3FAB"/>
    <w:rsid w:val="00DF406F"/>
    <w:rsid w:val="00DF4C30"/>
    <w:rsid w:val="00DF52A4"/>
    <w:rsid w:val="00DF58B0"/>
    <w:rsid w:val="00DF5AE8"/>
    <w:rsid w:val="00DF61A8"/>
    <w:rsid w:val="00DF637E"/>
    <w:rsid w:val="00DF6828"/>
    <w:rsid w:val="00DF7798"/>
    <w:rsid w:val="00DF7916"/>
    <w:rsid w:val="00DF7D6D"/>
    <w:rsid w:val="00DF7FE5"/>
    <w:rsid w:val="00E00C05"/>
    <w:rsid w:val="00E00F3E"/>
    <w:rsid w:val="00E01203"/>
    <w:rsid w:val="00E01630"/>
    <w:rsid w:val="00E01755"/>
    <w:rsid w:val="00E01859"/>
    <w:rsid w:val="00E0194A"/>
    <w:rsid w:val="00E01F1C"/>
    <w:rsid w:val="00E0303F"/>
    <w:rsid w:val="00E042D6"/>
    <w:rsid w:val="00E0490B"/>
    <w:rsid w:val="00E049D5"/>
    <w:rsid w:val="00E05268"/>
    <w:rsid w:val="00E05A6E"/>
    <w:rsid w:val="00E05FE9"/>
    <w:rsid w:val="00E06401"/>
    <w:rsid w:val="00E06785"/>
    <w:rsid w:val="00E06BD8"/>
    <w:rsid w:val="00E104B3"/>
    <w:rsid w:val="00E1218F"/>
    <w:rsid w:val="00E12228"/>
    <w:rsid w:val="00E122F8"/>
    <w:rsid w:val="00E12309"/>
    <w:rsid w:val="00E1262F"/>
    <w:rsid w:val="00E12EA6"/>
    <w:rsid w:val="00E12FD4"/>
    <w:rsid w:val="00E13934"/>
    <w:rsid w:val="00E14C34"/>
    <w:rsid w:val="00E15228"/>
    <w:rsid w:val="00E15263"/>
    <w:rsid w:val="00E1552F"/>
    <w:rsid w:val="00E155D1"/>
    <w:rsid w:val="00E15F30"/>
    <w:rsid w:val="00E161CC"/>
    <w:rsid w:val="00E16E64"/>
    <w:rsid w:val="00E16EAF"/>
    <w:rsid w:val="00E176A1"/>
    <w:rsid w:val="00E1796E"/>
    <w:rsid w:val="00E20111"/>
    <w:rsid w:val="00E20480"/>
    <w:rsid w:val="00E20B70"/>
    <w:rsid w:val="00E20B84"/>
    <w:rsid w:val="00E2122B"/>
    <w:rsid w:val="00E21498"/>
    <w:rsid w:val="00E21A04"/>
    <w:rsid w:val="00E22584"/>
    <w:rsid w:val="00E226B4"/>
    <w:rsid w:val="00E23024"/>
    <w:rsid w:val="00E234BA"/>
    <w:rsid w:val="00E235A0"/>
    <w:rsid w:val="00E2381A"/>
    <w:rsid w:val="00E23A9C"/>
    <w:rsid w:val="00E23B5F"/>
    <w:rsid w:val="00E23F29"/>
    <w:rsid w:val="00E24084"/>
    <w:rsid w:val="00E245DD"/>
    <w:rsid w:val="00E24BCF"/>
    <w:rsid w:val="00E25157"/>
    <w:rsid w:val="00E25337"/>
    <w:rsid w:val="00E258FF"/>
    <w:rsid w:val="00E25D99"/>
    <w:rsid w:val="00E25DA3"/>
    <w:rsid w:val="00E2630C"/>
    <w:rsid w:val="00E27F93"/>
    <w:rsid w:val="00E30577"/>
    <w:rsid w:val="00E3075F"/>
    <w:rsid w:val="00E30907"/>
    <w:rsid w:val="00E30E17"/>
    <w:rsid w:val="00E317C3"/>
    <w:rsid w:val="00E318B7"/>
    <w:rsid w:val="00E32B29"/>
    <w:rsid w:val="00E33214"/>
    <w:rsid w:val="00E333D1"/>
    <w:rsid w:val="00E335A4"/>
    <w:rsid w:val="00E33868"/>
    <w:rsid w:val="00E33E49"/>
    <w:rsid w:val="00E33F17"/>
    <w:rsid w:val="00E35D7C"/>
    <w:rsid w:val="00E35F80"/>
    <w:rsid w:val="00E3655B"/>
    <w:rsid w:val="00E36730"/>
    <w:rsid w:val="00E369C8"/>
    <w:rsid w:val="00E37023"/>
    <w:rsid w:val="00E375E5"/>
    <w:rsid w:val="00E377E5"/>
    <w:rsid w:val="00E401DD"/>
    <w:rsid w:val="00E4065A"/>
    <w:rsid w:val="00E4097C"/>
    <w:rsid w:val="00E41BA4"/>
    <w:rsid w:val="00E41CEC"/>
    <w:rsid w:val="00E41D09"/>
    <w:rsid w:val="00E42893"/>
    <w:rsid w:val="00E42AD5"/>
    <w:rsid w:val="00E431F5"/>
    <w:rsid w:val="00E4363C"/>
    <w:rsid w:val="00E4372C"/>
    <w:rsid w:val="00E43BB2"/>
    <w:rsid w:val="00E43D52"/>
    <w:rsid w:val="00E443FB"/>
    <w:rsid w:val="00E446F6"/>
    <w:rsid w:val="00E44943"/>
    <w:rsid w:val="00E44C5B"/>
    <w:rsid w:val="00E451B6"/>
    <w:rsid w:val="00E457D3"/>
    <w:rsid w:val="00E46A5C"/>
    <w:rsid w:val="00E46E64"/>
    <w:rsid w:val="00E4777C"/>
    <w:rsid w:val="00E47978"/>
    <w:rsid w:val="00E47D38"/>
    <w:rsid w:val="00E5051B"/>
    <w:rsid w:val="00E5093C"/>
    <w:rsid w:val="00E50B32"/>
    <w:rsid w:val="00E50EF7"/>
    <w:rsid w:val="00E52890"/>
    <w:rsid w:val="00E53736"/>
    <w:rsid w:val="00E53B12"/>
    <w:rsid w:val="00E545A8"/>
    <w:rsid w:val="00E54925"/>
    <w:rsid w:val="00E54F72"/>
    <w:rsid w:val="00E556E6"/>
    <w:rsid w:val="00E55D38"/>
    <w:rsid w:val="00E5644D"/>
    <w:rsid w:val="00E575C6"/>
    <w:rsid w:val="00E57BA8"/>
    <w:rsid w:val="00E6006B"/>
    <w:rsid w:val="00E61700"/>
    <w:rsid w:val="00E62410"/>
    <w:rsid w:val="00E627BB"/>
    <w:rsid w:val="00E62ABF"/>
    <w:rsid w:val="00E6344C"/>
    <w:rsid w:val="00E6347E"/>
    <w:rsid w:val="00E635A9"/>
    <w:rsid w:val="00E63664"/>
    <w:rsid w:val="00E640BC"/>
    <w:rsid w:val="00E647A3"/>
    <w:rsid w:val="00E64CF3"/>
    <w:rsid w:val="00E64EDC"/>
    <w:rsid w:val="00E653E5"/>
    <w:rsid w:val="00E656B0"/>
    <w:rsid w:val="00E65CED"/>
    <w:rsid w:val="00E65D14"/>
    <w:rsid w:val="00E66209"/>
    <w:rsid w:val="00E66ADE"/>
    <w:rsid w:val="00E66FB4"/>
    <w:rsid w:val="00E67125"/>
    <w:rsid w:val="00E67726"/>
    <w:rsid w:val="00E67BAD"/>
    <w:rsid w:val="00E67BD0"/>
    <w:rsid w:val="00E7041D"/>
    <w:rsid w:val="00E71234"/>
    <w:rsid w:val="00E71244"/>
    <w:rsid w:val="00E718D2"/>
    <w:rsid w:val="00E71BD7"/>
    <w:rsid w:val="00E71DEF"/>
    <w:rsid w:val="00E71F3B"/>
    <w:rsid w:val="00E71F7C"/>
    <w:rsid w:val="00E71F8F"/>
    <w:rsid w:val="00E72683"/>
    <w:rsid w:val="00E727EF"/>
    <w:rsid w:val="00E72F83"/>
    <w:rsid w:val="00E72F8B"/>
    <w:rsid w:val="00E73114"/>
    <w:rsid w:val="00E736F9"/>
    <w:rsid w:val="00E73897"/>
    <w:rsid w:val="00E73DA2"/>
    <w:rsid w:val="00E7453B"/>
    <w:rsid w:val="00E7456D"/>
    <w:rsid w:val="00E75F11"/>
    <w:rsid w:val="00E76212"/>
    <w:rsid w:val="00E7627F"/>
    <w:rsid w:val="00E76A4E"/>
    <w:rsid w:val="00E7738F"/>
    <w:rsid w:val="00E77B31"/>
    <w:rsid w:val="00E77CDD"/>
    <w:rsid w:val="00E77F59"/>
    <w:rsid w:val="00E8012D"/>
    <w:rsid w:val="00E8050E"/>
    <w:rsid w:val="00E80718"/>
    <w:rsid w:val="00E80755"/>
    <w:rsid w:val="00E813CC"/>
    <w:rsid w:val="00E81553"/>
    <w:rsid w:val="00E81DFC"/>
    <w:rsid w:val="00E828EB"/>
    <w:rsid w:val="00E829EA"/>
    <w:rsid w:val="00E82D89"/>
    <w:rsid w:val="00E83147"/>
    <w:rsid w:val="00E8327D"/>
    <w:rsid w:val="00E832E2"/>
    <w:rsid w:val="00E8362B"/>
    <w:rsid w:val="00E8464F"/>
    <w:rsid w:val="00E8481D"/>
    <w:rsid w:val="00E84B8B"/>
    <w:rsid w:val="00E85579"/>
    <w:rsid w:val="00E85BE7"/>
    <w:rsid w:val="00E85D3F"/>
    <w:rsid w:val="00E85E31"/>
    <w:rsid w:val="00E85F91"/>
    <w:rsid w:val="00E8651C"/>
    <w:rsid w:val="00E86559"/>
    <w:rsid w:val="00E8699D"/>
    <w:rsid w:val="00E86C28"/>
    <w:rsid w:val="00E86CF0"/>
    <w:rsid w:val="00E87117"/>
    <w:rsid w:val="00E87AA5"/>
    <w:rsid w:val="00E87CB0"/>
    <w:rsid w:val="00E87D60"/>
    <w:rsid w:val="00E905A0"/>
    <w:rsid w:val="00E90A4D"/>
    <w:rsid w:val="00E90F1F"/>
    <w:rsid w:val="00E90F7C"/>
    <w:rsid w:val="00E91994"/>
    <w:rsid w:val="00E91A24"/>
    <w:rsid w:val="00E91E7B"/>
    <w:rsid w:val="00E91EE6"/>
    <w:rsid w:val="00E92051"/>
    <w:rsid w:val="00E929F6"/>
    <w:rsid w:val="00E9349A"/>
    <w:rsid w:val="00E936AB"/>
    <w:rsid w:val="00E9399B"/>
    <w:rsid w:val="00E939EA"/>
    <w:rsid w:val="00E94054"/>
    <w:rsid w:val="00E9456D"/>
    <w:rsid w:val="00E949AC"/>
    <w:rsid w:val="00E94F0E"/>
    <w:rsid w:val="00E95469"/>
    <w:rsid w:val="00E95D61"/>
    <w:rsid w:val="00E96173"/>
    <w:rsid w:val="00E96286"/>
    <w:rsid w:val="00E963CB"/>
    <w:rsid w:val="00E9647D"/>
    <w:rsid w:val="00E96903"/>
    <w:rsid w:val="00E96EA5"/>
    <w:rsid w:val="00E97642"/>
    <w:rsid w:val="00E97BE7"/>
    <w:rsid w:val="00E97C50"/>
    <w:rsid w:val="00EA0787"/>
    <w:rsid w:val="00EA08EF"/>
    <w:rsid w:val="00EA1333"/>
    <w:rsid w:val="00EA177A"/>
    <w:rsid w:val="00EA2261"/>
    <w:rsid w:val="00EA25DE"/>
    <w:rsid w:val="00EA2CD5"/>
    <w:rsid w:val="00EA3540"/>
    <w:rsid w:val="00EA3D18"/>
    <w:rsid w:val="00EA47D2"/>
    <w:rsid w:val="00EA4C6C"/>
    <w:rsid w:val="00EA4EA9"/>
    <w:rsid w:val="00EA4EC2"/>
    <w:rsid w:val="00EA4FC9"/>
    <w:rsid w:val="00EA55FF"/>
    <w:rsid w:val="00EA5675"/>
    <w:rsid w:val="00EA5901"/>
    <w:rsid w:val="00EA66A4"/>
    <w:rsid w:val="00EA67CB"/>
    <w:rsid w:val="00EA6F16"/>
    <w:rsid w:val="00EA75EF"/>
    <w:rsid w:val="00EA7851"/>
    <w:rsid w:val="00EA7AAA"/>
    <w:rsid w:val="00EB2641"/>
    <w:rsid w:val="00EB3920"/>
    <w:rsid w:val="00EB3C86"/>
    <w:rsid w:val="00EB4AB7"/>
    <w:rsid w:val="00EB4DCD"/>
    <w:rsid w:val="00EB5625"/>
    <w:rsid w:val="00EB5F1E"/>
    <w:rsid w:val="00EB61F6"/>
    <w:rsid w:val="00EB6D86"/>
    <w:rsid w:val="00EB71E9"/>
    <w:rsid w:val="00EC0088"/>
    <w:rsid w:val="00EC0ADD"/>
    <w:rsid w:val="00EC13E4"/>
    <w:rsid w:val="00EC15C6"/>
    <w:rsid w:val="00EC1909"/>
    <w:rsid w:val="00EC245B"/>
    <w:rsid w:val="00EC24D5"/>
    <w:rsid w:val="00EC2583"/>
    <w:rsid w:val="00EC2842"/>
    <w:rsid w:val="00EC2B04"/>
    <w:rsid w:val="00EC3088"/>
    <w:rsid w:val="00EC358D"/>
    <w:rsid w:val="00EC45AA"/>
    <w:rsid w:val="00EC4841"/>
    <w:rsid w:val="00EC5594"/>
    <w:rsid w:val="00EC586F"/>
    <w:rsid w:val="00EC5F2E"/>
    <w:rsid w:val="00EC623B"/>
    <w:rsid w:val="00EC63CB"/>
    <w:rsid w:val="00EC65AD"/>
    <w:rsid w:val="00EC6EF8"/>
    <w:rsid w:val="00EC6FB9"/>
    <w:rsid w:val="00EC7566"/>
    <w:rsid w:val="00EC7BE3"/>
    <w:rsid w:val="00EC7E01"/>
    <w:rsid w:val="00ED0E78"/>
    <w:rsid w:val="00ED0F55"/>
    <w:rsid w:val="00ED10AA"/>
    <w:rsid w:val="00ED135D"/>
    <w:rsid w:val="00ED1577"/>
    <w:rsid w:val="00ED1E29"/>
    <w:rsid w:val="00ED2943"/>
    <w:rsid w:val="00ED35DC"/>
    <w:rsid w:val="00ED398E"/>
    <w:rsid w:val="00ED39E5"/>
    <w:rsid w:val="00ED3DB1"/>
    <w:rsid w:val="00ED4004"/>
    <w:rsid w:val="00ED4D98"/>
    <w:rsid w:val="00ED568D"/>
    <w:rsid w:val="00ED5FB3"/>
    <w:rsid w:val="00ED676A"/>
    <w:rsid w:val="00ED7A6E"/>
    <w:rsid w:val="00EE0233"/>
    <w:rsid w:val="00EE19AB"/>
    <w:rsid w:val="00EE2535"/>
    <w:rsid w:val="00EE2A63"/>
    <w:rsid w:val="00EE2C76"/>
    <w:rsid w:val="00EE2ED8"/>
    <w:rsid w:val="00EE41D4"/>
    <w:rsid w:val="00EE41EF"/>
    <w:rsid w:val="00EE41F9"/>
    <w:rsid w:val="00EE5A2F"/>
    <w:rsid w:val="00EE5C5E"/>
    <w:rsid w:val="00EE5D6B"/>
    <w:rsid w:val="00EE615D"/>
    <w:rsid w:val="00EE6CF6"/>
    <w:rsid w:val="00EE6E61"/>
    <w:rsid w:val="00EE70B2"/>
    <w:rsid w:val="00EE7216"/>
    <w:rsid w:val="00EF013C"/>
    <w:rsid w:val="00EF0141"/>
    <w:rsid w:val="00EF01AD"/>
    <w:rsid w:val="00EF0971"/>
    <w:rsid w:val="00EF0B8E"/>
    <w:rsid w:val="00EF14FA"/>
    <w:rsid w:val="00EF18BD"/>
    <w:rsid w:val="00EF1CE1"/>
    <w:rsid w:val="00EF1D89"/>
    <w:rsid w:val="00EF26E7"/>
    <w:rsid w:val="00EF2F88"/>
    <w:rsid w:val="00EF2FA7"/>
    <w:rsid w:val="00EF372B"/>
    <w:rsid w:val="00EF378D"/>
    <w:rsid w:val="00EF411A"/>
    <w:rsid w:val="00EF45AE"/>
    <w:rsid w:val="00EF469D"/>
    <w:rsid w:val="00EF4E43"/>
    <w:rsid w:val="00EF4EC3"/>
    <w:rsid w:val="00EF501E"/>
    <w:rsid w:val="00EF52C3"/>
    <w:rsid w:val="00EF531F"/>
    <w:rsid w:val="00EF60B1"/>
    <w:rsid w:val="00EF6122"/>
    <w:rsid w:val="00EF7FD0"/>
    <w:rsid w:val="00F001CF"/>
    <w:rsid w:val="00F00311"/>
    <w:rsid w:val="00F011A1"/>
    <w:rsid w:val="00F01243"/>
    <w:rsid w:val="00F01300"/>
    <w:rsid w:val="00F013EE"/>
    <w:rsid w:val="00F0154E"/>
    <w:rsid w:val="00F01693"/>
    <w:rsid w:val="00F02221"/>
    <w:rsid w:val="00F031B1"/>
    <w:rsid w:val="00F038DB"/>
    <w:rsid w:val="00F04466"/>
    <w:rsid w:val="00F045C8"/>
    <w:rsid w:val="00F04E0B"/>
    <w:rsid w:val="00F050FA"/>
    <w:rsid w:val="00F057AA"/>
    <w:rsid w:val="00F05830"/>
    <w:rsid w:val="00F05C85"/>
    <w:rsid w:val="00F0639F"/>
    <w:rsid w:val="00F064C8"/>
    <w:rsid w:val="00F0707E"/>
    <w:rsid w:val="00F07523"/>
    <w:rsid w:val="00F07624"/>
    <w:rsid w:val="00F07C0E"/>
    <w:rsid w:val="00F07DDF"/>
    <w:rsid w:val="00F10825"/>
    <w:rsid w:val="00F108F7"/>
    <w:rsid w:val="00F10B3E"/>
    <w:rsid w:val="00F10E2D"/>
    <w:rsid w:val="00F11052"/>
    <w:rsid w:val="00F113DA"/>
    <w:rsid w:val="00F11BD2"/>
    <w:rsid w:val="00F129BE"/>
    <w:rsid w:val="00F12D4A"/>
    <w:rsid w:val="00F13154"/>
    <w:rsid w:val="00F136C6"/>
    <w:rsid w:val="00F138A0"/>
    <w:rsid w:val="00F13F63"/>
    <w:rsid w:val="00F14247"/>
    <w:rsid w:val="00F149D2"/>
    <w:rsid w:val="00F153FB"/>
    <w:rsid w:val="00F15657"/>
    <w:rsid w:val="00F165E6"/>
    <w:rsid w:val="00F1690C"/>
    <w:rsid w:val="00F16AE0"/>
    <w:rsid w:val="00F16CAD"/>
    <w:rsid w:val="00F16F20"/>
    <w:rsid w:val="00F1734F"/>
    <w:rsid w:val="00F177E1"/>
    <w:rsid w:val="00F17E79"/>
    <w:rsid w:val="00F200D7"/>
    <w:rsid w:val="00F20525"/>
    <w:rsid w:val="00F20685"/>
    <w:rsid w:val="00F20854"/>
    <w:rsid w:val="00F2159C"/>
    <w:rsid w:val="00F21EBF"/>
    <w:rsid w:val="00F224DE"/>
    <w:rsid w:val="00F228DB"/>
    <w:rsid w:val="00F22E19"/>
    <w:rsid w:val="00F233D6"/>
    <w:rsid w:val="00F23903"/>
    <w:rsid w:val="00F244F1"/>
    <w:rsid w:val="00F24C4B"/>
    <w:rsid w:val="00F24D8C"/>
    <w:rsid w:val="00F2515A"/>
    <w:rsid w:val="00F251A1"/>
    <w:rsid w:val="00F2526F"/>
    <w:rsid w:val="00F25438"/>
    <w:rsid w:val="00F25D04"/>
    <w:rsid w:val="00F25F9F"/>
    <w:rsid w:val="00F260DA"/>
    <w:rsid w:val="00F263D1"/>
    <w:rsid w:val="00F264C2"/>
    <w:rsid w:val="00F269B7"/>
    <w:rsid w:val="00F30250"/>
    <w:rsid w:val="00F30CD1"/>
    <w:rsid w:val="00F314B0"/>
    <w:rsid w:val="00F32215"/>
    <w:rsid w:val="00F32546"/>
    <w:rsid w:val="00F32C92"/>
    <w:rsid w:val="00F32F04"/>
    <w:rsid w:val="00F339BE"/>
    <w:rsid w:val="00F34713"/>
    <w:rsid w:val="00F347CA"/>
    <w:rsid w:val="00F35FD2"/>
    <w:rsid w:val="00F3637B"/>
    <w:rsid w:val="00F36C41"/>
    <w:rsid w:val="00F3718D"/>
    <w:rsid w:val="00F37B0F"/>
    <w:rsid w:val="00F37F01"/>
    <w:rsid w:val="00F37F1B"/>
    <w:rsid w:val="00F409EF"/>
    <w:rsid w:val="00F4119C"/>
    <w:rsid w:val="00F41CD6"/>
    <w:rsid w:val="00F420B1"/>
    <w:rsid w:val="00F4291D"/>
    <w:rsid w:val="00F42A66"/>
    <w:rsid w:val="00F43B80"/>
    <w:rsid w:val="00F44196"/>
    <w:rsid w:val="00F44AE2"/>
    <w:rsid w:val="00F44E65"/>
    <w:rsid w:val="00F45B6E"/>
    <w:rsid w:val="00F45C50"/>
    <w:rsid w:val="00F46AE3"/>
    <w:rsid w:val="00F47711"/>
    <w:rsid w:val="00F47A62"/>
    <w:rsid w:val="00F508CB"/>
    <w:rsid w:val="00F51200"/>
    <w:rsid w:val="00F51263"/>
    <w:rsid w:val="00F5156C"/>
    <w:rsid w:val="00F516D7"/>
    <w:rsid w:val="00F51AD0"/>
    <w:rsid w:val="00F528EF"/>
    <w:rsid w:val="00F52A6B"/>
    <w:rsid w:val="00F52A91"/>
    <w:rsid w:val="00F536FC"/>
    <w:rsid w:val="00F5374A"/>
    <w:rsid w:val="00F53AB4"/>
    <w:rsid w:val="00F53DFF"/>
    <w:rsid w:val="00F53E13"/>
    <w:rsid w:val="00F542A1"/>
    <w:rsid w:val="00F551A0"/>
    <w:rsid w:val="00F554C5"/>
    <w:rsid w:val="00F55A67"/>
    <w:rsid w:val="00F55BF5"/>
    <w:rsid w:val="00F56323"/>
    <w:rsid w:val="00F5689C"/>
    <w:rsid w:val="00F569A0"/>
    <w:rsid w:val="00F56B8D"/>
    <w:rsid w:val="00F56C03"/>
    <w:rsid w:val="00F57C05"/>
    <w:rsid w:val="00F57C75"/>
    <w:rsid w:val="00F6056C"/>
    <w:rsid w:val="00F60902"/>
    <w:rsid w:val="00F60B87"/>
    <w:rsid w:val="00F6147C"/>
    <w:rsid w:val="00F61685"/>
    <w:rsid w:val="00F61999"/>
    <w:rsid w:val="00F61AED"/>
    <w:rsid w:val="00F61D9C"/>
    <w:rsid w:val="00F6202C"/>
    <w:rsid w:val="00F623B4"/>
    <w:rsid w:val="00F6250D"/>
    <w:rsid w:val="00F638B4"/>
    <w:rsid w:val="00F63B1F"/>
    <w:rsid w:val="00F63BD6"/>
    <w:rsid w:val="00F63F1C"/>
    <w:rsid w:val="00F6428A"/>
    <w:rsid w:val="00F646BE"/>
    <w:rsid w:val="00F647BE"/>
    <w:rsid w:val="00F648FB"/>
    <w:rsid w:val="00F64E5B"/>
    <w:rsid w:val="00F65C88"/>
    <w:rsid w:val="00F66103"/>
    <w:rsid w:val="00F669AC"/>
    <w:rsid w:val="00F66E39"/>
    <w:rsid w:val="00F67586"/>
    <w:rsid w:val="00F67656"/>
    <w:rsid w:val="00F678B7"/>
    <w:rsid w:val="00F7014B"/>
    <w:rsid w:val="00F702B3"/>
    <w:rsid w:val="00F70BA8"/>
    <w:rsid w:val="00F70CF4"/>
    <w:rsid w:val="00F70FA7"/>
    <w:rsid w:val="00F7158C"/>
    <w:rsid w:val="00F71D21"/>
    <w:rsid w:val="00F72725"/>
    <w:rsid w:val="00F728B1"/>
    <w:rsid w:val="00F72D98"/>
    <w:rsid w:val="00F73214"/>
    <w:rsid w:val="00F73757"/>
    <w:rsid w:val="00F73AF0"/>
    <w:rsid w:val="00F73B54"/>
    <w:rsid w:val="00F73FAF"/>
    <w:rsid w:val="00F74C63"/>
    <w:rsid w:val="00F75126"/>
    <w:rsid w:val="00F75E6F"/>
    <w:rsid w:val="00F76577"/>
    <w:rsid w:val="00F76676"/>
    <w:rsid w:val="00F76CFD"/>
    <w:rsid w:val="00F76EE4"/>
    <w:rsid w:val="00F77214"/>
    <w:rsid w:val="00F7753E"/>
    <w:rsid w:val="00F77758"/>
    <w:rsid w:val="00F77FBE"/>
    <w:rsid w:val="00F80536"/>
    <w:rsid w:val="00F805C2"/>
    <w:rsid w:val="00F8104D"/>
    <w:rsid w:val="00F81620"/>
    <w:rsid w:val="00F8195D"/>
    <w:rsid w:val="00F81960"/>
    <w:rsid w:val="00F81B26"/>
    <w:rsid w:val="00F81D8D"/>
    <w:rsid w:val="00F82871"/>
    <w:rsid w:val="00F82A99"/>
    <w:rsid w:val="00F8362A"/>
    <w:rsid w:val="00F8377D"/>
    <w:rsid w:val="00F83BC3"/>
    <w:rsid w:val="00F83E95"/>
    <w:rsid w:val="00F84026"/>
    <w:rsid w:val="00F847A3"/>
    <w:rsid w:val="00F84AAF"/>
    <w:rsid w:val="00F84B85"/>
    <w:rsid w:val="00F856EF"/>
    <w:rsid w:val="00F8692C"/>
    <w:rsid w:val="00F86FC0"/>
    <w:rsid w:val="00F8714C"/>
    <w:rsid w:val="00F879F4"/>
    <w:rsid w:val="00F87C6C"/>
    <w:rsid w:val="00F87CEC"/>
    <w:rsid w:val="00F9041E"/>
    <w:rsid w:val="00F904F8"/>
    <w:rsid w:val="00F90C51"/>
    <w:rsid w:val="00F90C56"/>
    <w:rsid w:val="00F91121"/>
    <w:rsid w:val="00F9138B"/>
    <w:rsid w:val="00F917D3"/>
    <w:rsid w:val="00F9228D"/>
    <w:rsid w:val="00F92294"/>
    <w:rsid w:val="00F92AC8"/>
    <w:rsid w:val="00F92CE7"/>
    <w:rsid w:val="00F93367"/>
    <w:rsid w:val="00F93389"/>
    <w:rsid w:val="00F93545"/>
    <w:rsid w:val="00F93905"/>
    <w:rsid w:val="00F93DBE"/>
    <w:rsid w:val="00F94C23"/>
    <w:rsid w:val="00F94C4D"/>
    <w:rsid w:val="00F95476"/>
    <w:rsid w:val="00F955A2"/>
    <w:rsid w:val="00F95C1C"/>
    <w:rsid w:val="00F95C2E"/>
    <w:rsid w:val="00F95EB1"/>
    <w:rsid w:val="00F960F6"/>
    <w:rsid w:val="00F961C2"/>
    <w:rsid w:val="00F9660C"/>
    <w:rsid w:val="00F96615"/>
    <w:rsid w:val="00F96B84"/>
    <w:rsid w:val="00F96E9F"/>
    <w:rsid w:val="00F9760B"/>
    <w:rsid w:val="00F97A45"/>
    <w:rsid w:val="00F97C6B"/>
    <w:rsid w:val="00F97D5F"/>
    <w:rsid w:val="00FA01A0"/>
    <w:rsid w:val="00FA0757"/>
    <w:rsid w:val="00FA0777"/>
    <w:rsid w:val="00FA1207"/>
    <w:rsid w:val="00FA147C"/>
    <w:rsid w:val="00FA1A9C"/>
    <w:rsid w:val="00FA1C1F"/>
    <w:rsid w:val="00FA1DA9"/>
    <w:rsid w:val="00FA2655"/>
    <w:rsid w:val="00FA29D7"/>
    <w:rsid w:val="00FA3029"/>
    <w:rsid w:val="00FA367A"/>
    <w:rsid w:val="00FA40C1"/>
    <w:rsid w:val="00FA433C"/>
    <w:rsid w:val="00FA4349"/>
    <w:rsid w:val="00FA48C5"/>
    <w:rsid w:val="00FA4AB0"/>
    <w:rsid w:val="00FA4D00"/>
    <w:rsid w:val="00FA4D6D"/>
    <w:rsid w:val="00FA5033"/>
    <w:rsid w:val="00FA5A1C"/>
    <w:rsid w:val="00FA5F79"/>
    <w:rsid w:val="00FA6037"/>
    <w:rsid w:val="00FA6251"/>
    <w:rsid w:val="00FA6340"/>
    <w:rsid w:val="00FA677F"/>
    <w:rsid w:val="00FA6ECC"/>
    <w:rsid w:val="00FA739E"/>
    <w:rsid w:val="00FA7556"/>
    <w:rsid w:val="00FA7AA9"/>
    <w:rsid w:val="00FB1705"/>
    <w:rsid w:val="00FB21A9"/>
    <w:rsid w:val="00FB245C"/>
    <w:rsid w:val="00FB2539"/>
    <w:rsid w:val="00FB2B46"/>
    <w:rsid w:val="00FB2D24"/>
    <w:rsid w:val="00FB3272"/>
    <w:rsid w:val="00FB329C"/>
    <w:rsid w:val="00FB3580"/>
    <w:rsid w:val="00FB3886"/>
    <w:rsid w:val="00FB3BCC"/>
    <w:rsid w:val="00FB4470"/>
    <w:rsid w:val="00FB5374"/>
    <w:rsid w:val="00FB55C2"/>
    <w:rsid w:val="00FB5694"/>
    <w:rsid w:val="00FB5CA6"/>
    <w:rsid w:val="00FB6032"/>
    <w:rsid w:val="00FB6D2E"/>
    <w:rsid w:val="00FB6FE9"/>
    <w:rsid w:val="00FB7394"/>
    <w:rsid w:val="00FB7ECB"/>
    <w:rsid w:val="00FC07F3"/>
    <w:rsid w:val="00FC0C5E"/>
    <w:rsid w:val="00FC0E33"/>
    <w:rsid w:val="00FC0E70"/>
    <w:rsid w:val="00FC14C6"/>
    <w:rsid w:val="00FC34D1"/>
    <w:rsid w:val="00FC37F8"/>
    <w:rsid w:val="00FC3877"/>
    <w:rsid w:val="00FC4BC7"/>
    <w:rsid w:val="00FC4CD5"/>
    <w:rsid w:val="00FC6896"/>
    <w:rsid w:val="00FC6CF0"/>
    <w:rsid w:val="00FC73AC"/>
    <w:rsid w:val="00FC768A"/>
    <w:rsid w:val="00FC7EAC"/>
    <w:rsid w:val="00FD053A"/>
    <w:rsid w:val="00FD06FB"/>
    <w:rsid w:val="00FD14C0"/>
    <w:rsid w:val="00FD16F6"/>
    <w:rsid w:val="00FD1BDD"/>
    <w:rsid w:val="00FD1EBD"/>
    <w:rsid w:val="00FD219C"/>
    <w:rsid w:val="00FD2544"/>
    <w:rsid w:val="00FD291E"/>
    <w:rsid w:val="00FD2D36"/>
    <w:rsid w:val="00FD2F49"/>
    <w:rsid w:val="00FD3CA3"/>
    <w:rsid w:val="00FD3E40"/>
    <w:rsid w:val="00FD412A"/>
    <w:rsid w:val="00FD41C1"/>
    <w:rsid w:val="00FD499D"/>
    <w:rsid w:val="00FD5593"/>
    <w:rsid w:val="00FD65E7"/>
    <w:rsid w:val="00FD6BDC"/>
    <w:rsid w:val="00FD7233"/>
    <w:rsid w:val="00FE0833"/>
    <w:rsid w:val="00FE0A2F"/>
    <w:rsid w:val="00FE1AC6"/>
    <w:rsid w:val="00FE205C"/>
    <w:rsid w:val="00FE302E"/>
    <w:rsid w:val="00FE31D9"/>
    <w:rsid w:val="00FE3623"/>
    <w:rsid w:val="00FE37B9"/>
    <w:rsid w:val="00FE4021"/>
    <w:rsid w:val="00FE4470"/>
    <w:rsid w:val="00FE5B81"/>
    <w:rsid w:val="00FE5D1D"/>
    <w:rsid w:val="00FE65D7"/>
    <w:rsid w:val="00FE69FA"/>
    <w:rsid w:val="00FE7A9D"/>
    <w:rsid w:val="00FF0031"/>
    <w:rsid w:val="00FF0041"/>
    <w:rsid w:val="00FF197E"/>
    <w:rsid w:val="00FF1A40"/>
    <w:rsid w:val="00FF1D2A"/>
    <w:rsid w:val="00FF2688"/>
    <w:rsid w:val="00FF325A"/>
    <w:rsid w:val="00FF326D"/>
    <w:rsid w:val="00FF36A7"/>
    <w:rsid w:val="00FF3E17"/>
    <w:rsid w:val="00FF475B"/>
    <w:rsid w:val="00FF5373"/>
    <w:rsid w:val="00FF53B4"/>
    <w:rsid w:val="00FF57C2"/>
    <w:rsid w:val="00FF5F2E"/>
    <w:rsid w:val="00FF65F3"/>
    <w:rsid w:val="00FF67E2"/>
    <w:rsid w:val="00FF6E28"/>
    <w:rsid w:val="00FF6E50"/>
    <w:rsid w:val="00FF6EC8"/>
    <w:rsid w:val="00FF6F83"/>
    <w:rsid w:val="00FF72B2"/>
    <w:rsid w:val="00FF73D1"/>
    <w:rsid w:val="00FF7451"/>
    <w:rsid w:val="00FF75DA"/>
    <w:rsid w:val="00FF7C1E"/>
    <w:rsid w:val="00FF7CC5"/>
    <w:rsid w:val="00FF7E4D"/>
    <w:rsid w:val="00FF7F87"/>
    <w:rsid w:val="00FF7F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A2647"/>
  <w15:chartTrackingRefBased/>
  <w15:docId w15:val="{805AD8B1-5288-49A9-A1DD-26C13BB4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3F"/>
    <w:rPr>
      <w:rFonts w:ascii="Times New Roman" w:hAnsi="Times New Roman"/>
      <w:sz w:val="24"/>
    </w:rPr>
  </w:style>
  <w:style w:type="paragraph" w:styleId="Nadpis1">
    <w:name w:val="heading 1"/>
    <w:basedOn w:val="Normlny"/>
    <w:next w:val="Normlny"/>
    <w:link w:val="Nadpis1Char"/>
    <w:autoRedefine/>
    <w:uiPriority w:val="9"/>
    <w:qFormat/>
    <w:rsid w:val="008B1431"/>
    <w:pPr>
      <w:keepNext/>
      <w:numPr>
        <w:numId w:val="9"/>
      </w:numPr>
      <w:spacing w:line="240" w:lineRule="auto"/>
      <w:jc w:val="both"/>
      <w:outlineLvl w:val="0"/>
    </w:pPr>
    <w:rPr>
      <w:rFonts w:eastAsiaTheme="majorEastAsia" w:cstheme="majorBidi"/>
      <w:b/>
      <w:color w:val="5B9BD5" w:themeColor="accent1"/>
      <w:sz w:val="28"/>
      <w:szCs w:val="32"/>
    </w:rPr>
  </w:style>
  <w:style w:type="paragraph" w:styleId="Nadpis2">
    <w:name w:val="heading 2"/>
    <w:basedOn w:val="Normlny"/>
    <w:next w:val="Normlny"/>
    <w:link w:val="Nadpis2Char"/>
    <w:autoRedefine/>
    <w:uiPriority w:val="9"/>
    <w:unhideWhenUsed/>
    <w:qFormat/>
    <w:rsid w:val="00A972FB"/>
    <w:pPr>
      <w:keepNext/>
      <w:numPr>
        <w:ilvl w:val="1"/>
        <w:numId w:val="9"/>
      </w:numPr>
      <w:spacing w:after="120" w:line="240" w:lineRule="auto"/>
      <w:ind w:left="0" w:firstLine="0"/>
      <w:jc w:val="both"/>
      <w:outlineLvl w:val="1"/>
    </w:pPr>
    <w:rPr>
      <w:rFonts w:eastAsiaTheme="majorEastAsia" w:cstheme="majorBidi"/>
      <w:b/>
      <w:color w:val="5B9BD5" w:themeColor="accent1"/>
      <w:szCs w:val="26"/>
    </w:rPr>
  </w:style>
  <w:style w:type="paragraph" w:styleId="Nadpis3">
    <w:name w:val="heading 3"/>
    <w:basedOn w:val="Normlny"/>
    <w:next w:val="Normlny"/>
    <w:link w:val="Nadpis3Char"/>
    <w:uiPriority w:val="9"/>
    <w:unhideWhenUsed/>
    <w:qFormat/>
    <w:rsid w:val="00F420B1"/>
    <w:pPr>
      <w:keepNext/>
      <w:keepLines/>
      <w:numPr>
        <w:ilvl w:val="2"/>
        <w:numId w:val="9"/>
      </w:numPr>
      <w:spacing w:before="120" w:line="240" w:lineRule="auto"/>
      <w:outlineLvl w:val="2"/>
    </w:pPr>
    <w:rPr>
      <w:rFonts w:eastAsiaTheme="majorEastAsia" w:cstheme="majorBidi"/>
      <w:b/>
      <w:color w:val="5B9BD5" w:themeColor="accent1"/>
      <w:szCs w:val="24"/>
    </w:rPr>
  </w:style>
  <w:style w:type="paragraph" w:styleId="Nadpis4">
    <w:name w:val="heading 4"/>
    <w:basedOn w:val="Normlny"/>
    <w:next w:val="Normlny"/>
    <w:link w:val="Nadpis4Char"/>
    <w:uiPriority w:val="9"/>
    <w:unhideWhenUsed/>
    <w:qFormat/>
    <w:rsid w:val="00F73B54"/>
    <w:pPr>
      <w:keepNext/>
      <w:keepLines/>
      <w:numPr>
        <w:ilvl w:val="3"/>
        <w:numId w:val="9"/>
      </w:numPr>
      <w:spacing w:before="120" w:line="240" w:lineRule="auto"/>
      <w:outlineLvl w:val="3"/>
    </w:pPr>
    <w:rPr>
      <w:rFonts w:eastAsiaTheme="majorEastAsia" w:cstheme="majorBidi"/>
      <w:b/>
      <w:iCs/>
      <w:color w:val="5B9BD5" w:themeColor="accent1"/>
    </w:rPr>
  </w:style>
  <w:style w:type="paragraph" w:styleId="Nadpis5">
    <w:name w:val="heading 5"/>
    <w:basedOn w:val="Normlny"/>
    <w:next w:val="Normlny"/>
    <w:link w:val="Nadpis5Char"/>
    <w:uiPriority w:val="9"/>
    <w:unhideWhenUsed/>
    <w:qFormat/>
    <w:rsid w:val="009C63C5"/>
    <w:pPr>
      <w:keepNext/>
      <w:keepLines/>
      <w:numPr>
        <w:ilvl w:val="4"/>
        <w:numId w:val="9"/>
      </w:numPr>
      <w:spacing w:before="40"/>
      <w:outlineLvl w:val="4"/>
    </w:pPr>
    <w:rPr>
      <w:rFonts w:eastAsiaTheme="majorEastAsia" w:cstheme="majorBidi"/>
      <w:b/>
    </w:rPr>
  </w:style>
  <w:style w:type="paragraph" w:styleId="Nadpis6">
    <w:name w:val="heading 6"/>
    <w:basedOn w:val="Normlny"/>
    <w:next w:val="Normlny"/>
    <w:link w:val="Nadpis6Char"/>
    <w:uiPriority w:val="9"/>
    <w:semiHidden/>
    <w:unhideWhenUsed/>
    <w:qFormat/>
    <w:rsid w:val="005F5B88"/>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5F5B88"/>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5F5B88"/>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F5B88"/>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1431"/>
    <w:rPr>
      <w:rFonts w:ascii="Times New Roman" w:eastAsiaTheme="majorEastAsia" w:hAnsi="Times New Roman" w:cstheme="majorBidi"/>
      <w:b/>
      <w:color w:val="5B9BD5" w:themeColor="accent1"/>
      <w:sz w:val="28"/>
      <w:szCs w:val="32"/>
    </w:rPr>
  </w:style>
  <w:style w:type="character" w:customStyle="1" w:styleId="Nadpis2Char">
    <w:name w:val="Nadpis 2 Char"/>
    <w:basedOn w:val="Predvolenpsmoodseku"/>
    <w:link w:val="Nadpis2"/>
    <w:uiPriority w:val="9"/>
    <w:rsid w:val="00A972FB"/>
    <w:rPr>
      <w:rFonts w:ascii="Times New Roman" w:eastAsiaTheme="majorEastAsia" w:hAnsi="Times New Roman" w:cstheme="majorBidi"/>
      <w:b/>
      <w:color w:val="5B9BD5" w:themeColor="accent1"/>
      <w:sz w:val="24"/>
      <w:szCs w:val="26"/>
    </w:rPr>
  </w:style>
  <w:style w:type="character" w:customStyle="1" w:styleId="Nadpis3Char">
    <w:name w:val="Nadpis 3 Char"/>
    <w:basedOn w:val="Predvolenpsmoodseku"/>
    <w:link w:val="Nadpis3"/>
    <w:uiPriority w:val="9"/>
    <w:rsid w:val="00F420B1"/>
    <w:rPr>
      <w:rFonts w:ascii="Times New Roman" w:eastAsiaTheme="majorEastAsia" w:hAnsi="Times New Roman" w:cstheme="majorBidi"/>
      <w:b/>
      <w:color w:val="5B9BD5" w:themeColor="accent1"/>
      <w:sz w:val="24"/>
      <w:szCs w:val="24"/>
    </w:rPr>
  </w:style>
  <w:style w:type="character" w:customStyle="1" w:styleId="Nadpis4Char">
    <w:name w:val="Nadpis 4 Char"/>
    <w:basedOn w:val="Predvolenpsmoodseku"/>
    <w:link w:val="Nadpis4"/>
    <w:uiPriority w:val="9"/>
    <w:rsid w:val="00F73B54"/>
    <w:rPr>
      <w:rFonts w:ascii="Times New Roman" w:eastAsiaTheme="majorEastAsia" w:hAnsi="Times New Roman" w:cstheme="majorBidi"/>
      <w:b/>
      <w:iCs/>
      <w:color w:val="5B9BD5" w:themeColor="accent1"/>
      <w:sz w:val="24"/>
    </w:rPr>
  </w:style>
  <w:style w:type="character" w:customStyle="1" w:styleId="Nadpis5Char">
    <w:name w:val="Nadpis 5 Char"/>
    <w:basedOn w:val="Predvolenpsmoodseku"/>
    <w:link w:val="Nadpis5"/>
    <w:uiPriority w:val="9"/>
    <w:rsid w:val="009C63C5"/>
    <w:rPr>
      <w:rFonts w:ascii="Times New Roman" w:eastAsiaTheme="majorEastAsia" w:hAnsi="Times New Roman" w:cstheme="majorBidi"/>
      <w:b/>
      <w:sz w:val="24"/>
    </w:rPr>
  </w:style>
  <w:style w:type="character" w:customStyle="1" w:styleId="Nadpis6Char">
    <w:name w:val="Nadpis 6 Char"/>
    <w:basedOn w:val="Predvolenpsmoodseku"/>
    <w:link w:val="Nadpis6"/>
    <w:uiPriority w:val="9"/>
    <w:semiHidden/>
    <w:rsid w:val="005F5B88"/>
    <w:rPr>
      <w:rFonts w:asciiTheme="majorHAnsi" w:eastAsiaTheme="majorEastAsia" w:hAnsiTheme="majorHAnsi" w:cstheme="majorBidi"/>
      <w:color w:val="1F4D78" w:themeColor="accent1" w:themeShade="7F"/>
      <w:sz w:val="24"/>
    </w:rPr>
  </w:style>
  <w:style w:type="character" w:customStyle="1" w:styleId="Nadpis7Char">
    <w:name w:val="Nadpis 7 Char"/>
    <w:basedOn w:val="Predvolenpsmoodseku"/>
    <w:link w:val="Nadpis7"/>
    <w:uiPriority w:val="9"/>
    <w:semiHidden/>
    <w:rsid w:val="005F5B88"/>
    <w:rPr>
      <w:rFonts w:asciiTheme="majorHAnsi" w:eastAsiaTheme="majorEastAsia" w:hAnsiTheme="majorHAnsi" w:cstheme="majorBidi"/>
      <w:i/>
      <w:iCs/>
      <w:color w:val="1F4D78" w:themeColor="accent1" w:themeShade="7F"/>
      <w:sz w:val="24"/>
    </w:rPr>
  </w:style>
  <w:style w:type="character" w:customStyle="1" w:styleId="Nadpis8Char">
    <w:name w:val="Nadpis 8 Char"/>
    <w:basedOn w:val="Predvolenpsmoodseku"/>
    <w:link w:val="Nadpis8"/>
    <w:uiPriority w:val="9"/>
    <w:semiHidden/>
    <w:rsid w:val="005F5B8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5F5B88"/>
    <w:rPr>
      <w:rFonts w:asciiTheme="majorHAnsi" w:eastAsiaTheme="majorEastAsia" w:hAnsiTheme="majorHAnsi" w:cstheme="majorBidi"/>
      <w:i/>
      <w:iCs/>
      <w:color w:val="272727" w:themeColor="text1" w:themeTint="D8"/>
      <w:sz w:val="21"/>
      <w:szCs w:val="21"/>
    </w:rPr>
  </w:style>
  <w:style w:type="paragraph" w:styleId="Hlavika">
    <w:name w:val="header"/>
    <w:aliases w:val="Hlavička Char Char Char"/>
    <w:basedOn w:val="Normlny"/>
    <w:link w:val="HlavikaChar"/>
    <w:uiPriority w:val="99"/>
    <w:unhideWhenUsed/>
    <w:qFormat/>
    <w:rsid w:val="00881BDB"/>
    <w:pPr>
      <w:tabs>
        <w:tab w:val="center" w:pos="4536"/>
        <w:tab w:val="right" w:pos="9072"/>
      </w:tabs>
      <w:spacing w:line="240" w:lineRule="auto"/>
    </w:pPr>
  </w:style>
  <w:style w:type="character" w:customStyle="1" w:styleId="HlavikaChar">
    <w:name w:val="Hlavička Char"/>
    <w:aliases w:val="Hlavička Char Char Char Char"/>
    <w:basedOn w:val="Predvolenpsmoodseku"/>
    <w:link w:val="Hlavika"/>
    <w:uiPriority w:val="99"/>
    <w:rsid w:val="00881BDB"/>
    <w:rPr>
      <w:rFonts w:ascii="Times New Roman" w:hAnsi="Times New Roman"/>
    </w:rPr>
  </w:style>
  <w:style w:type="paragraph" w:styleId="Pta">
    <w:name w:val="footer"/>
    <w:basedOn w:val="Normlny"/>
    <w:link w:val="PtaChar"/>
    <w:uiPriority w:val="99"/>
    <w:unhideWhenUsed/>
    <w:rsid w:val="00881BDB"/>
    <w:pPr>
      <w:tabs>
        <w:tab w:val="center" w:pos="4536"/>
        <w:tab w:val="right" w:pos="9072"/>
      </w:tabs>
      <w:spacing w:line="240" w:lineRule="auto"/>
    </w:pPr>
  </w:style>
  <w:style w:type="character" w:customStyle="1" w:styleId="PtaChar">
    <w:name w:val="Päta Char"/>
    <w:basedOn w:val="Predvolenpsmoodseku"/>
    <w:link w:val="Pta"/>
    <w:uiPriority w:val="99"/>
    <w:rsid w:val="00881BDB"/>
    <w:rPr>
      <w:rFonts w:ascii="Times New Roman" w:hAnsi="Times New Roman"/>
    </w:rPr>
  </w:style>
  <w:style w:type="paragraph" w:styleId="Obsah1">
    <w:name w:val="toc 1"/>
    <w:basedOn w:val="Normlny"/>
    <w:next w:val="Normlny"/>
    <w:autoRedefine/>
    <w:uiPriority w:val="39"/>
    <w:unhideWhenUsed/>
    <w:rsid w:val="006421D5"/>
    <w:pPr>
      <w:tabs>
        <w:tab w:val="left" w:pos="332"/>
        <w:tab w:val="right" w:pos="9070"/>
      </w:tabs>
      <w:spacing w:before="120" w:line="274" w:lineRule="auto"/>
    </w:pPr>
    <w:rPr>
      <w:b/>
      <w:bCs/>
      <w:noProof/>
    </w:rPr>
  </w:style>
  <w:style w:type="paragraph" w:styleId="Obsah2">
    <w:name w:val="toc 2"/>
    <w:basedOn w:val="Normlny"/>
    <w:next w:val="Normlny"/>
    <w:autoRedefine/>
    <w:uiPriority w:val="39"/>
    <w:unhideWhenUsed/>
    <w:rsid w:val="00F420B1"/>
    <w:pPr>
      <w:tabs>
        <w:tab w:val="left" w:pos="502"/>
        <w:tab w:val="right" w:pos="9070"/>
      </w:tabs>
      <w:spacing w:line="240" w:lineRule="auto"/>
    </w:pPr>
    <w:rPr>
      <w:b/>
      <w:bCs/>
      <w:noProof/>
    </w:rPr>
  </w:style>
  <w:style w:type="paragraph" w:styleId="Obsah3">
    <w:name w:val="toc 3"/>
    <w:basedOn w:val="Normlny"/>
    <w:next w:val="Normlny"/>
    <w:autoRedefine/>
    <w:uiPriority w:val="39"/>
    <w:unhideWhenUsed/>
    <w:rsid w:val="00F420B1"/>
    <w:pPr>
      <w:tabs>
        <w:tab w:val="left" w:pos="666"/>
        <w:tab w:val="right" w:pos="9070"/>
      </w:tabs>
      <w:spacing w:line="274" w:lineRule="auto"/>
    </w:pPr>
    <w:rPr>
      <w:rFonts w:cs="Times New Roman"/>
      <w:noProof/>
    </w:rPr>
  </w:style>
  <w:style w:type="character" w:styleId="Hypertextovprepojenie">
    <w:name w:val="Hyperlink"/>
    <w:basedOn w:val="Predvolenpsmoodseku"/>
    <w:uiPriority w:val="99"/>
    <w:unhideWhenUsed/>
    <w:rsid w:val="008B7688"/>
    <w:rPr>
      <w:color w:val="0563C1" w:themeColor="hyperlink"/>
      <w:u w:val="single"/>
    </w:rPr>
  </w:style>
  <w:style w:type="paragraph" w:styleId="Obsah4">
    <w:name w:val="toc 4"/>
    <w:basedOn w:val="Normlny"/>
    <w:next w:val="Normlny"/>
    <w:autoRedefine/>
    <w:uiPriority w:val="39"/>
    <w:unhideWhenUsed/>
    <w:rsid w:val="007F2028"/>
    <w:pPr>
      <w:tabs>
        <w:tab w:val="left" w:pos="833"/>
      </w:tabs>
      <w:spacing w:line="240" w:lineRule="auto"/>
    </w:pPr>
    <w:rPr>
      <w:rFonts w:asciiTheme="minorHAnsi" w:hAnsiTheme="minorHAnsi"/>
    </w:rPr>
  </w:style>
  <w:style w:type="paragraph" w:styleId="Obsah5">
    <w:name w:val="toc 5"/>
    <w:basedOn w:val="Normlny"/>
    <w:next w:val="Normlny"/>
    <w:autoRedefine/>
    <w:uiPriority w:val="39"/>
    <w:unhideWhenUsed/>
    <w:rsid w:val="007D65C4"/>
    <w:rPr>
      <w:rFonts w:asciiTheme="minorHAnsi" w:hAnsiTheme="minorHAnsi"/>
    </w:rPr>
  </w:style>
  <w:style w:type="paragraph" w:styleId="Obsah6">
    <w:name w:val="toc 6"/>
    <w:basedOn w:val="Normlny"/>
    <w:next w:val="Normlny"/>
    <w:autoRedefine/>
    <w:uiPriority w:val="39"/>
    <w:unhideWhenUsed/>
    <w:rsid w:val="007D65C4"/>
    <w:rPr>
      <w:rFonts w:asciiTheme="minorHAnsi" w:hAnsiTheme="minorHAnsi"/>
    </w:rPr>
  </w:style>
  <w:style w:type="paragraph" w:styleId="Obsah7">
    <w:name w:val="toc 7"/>
    <w:basedOn w:val="Normlny"/>
    <w:next w:val="Normlny"/>
    <w:autoRedefine/>
    <w:uiPriority w:val="39"/>
    <w:unhideWhenUsed/>
    <w:rsid w:val="007D65C4"/>
    <w:rPr>
      <w:rFonts w:asciiTheme="minorHAnsi" w:hAnsiTheme="minorHAnsi"/>
    </w:rPr>
  </w:style>
  <w:style w:type="paragraph" w:styleId="Obsah8">
    <w:name w:val="toc 8"/>
    <w:basedOn w:val="Normlny"/>
    <w:next w:val="Normlny"/>
    <w:autoRedefine/>
    <w:uiPriority w:val="39"/>
    <w:unhideWhenUsed/>
    <w:rsid w:val="007D65C4"/>
    <w:rPr>
      <w:rFonts w:asciiTheme="minorHAnsi" w:hAnsiTheme="minorHAnsi"/>
    </w:rPr>
  </w:style>
  <w:style w:type="paragraph" w:styleId="Obsah9">
    <w:name w:val="toc 9"/>
    <w:basedOn w:val="Normlny"/>
    <w:next w:val="Normlny"/>
    <w:autoRedefine/>
    <w:uiPriority w:val="39"/>
    <w:unhideWhenUsed/>
    <w:rsid w:val="007D65C4"/>
    <w:rPr>
      <w:rFonts w:asciiTheme="minorHAnsi" w:hAnsiTheme="minorHAnsi"/>
    </w:rPr>
  </w:style>
  <w:style w:type="character" w:customStyle="1" w:styleId="st1">
    <w:name w:val="st1"/>
    <w:basedOn w:val="Predvolenpsmoodseku"/>
    <w:rsid w:val="00743099"/>
  </w:style>
  <w:style w:type="character" w:customStyle="1" w:styleId="awspan1">
    <w:name w:val="awspan1"/>
    <w:basedOn w:val="Predvolenpsmoodseku"/>
    <w:rsid w:val="00743099"/>
    <w:rPr>
      <w:color w:val="000000"/>
      <w:sz w:val="24"/>
      <w:szCs w:val="24"/>
    </w:rPr>
  </w:style>
  <w:style w:type="paragraph" w:styleId="Odsekzoznamu">
    <w:name w:val="List Paragraph"/>
    <w:aliases w:val="body,Odsek zoznamu2,Dot pt,No Spacing1,List Paragraph Char Char Char,Indicator Text,Numbered Para 1,List Paragraph à moi,Odsek zoznamu4,LISTA,Listaszerű bekezdés2,Listaszerű bekezdés3,Listaszerű bekezdés1,Colorful List Accent 1,3,Odsek,LIS"/>
    <w:basedOn w:val="Normlny"/>
    <w:link w:val="OdsekzoznamuChar"/>
    <w:uiPriority w:val="34"/>
    <w:qFormat/>
    <w:rsid w:val="00530112"/>
    <w:pPr>
      <w:spacing w:line="240" w:lineRule="auto"/>
      <w:ind w:left="720"/>
      <w:contextualSpacing/>
    </w:pPr>
    <w:rPr>
      <w:rFonts w:ascii="Calibri" w:hAnsi="Calibri" w:cs="Times New Roman"/>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Plonk"/>
    <w:basedOn w:val="Normlny"/>
    <w:link w:val="TextpoznmkypodiarouChar"/>
    <w:uiPriority w:val="99"/>
    <w:unhideWhenUsed/>
    <w:qFormat/>
    <w:rsid w:val="00237058"/>
    <w:pPr>
      <w:spacing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Plonk Char"/>
    <w:basedOn w:val="Predvolenpsmoodseku"/>
    <w:link w:val="Textpoznmkypodiarou"/>
    <w:uiPriority w:val="99"/>
    <w:qFormat/>
    <w:rsid w:val="00237058"/>
    <w:rPr>
      <w:rFonts w:ascii="Times New Roman" w:hAnsi="Times New Roman"/>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237058"/>
    <w:rPr>
      <w:vertAlign w:val="superscript"/>
    </w:rPr>
  </w:style>
  <w:style w:type="paragraph" w:customStyle="1" w:styleId="Char2">
    <w:name w:val="Char2"/>
    <w:basedOn w:val="Normlny"/>
    <w:link w:val="Odkaznapoznmkupodiarou"/>
    <w:uiPriority w:val="99"/>
    <w:rsid w:val="00415AB8"/>
    <w:pPr>
      <w:spacing w:line="240" w:lineRule="exact"/>
    </w:pPr>
    <w:rPr>
      <w:rFonts w:asciiTheme="minorHAnsi" w:hAnsiTheme="minorHAnsi"/>
      <w:vertAlign w:val="superscript"/>
    </w:rPr>
  </w:style>
  <w:style w:type="paragraph" w:customStyle="1" w:styleId="Zkladntext1">
    <w:name w:val="Základný text1"/>
    <w:rsid w:val="00F057AA"/>
    <w:pPr>
      <w:spacing w:line="240" w:lineRule="auto"/>
    </w:pPr>
    <w:rPr>
      <w:rFonts w:ascii="Dutch801 SWC" w:eastAsia="Times New Roman" w:hAnsi="Dutch801 SWC" w:cs="Times New Roman"/>
      <w:color w:val="000000"/>
      <w:sz w:val="24"/>
      <w:szCs w:val="20"/>
      <w:lang w:val="en-US" w:eastAsia="sk-SK"/>
    </w:rPr>
  </w:style>
  <w:style w:type="character" w:styleId="Odkaznakomentr">
    <w:name w:val="annotation reference"/>
    <w:basedOn w:val="Predvolenpsmoodseku"/>
    <w:uiPriority w:val="99"/>
    <w:semiHidden/>
    <w:unhideWhenUsed/>
    <w:rsid w:val="005717A4"/>
    <w:rPr>
      <w:sz w:val="16"/>
      <w:szCs w:val="16"/>
    </w:rPr>
  </w:style>
  <w:style w:type="paragraph" w:styleId="Textkomentra">
    <w:name w:val="annotation text"/>
    <w:basedOn w:val="Normlny"/>
    <w:link w:val="TextkomentraChar"/>
    <w:uiPriority w:val="99"/>
    <w:unhideWhenUsed/>
    <w:rsid w:val="005717A4"/>
    <w:pPr>
      <w:spacing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5717A4"/>
    <w:rPr>
      <w:rFonts w:ascii="Times New Roman" w:eastAsia="Times New Roman" w:hAnsi="Times New Roman" w:cs="Times New Roman"/>
      <w:sz w:val="20"/>
      <w:szCs w:val="20"/>
    </w:rPr>
  </w:style>
  <w:style w:type="paragraph" w:styleId="Textbubliny">
    <w:name w:val="Balloon Text"/>
    <w:basedOn w:val="Normlny"/>
    <w:link w:val="TextbublinyChar"/>
    <w:uiPriority w:val="99"/>
    <w:unhideWhenUsed/>
    <w:rsid w:val="0045434A"/>
    <w:pPr>
      <w:spacing w:line="240" w:lineRule="auto"/>
    </w:pPr>
    <w:rPr>
      <w:rFonts w:ascii="Segoe UI" w:hAnsi="Segoe UI"/>
      <w:sz w:val="18"/>
      <w:szCs w:val="18"/>
    </w:rPr>
  </w:style>
  <w:style w:type="character" w:customStyle="1" w:styleId="TextbublinyChar">
    <w:name w:val="Text bubliny Char"/>
    <w:basedOn w:val="Predvolenpsmoodseku"/>
    <w:link w:val="Textbubliny"/>
    <w:uiPriority w:val="99"/>
    <w:rsid w:val="0045434A"/>
    <w:rPr>
      <w:rFonts w:ascii="Segoe UI" w:hAnsi="Segoe UI"/>
      <w:sz w:val="18"/>
      <w:szCs w:val="18"/>
    </w:rPr>
  </w:style>
  <w:style w:type="paragraph" w:customStyle="1" w:styleId="Zkladntext">
    <w:name w:val="Základní text"/>
    <w:rsid w:val="00ED135D"/>
    <w:pPr>
      <w:widowControl w:val="0"/>
      <w:spacing w:line="240" w:lineRule="auto"/>
    </w:pPr>
    <w:rPr>
      <w:rFonts w:ascii="Times New Roman" w:eastAsia="Times New Roman" w:hAnsi="Times New Roman" w:cs="Times New Roman"/>
      <w:color w:val="000000"/>
      <w:sz w:val="26"/>
      <w:szCs w:val="20"/>
      <w:lang w:eastAsia="sk-SK"/>
    </w:rPr>
  </w:style>
  <w:style w:type="paragraph" w:styleId="Zkladntext0">
    <w:name w:val="Body Text"/>
    <w:basedOn w:val="Normlny"/>
    <w:link w:val="ZkladntextChar"/>
    <w:rsid w:val="005F6E5F"/>
    <w:pPr>
      <w:spacing w:line="240" w:lineRule="auto"/>
    </w:pPr>
    <w:rPr>
      <w:rFonts w:eastAsia="Times New Roman" w:cs="Times New Roman"/>
      <w:szCs w:val="20"/>
      <w:lang w:eastAsia="sk-SK"/>
    </w:rPr>
  </w:style>
  <w:style w:type="character" w:customStyle="1" w:styleId="ZkladntextChar">
    <w:name w:val="Základný text Char"/>
    <w:basedOn w:val="Predvolenpsmoodseku"/>
    <w:link w:val="Zkladntext0"/>
    <w:rsid w:val="005F6E5F"/>
    <w:rPr>
      <w:rFonts w:ascii="Times New Roman" w:eastAsia="Times New Roman" w:hAnsi="Times New Roman" w:cs="Times New Roman"/>
      <w:sz w:val="24"/>
      <w:szCs w:val="20"/>
      <w:lang w:eastAsia="sk-SK"/>
    </w:rPr>
  </w:style>
  <w:style w:type="paragraph" w:styleId="Revzia">
    <w:name w:val="Revision"/>
    <w:hidden/>
    <w:uiPriority w:val="99"/>
    <w:semiHidden/>
    <w:rsid w:val="00F61D9C"/>
    <w:pPr>
      <w:spacing w:line="240" w:lineRule="auto"/>
    </w:pPr>
    <w:rPr>
      <w:rFonts w:ascii="Times New Roman" w:hAnsi="Times New Roman"/>
    </w:rPr>
  </w:style>
  <w:style w:type="character" w:customStyle="1" w:styleId="ZarkazkladnhotextuChar">
    <w:name w:val="Zarážka základného textu Char"/>
    <w:basedOn w:val="Predvolenpsmoodseku"/>
    <w:link w:val="Zarkazkladnhotextu"/>
    <w:uiPriority w:val="99"/>
    <w:rsid w:val="008F75C2"/>
    <w:rPr>
      <w:rFonts w:ascii="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8F75C2"/>
    <w:pPr>
      <w:spacing w:line="240" w:lineRule="auto"/>
      <w:ind w:firstLine="708"/>
    </w:pPr>
    <w:rPr>
      <w:rFonts w:cs="Times New Roman"/>
      <w:szCs w:val="24"/>
      <w:lang w:eastAsia="sk-SK"/>
    </w:rPr>
  </w:style>
  <w:style w:type="paragraph" w:styleId="Bezriadkovania">
    <w:name w:val="No Spacing"/>
    <w:uiPriority w:val="1"/>
    <w:qFormat/>
    <w:rsid w:val="00872F0C"/>
    <w:pPr>
      <w:spacing w:line="240" w:lineRule="auto"/>
      <w:jc w:val="both"/>
    </w:pPr>
    <w:rPr>
      <w:rFonts w:ascii="Times New Roman" w:eastAsia="Times New Roman" w:hAnsi="Times New Roman" w:cs="Times New Roman"/>
      <w:szCs w:val="36"/>
    </w:rPr>
  </w:style>
  <w:style w:type="paragraph" w:customStyle="1" w:styleId="textCharCharCharChar">
    <w:name w:val="text Char Char Char Char"/>
    <w:basedOn w:val="Normlny"/>
    <w:link w:val="textCharCharCharCharChar"/>
    <w:rsid w:val="00872F0C"/>
    <w:pPr>
      <w:spacing w:line="240" w:lineRule="auto"/>
      <w:ind w:firstLine="510"/>
    </w:pPr>
    <w:rPr>
      <w:rFonts w:eastAsia="Batang" w:cs="Times New Roman"/>
      <w:color w:val="000000"/>
      <w:szCs w:val="24"/>
      <w:lang w:eastAsia="sk-SK"/>
    </w:rPr>
  </w:style>
  <w:style w:type="character" w:customStyle="1" w:styleId="textCharCharCharCharChar">
    <w:name w:val="text Char Char Char Char Char"/>
    <w:link w:val="textCharCharCharChar"/>
    <w:rsid w:val="00872F0C"/>
    <w:rPr>
      <w:rFonts w:ascii="Times New Roman" w:eastAsia="Batang" w:hAnsi="Times New Roman" w:cs="Times New Roman"/>
      <w:color w:val="000000"/>
      <w:szCs w:val="24"/>
      <w:lang w:eastAsia="sk-SK"/>
    </w:rPr>
  </w:style>
  <w:style w:type="character" w:styleId="Vrazn">
    <w:name w:val="Strong"/>
    <w:basedOn w:val="Predvolenpsmoodseku"/>
    <w:uiPriority w:val="22"/>
    <w:qFormat/>
    <w:rsid w:val="00872F0C"/>
    <w:rPr>
      <w:b/>
      <w:bCs/>
    </w:rPr>
  </w:style>
  <w:style w:type="paragraph" w:customStyle="1" w:styleId="default">
    <w:name w:val="default"/>
    <w:basedOn w:val="Normlny"/>
    <w:rsid w:val="00614751"/>
    <w:pPr>
      <w:autoSpaceDE w:val="0"/>
      <w:autoSpaceDN w:val="0"/>
      <w:spacing w:line="240" w:lineRule="auto"/>
    </w:pPr>
    <w:rPr>
      <w:rFonts w:eastAsia="Times New Roman" w:cs="Times New Roman"/>
      <w:color w:val="000000"/>
      <w:szCs w:val="24"/>
      <w:lang w:eastAsia="sk-SK"/>
    </w:rPr>
  </w:style>
  <w:style w:type="character" w:styleId="PouitHypertextovPrepojenie">
    <w:name w:val="FollowedHyperlink"/>
    <w:basedOn w:val="Predvolenpsmoodseku"/>
    <w:uiPriority w:val="99"/>
    <w:semiHidden/>
    <w:unhideWhenUsed/>
    <w:rsid w:val="00614751"/>
    <w:rPr>
      <w:color w:val="954F72" w:themeColor="followedHyperlink"/>
      <w:u w:val="single"/>
    </w:rPr>
  </w:style>
  <w:style w:type="paragraph" w:styleId="Predmetkomentra">
    <w:name w:val="annotation subject"/>
    <w:basedOn w:val="Textkomentra"/>
    <w:next w:val="Textkomentra"/>
    <w:link w:val="PredmetkomentraChar"/>
    <w:uiPriority w:val="99"/>
    <w:semiHidden/>
    <w:unhideWhenUsed/>
    <w:rsid w:val="00E5051B"/>
    <w:rPr>
      <w:rFonts w:eastAsiaTheme="minorHAnsi" w:cstheme="minorBidi"/>
      <w:b/>
      <w:bCs/>
    </w:rPr>
  </w:style>
  <w:style w:type="character" w:customStyle="1" w:styleId="PredmetkomentraChar">
    <w:name w:val="Predmet komentára Char"/>
    <w:basedOn w:val="TextkomentraChar"/>
    <w:link w:val="Predmetkomentra"/>
    <w:uiPriority w:val="99"/>
    <w:semiHidden/>
    <w:rsid w:val="00E5051B"/>
    <w:rPr>
      <w:rFonts w:ascii="Times New Roman" w:eastAsia="Times New Roman" w:hAnsi="Times New Roman" w:cs="Times New Roman"/>
      <w:b/>
      <w:bCs/>
      <w:sz w:val="20"/>
      <w:szCs w:val="20"/>
    </w:rPr>
  </w:style>
  <w:style w:type="character" w:customStyle="1" w:styleId="h1a2">
    <w:name w:val="h1a2"/>
    <w:basedOn w:val="Predvolenpsmoodseku"/>
    <w:rsid w:val="00BD02D9"/>
    <w:rPr>
      <w:vanish w:val="0"/>
      <w:webHidden w:val="0"/>
      <w:sz w:val="24"/>
      <w:szCs w:val="24"/>
      <w:specVanish w:val="0"/>
    </w:rPr>
  </w:style>
  <w:style w:type="paragraph" w:styleId="Hlavikaobsahu">
    <w:name w:val="TOC Heading"/>
    <w:basedOn w:val="Nadpis1"/>
    <w:next w:val="Normlny"/>
    <w:uiPriority w:val="39"/>
    <w:unhideWhenUsed/>
    <w:qFormat/>
    <w:rsid w:val="00BB3915"/>
    <w:pPr>
      <w:keepLines/>
      <w:numPr>
        <w:numId w:val="0"/>
      </w:numPr>
      <w:spacing w:before="240" w:line="259" w:lineRule="auto"/>
      <w:outlineLvl w:val="9"/>
    </w:pPr>
    <w:rPr>
      <w:rFonts w:asciiTheme="majorHAnsi" w:hAnsiTheme="majorHAnsi"/>
      <w:b w:val="0"/>
      <w:color w:val="2E74B5" w:themeColor="accent1" w:themeShade="BF"/>
      <w:sz w:val="32"/>
      <w:lang w:eastAsia="sk-SK"/>
    </w:rPr>
  </w:style>
  <w:style w:type="paragraph" w:styleId="Normlnywebov">
    <w:name w:val="Normal (Web)"/>
    <w:basedOn w:val="Normlny"/>
    <w:uiPriority w:val="99"/>
    <w:unhideWhenUsed/>
    <w:rsid w:val="00CE1795"/>
    <w:pPr>
      <w:spacing w:before="100" w:beforeAutospacing="1" w:after="100" w:afterAutospacing="1" w:line="240" w:lineRule="auto"/>
    </w:pPr>
    <w:rPr>
      <w:rFonts w:cs="Times New Roman"/>
      <w:szCs w:val="24"/>
      <w:lang w:eastAsia="sk-SK"/>
    </w:rPr>
  </w:style>
  <w:style w:type="paragraph" w:styleId="Textvysvetlivky">
    <w:name w:val="endnote text"/>
    <w:basedOn w:val="Normlny"/>
    <w:link w:val="TextvysvetlivkyChar"/>
    <w:uiPriority w:val="99"/>
    <w:semiHidden/>
    <w:unhideWhenUsed/>
    <w:rsid w:val="00537EC3"/>
    <w:pPr>
      <w:spacing w:line="240" w:lineRule="auto"/>
    </w:pPr>
    <w:rPr>
      <w:sz w:val="20"/>
      <w:szCs w:val="20"/>
    </w:rPr>
  </w:style>
  <w:style w:type="character" w:customStyle="1" w:styleId="TextvysvetlivkyChar">
    <w:name w:val="Text vysvetlivky Char"/>
    <w:basedOn w:val="Predvolenpsmoodseku"/>
    <w:link w:val="Textvysvetlivky"/>
    <w:uiPriority w:val="99"/>
    <w:semiHidden/>
    <w:rsid w:val="00537EC3"/>
    <w:rPr>
      <w:rFonts w:ascii="Times New Roman" w:hAnsi="Times New Roman"/>
      <w:sz w:val="20"/>
      <w:szCs w:val="20"/>
    </w:rPr>
  </w:style>
  <w:style w:type="character" w:styleId="Odkaznavysvetlivku">
    <w:name w:val="endnote reference"/>
    <w:basedOn w:val="Predvolenpsmoodseku"/>
    <w:uiPriority w:val="99"/>
    <w:semiHidden/>
    <w:unhideWhenUsed/>
    <w:rsid w:val="00537EC3"/>
    <w:rPr>
      <w:vertAlign w:val="superscript"/>
    </w:rPr>
  </w:style>
  <w:style w:type="character" w:customStyle="1" w:styleId="ZarkazkladnhotextuChar1">
    <w:name w:val="Zarážka základného textu Char1"/>
    <w:basedOn w:val="Predvolenpsmoodseku"/>
    <w:uiPriority w:val="99"/>
    <w:semiHidden/>
    <w:rsid w:val="0078085C"/>
    <w:rPr>
      <w:rFonts w:ascii="Times New Roman" w:hAnsi="Times New Roman"/>
    </w:rPr>
  </w:style>
  <w:style w:type="paragraph" w:styleId="Obyajntext">
    <w:name w:val="Plain Text"/>
    <w:basedOn w:val="Normlny"/>
    <w:link w:val="ObyajntextChar"/>
    <w:uiPriority w:val="99"/>
    <w:unhideWhenUsed/>
    <w:rsid w:val="0078085C"/>
    <w:pPr>
      <w:spacing w:line="240" w:lineRule="auto"/>
    </w:pPr>
    <w:rPr>
      <w:rFonts w:ascii="Arial Narrow" w:hAnsi="Arial Narrow"/>
    </w:rPr>
  </w:style>
  <w:style w:type="character" w:customStyle="1" w:styleId="ObyajntextChar">
    <w:name w:val="Obyčajný text Char"/>
    <w:basedOn w:val="Predvolenpsmoodseku"/>
    <w:link w:val="Obyajntext"/>
    <w:uiPriority w:val="99"/>
    <w:rsid w:val="0078085C"/>
    <w:rPr>
      <w:rFonts w:ascii="Arial Narrow" w:hAnsi="Arial Narrow"/>
    </w:rPr>
  </w:style>
  <w:style w:type="paragraph" w:customStyle="1" w:styleId="b-typo-p">
    <w:name w:val="b-typo-p"/>
    <w:basedOn w:val="Normlny"/>
    <w:rsid w:val="0078085C"/>
    <w:pPr>
      <w:spacing w:before="100" w:beforeAutospacing="1" w:after="100" w:afterAutospacing="1" w:line="240" w:lineRule="auto"/>
    </w:pPr>
    <w:rPr>
      <w:rFonts w:eastAsia="Times New Roman" w:cs="Times New Roman"/>
      <w:szCs w:val="24"/>
      <w:lang w:eastAsia="sk-SK"/>
    </w:rPr>
  </w:style>
  <w:style w:type="numbering" w:customStyle="1" w:styleId="Bezzoznamu1">
    <w:name w:val="Bez zoznamu1"/>
    <w:next w:val="Bezzoznamu"/>
    <w:uiPriority w:val="99"/>
    <w:semiHidden/>
    <w:unhideWhenUsed/>
    <w:rsid w:val="00867564"/>
  </w:style>
  <w:style w:type="paragraph" w:customStyle="1" w:styleId="xxmsonormal">
    <w:name w:val="xxmsonormal"/>
    <w:basedOn w:val="Normlny"/>
    <w:uiPriority w:val="99"/>
    <w:rsid w:val="00867564"/>
    <w:pPr>
      <w:spacing w:line="240" w:lineRule="auto"/>
    </w:pPr>
    <w:rPr>
      <w:rFonts w:cs="Times New Roman"/>
      <w:szCs w:val="24"/>
      <w:lang w:eastAsia="sk-SK"/>
    </w:rPr>
  </w:style>
  <w:style w:type="paragraph" w:customStyle="1" w:styleId="xmsonormal">
    <w:name w:val="x_msonormal"/>
    <w:basedOn w:val="Normlny"/>
    <w:rsid w:val="00867564"/>
    <w:pPr>
      <w:spacing w:before="100" w:beforeAutospacing="1" w:after="100" w:afterAutospacing="1" w:line="240" w:lineRule="auto"/>
    </w:pPr>
    <w:rPr>
      <w:rFonts w:eastAsia="Times New Roman" w:cs="Times New Roman"/>
      <w:szCs w:val="24"/>
      <w:lang w:eastAsia="sk-SK"/>
    </w:rPr>
  </w:style>
  <w:style w:type="character" w:customStyle="1" w:styleId="acopre1">
    <w:name w:val="acopre1"/>
    <w:basedOn w:val="Predvolenpsmoodseku"/>
    <w:rsid w:val="00005FDB"/>
  </w:style>
  <w:style w:type="paragraph" w:customStyle="1" w:styleId="Default0">
    <w:name w:val="Default"/>
    <w:rsid w:val="00CB3C45"/>
    <w:pPr>
      <w:autoSpaceDE w:val="0"/>
      <w:autoSpaceDN w:val="0"/>
      <w:adjustRightInd w:val="0"/>
      <w:spacing w:line="240" w:lineRule="auto"/>
    </w:pPr>
    <w:rPr>
      <w:rFonts w:ascii="EUAlbertina" w:hAnsi="EUAlbertina" w:cs="EUAlbertina"/>
      <w:color w:val="000000"/>
      <w:sz w:val="24"/>
      <w:szCs w:val="24"/>
    </w:rPr>
  </w:style>
  <w:style w:type="paragraph" w:customStyle="1" w:styleId="CM1">
    <w:name w:val="CM1"/>
    <w:basedOn w:val="Default0"/>
    <w:next w:val="Default0"/>
    <w:uiPriority w:val="99"/>
    <w:rsid w:val="00CB3C45"/>
    <w:rPr>
      <w:rFonts w:cstheme="minorBidi"/>
      <w:color w:val="auto"/>
    </w:rPr>
  </w:style>
  <w:style w:type="paragraph" w:customStyle="1" w:styleId="CM3">
    <w:name w:val="CM3"/>
    <w:basedOn w:val="Default0"/>
    <w:next w:val="Default0"/>
    <w:uiPriority w:val="99"/>
    <w:rsid w:val="00CB3C45"/>
    <w:rPr>
      <w:rFonts w:cstheme="minorBidi"/>
      <w:color w:val="auto"/>
    </w:rPr>
  </w:style>
  <w:style w:type="paragraph" w:customStyle="1" w:styleId="CM4">
    <w:name w:val="CM4"/>
    <w:basedOn w:val="Default0"/>
    <w:next w:val="Default0"/>
    <w:uiPriority w:val="99"/>
    <w:rsid w:val="00CB3C45"/>
    <w:rPr>
      <w:rFonts w:cstheme="minorBidi"/>
      <w:color w:val="auto"/>
    </w:rPr>
  </w:style>
  <w:style w:type="numbering" w:customStyle="1" w:styleId="Bezzoznamu2">
    <w:name w:val="Bez zoznamu2"/>
    <w:next w:val="Bezzoznamu"/>
    <w:uiPriority w:val="99"/>
    <w:semiHidden/>
    <w:unhideWhenUsed/>
    <w:rsid w:val="00D97CA6"/>
  </w:style>
  <w:style w:type="numbering" w:customStyle="1" w:styleId="Bezzoznamu11">
    <w:name w:val="Bez zoznamu11"/>
    <w:next w:val="Bezzoznamu"/>
    <w:uiPriority w:val="99"/>
    <w:semiHidden/>
    <w:unhideWhenUsed/>
    <w:rsid w:val="00D97CA6"/>
  </w:style>
  <w:style w:type="numbering" w:customStyle="1" w:styleId="Bezzoznamu111">
    <w:name w:val="Bez zoznamu111"/>
    <w:next w:val="Bezzoznamu"/>
    <w:uiPriority w:val="99"/>
    <w:semiHidden/>
    <w:unhideWhenUsed/>
    <w:rsid w:val="00D97CA6"/>
  </w:style>
  <w:style w:type="paragraph" w:customStyle="1" w:styleId="yiv9055684040xmsonormal">
    <w:name w:val="yiv9055684040xmsonormal"/>
    <w:basedOn w:val="Normlny"/>
    <w:rsid w:val="00D97CA6"/>
    <w:pPr>
      <w:spacing w:before="100" w:beforeAutospacing="1" w:after="100" w:afterAutospacing="1" w:line="240" w:lineRule="auto"/>
    </w:pPr>
    <w:rPr>
      <w:rFonts w:eastAsia="Times New Roman" w:cs="Times New Roman"/>
      <w:szCs w:val="24"/>
      <w:lang w:eastAsia="sk-SK"/>
    </w:rPr>
  </w:style>
  <w:style w:type="numbering" w:customStyle="1" w:styleId="Bezzoznamu3">
    <w:name w:val="Bez zoznamu3"/>
    <w:next w:val="Bezzoznamu"/>
    <w:uiPriority w:val="99"/>
    <w:semiHidden/>
    <w:unhideWhenUsed/>
    <w:rsid w:val="0095178A"/>
  </w:style>
  <w:style w:type="numbering" w:customStyle="1" w:styleId="Bezzoznamu12">
    <w:name w:val="Bez zoznamu12"/>
    <w:next w:val="Bezzoznamu"/>
    <w:uiPriority w:val="99"/>
    <w:semiHidden/>
    <w:unhideWhenUsed/>
    <w:rsid w:val="0095178A"/>
  </w:style>
  <w:style w:type="paragraph" w:customStyle="1" w:styleId="Graf">
    <w:name w:val="Graf"/>
    <w:autoRedefine/>
    <w:qFormat/>
    <w:rsid w:val="003234A0"/>
    <w:pPr>
      <w:spacing w:line="240" w:lineRule="auto"/>
      <w:jc w:val="both"/>
    </w:pPr>
    <w:rPr>
      <w:rFonts w:ascii="Times New Roman" w:eastAsia="Arial Narrow" w:hAnsi="Times New Roman" w:cs="Times New Roman"/>
      <w:b/>
      <w:bCs/>
      <w:noProof/>
      <w:color w:val="5B9BD5" w:themeColor="accent1"/>
      <w:sz w:val="20"/>
      <w:szCs w:val="36"/>
      <w:lang w:eastAsia="sk-SK"/>
    </w:rPr>
  </w:style>
  <w:style w:type="paragraph" w:customStyle="1" w:styleId="font5">
    <w:name w:val="font5"/>
    <w:basedOn w:val="Normlny"/>
    <w:rsid w:val="00E76212"/>
    <w:pPr>
      <w:spacing w:before="100" w:beforeAutospacing="1" w:after="100" w:afterAutospacing="1" w:line="240" w:lineRule="auto"/>
    </w:pPr>
    <w:rPr>
      <w:rFonts w:eastAsia="Times New Roman" w:cs="Times New Roman"/>
      <w:color w:val="000000"/>
      <w:sz w:val="16"/>
      <w:szCs w:val="16"/>
      <w:lang w:eastAsia="sk-SK"/>
    </w:rPr>
  </w:style>
  <w:style w:type="paragraph" w:customStyle="1" w:styleId="font6">
    <w:name w:val="font6"/>
    <w:basedOn w:val="Normlny"/>
    <w:rsid w:val="00E76212"/>
    <w:pPr>
      <w:spacing w:before="100" w:beforeAutospacing="1" w:after="100" w:afterAutospacing="1" w:line="240" w:lineRule="auto"/>
    </w:pPr>
    <w:rPr>
      <w:rFonts w:eastAsia="Times New Roman" w:cs="Times New Roman"/>
      <w:sz w:val="16"/>
      <w:szCs w:val="16"/>
      <w:lang w:eastAsia="sk-SK"/>
    </w:rPr>
  </w:style>
  <w:style w:type="paragraph" w:customStyle="1" w:styleId="xl65">
    <w:name w:val="xl65"/>
    <w:basedOn w:val="Normlny"/>
    <w:rsid w:val="00E76212"/>
    <w:pPr>
      <w:spacing w:before="100" w:beforeAutospacing="1" w:after="100" w:afterAutospacing="1" w:line="240" w:lineRule="auto"/>
    </w:pPr>
    <w:rPr>
      <w:rFonts w:eastAsia="Times New Roman" w:cs="Times New Roman"/>
      <w:sz w:val="16"/>
      <w:szCs w:val="16"/>
      <w:lang w:eastAsia="sk-SK"/>
    </w:rPr>
  </w:style>
  <w:style w:type="paragraph" w:customStyle="1" w:styleId="xl66">
    <w:name w:val="xl66"/>
    <w:basedOn w:val="Normlny"/>
    <w:rsid w:val="00E76212"/>
    <w:pPr>
      <w:spacing w:before="100" w:beforeAutospacing="1" w:after="100" w:afterAutospacing="1" w:line="240" w:lineRule="auto"/>
      <w:jc w:val="right"/>
      <w:textAlignment w:val="center"/>
    </w:pPr>
    <w:rPr>
      <w:rFonts w:eastAsia="Times New Roman" w:cs="Times New Roman"/>
      <w:i/>
      <w:iCs/>
      <w:sz w:val="16"/>
      <w:szCs w:val="16"/>
      <w:lang w:eastAsia="sk-SK"/>
    </w:rPr>
  </w:style>
  <w:style w:type="paragraph" w:customStyle="1" w:styleId="xl67">
    <w:name w:val="xl67"/>
    <w:basedOn w:val="Normlny"/>
    <w:rsid w:val="00E76212"/>
    <w:pPr>
      <w:pBdr>
        <w:bottom w:val="single" w:sz="4" w:space="0" w:color="auto"/>
      </w:pBdr>
      <w:spacing w:before="100" w:beforeAutospacing="1" w:after="100" w:afterAutospacing="1" w:line="240" w:lineRule="auto"/>
      <w:textAlignment w:val="center"/>
    </w:pPr>
    <w:rPr>
      <w:rFonts w:eastAsia="Times New Roman" w:cs="Times New Roman"/>
      <w:b/>
      <w:bCs/>
      <w:color w:val="000000"/>
      <w:sz w:val="16"/>
      <w:szCs w:val="16"/>
      <w:lang w:eastAsia="sk-SK"/>
    </w:rPr>
  </w:style>
  <w:style w:type="paragraph" w:customStyle="1" w:styleId="xl68">
    <w:name w:val="xl68"/>
    <w:basedOn w:val="Normlny"/>
    <w:rsid w:val="00E76212"/>
    <w:pPr>
      <w:spacing w:before="100" w:beforeAutospacing="1" w:after="100" w:afterAutospacing="1" w:line="240" w:lineRule="auto"/>
      <w:textAlignment w:val="center"/>
    </w:pPr>
    <w:rPr>
      <w:rFonts w:eastAsia="Times New Roman" w:cs="Times New Roman"/>
      <w:sz w:val="16"/>
      <w:szCs w:val="16"/>
      <w:lang w:eastAsia="sk-SK"/>
    </w:rPr>
  </w:style>
  <w:style w:type="paragraph" w:customStyle="1" w:styleId="xl69">
    <w:name w:val="xl69"/>
    <w:basedOn w:val="Normlny"/>
    <w:rsid w:val="00E76212"/>
    <w:pPr>
      <w:pBdr>
        <w:top w:val="single" w:sz="4" w:space="0" w:color="auto"/>
      </w:pBdr>
      <w:spacing w:before="100" w:beforeAutospacing="1" w:after="100" w:afterAutospacing="1" w:line="240" w:lineRule="auto"/>
      <w:textAlignment w:val="center"/>
    </w:pPr>
    <w:rPr>
      <w:rFonts w:eastAsia="Times New Roman" w:cs="Times New Roman"/>
      <w:b/>
      <w:bCs/>
      <w:sz w:val="16"/>
      <w:szCs w:val="16"/>
      <w:lang w:eastAsia="sk-SK"/>
    </w:rPr>
  </w:style>
  <w:style w:type="paragraph" w:customStyle="1" w:styleId="xl70">
    <w:name w:val="xl70"/>
    <w:basedOn w:val="Normlny"/>
    <w:rsid w:val="00E76212"/>
    <w:pPr>
      <w:pBdr>
        <w:top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sk-SK"/>
    </w:rPr>
  </w:style>
  <w:style w:type="paragraph" w:customStyle="1" w:styleId="xl71">
    <w:name w:val="xl71"/>
    <w:basedOn w:val="Normlny"/>
    <w:rsid w:val="00E76212"/>
    <w:pPr>
      <w:spacing w:before="100" w:beforeAutospacing="1" w:after="100" w:afterAutospacing="1" w:line="240" w:lineRule="auto"/>
      <w:textAlignment w:val="center"/>
    </w:pPr>
    <w:rPr>
      <w:rFonts w:eastAsia="Times New Roman" w:cs="Times New Roman"/>
      <w:sz w:val="16"/>
      <w:szCs w:val="16"/>
      <w:lang w:eastAsia="sk-SK"/>
    </w:rPr>
  </w:style>
  <w:style w:type="paragraph" w:customStyle="1" w:styleId="xl72">
    <w:name w:val="xl72"/>
    <w:basedOn w:val="Normlny"/>
    <w:rsid w:val="00E76212"/>
    <w:pPr>
      <w:spacing w:before="100" w:beforeAutospacing="1" w:after="100" w:afterAutospacing="1" w:line="240" w:lineRule="auto"/>
      <w:textAlignment w:val="center"/>
    </w:pPr>
    <w:rPr>
      <w:rFonts w:eastAsia="Times New Roman" w:cs="Times New Roman"/>
      <w:sz w:val="16"/>
      <w:szCs w:val="16"/>
      <w:lang w:eastAsia="sk-SK"/>
    </w:rPr>
  </w:style>
  <w:style w:type="paragraph" w:customStyle="1" w:styleId="xl73">
    <w:name w:val="xl73"/>
    <w:basedOn w:val="Normlny"/>
    <w:rsid w:val="00E76212"/>
    <w:pPr>
      <w:spacing w:before="100" w:beforeAutospacing="1" w:after="100" w:afterAutospacing="1" w:line="240" w:lineRule="auto"/>
      <w:textAlignment w:val="center"/>
    </w:pPr>
    <w:rPr>
      <w:rFonts w:eastAsia="Times New Roman" w:cs="Times New Roman"/>
      <w:sz w:val="16"/>
      <w:szCs w:val="16"/>
      <w:lang w:eastAsia="sk-SK"/>
    </w:rPr>
  </w:style>
  <w:style w:type="paragraph" w:customStyle="1" w:styleId="xl74">
    <w:name w:val="xl74"/>
    <w:basedOn w:val="Normlny"/>
    <w:rsid w:val="00E76212"/>
    <w:pPr>
      <w:spacing w:before="100" w:beforeAutospacing="1" w:after="100" w:afterAutospacing="1" w:line="240" w:lineRule="auto"/>
      <w:textAlignment w:val="center"/>
    </w:pPr>
    <w:rPr>
      <w:rFonts w:eastAsia="Times New Roman" w:cs="Times New Roman"/>
      <w:sz w:val="16"/>
      <w:szCs w:val="16"/>
      <w:lang w:eastAsia="sk-SK"/>
    </w:rPr>
  </w:style>
  <w:style w:type="paragraph" w:customStyle="1" w:styleId="xl75">
    <w:name w:val="xl75"/>
    <w:basedOn w:val="Normlny"/>
    <w:rsid w:val="00E76212"/>
    <w:pPr>
      <w:pBdr>
        <w:bottom w:val="single" w:sz="4" w:space="0" w:color="auto"/>
      </w:pBdr>
      <w:spacing w:before="100" w:beforeAutospacing="1" w:after="100" w:afterAutospacing="1" w:line="240" w:lineRule="auto"/>
      <w:textAlignment w:val="center"/>
    </w:pPr>
    <w:rPr>
      <w:rFonts w:eastAsia="Times New Roman" w:cs="Times New Roman"/>
      <w:b/>
      <w:bCs/>
      <w:color w:val="000000"/>
      <w:sz w:val="16"/>
      <w:szCs w:val="16"/>
      <w:lang w:eastAsia="sk-SK"/>
    </w:rPr>
  </w:style>
  <w:style w:type="paragraph" w:customStyle="1" w:styleId="xl76">
    <w:name w:val="xl76"/>
    <w:basedOn w:val="Normlny"/>
    <w:rsid w:val="00E76212"/>
    <w:pPr>
      <w:spacing w:before="100" w:beforeAutospacing="1" w:after="100" w:afterAutospacing="1" w:line="240" w:lineRule="auto"/>
      <w:jc w:val="right"/>
      <w:textAlignment w:val="center"/>
    </w:pPr>
    <w:rPr>
      <w:rFonts w:eastAsia="Times New Roman" w:cs="Times New Roman"/>
      <w:sz w:val="16"/>
      <w:szCs w:val="16"/>
      <w:lang w:eastAsia="sk-SK"/>
    </w:rPr>
  </w:style>
  <w:style w:type="character" w:styleId="Zvraznenie">
    <w:name w:val="Emphasis"/>
    <w:basedOn w:val="Predvolenpsmoodseku"/>
    <w:uiPriority w:val="20"/>
    <w:qFormat/>
    <w:rsid w:val="00E76212"/>
    <w:rPr>
      <w:i/>
      <w:iCs/>
    </w:rPr>
  </w:style>
  <w:style w:type="paragraph" w:customStyle="1" w:styleId="Nadpis11">
    <w:name w:val="Nadpis 11"/>
    <w:basedOn w:val="Normlny"/>
    <w:next w:val="Normlny"/>
    <w:uiPriority w:val="9"/>
    <w:qFormat/>
    <w:rsid w:val="00B768D9"/>
    <w:pPr>
      <w:keepNext/>
      <w:spacing w:before="120"/>
      <w:ind w:left="4402" w:hanging="432"/>
      <w:jc w:val="center"/>
      <w:outlineLvl w:val="0"/>
    </w:pPr>
    <w:rPr>
      <w:rFonts w:eastAsia="Times New Roman" w:cs="Times New Roman"/>
      <w:b/>
      <w:sz w:val="26"/>
      <w:szCs w:val="32"/>
    </w:rPr>
  </w:style>
  <w:style w:type="paragraph" w:customStyle="1" w:styleId="Nadpis21">
    <w:name w:val="Nadpis 21"/>
    <w:basedOn w:val="Normlny"/>
    <w:next w:val="Normlny"/>
    <w:uiPriority w:val="9"/>
    <w:unhideWhenUsed/>
    <w:qFormat/>
    <w:rsid w:val="00B768D9"/>
    <w:pPr>
      <w:keepNext/>
      <w:spacing w:before="120"/>
      <w:ind w:left="578" w:hanging="578"/>
      <w:jc w:val="center"/>
      <w:outlineLvl w:val="1"/>
    </w:pPr>
    <w:rPr>
      <w:rFonts w:eastAsia="Times New Roman" w:cs="Times New Roman"/>
      <w:b/>
      <w:szCs w:val="26"/>
    </w:rPr>
  </w:style>
  <w:style w:type="paragraph" w:customStyle="1" w:styleId="Nadpis31">
    <w:name w:val="Nadpis 31"/>
    <w:basedOn w:val="Normlny"/>
    <w:next w:val="Normlny"/>
    <w:uiPriority w:val="9"/>
    <w:unhideWhenUsed/>
    <w:qFormat/>
    <w:rsid w:val="00B768D9"/>
    <w:pPr>
      <w:keepNext/>
      <w:keepLines/>
      <w:spacing w:before="120" w:line="240" w:lineRule="auto"/>
      <w:jc w:val="center"/>
      <w:outlineLvl w:val="2"/>
    </w:pPr>
    <w:rPr>
      <w:rFonts w:eastAsia="Times New Roman" w:cs="Times New Roman"/>
      <w:b/>
      <w:szCs w:val="24"/>
    </w:rPr>
  </w:style>
  <w:style w:type="paragraph" w:customStyle="1" w:styleId="Nadpis41">
    <w:name w:val="Nadpis 41"/>
    <w:basedOn w:val="Normlny"/>
    <w:next w:val="Normlny"/>
    <w:uiPriority w:val="9"/>
    <w:unhideWhenUsed/>
    <w:qFormat/>
    <w:rsid w:val="00B768D9"/>
    <w:pPr>
      <w:keepNext/>
      <w:keepLines/>
      <w:spacing w:before="120"/>
      <w:ind w:left="862" w:hanging="862"/>
      <w:jc w:val="center"/>
      <w:outlineLvl w:val="3"/>
    </w:pPr>
    <w:rPr>
      <w:rFonts w:eastAsia="Times New Roman" w:cs="Times New Roman"/>
      <w:b/>
      <w:iCs/>
    </w:rPr>
  </w:style>
  <w:style w:type="paragraph" w:customStyle="1" w:styleId="Nadpis51">
    <w:name w:val="Nadpis 51"/>
    <w:basedOn w:val="Normlny"/>
    <w:next w:val="Normlny"/>
    <w:uiPriority w:val="9"/>
    <w:unhideWhenUsed/>
    <w:qFormat/>
    <w:rsid w:val="00B768D9"/>
    <w:pPr>
      <w:keepNext/>
      <w:keepLines/>
      <w:spacing w:before="40"/>
      <w:ind w:left="1008" w:hanging="1008"/>
      <w:outlineLvl w:val="4"/>
    </w:pPr>
    <w:rPr>
      <w:rFonts w:eastAsia="Times New Roman" w:cs="Times New Roman"/>
      <w:b/>
    </w:rPr>
  </w:style>
  <w:style w:type="paragraph" w:customStyle="1" w:styleId="Nadpis61">
    <w:name w:val="Nadpis 61"/>
    <w:basedOn w:val="Normlny"/>
    <w:next w:val="Normlny"/>
    <w:uiPriority w:val="9"/>
    <w:semiHidden/>
    <w:unhideWhenUsed/>
    <w:qFormat/>
    <w:rsid w:val="00B768D9"/>
    <w:pPr>
      <w:keepNext/>
      <w:keepLines/>
      <w:spacing w:before="40"/>
      <w:ind w:left="1152" w:hanging="1152"/>
      <w:outlineLvl w:val="5"/>
    </w:pPr>
    <w:rPr>
      <w:rFonts w:ascii="Calibri Light" w:eastAsia="Times New Roman" w:hAnsi="Calibri Light" w:cs="Times New Roman"/>
      <w:color w:val="1F4D78"/>
    </w:rPr>
  </w:style>
  <w:style w:type="paragraph" w:customStyle="1" w:styleId="Nadpis71">
    <w:name w:val="Nadpis 71"/>
    <w:basedOn w:val="Normlny"/>
    <w:next w:val="Normlny"/>
    <w:uiPriority w:val="9"/>
    <w:semiHidden/>
    <w:unhideWhenUsed/>
    <w:qFormat/>
    <w:rsid w:val="00B768D9"/>
    <w:pPr>
      <w:keepNext/>
      <w:keepLines/>
      <w:spacing w:before="40"/>
      <w:ind w:left="1296" w:hanging="1296"/>
      <w:outlineLvl w:val="6"/>
    </w:pPr>
    <w:rPr>
      <w:rFonts w:ascii="Calibri Light" w:eastAsia="Times New Roman" w:hAnsi="Calibri Light" w:cs="Times New Roman"/>
      <w:i/>
      <w:iCs/>
      <w:color w:val="1F4D78"/>
    </w:rPr>
  </w:style>
  <w:style w:type="paragraph" w:customStyle="1" w:styleId="Nadpis81">
    <w:name w:val="Nadpis 81"/>
    <w:basedOn w:val="Normlny"/>
    <w:next w:val="Normlny"/>
    <w:uiPriority w:val="9"/>
    <w:semiHidden/>
    <w:unhideWhenUsed/>
    <w:qFormat/>
    <w:rsid w:val="00B768D9"/>
    <w:pPr>
      <w:keepNext/>
      <w:keepLines/>
      <w:spacing w:before="40"/>
      <w:ind w:left="1440" w:hanging="1440"/>
      <w:outlineLvl w:val="7"/>
    </w:pPr>
    <w:rPr>
      <w:rFonts w:ascii="Calibri Light" w:eastAsia="Times New Roman" w:hAnsi="Calibri Light" w:cs="Times New Roman"/>
      <w:color w:val="272727"/>
      <w:sz w:val="21"/>
      <w:szCs w:val="21"/>
    </w:rPr>
  </w:style>
  <w:style w:type="paragraph" w:customStyle="1" w:styleId="Nadpis91">
    <w:name w:val="Nadpis 91"/>
    <w:basedOn w:val="Normlny"/>
    <w:next w:val="Normlny"/>
    <w:uiPriority w:val="9"/>
    <w:semiHidden/>
    <w:unhideWhenUsed/>
    <w:qFormat/>
    <w:rsid w:val="00B768D9"/>
    <w:pPr>
      <w:keepNext/>
      <w:keepLines/>
      <w:spacing w:before="40"/>
      <w:ind w:left="1584" w:hanging="1584"/>
      <w:outlineLvl w:val="8"/>
    </w:pPr>
    <w:rPr>
      <w:rFonts w:ascii="Calibri Light" w:eastAsia="Times New Roman" w:hAnsi="Calibri Light" w:cs="Times New Roman"/>
      <w:i/>
      <w:iCs/>
      <w:color w:val="272727"/>
      <w:sz w:val="21"/>
      <w:szCs w:val="21"/>
    </w:rPr>
  </w:style>
  <w:style w:type="character" w:customStyle="1" w:styleId="Hypertextovprepojenie1">
    <w:name w:val="Hypertextové prepojenie1"/>
    <w:basedOn w:val="Predvolenpsmoodseku"/>
    <w:uiPriority w:val="99"/>
    <w:unhideWhenUsed/>
    <w:rsid w:val="00B768D9"/>
    <w:rPr>
      <w:color w:val="0563C1"/>
      <w:u w:val="single"/>
    </w:rPr>
  </w:style>
  <w:style w:type="paragraph" w:customStyle="1" w:styleId="Obsah41">
    <w:name w:val="Obsah 41"/>
    <w:basedOn w:val="Normlny"/>
    <w:next w:val="Normlny"/>
    <w:autoRedefine/>
    <w:uiPriority w:val="39"/>
    <w:unhideWhenUsed/>
    <w:rsid w:val="00B768D9"/>
    <w:pPr>
      <w:tabs>
        <w:tab w:val="left" w:pos="833"/>
      </w:tabs>
      <w:spacing w:line="240" w:lineRule="auto"/>
    </w:pPr>
    <w:rPr>
      <w:rFonts w:asciiTheme="minorHAnsi" w:hAnsiTheme="minorHAnsi"/>
    </w:rPr>
  </w:style>
  <w:style w:type="paragraph" w:customStyle="1" w:styleId="Obsah51">
    <w:name w:val="Obsah 51"/>
    <w:basedOn w:val="Normlny"/>
    <w:next w:val="Normlny"/>
    <w:autoRedefine/>
    <w:uiPriority w:val="39"/>
    <w:unhideWhenUsed/>
    <w:rsid w:val="00B768D9"/>
    <w:rPr>
      <w:rFonts w:asciiTheme="minorHAnsi" w:hAnsiTheme="minorHAnsi"/>
    </w:rPr>
  </w:style>
  <w:style w:type="paragraph" w:customStyle="1" w:styleId="Obsah61">
    <w:name w:val="Obsah 61"/>
    <w:basedOn w:val="Normlny"/>
    <w:next w:val="Normlny"/>
    <w:autoRedefine/>
    <w:uiPriority w:val="39"/>
    <w:unhideWhenUsed/>
    <w:rsid w:val="00B768D9"/>
    <w:rPr>
      <w:rFonts w:asciiTheme="minorHAnsi" w:hAnsiTheme="minorHAnsi"/>
    </w:rPr>
  </w:style>
  <w:style w:type="paragraph" w:customStyle="1" w:styleId="Obsah71">
    <w:name w:val="Obsah 71"/>
    <w:basedOn w:val="Normlny"/>
    <w:next w:val="Normlny"/>
    <w:autoRedefine/>
    <w:uiPriority w:val="39"/>
    <w:unhideWhenUsed/>
    <w:rsid w:val="00B768D9"/>
    <w:rPr>
      <w:rFonts w:asciiTheme="minorHAnsi" w:hAnsiTheme="minorHAnsi"/>
    </w:rPr>
  </w:style>
  <w:style w:type="paragraph" w:customStyle="1" w:styleId="Obsah81">
    <w:name w:val="Obsah 81"/>
    <w:basedOn w:val="Normlny"/>
    <w:next w:val="Normlny"/>
    <w:autoRedefine/>
    <w:uiPriority w:val="39"/>
    <w:unhideWhenUsed/>
    <w:rsid w:val="00B768D9"/>
    <w:rPr>
      <w:rFonts w:asciiTheme="minorHAnsi" w:hAnsiTheme="minorHAnsi"/>
    </w:rPr>
  </w:style>
  <w:style w:type="paragraph" w:customStyle="1" w:styleId="Obsah91">
    <w:name w:val="Obsah 91"/>
    <w:basedOn w:val="Normlny"/>
    <w:next w:val="Normlny"/>
    <w:autoRedefine/>
    <w:uiPriority w:val="39"/>
    <w:unhideWhenUsed/>
    <w:rsid w:val="00B768D9"/>
    <w:rPr>
      <w:rFonts w:asciiTheme="minorHAnsi" w:hAnsiTheme="minorHAnsi"/>
    </w:rPr>
  </w:style>
  <w:style w:type="character" w:customStyle="1" w:styleId="PouitHypertextovPrepojenie1">
    <w:name w:val="PoužitéHypertextovéPrepojenie1"/>
    <w:basedOn w:val="Predvolenpsmoodseku"/>
    <w:uiPriority w:val="99"/>
    <w:semiHidden/>
    <w:unhideWhenUsed/>
    <w:rsid w:val="00B768D9"/>
    <w:rPr>
      <w:color w:val="954F72"/>
      <w:u w:val="single"/>
    </w:rPr>
  </w:style>
  <w:style w:type="paragraph" w:customStyle="1" w:styleId="Predmetkomentra1">
    <w:name w:val="Predmet komentára1"/>
    <w:basedOn w:val="Textkomentra"/>
    <w:next w:val="Textkomentra"/>
    <w:uiPriority w:val="99"/>
    <w:semiHidden/>
    <w:unhideWhenUsed/>
    <w:rsid w:val="00B768D9"/>
    <w:rPr>
      <w:rFonts w:eastAsia="Calibri"/>
      <w:b/>
      <w:bCs/>
    </w:rPr>
  </w:style>
  <w:style w:type="paragraph" w:customStyle="1" w:styleId="Hlavikaobsahu1">
    <w:name w:val="Hlavička obsahu1"/>
    <w:basedOn w:val="Nadpis1"/>
    <w:next w:val="Normlny"/>
    <w:uiPriority w:val="39"/>
    <w:unhideWhenUsed/>
    <w:qFormat/>
    <w:rsid w:val="00402102"/>
    <w:pPr>
      <w:keepLines/>
      <w:numPr>
        <w:numId w:val="0"/>
      </w:numPr>
      <w:spacing w:before="240" w:line="259" w:lineRule="auto"/>
    </w:pPr>
    <w:rPr>
      <w:rFonts w:eastAsia="Times New Roman" w:cs="Times New Roman"/>
    </w:rPr>
  </w:style>
  <w:style w:type="numbering" w:customStyle="1" w:styleId="Bezzoznamu1111">
    <w:name w:val="Bez zoznamu1111"/>
    <w:next w:val="Bezzoznamu"/>
    <w:uiPriority w:val="99"/>
    <w:semiHidden/>
    <w:unhideWhenUsed/>
    <w:rsid w:val="00B768D9"/>
  </w:style>
  <w:style w:type="character" w:customStyle="1" w:styleId="Nadpis1Char1">
    <w:name w:val="Nadpis 1 Char1"/>
    <w:basedOn w:val="Predvolenpsmoodseku"/>
    <w:uiPriority w:val="9"/>
    <w:rsid w:val="00B768D9"/>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Predvolenpsmoodseku"/>
    <w:uiPriority w:val="9"/>
    <w:semiHidden/>
    <w:rsid w:val="00B768D9"/>
    <w:rPr>
      <w:rFonts w:asciiTheme="majorHAnsi" w:eastAsiaTheme="majorEastAsia" w:hAnsiTheme="majorHAnsi" w:cstheme="majorBidi"/>
      <w:color w:val="2E74B5" w:themeColor="accent1" w:themeShade="BF"/>
      <w:sz w:val="26"/>
      <w:szCs w:val="26"/>
    </w:rPr>
  </w:style>
  <w:style w:type="character" w:customStyle="1" w:styleId="Nadpis3Char1">
    <w:name w:val="Nadpis 3 Char1"/>
    <w:basedOn w:val="Predvolenpsmoodseku"/>
    <w:uiPriority w:val="9"/>
    <w:semiHidden/>
    <w:rsid w:val="00B768D9"/>
    <w:rPr>
      <w:rFonts w:asciiTheme="majorHAnsi" w:eastAsiaTheme="majorEastAsia" w:hAnsiTheme="majorHAnsi" w:cstheme="majorBidi"/>
      <w:color w:val="1F4D78" w:themeColor="accent1" w:themeShade="7F"/>
      <w:sz w:val="24"/>
      <w:szCs w:val="24"/>
    </w:rPr>
  </w:style>
  <w:style w:type="character" w:customStyle="1" w:styleId="Nadpis4Char1">
    <w:name w:val="Nadpis 4 Char1"/>
    <w:basedOn w:val="Predvolenpsmoodseku"/>
    <w:uiPriority w:val="9"/>
    <w:semiHidden/>
    <w:rsid w:val="00B768D9"/>
    <w:rPr>
      <w:rFonts w:asciiTheme="majorHAnsi" w:eastAsiaTheme="majorEastAsia" w:hAnsiTheme="majorHAnsi" w:cstheme="majorBidi"/>
      <w:i/>
      <w:iCs/>
      <w:color w:val="2E74B5" w:themeColor="accent1" w:themeShade="BF"/>
    </w:rPr>
  </w:style>
  <w:style w:type="character" w:customStyle="1" w:styleId="Nadpis5Char1">
    <w:name w:val="Nadpis 5 Char1"/>
    <w:basedOn w:val="Predvolenpsmoodseku"/>
    <w:uiPriority w:val="9"/>
    <w:semiHidden/>
    <w:rsid w:val="00B768D9"/>
    <w:rPr>
      <w:rFonts w:asciiTheme="majorHAnsi" w:eastAsiaTheme="majorEastAsia" w:hAnsiTheme="majorHAnsi" w:cstheme="majorBidi"/>
      <w:color w:val="2E74B5" w:themeColor="accent1" w:themeShade="BF"/>
    </w:rPr>
  </w:style>
  <w:style w:type="character" w:customStyle="1" w:styleId="Nadpis6Char1">
    <w:name w:val="Nadpis 6 Char1"/>
    <w:basedOn w:val="Predvolenpsmoodseku"/>
    <w:uiPriority w:val="9"/>
    <w:semiHidden/>
    <w:rsid w:val="00B768D9"/>
    <w:rPr>
      <w:rFonts w:asciiTheme="majorHAnsi" w:eastAsiaTheme="majorEastAsia" w:hAnsiTheme="majorHAnsi" w:cstheme="majorBidi"/>
      <w:color w:val="1F4D78" w:themeColor="accent1" w:themeShade="7F"/>
    </w:rPr>
  </w:style>
  <w:style w:type="character" w:customStyle="1" w:styleId="Nadpis7Char1">
    <w:name w:val="Nadpis 7 Char1"/>
    <w:basedOn w:val="Predvolenpsmoodseku"/>
    <w:uiPriority w:val="9"/>
    <w:semiHidden/>
    <w:rsid w:val="00B768D9"/>
    <w:rPr>
      <w:rFonts w:asciiTheme="majorHAnsi" w:eastAsiaTheme="majorEastAsia" w:hAnsiTheme="majorHAnsi" w:cstheme="majorBidi"/>
      <w:i/>
      <w:iCs/>
      <w:color w:val="1F4D78" w:themeColor="accent1" w:themeShade="7F"/>
    </w:rPr>
  </w:style>
  <w:style w:type="character" w:customStyle="1" w:styleId="Nadpis8Char1">
    <w:name w:val="Nadpis 8 Char1"/>
    <w:basedOn w:val="Predvolenpsmoodseku"/>
    <w:uiPriority w:val="9"/>
    <w:semiHidden/>
    <w:rsid w:val="00B768D9"/>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Predvolenpsmoodseku"/>
    <w:uiPriority w:val="9"/>
    <w:semiHidden/>
    <w:rsid w:val="00B768D9"/>
    <w:rPr>
      <w:rFonts w:asciiTheme="majorHAnsi" w:eastAsiaTheme="majorEastAsia" w:hAnsiTheme="majorHAnsi" w:cstheme="majorBidi"/>
      <w:i/>
      <w:iCs/>
      <w:color w:val="272727" w:themeColor="text1" w:themeTint="D8"/>
      <w:sz w:val="21"/>
      <w:szCs w:val="21"/>
    </w:rPr>
  </w:style>
  <w:style w:type="character" w:customStyle="1" w:styleId="PredmetkomentraChar1">
    <w:name w:val="Predmet komentára Char1"/>
    <w:basedOn w:val="TextkomentraChar"/>
    <w:uiPriority w:val="99"/>
    <w:semiHidden/>
    <w:rsid w:val="00B768D9"/>
    <w:rPr>
      <w:rFonts w:ascii="Times New Roman" w:eastAsia="Times New Roman" w:hAnsi="Times New Roman" w:cs="Times New Roman"/>
      <w:b/>
      <w:bCs/>
      <w:sz w:val="20"/>
      <w:szCs w:val="20"/>
    </w:rPr>
  </w:style>
  <w:style w:type="paragraph" w:customStyle="1" w:styleId="TimesRoman">
    <w:name w:val="Times Roman"/>
    <w:basedOn w:val="Normlny"/>
    <w:rsid w:val="00B768D9"/>
    <w:pPr>
      <w:spacing w:line="240" w:lineRule="auto"/>
    </w:pPr>
    <w:rPr>
      <w:rFonts w:ascii="Arial" w:eastAsia="Batang" w:hAnsi="Arial" w:cs="Times New Roman"/>
      <w:szCs w:val="20"/>
    </w:rPr>
  </w:style>
  <w:style w:type="paragraph" w:customStyle="1" w:styleId="v1msonormal">
    <w:name w:val="v1msonormal"/>
    <w:basedOn w:val="Normlny"/>
    <w:rsid w:val="004C6700"/>
    <w:pPr>
      <w:spacing w:before="100" w:beforeAutospacing="1" w:after="100" w:afterAutospacing="1" w:line="240" w:lineRule="auto"/>
    </w:pPr>
    <w:rPr>
      <w:rFonts w:eastAsia="Times New Roman" w:cs="Times New Roman"/>
      <w:szCs w:val="24"/>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Odsek zoznamu4 Char,LISTA Char,Listaszerű bekezdés2 Char,3 Char,LIS Char"/>
    <w:basedOn w:val="Predvolenpsmoodseku"/>
    <w:link w:val="Odsekzoznamu"/>
    <w:uiPriority w:val="34"/>
    <w:locked/>
    <w:rsid w:val="0086767F"/>
    <w:rPr>
      <w:rFonts w:ascii="Calibri" w:hAnsi="Calibri" w:cs="Times New Roman"/>
    </w:rPr>
  </w:style>
  <w:style w:type="paragraph" w:styleId="Popis">
    <w:name w:val="caption"/>
    <w:basedOn w:val="Normlny"/>
    <w:next w:val="Normlny"/>
    <w:uiPriority w:val="35"/>
    <w:unhideWhenUsed/>
    <w:qFormat/>
    <w:rsid w:val="00694150"/>
    <w:pPr>
      <w:spacing w:line="240" w:lineRule="auto"/>
    </w:pPr>
    <w:rPr>
      <w:b/>
      <w:iCs/>
      <w:color w:val="5B9BD5" w:themeColor="accent1"/>
      <w:sz w:val="20"/>
      <w:szCs w:val="18"/>
    </w:rPr>
  </w:style>
  <w:style w:type="table" w:styleId="Mriekatabukysvetl">
    <w:name w:val="Grid Table Light"/>
    <w:basedOn w:val="Normlnatabuka"/>
    <w:uiPriority w:val="40"/>
    <w:rsid w:val="00BA5DD8"/>
    <w:pPr>
      <w:spacing w:line="240" w:lineRule="auto"/>
    </w:pPr>
    <w:rPr>
      <w:rFonts w:ascii="Arial Narrow" w:eastAsia="Calibri" w:hAnsi="Arial Narrow" w:cs="Times New Roman"/>
      <w:sz w:val="20"/>
      <w:szCs w:val="20"/>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
    <w:name w:val="1"/>
    <w:basedOn w:val="Normlny"/>
    <w:rsid w:val="004D69BF"/>
    <w:pPr>
      <w:spacing w:after="160" w:line="240" w:lineRule="exact"/>
    </w:pPr>
    <w:rPr>
      <w:rFonts w:ascii="Tahoma" w:eastAsia="Times New Roman" w:hAnsi="Tahoma" w:cs="Tahoma"/>
      <w:sz w:val="20"/>
      <w:szCs w:val="20"/>
    </w:rPr>
  </w:style>
  <w:style w:type="character" w:styleId="slostrany">
    <w:name w:val="page number"/>
    <w:basedOn w:val="Predvolenpsmoodseku"/>
    <w:rsid w:val="004D69BF"/>
  </w:style>
  <w:style w:type="paragraph" w:customStyle="1" w:styleId="Zakladnmtext">
    <w:name w:val="Z&lt;/a&gt;kladn&lt;/m&gt; text"/>
    <w:rsid w:val="004D69BF"/>
    <w:pPr>
      <w:spacing w:line="240" w:lineRule="auto"/>
    </w:pPr>
    <w:rPr>
      <w:rFonts w:ascii="Times New Roman" w:eastAsia="Times New Roman" w:hAnsi="Times New Roman" w:cs="Times New Roman"/>
      <w:color w:val="000000"/>
      <w:sz w:val="24"/>
      <w:szCs w:val="20"/>
      <w:lang w:val="en-US" w:eastAsia="sk-SK"/>
    </w:rPr>
  </w:style>
  <w:style w:type="table" w:styleId="Mriekatabuky">
    <w:name w:val="Table Grid"/>
    <w:basedOn w:val="Normlnatabuka"/>
    <w:uiPriority w:val="59"/>
    <w:rsid w:val="004D69BF"/>
    <w:pPr>
      <w:spacing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4D69BF"/>
    <w:pPr>
      <w:spacing w:line="480" w:lineRule="auto"/>
    </w:pPr>
    <w:rPr>
      <w:rFonts w:eastAsia="Times New Roman" w:cs="Times New Roman"/>
      <w:szCs w:val="20"/>
      <w:lang w:val="x-none" w:eastAsia="x-none"/>
    </w:rPr>
  </w:style>
  <w:style w:type="character" w:customStyle="1" w:styleId="Zkladntext2Char">
    <w:name w:val="Základný text 2 Char"/>
    <w:basedOn w:val="Predvolenpsmoodseku"/>
    <w:link w:val="Zkladntext2"/>
    <w:uiPriority w:val="99"/>
    <w:rsid w:val="004D69BF"/>
    <w:rPr>
      <w:rFonts w:ascii="Times New Roman" w:eastAsia="Times New Roman" w:hAnsi="Times New Roman" w:cs="Times New Roman"/>
      <w:sz w:val="24"/>
      <w:szCs w:val="20"/>
      <w:lang w:val="x-none" w:eastAsia="x-none"/>
    </w:rPr>
  </w:style>
  <w:style w:type="paragraph" w:customStyle="1" w:styleId="HALVNEPISMOVS">
    <w:name w:val="HALVNEPISMO_VS"/>
    <w:basedOn w:val="Normlny"/>
    <w:rsid w:val="004D69BF"/>
    <w:pPr>
      <w:spacing w:line="240" w:lineRule="auto"/>
    </w:pPr>
    <w:rPr>
      <w:rFonts w:ascii="Arial Narrow" w:eastAsia="Calibri" w:hAnsi="Arial Narrow" w:cs="Times New Roman"/>
      <w:color w:val="000000"/>
      <w:lang w:eastAsia="sk-SK"/>
    </w:rPr>
  </w:style>
  <w:style w:type="paragraph" w:customStyle="1" w:styleId="HLAVNYVS">
    <w:name w:val="HLAVNY_VS"/>
    <w:basedOn w:val="Normlny"/>
    <w:rsid w:val="004D69BF"/>
    <w:pPr>
      <w:spacing w:line="240" w:lineRule="auto"/>
    </w:pPr>
    <w:rPr>
      <w:rFonts w:ascii="Arial Narrow" w:eastAsia="Calibri" w:hAnsi="Arial Narrow" w:cs="Times New Roman"/>
      <w:b/>
      <w:bCs/>
      <w:caps/>
      <w:color w:val="000080"/>
      <w:lang w:eastAsia="sk-SK"/>
    </w:rPr>
  </w:style>
  <w:style w:type="numbering" w:customStyle="1" w:styleId="tl1">
    <w:name w:val="Štýl1"/>
    <w:uiPriority w:val="99"/>
    <w:rsid w:val="004D69BF"/>
    <w:pPr>
      <w:numPr>
        <w:numId w:val="7"/>
      </w:numPr>
    </w:pPr>
  </w:style>
  <w:style w:type="table" w:styleId="Tabukasmriekou4zvraznenie1">
    <w:name w:val="Grid Table 4 Accent 1"/>
    <w:basedOn w:val="Normlnatabuka"/>
    <w:uiPriority w:val="49"/>
    <w:rsid w:val="004D69B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evyrieenzmienka1">
    <w:name w:val="Nevyriešená zmienka1"/>
    <w:basedOn w:val="Predvolenpsmoodseku"/>
    <w:uiPriority w:val="99"/>
    <w:semiHidden/>
    <w:unhideWhenUsed/>
    <w:rsid w:val="004D69BF"/>
    <w:rPr>
      <w:color w:val="605E5C"/>
      <w:shd w:val="clear" w:color="auto" w:fill="E1DFDD"/>
    </w:rPr>
  </w:style>
  <w:style w:type="paragraph" w:styleId="Zoznamobrzkov">
    <w:name w:val="table of figures"/>
    <w:basedOn w:val="Normlny"/>
    <w:next w:val="Normlny"/>
    <w:autoRedefine/>
    <w:uiPriority w:val="99"/>
    <w:unhideWhenUsed/>
    <w:rsid w:val="00907015"/>
    <w:pPr>
      <w:tabs>
        <w:tab w:val="right" w:pos="9060"/>
      </w:tabs>
    </w:pPr>
    <w:rPr>
      <w:bCs/>
      <w:noProof/>
      <w:sz w:val="20"/>
    </w:rPr>
  </w:style>
  <w:style w:type="paragraph" w:styleId="Podtitul">
    <w:name w:val="Subtitle"/>
    <w:basedOn w:val="Normlny"/>
    <w:next w:val="Normlny"/>
    <w:link w:val="PodtitulChar"/>
    <w:uiPriority w:val="11"/>
    <w:qFormat/>
    <w:rsid w:val="00B37AAF"/>
    <w:pPr>
      <w:numPr>
        <w:ilvl w:val="1"/>
      </w:numPr>
      <w:spacing w:before="120" w:line="240" w:lineRule="auto"/>
    </w:pPr>
    <w:rPr>
      <w:rFonts w:eastAsiaTheme="minorEastAsia"/>
      <w:b/>
      <w:color w:val="5B9BD5" w:themeColor="accent1"/>
    </w:rPr>
  </w:style>
  <w:style w:type="character" w:customStyle="1" w:styleId="PodtitulChar">
    <w:name w:val="Podtitul Char"/>
    <w:basedOn w:val="Predvolenpsmoodseku"/>
    <w:link w:val="Podtitul"/>
    <w:uiPriority w:val="11"/>
    <w:rsid w:val="00B37AAF"/>
    <w:rPr>
      <w:rFonts w:ascii="Times New Roman" w:eastAsiaTheme="minorEastAsia" w:hAnsi="Times New Roman"/>
      <w:b/>
      <w:color w:val="5B9BD5" w:themeColor="accent1"/>
      <w:sz w:val="24"/>
    </w:rPr>
  </w:style>
  <w:style w:type="paragraph" w:customStyle="1" w:styleId="Zdroj">
    <w:name w:val="Zdroj"/>
    <w:basedOn w:val="Normlny"/>
    <w:qFormat/>
    <w:rsid w:val="00AC1D94"/>
    <w:pPr>
      <w:tabs>
        <w:tab w:val="left" w:pos="0"/>
        <w:tab w:val="right" w:pos="8930"/>
      </w:tabs>
      <w:spacing w:line="240" w:lineRule="auto"/>
    </w:pPr>
    <w:rPr>
      <w:rFonts w:eastAsia="Times New Roman" w:cs="Times New Roman"/>
      <w:iCs/>
      <w:color w:val="000000"/>
      <w:sz w:val="18"/>
      <w:szCs w:val="18"/>
      <w:lang w:eastAsia="sk-SK"/>
    </w:rPr>
  </w:style>
  <w:style w:type="character" w:styleId="Nevyrieenzmienka">
    <w:name w:val="Unresolved Mention"/>
    <w:basedOn w:val="Predvolenpsmoodseku"/>
    <w:uiPriority w:val="99"/>
    <w:semiHidden/>
    <w:unhideWhenUsed/>
    <w:rsid w:val="00E73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998">
      <w:bodyDiv w:val="1"/>
      <w:marLeft w:val="0"/>
      <w:marRight w:val="0"/>
      <w:marTop w:val="0"/>
      <w:marBottom w:val="0"/>
      <w:divBdr>
        <w:top w:val="none" w:sz="0" w:space="0" w:color="auto"/>
        <w:left w:val="none" w:sz="0" w:space="0" w:color="auto"/>
        <w:bottom w:val="none" w:sz="0" w:space="0" w:color="auto"/>
        <w:right w:val="none" w:sz="0" w:space="0" w:color="auto"/>
      </w:divBdr>
    </w:div>
    <w:div w:id="69085660">
      <w:bodyDiv w:val="1"/>
      <w:marLeft w:val="0"/>
      <w:marRight w:val="0"/>
      <w:marTop w:val="0"/>
      <w:marBottom w:val="0"/>
      <w:divBdr>
        <w:top w:val="none" w:sz="0" w:space="0" w:color="auto"/>
        <w:left w:val="none" w:sz="0" w:space="0" w:color="auto"/>
        <w:bottom w:val="none" w:sz="0" w:space="0" w:color="auto"/>
        <w:right w:val="none" w:sz="0" w:space="0" w:color="auto"/>
      </w:divBdr>
    </w:div>
    <w:div w:id="83458516">
      <w:bodyDiv w:val="1"/>
      <w:marLeft w:val="0"/>
      <w:marRight w:val="0"/>
      <w:marTop w:val="0"/>
      <w:marBottom w:val="0"/>
      <w:divBdr>
        <w:top w:val="none" w:sz="0" w:space="0" w:color="auto"/>
        <w:left w:val="none" w:sz="0" w:space="0" w:color="auto"/>
        <w:bottom w:val="none" w:sz="0" w:space="0" w:color="auto"/>
        <w:right w:val="none" w:sz="0" w:space="0" w:color="auto"/>
      </w:divBdr>
    </w:div>
    <w:div w:id="99565828">
      <w:bodyDiv w:val="1"/>
      <w:marLeft w:val="0"/>
      <w:marRight w:val="0"/>
      <w:marTop w:val="0"/>
      <w:marBottom w:val="0"/>
      <w:divBdr>
        <w:top w:val="none" w:sz="0" w:space="0" w:color="auto"/>
        <w:left w:val="none" w:sz="0" w:space="0" w:color="auto"/>
        <w:bottom w:val="none" w:sz="0" w:space="0" w:color="auto"/>
        <w:right w:val="none" w:sz="0" w:space="0" w:color="auto"/>
      </w:divBdr>
    </w:div>
    <w:div w:id="103547509">
      <w:bodyDiv w:val="1"/>
      <w:marLeft w:val="0"/>
      <w:marRight w:val="0"/>
      <w:marTop w:val="0"/>
      <w:marBottom w:val="0"/>
      <w:divBdr>
        <w:top w:val="none" w:sz="0" w:space="0" w:color="auto"/>
        <w:left w:val="none" w:sz="0" w:space="0" w:color="auto"/>
        <w:bottom w:val="none" w:sz="0" w:space="0" w:color="auto"/>
        <w:right w:val="none" w:sz="0" w:space="0" w:color="auto"/>
      </w:divBdr>
      <w:divsChild>
        <w:div w:id="562831429">
          <w:marLeft w:val="0"/>
          <w:marRight w:val="0"/>
          <w:marTop w:val="0"/>
          <w:marBottom w:val="0"/>
          <w:divBdr>
            <w:top w:val="none" w:sz="0" w:space="0" w:color="auto"/>
            <w:left w:val="none" w:sz="0" w:space="0" w:color="auto"/>
            <w:bottom w:val="none" w:sz="0" w:space="0" w:color="auto"/>
            <w:right w:val="none" w:sz="0" w:space="0" w:color="auto"/>
          </w:divBdr>
          <w:divsChild>
            <w:div w:id="8848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349">
      <w:bodyDiv w:val="1"/>
      <w:marLeft w:val="0"/>
      <w:marRight w:val="0"/>
      <w:marTop w:val="0"/>
      <w:marBottom w:val="0"/>
      <w:divBdr>
        <w:top w:val="none" w:sz="0" w:space="0" w:color="auto"/>
        <w:left w:val="none" w:sz="0" w:space="0" w:color="auto"/>
        <w:bottom w:val="none" w:sz="0" w:space="0" w:color="auto"/>
        <w:right w:val="none" w:sz="0" w:space="0" w:color="auto"/>
      </w:divBdr>
    </w:div>
    <w:div w:id="112603446">
      <w:bodyDiv w:val="1"/>
      <w:marLeft w:val="0"/>
      <w:marRight w:val="0"/>
      <w:marTop w:val="0"/>
      <w:marBottom w:val="0"/>
      <w:divBdr>
        <w:top w:val="none" w:sz="0" w:space="0" w:color="auto"/>
        <w:left w:val="none" w:sz="0" w:space="0" w:color="auto"/>
        <w:bottom w:val="none" w:sz="0" w:space="0" w:color="auto"/>
        <w:right w:val="none" w:sz="0" w:space="0" w:color="auto"/>
      </w:divBdr>
    </w:div>
    <w:div w:id="116529456">
      <w:bodyDiv w:val="1"/>
      <w:marLeft w:val="0"/>
      <w:marRight w:val="0"/>
      <w:marTop w:val="0"/>
      <w:marBottom w:val="0"/>
      <w:divBdr>
        <w:top w:val="none" w:sz="0" w:space="0" w:color="auto"/>
        <w:left w:val="none" w:sz="0" w:space="0" w:color="auto"/>
        <w:bottom w:val="none" w:sz="0" w:space="0" w:color="auto"/>
        <w:right w:val="none" w:sz="0" w:space="0" w:color="auto"/>
      </w:divBdr>
    </w:div>
    <w:div w:id="120421357">
      <w:bodyDiv w:val="1"/>
      <w:marLeft w:val="0"/>
      <w:marRight w:val="0"/>
      <w:marTop w:val="0"/>
      <w:marBottom w:val="0"/>
      <w:divBdr>
        <w:top w:val="none" w:sz="0" w:space="0" w:color="auto"/>
        <w:left w:val="none" w:sz="0" w:space="0" w:color="auto"/>
        <w:bottom w:val="none" w:sz="0" w:space="0" w:color="auto"/>
        <w:right w:val="none" w:sz="0" w:space="0" w:color="auto"/>
      </w:divBdr>
    </w:div>
    <w:div w:id="130249624">
      <w:bodyDiv w:val="1"/>
      <w:marLeft w:val="0"/>
      <w:marRight w:val="0"/>
      <w:marTop w:val="0"/>
      <w:marBottom w:val="0"/>
      <w:divBdr>
        <w:top w:val="none" w:sz="0" w:space="0" w:color="auto"/>
        <w:left w:val="none" w:sz="0" w:space="0" w:color="auto"/>
        <w:bottom w:val="none" w:sz="0" w:space="0" w:color="auto"/>
        <w:right w:val="none" w:sz="0" w:space="0" w:color="auto"/>
      </w:divBdr>
    </w:div>
    <w:div w:id="151485999">
      <w:bodyDiv w:val="1"/>
      <w:marLeft w:val="0"/>
      <w:marRight w:val="0"/>
      <w:marTop w:val="0"/>
      <w:marBottom w:val="0"/>
      <w:divBdr>
        <w:top w:val="none" w:sz="0" w:space="0" w:color="auto"/>
        <w:left w:val="none" w:sz="0" w:space="0" w:color="auto"/>
        <w:bottom w:val="none" w:sz="0" w:space="0" w:color="auto"/>
        <w:right w:val="none" w:sz="0" w:space="0" w:color="auto"/>
      </w:divBdr>
    </w:div>
    <w:div w:id="153838167">
      <w:bodyDiv w:val="1"/>
      <w:marLeft w:val="0"/>
      <w:marRight w:val="0"/>
      <w:marTop w:val="0"/>
      <w:marBottom w:val="0"/>
      <w:divBdr>
        <w:top w:val="none" w:sz="0" w:space="0" w:color="auto"/>
        <w:left w:val="none" w:sz="0" w:space="0" w:color="auto"/>
        <w:bottom w:val="none" w:sz="0" w:space="0" w:color="auto"/>
        <w:right w:val="none" w:sz="0" w:space="0" w:color="auto"/>
      </w:divBdr>
    </w:div>
    <w:div w:id="184489671">
      <w:bodyDiv w:val="1"/>
      <w:marLeft w:val="0"/>
      <w:marRight w:val="0"/>
      <w:marTop w:val="0"/>
      <w:marBottom w:val="0"/>
      <w:divBdr>
        <w:top w:val="none" w:sz="0" w:space="0" w:color="auto"/>
        <w:left w:val="none" w:sz="0" w:space="0" w:color="auto"/>
        <w:bottom w:val="none" w:sz="0" w:space="0" w:color="auto"/>
        <w:right w:val="none" w:sz="0" w:space="0" w:color="auto"/>
      </w:divBdr>
    </w:div>
    <w:div w:id="208884657">
      <w:bodyDiv w:val="1"/>
      <w:marLeft w:val="0"/>
      <w:marRight w:val="0"/>
      <w:marTop w:val="0"/>
      <w:marBottom w:val="0"/>
      <w:divBdr>
        <w:top w:val="none" w:sz="0" w:space="0" w:color="auto"/>
        <w:left w:val="none" w:sz="0" w:space="0" w:color="auto"/>
        <w:bottom w:val="none" w:sz="0" w:space="0" w:color="auto"/>
        <w:right w:val="none" w:sz="0" w:space="0" w:color="auto"/>
      </w:divBdr>
    </w:div>
    <w:div w:id="221866251">
      <w:bodyDiv w:val="1"/>
      <w:marLeft w:val="0"/>
      <w:marRight w:val="0"/>
      <w:marTop w:val="0"/>
      <w:marBottom w:val="0"/>
      <w:divBdr>
        <w:top w:val="none" w:sz="0" w:space="0" w:color="auto"/>
        <w:left w:val="none" w:sz="0" w:space="0" w:color="auto"/>
        <w:bottom w:val="none" w:sz="0" w:space="0" w:color="auto"/>
        <w:right w:val="none" w:sz="0" w:space="0" w:color="auto"/>
      </w:divBdr>
    </w:div>
    <w:div w:id="232737814">
      <w:bodyDiv w:val="1"/>
      <w:marLeft w:val="0"/>
      <w:marRight w:val="0"/>
      <w:marTop w:val="0"/>
      <w:marBottom w:val="0"/>
      <w:divBdr>
        <w:top w:val="none" w:sz="0" w:space="0" w:color="auto"/>
        <w:left w:val="none" w:sz="0" w:space="0" w:color="auto"/>
        <w:bottom w:val="none" w:sz="0" w:space="0" w:color="auto"/>
        <w:right w:val="none" w:sz="0" w:space="0" w:color="auto"/>
      </w:divBdr>
    </w:div>
    <w:div w:id="236214534">
      <w:bodyDiv w:val="1"/>
      <w:marLeft w:val="0"/>
      <w:marRight w:val="0"/>
      <w:marTop w:val="0"/>
      <w:marBottom w:val="0"/>
      <w:divBdr>
        <w:top w:val="none" w:sz="0" w:space="0" w:color="auto"/>
        <w:left w:val="none" w:sz="0" w:space="0" w:color="auto"/>
        <w:bottom w:val="none" w:sz="0" w:space="0" w:color="auto"/>
        <w:right w:val="none" w:sz="0" w:space="0" w:color="auto"/>
      </w:divBdr>
    </w:div>
    <w:div w:id="246546583">
      <w:bodyDiv w:val="1"/>
      <w:marLeft w:val="0"/>
      <w:marRight w:val="0"/>
      <w:marTop w:val="0"/>
      <w:marBottom w:val="0"/>
      <w:divBdr>
        <w:top w:val="none" w:sz="0" w:space="0" w:color="auto"/>
        <w:left w:val="none" w:sz="0" w:space="0" w:color="auto"/>
        <w:bottom w:val="none" w:sz="0" w:space="0" w:color="auto"/>
        <w:right w:val="none" w:sz="0" w:space="0" w:color="auto"/>
      </w:divBdr>
    </w:div>
    <w:div w:id="251817761">
      <w:bodyDiv w:val="1"/>
      <w:marLeft w:val="0"/>
      <w:marRight w:val="0"/>
      <w:marTop w:val="0"/>
      <w:marBottom w:val="0"/>
      <w:divBdr>
        <w:top w:val="none" w:sz="0" w:space="0" w:color="auto"/>
        <w:left w:val="none" w:sz="0" w:space="0" w:color="auto"/>
        <w:bottom w:val="none" w:sz="0" w:space="0" w:color="auto"/>
        <w:right w:val="none" w:sz="0" w:space="0" w:color="auto"/>
      </w:divBdr>
    </w:div>
    <w:div w:id="265887666">
      <w:bodyDiv w:val="1"/>
      <w:marLeft w:val="0"/>
      <w:marRight w:val="0"/>
      <w:marTop w:val="0"/>
      <w:marBottom w:val="0"/>
      <w:divBdr>
        <w:top w:val="none" w:sz="0" w:space="0" w:color="auto"/>
        <w:left w:val="none" w:sz="0" w:space="0" w:color="auto"/>
        <w:bottom w:val="none" w:sz="0" w:space="0" w:color="auto"/>
        <w:right w:val="none" w:sz="0" w:space="0" w:color="auto"/>
      </w:divBdr>
    </w:div>
    <w:div w:id="271595381">
      <w:bodyDiv w:val="1"/>
      <w:marLeft w:val="0"/>
      <w:marRight w:val="0"/>
      <w:marTop w:val="0"/>
      <w:marBottom w:val="0"/>
      <w:divBdr>
        <w:top w:val="none" w:sz="0" w:space="0" w:color="auto"/>
        <w:left w:val="none" w:sz="0" w:space="0" w:color="auto"/>
        <w:bottom w:val="none" w:sz="0" w:space="0" w:color="auto"/>
        <w:right w:val="none" w:sz="0" w:space="0" w:color="auto"/>
      </w:divBdr>
    </w:div>
    <w:div w:id="273292507">
      <w:bodyDiv w:val="1"/>
      <w:marLeft w:val="0"/>
      <w:marRight w:val="0"/>
      <w:marTop w:val="0"/>
      <w:marBottom w:val="0"/>
      <w:divBdr>
        <w:top w:val="none" w:sz="0" w:space="0" w:color="auto"/>
        <w:left w:val="none" w:sz="0" w:space="0" w:color="auto"/>
        <w:bottom w:val="none" w:sz="0" w:space="0" w:color="auto"/>
        <w:right w:val="none" w:sz="0" w:space="0" w:color="auto"/>
      </w:divBdr>
    </w:div>
    <w:div w:id="278338214">
      <w:bodyDiv w:val="1"/>
      <w:marLeft w:val="0"/>
      <w:marRight w:val="0"/>
      <w:marTop w:val="0"/>
      <w:marBottom w:val="0"/>
      <w:divBdr>
        <w:top w:val="none" w:sz="0" w:space="0" w:color="auto"/>
        <w:left w:val="none" w:sz="0" w:space="0" w:color="auto"/>
        <w:bottom w:val="none" w:sz="0" w:space="0" w:color="auto"/>
        <w:right w:val="none" w:sz="0" w:space="0" w:color="auto"/>
      </w:divBdr>
    </w:div>
    <w:div w:id="282075293">
      <w:bodyDiv w:val="1"/>
      <w:marLeft w:val="0"/>
      <w:marRight w:val="0"/>
      <w:marTop w:val="0"/>
      <w:marBottom w:val="0"/>
      <w:divBdr>
        <w:top w:val="none" w:sz="0" w:space="0" w:color="auto"/>
        <w:left w:val="none" w:sz="0" w:space="0" w:color="auto"/>
        <w:bottom w:val="none" w:sz="0" w:space="0" w:color="auto"/>
        <w:right w:val="none" w:sz="0" w:space="0" w:color="auto"/>
      </w:divBdr>
    </w:div>
    <w:div w:id="304552744">
      <w:bodyDiv w:val="1"/>
      <w:marLeft w:val="0"/>
      <w:marRight w:val="0"/>
      <w:marTop w:val="0"/>
      <w:marBottom w:val="0"/>
      <w:divBdr>
        <w:top w:val="none" w:sz="0" w:space="0" w:color="auto"/>
        <w:left w:val="none" w:sz="0" w:space="0" w:color="auto"/>
        <w:bottom w:val="none" w:sz="0" w:space="0" w:color="auto"/>
        <w:right w:val="none" w:sz="0" w:space="0" w:color="auto"/>
      </w:divBdr>
    </w:div>
    <w:div w:id="305822928">
      <w:bodyDiv w:val="1"/>
      <w:marLeft w:val="0"/>
      <w:marRight w:val="0"/>
      <w:marTop w:val="0"/>
      <w:marBottom w:val="0"/>
      <w:divBdr>
        <w:top w:val="none" w:sz="0" w:space="0" w:color="auto"/>
        <w:left w:val="none" w:sz="0" w:space="0" w:color="auto"/>
        <w:bottom w:val="none" w:sz="0" w:space="0" w:color="auto"/>
        <w:right w:val="none" w:sz="0" w:space="0" w:color="auto"/>
      </w:divBdr>
    </w:div>
    <w:div w:id="325207847">
      <w:bodyDiv w:val="1"/>
      <w:marLeft w:val="0"/>
      <w:marRight w:val="0"/>
      <w:marTop w:val="0"/>
      <w:marBottom w:val="0"/>
      <w:divBdr>
        <w:top w:val="none" w:sz="0" w:space="0" w:color="auto"/>
        <w:left w:val="none" w:sz="0" w:space="0" w:color="auto"/>
        <w:bottom w:val="none" w:sz="0" w:space="0" w:color="auto"/>
        <w:right w:val="none" w:sz="0" w:space="0" w:color="auto"/>
      </w:divBdr>
    </w:div>
    <w:div w:id="346686579">
      <w:bodyDiv w:val="1"/>
      <w:marLeft w:val="0"/>
      <w:marRight w:val="0"/>
      <w:marTop w:val="0"/>
      <w:marBottom w:val="0"/>
      <w:divBdr>
        <w:top w:val="none" w:sz="0" w:space="0" w:color="auto"/>
        <w:left w:val="none" w:sz="0" w:space="0" w:color="auto"/>
        <w:bottom w:val="none" w:sz="0" w:space="0" w:color="auto"/>
        <w:right w:val="none" w:sz="0" w:space="0" w:color="auto"/>
      </w:divBdr>
    </w:div>
    <w:div w:id="365251082">
      <w:bodyDiv w:val="1"/>
      <w:marLeft w:val="0"/>
      <w:marRight w:val="0"/>
      <w:marTop w:val="0"/>
      <w:marBottom w:val="0"/>
      <w:divBdr>
        <w:top w:val="none" w:sz="0" w:space="0" w:color="auto"/>
        <w:left w:val="none" w:sz="0" w:space="0" w:color="auto"/>
        <w:bottom w:val="none" w:sz="0" w:space="0" w:color="auto"/>
        <w:right w:val="none" w:sz="0" w:space="0" w:color="auto"/>
      </w:divBdr>
    </w:div>
    <w:div w:id="366878275">
      <w:bodyDiv w:val="1"/>
      <w:marLeft w:val="0"/>
      <w:marRight w:val="0"/>
      <w:marTop w:val="0"/>
      <w:marBottom w:val="0"/>
      <w:divBdr>
        <w:top w:val="none" w:sz="0" w:space="0" w:color="auto"/>
        <w:left w:val="none" w:sz="0" w:space="0" w:color="auto"/>
        <w:bottom w:val="none" w:sz="0" w:space="0" w:color="auto"/>
        <w:right w:val="none" w:sz="0" w:space="0" w:color="auto"/>
      </w:divBdr>
    </w:div>
    <w:div w:id="374815830">
      <w:bodyDiv w:val="1"/>
      <w:marLeft w:val="0"/>
      <w:marRight w:val="0"/>
      <w:marTop w:val="0"/>
      <w:marBottom w:val="0"/>
      <w:divBdr>
        <w:top w:val="none" w:sz="0" w:space="0" w:color="auto"/>
        <w:left w:val="none" w:sz="0" w:space="0" w:color="auto"/>
        <w:bottom w:val="none" w:sz="0" w:space="0" w:color="auto"/>
        <w:right w:val="none" w:sz="0" w:space="0" w:color="auto"/>
      </w:divBdr>
    </w:div>
    <w:div w:id="383337282">
      <w:bodyDiv w:val="1"/>
      <w:marLeft w:val="0"/>
      <w:marRight w:val="0"/>
      <w:marTop w:val="0"/>
      <w:marBottom w:val="0"/>
      <w:divBdr>
        <w:top w:val="none" w:sz="0" w:space="0" w:color="auto"/>
        <w:left w:val="none" w:sz="0" w:space="0" w:color="auto"/>
        <w:bottom w:val="none" w:sz="0" w:space="0" w:color="auto"/>
        <w:right w:val="none" w:sz="0" w:space="0" w:color="auto"/>
      </w:divBdr>
    </w:div>
    <w:div w:id="398406455">
      <w:bodyDiv w:val="1"/>
      <w:marLeft w:val="0"/>
      <w:marRight w:val="0"/>
      <w:marTop w:val="0"/>
      <w:marBottom w:val="0"/>
      <w:divBdr>
        <w:top w:val="none" w:sz="0" w:space="0" w:color="auto"/>
        <w:left w:val="none" w:sz="0" w:space="0" w:color="auto"/>
        <w:bottom w:val="none" w:sz="0" w:space="0" w:color="auto"/>
        <w:right w:val="none" w:sz="0" w:space="0" w:color="auto"/>
      </w:divBdr>
    </w:div>
    <w:div w:id="404649424">
      <w:bodyDiv w:val="1"/>
      <w:marLeft w:val="0"/>
      <w:marRight w:val="0"/>
      <w:marTop w:val="0"/>
      <w:marBottom w:val="0"/>
      <w:divBdr>
        <w:top w:val="none" w:sz="0" w:space="0" w:color="auto"/>
        <w:left w:val="none" w:sz="0" w:space="0" w:color="auto"/>
        <w:bottom w:val="none" w:sz="0" w:space="0" w:color="auto"/>
        <w:right w:val="none" w:sz="0" w:space="0" w:color="auto"/>
      </w:divBdr>
    </w:div>
    <w:div w:id="419183605">
      <w:bodyDiv w:val="1"/>
      <w:marLeft w:val="0"/>
      <w:marRight w:val="0"/>
      <w:marTop w:val="0"/>
      <w:marBottom w:val="0"/>
      <w:divBdr>
        <w:top w:val="none" w:sz="0" w:space="0" w:color="auto"/>
        <w:left w:val="none" w:sz="0" w:space="0" w:color="auto"/>
        <w:bottom w:val="none" w:sz="0" w:space="0" w:color="auto"/>
        <w:right w:val="none" w:sz="0" w:space="0" w:color="auto"/>
      </w:divBdr>
    </w:div>
    <w:div w:id="420488193">
      <w:bodyDiv w:val="1"/>
      <w:marLeft w:val="0"/>
      <w:marRight w:val="0"/>
      <w:marTop w:val="0"/>
      <w:marBottom w:val="0"/>
      <w:divBdr>
        <w:top w:val="none" w:sz="0" w:space="0" w:color="auto"/>
        <w:left w:val="none" w:sz="0" w:space="0" w:color="auto"/>
        <w:bottom w:val="none" w:sz="0" w:space="0" w:color="auto"/>
        <w:right w:val="none" w:sz="0" w:space="0" w:color="auto"/>
      </w:divBdr>
    </w:div>
    <w:div w:id="431168882">
      <w:bodyDiv w:val="1"/>
      <w:marLeft w:val="0"/>
      <w:marRight w:val="0"/>
      <w:marTop w:val="0"/>
      <w:marBottom w:val="0"/>
      <w:divBdr>
        <w:top w:val="none" w:sz="0" w:space="0" w:color="auto"/>
        <w:left w:val="none" w:sz="0" w:space="0" w:color="auto"/>
        <w:bottom w:val="none" w:sz="0" w:space="0" w:color="auto"/>
        <w:right w:val="none" w:sz="0" w:space="0" w:color="auto"/>
      </w:divBdr>
    </w:div>
    <w:div w:id="431585938">
      <w:bodyDiv w:val="1"/>
      <w:marLeft w:val="0"/>
      <w:marRight w:val="0"/>
      <w:marTop w:val="0"/>
      <w:marBottom w:val="0"/>
      <w:divBdr>
        <w:top w:val="none" w:sz="0" w:space="0" w:color="auto"/>
        <w:left w:val="none" w:sz="0" w:space="0" w:color="auto"/>
        <w:bottom w:val="none" w:sz="0" w:space="0" w:color="auto"/>
        <w:right w:val="none" w:sz="0" w:space="0" w:color="auto"/>
      </w:divBdr>
    </w:div>
    <w:div w:id="451360976">
      <w:bodyDiv w:val="1"/>
      <w:marLeft w:val="0"/>
      <w:marRight w:val="0"/>
      <w:marTop w:val="0"/>
      <w:marBottom w:val="0"/>
      <w:divBdr>
        <w:top w:val="none" w:sz="0" w:space="0" w:color="auto"/>
        <w:left w:val="none" w:sz="0" w:space="0" w:color="auto"/>
        <w:bottom w:val="none" w:sz="0" w:space="0" w:color="auto"/>
        <w:right w:val="none" w:sz="0" w:space="0" w:color="auto"/>
      </w:divBdr>
    </w:div>
    <w:div w:id="475218865">
      <w:bodyDiv w:val="1"/>
      <w:marLeft w:val="0"/>
      <w:marRight w:val="0"/>
      <w:marTop w:val="0"/>
      <w:marBottom w:val="0"/>
      <w:divBdr>
        <w:top w:val="none" w:sz="0" w:space="0" w:color="auto"/>
        <w:left w:val="none" w:sz="0" w:space="0" w:color="auto"/>
        <w:bottom w:val="none" w:sz="0" w:space="0" w:color="auto"/>
        <w:right w:val="none" w:sz="0" w:space="0" w:color="auto"/>
      </w:divBdr>
    </w:div>
    <w:div w:id="504630687">
      <w:bodyDiv w:val="1"/>
      <w:marLeft w:val="0"/>
      <w:marRight w:val="0"/>
      <w:marTop w:val="0"/>
      <w:marBottom w:val="0"/>
      <w:divBdr>
        <w:top w:val="none" w:sz="0" w:space="0" w:color="auto"/>
        <w:left w:val="none" w:sz="0" w:space="0" w:color="auto"/>
        <w:bottom w:val="none" w:sz="0" w:space="0" w:color="auto"/>
        <w:right w:val="none" w:sz="0" w:space="0" w:color="auto"/>
      </w:divBdr>
    </w:div>
    <w:div w:id="551313390">
      <w:bodyDiv w:val="1"/>
      <w:marLeft w:val="0"/>
      <w:marRight w:val="0"/>
      <w:marTop w:val="0"/>
      <w:marBottom w:val="0"/>
      <w:divBdr>
        <w:top w:val="none" w:sz="0" w:space="0" w:color="auto"/>
        <w:left w:val="none" w:sz="0" w:space="0" w:color="auto"/>
        <w:bottom w:val="none" w:sz="0" w:space="0" w:color="auto"/>
        <w:right w:val="none" w:sz="0" w:space="0" w:color="auto"/>
      </w:divBdr>
    </w:div>
    <w:div w:id="573976301">
      <w:bodyDiv w:val="1"/>
      <w:marLeft w:val="0"/>
      <w:marRight w:val="0"/>
      <w:marTop w:val="0"/>
      <w:marBottom w:val="0"/>
      <w:divBdr>
        <w:top w:val="none" w:sz="0" w:space="0" w:color="auto"/>
        <w:left w:val="none" w:sz="0" w:space="0" w:color="auto"/>
        <w:bottom w:val="none" w:sz="0" w:space="0" w:color="auto"/>
        <w:right w:val="none" w:sz="0" w:space="0" w:color="auto"/>
      </w:divBdr>
    </w:div>
    <w:div w:id="602960080">
      <w:bodyDiv w:val="1"/>
      <w:marLeft w:val="0"/>
      <w:marRight w:val="0"/>
      <w:marTop w:val="0"/>
      <w:marBottom w:val="0"/>
      <w:divBdr>
        <w:top w:val="none" w:sz="0" w:space="0" w:color="auto"/>
        <w:left w:val="none" w:sz="0" w:space="0" w:color="auto"/>
        <w:bottom w:val="none" w:sz="0" w:space="0" w:color="auto"/>
        <w:right w:val="none" w:sz="0" w:space="0" w:color="auto"/>
      </w:divBdr>
    </w:div>
    <w:div w:id="607812558">
      <w:bodyDiv w:val="1"/>
      <w:marLeft w:val="0"/>
      <w:marRight w:val="0"/>
      <w:marTop w:val="0"/>
      <w:marBottom w:val="0"/>
      <w:divBdr>
        <w:top w:val="none" w:sz="0" w:space="0" w:color="auto"/>
        <w:left w:val="none" w:sz="0" w:space="0" w:color="auto"/>
        <w:bottom w:val="none" w:sz="0" w:space="0" w:color="auto"/>
        <w:right w:val="none" w:sz="0" w:space="0" w:color="auto"/>
      </w:divBdr>
    </w:div>
    <w:div w:id="607978284">
      <w:bodyDiv w:val="1"/>
      <w:marLeft w:val="0"/>
      <w:marRight w:val="0"/>
      <w:marTop w:val="0"/>
      <w:marBottom w:val="0"/>
      <w:divBdr>
        <w:top w:val="none" w:sz="0" w:space="0" w:color="auto"/>
        <w:left w:val="none" w:sz="0" w:space="0" w:color="auto"/>
        <w:bottom w:val="none" w:sz="0" w:space="0" w:color="auto"/>
        <w:right w:val="none" w:sz="0" w:space="0" w:color="auto"/>
      </w:divBdr>
    </w:div>
    <w:div w:id="609095785">
      <w:bodyDiv w:val="1"/>
      <w:marLeft w:val="0"/>
      <w:marRight w:val="0"/>
      <w:marTop w:val="0"/>
      <w:marBottom w:val="0"/>
      <w:divBdr>
        <w:top w:val="none" w:sz="0" w:space="0" w:color="auto"/>
        <w:left w:val="none" w:sz="0" w:space="0" w:color="auto"/>
        <w:bottom w:val="none" w:sz="0" w:space="0" w:color="auto"/>
        <w:right w:val="none" w:sz="0" w:space="0" w:color="auto"/>
      </w:divBdr>
    </w:div>
    <w:div w:id="616566911">
      <w:bodyDiv w:val="1"/>
      <w:marLeft w:val="0"/>
      <w:marRight w:val="0"/>
      <w:marTop w:val="0"/>
      <w:marBottom w:val="0"/>
      <w:divBdr>
        <w:top w:val="none" w:sz="0" w:space="0" w:color="auto"/>
        <w:left w:val="none" w:sz="0" w:space="0" w:color="auto"/>
        <w:bottom w:val="none" w:sz="0" w:space="0" w:color="auto"/>
        <w:right w:val="none" w:sz="0" w:space="0" w:color="auto"/>
      </w:divBdr>
    </w:div>
    <w:div w:id="617680901">
      <w:bodyDiv w:val="1"/>
      <w:marLeft w:val="0"/>
      <w:marRight w:val="0"/>
      <w:marTop w:val="0"/>
      <w:marBottom w:val="0"/>
      <w:divBdr>
        <w:top w:val="none" w:sz="0" w:space="0" w:color="auto"/>
        <w:left w:val="none" w:sz="0" w:space="0" w:color="auto"/>
        <w:bottom w:val="none" w:sz="0" w:space="0" w:color="auto"/>
        <w:right w:val="none" w:sz="0" w:space="0" w:color="auto"/>
      </w:divBdr>
    </w:div>
    <w:div w:id="621500285">
      <w:bodyDiv w:val="1"/>
      <w:marLeft w:val="0"/>
      <w:marRight w:val="0"/>
      <w:marTop w:val="0"/>
      <w:marBottom w:val="0"/>
      <w:divBdr>
        <w:top w:val="none" w:sz="0" w:space="0" w:color="auto"/>
        <w:left w:val="none" w:sz="0" w:space="0" w:color="auto"/>
        <w:bottom w:val="none" w:sz="0" w:space="0" w:color="auto"/>
        <w:right w:val="none" w:sz="0" w:space="0" w:color="auto"/>
      </w:divBdr>
    </w:div>
    <w:div w:id="624778205">
      <w:bodyDiv w:val="1"/>
      <w:marLeft w:val="0"/>
      <w:marRight w:val="0"/>
      <w:marTop w:val="0"/>
      <w:marBottom w:val="0"/>
      <w:divBdr>
        <w:top w:val="none" w:sz="0" w:space="0" w:color="auto"/>
        <w:left w:val="none" w:sz="0" w:space="0" w:color="auto"/>
        <w:bottom w:val="none" w:sz="0" w:space="0" w:color="auto"/>
        <w:right w:val="none" w:sz="0" w:space="0" w:color="auto"/>
      </w:divBdr>
    </w:div>
    <w:div w:id="624821723">
      <w:bodyDiv w:val="1"/>
      <w:marLeft w:val="0"/>
      <w:marRight w:val="0"/>
      <w:marTop w:val="0"/>
      <w:marBottom w:val="0"/>
      <w:divBdr>
        <w:top w:val="none" w:sz="0" w:space="0" w:color="auto"/>
        <w:left w:val="none" w:sz="0" w:space="0" w:color="auto"/>
        <w:bottom w:val="none" w:sz="0" w:space="0" w:color="auto"/>
        <w:right w:val="none" w:sz="0" w:space="0" w:color="auto"/>
      </w:divBdr>
    </w:div>
    <w:div w:id="636495612">
      <w:bodyDiv w:val="1"/>
      <w:marLeft w:val="0"/>
      <w:marRight w:val="0"/>
      <w:marTop w:val="0"/>
      <w:marBottom w:val="0"/>
      <w:divBdr>
        <w:top w:val="none" w:sz="0" w:space="0" w:color="auto"/>
        <w:left w:val="none" w:sz="0" w:space="0" w:color="auto"/>
        <w:bottom w:val="none" w:sz="0" w:space="0" w:color="auto"/>
        <w:right w:val="none" w:sz="0" w:space="0" w:color="auto"/>
      </w:divBdr>
    </w:div>
    <w:div w:id="640769414">
      <w:bodyDiv w:val="1"/>
      <w:marLeft w:val="0"/>
      <w:marRight w:val="0"/>
      <w:marTop w:val="0"/>
      <w:marBottom w:val="0"/>
      <w:divBdr>
        <w:top w:val="none" w:sz="0" w:space="0" w:color="auto"/>
        <w:left w:val="none" w:sz="0" w:space="0" w:color="auto"/>
        <w:bottom w:val="none" w:sz="0" w:space="0" w:color="auto"/>
        <w:right w:val="none" w:sz="0" w:space="0" w:color="auto"/>
      </w:divBdr>
    </w:div>
    <w:div w:id="672996393">
      <w:bodyDiv w:val="1"/>
      <w:marLeft w:val="0"/>
      <w:marRight w:val="0"/>
      <w:marTop w:val="0"/>
      <w:marBottom w:val="0"/>
      <w:divBdr>
        <w:top w:val="none" w:sz="0" w:space="0" w:color="auto"/>
        <w:left w:val="none" w:sz="0" w:space="0" w:color="auto"/>
        <w:bottom w:val="none" w:sz="0" w:space="0" w:color="auto"/>
        <w:right w:val="none" w:sz="0" w:space="0" w:color="auto"/>
      </w:divBdr>
    </w:div>
    <w:div w:id="706762789">
      <w:bodyDiv w:val="1"/>
      <w:marLeft w:val="0"/>
      <w:marRight w:val="0"/>
      <w:marTop w:val="0"/>
      <w:marBottom w:val="0"/>
      <w:divBdr>
        <w:top w:val="none" w:sz="0" w:space="0" w:color="auto"/>
        <w:left w:val="none" w:sz="0" w:space="0" w:color="auto"/>
        <w:bottom w:val="none" w:sz="0" w:space="0" w:color="auto"/>
        <w:right w:val="none" w:sz="0" w:space="0" w:color="auto"/>
      </w:divBdr>
    </w:div>
    <w:div w:id="712000132">
      <w:bodyDiv w:val="1"/>
      <w:marLeft w:val="0"/>
      <w:marRight w:val="0"/>
      <w:marTop w:val="0"/>
      <w:marBottom w:val="0"/>
      <w:divBdr>
        <w:top w:val="none" w:sz="0" w:space="0" w:color="auto"/>
        <w:left w:val="none" w:sz="0" w:space="0" w:color="auto"/>
        <w:bottom w:val="none" w:sz="0" w:space="0" w:color="auto"/>
        <w:right w:val="none" w:sz="0" w:space="0" w:color="auto"/>
      </w:divBdr>
    </w:div>
    <w:div w:id="723214508">
      <w:bodyDiv w:val="1"/>
      <w:marLeft w:val="0"/>
      <w:marRight w:val="0"/>
      <w:marTop w:val="0"/>
      <w:marBottom w:val="0"/>
      <w:divBdr>
        <w:top w:val="none" w:sz="0" w:space="0" w:color="auto"/>
        <w:left w:val="none" w:sz="0" w:space="0" w:color="auto"/>
        <w:bottom w:val="none" w:sz="0" w:space="0" w:color="auto"/>
        <w:right w:val="none" w:sz="0" w:space="0" w:color="auto"/>
      </w:divBdr>
    </w:div>
    <w:div w:id="745540572">
      <w:bodyDiv w:val="1"/>
      <w:marLeft w:val="0"/>
      <w:marRight w:val="0"/>
      <w:marTop w:val="0"/>
      <w:marBottom w:val="0"/>
      <w:divBdr>
        <w:top w:val="none" w:sz="0" w:space="0" w:color="auto"/>
        <w:left w:val="none" w:sz="0" w:space="0" w:color="auto"/>
        <w:bottom w:val="none" w:sz="0" w:space="0" w:color="auto"/>
        <w:right w:val="none" w:sz="0" w:space="0" w:color="auto"/>
      </w:divBdr>
    </w:div>
    <w:div w:id="752703514">
      <w:bodyDiv w:val="1"/>
      <w:marLeft w:val="0"/>
      <w:marRight w:val="0"/>
      <w:marTop w:val="0"/>
      <w:marBottom w:val="0"/>
      <w:divBdr>
        <w:top w:val="none" w:sz="0" w:space="0" w:color="auto"/>
        <w:left w:val="none" w:sz="0" w:space="0" w:color="auto"/>
        <w:bottom w:val="none" w:sz="0" w:space="0" w:color="auto"/>
        <w:right w:val="none" w:sz="0" w:space="0" w:color="auto"/>
      </w:divBdr>
    </w:div>
    <w:div w:id="756560704">
      <w:bodyDiv w:val="1"/>
      <w:marLeft w:val="0"/>
      <w:marRight w:val="0"/>
      <w:marTop w:val="0"/>
      <w:marBottom w:val="0"/>
      <w:divBdr>
        <w:top w:val="none" w:sz="0" w:space="0" w:color="auto"/>
        <w:left w:val="none" w:sz="0" w:space="0" w:color="auto"/>
        <w:bottom w:val="none" w:sz="0" w:space="0" w:color="auto"/>
        <w:right w:val="none" w:sz="0" w:space="0" w:color="auto"/>
      </w:divBdr>
    </w:div>
    <w:div w:id="757218805">
      <w:bodyDiv w:val="1"/>
      <w:marLeft w:val="0"/>
      <w:marRight w:val="0"/>
      <w:marTop w:val="0"/>
      <w:marBottom w:val="0"/>
      <w:divBdr>
        <w:top w:val="none" w:sz="0" w:space="0" w:color="auto"/>
        <w:left w:val="none" w:sz="0" w:space="0" w:color="auto"/>
        <w:bottom w:val="none" w:sz="0" w:space="0" w:color="auto"/>
        <w:right w:val="none" w:sz="0" w:space="0" w:color="auto"/>
      </w:divBdr>
    </w:div>
    <w:div w:id="759526628">
      <w:bodyDiv w:val="1"/>
      <w:marLeft w:val="0"/>
      <w:marRight w:val="0"/>
      <w:marTop w:val="0"/>
      <w:marBottom w:val="0"/>
      <w:divBdr>
        <w:top w:val="none" w:sz="0" w:space="0" w:color="auto"/>
        <w:left w:val="none" w:sz="0" w:space="0" w:color="auto"/>
        <w:bottom w:val="none" w:sz="0" w:space="0" w:color="auto"/>
        <w:right w:val="none" w:sz="0" w:space="0" w:color="auto"/>
      </w:divBdr>
    </w:div>
    <w:div w:id="762185507">
      <w:bodyDiv w:val="1"/>
      <w:marLeft w:val="0"/>
      <w:marRight w:val="0"/>
      <w:marTop w:val="0"/>
      <w:marBottom w:val="0"/>
      <w:divBdr>
        <w:top w:val="none" w:sz="0" w:space="0" w:color="auto"/>
        <w:left w:val="none" w:sz="0" w:space="0" w:color="auto"/>
        <w:bottom w:val="none" w:sz="0" w:space="0" w:color="auto"/>
        <w:right w:val="none" w:sz="0" w:space="0" w:color="auto"/>
      </w:divBdr>
    </w:div>
    <w:div w:id="764689163">
      <w:bodyDiv w:val="1"/>
      <w:marLeft w:val="0"/>
      <w:marRight w:val="0"/>
      <w:marTop w:val="0"/>
      <w:marBottom w:val="0"/>
      <w:divBdr>
        <w:top w:val="none" w:sz="0" w:space="0" w:color="auto"/>
        <w:left w:val="none" w:sz="0" w:space="0" w:color="auto"/>
        <w:bottom w:val="none" w:sz="0" w:space="0" w:color="auto"/>
        <w:right w:val="none" w:sz="0" w:space="0" w:color="auto"/>
      </w:divBdr>
    </w:div>
    <w:div w:id="783115927">
      <w:bodyDiv w:val="1"/>
      <w:marLeft w:val="0"/>
      <w:marRight w:val="0"/>
      <w:marTop w:val="0"/>
      <w:marBottom w:val="0"/>
      <w:divBdr>
        <w:top w:val="none" w:sz="0" w:space="0" w:color="auto"/>
        <w:left w:val="none" w:sz="0" w:space="0" w:color="auto"/>
        <w:bottom w:val="none" w:sz="0" w:space="0" w:color="auto"/>
        <w:right w:val="none" w:sz="0" w:space="0" w:color="auto"/>
      </w:divBdr>
    </w:div>
    <w:div w:id="792289765">
      <w:bodyDiv w:val="1"/>
      <w:marLeft w:val="0"/>
      <w:marRight w:val="0"/>
      <w:marTop w:val="0"/>
      <w:marBottom w:val="0"/>
      <w:divBdr>
        <w:top w:val="none" w:sz="0" w:space="0" w:color="auto"/>
        <w:left w:val="none" w:sz="0" w:space="0" w:color="auto"/>
        <w:bottom w:val="none" w:sz="0" w:space="0" w:color="auto"/>
        <w:right w:val="none" w:sz="0" w:space="0" w:color="auto"/>
      </w:divBdr>
    </w:div>
    <w:div w:id="817459742">
      <w:bodyDiv w:val="1"/>
      <w:marLeft w:val="0"/>
      <w:marRight w:val="0"/>
      <w:marTop w:val="0"/>
      <w:marBottom w:val="0"/>
      <w:divBdr>
        <w:top w:val="none" w:sz="0" w:space="0" w:color="auto"/>
        <w:left w:val="none" w:sz="0" w:space="0" w:color="auto"/>
        <w:bottom w:val="none" w:sz="0" w:space="0" w:color="auto"/>
        <w:right w:val="none" w:sz="0" w:space="0" w:color="auto"/>
      </w:divBdr>
    </w:div>
    <w:div w:id="822432103">
      <w:bodyDiv w:val="1"/>
      <w:marLeft w:val="0"/>
      <w:marRight w:val="0"/>
      <w:marTop w:val="0"/>
      <w:marBottom w:val="0"/>
      <w:divBdr>
        <w:top w:val="none" w:sz="0" w:space="0" w:color="auto"/>
        <w:left w:val="none" w:sz="0" w:space="0" w:color="auto"/>
        <w:bottom w:val="none" w:sz="0" w:space="0" w:color="auto"/>
        <w:right w:val="none" w:sz="0" w:space="0" w:color="auto"/>
      </w:divBdr>
    </w:div>
    <w:div w:id="826168291">
      <w:bodyDiv w:val="1"/>
      <w:marLeft w:val="0"/>
      <w:marRight w:val="0"/>
      <w:marTop w:val="0"/>
      <w:marBottom w:val="0"/>
      <w:divBdr>
        <w:top w:val="none" w:sz="0" w:space="0" w:color="auto"/>
        <w:left w:val="none" w:sz="0" w:space="0" w:color="auto"/>
        <w:bottom w:val="none" w:sz="0" w:space="0" w:color="auto"/>
        <w:right w:val="none" w:sz="0" w:space="0" w:color="auto"/>
      </w:divBdr>
    </w:div>
    <w:div w:id="828054206">
      <w:bodyDiv w:val="1"/>
      <w:marLeft w:val="0"/>
      <w:marRight w:val="0"/>
      <w:marTop w:val="0"/>
      <w:marBottom w:val="0"/>
      <w:divBdr>
        <w:top w:val="none" w:sz="0" w:space="0" w:color="auto"/>
        <w:left w:val="none" w:sz="0" w:space="0" w:color="auto"/>
        <w:bottom w:val="none" w:sz="0" w:space="0" w:color="auto"/>
        <w:right w:val="none" w:sz="0" w:space="0" w:color="auto"/>
      </w:divBdr>
    </w:div>
    <w:div w:id="842276737">
      <w:bodyDiv w:val="1"/>
      <w:marLeft w:val="0"/>
      <w:marRight w:val="0"/>
      <w:marTop w:val="0"/>
      <w:marBottom w:val="0"/>
      <w:divBdr>
        <w:top w:val="none" w:sz="0" w:space="0" w:color="auto"/>
        <w:left w:val="none" w:sz="0" w:space="0" w:color="auto"/>
        <w:bottom w:val="none" w:sz="0" w:space="0" w:color="auto"/>
        <w:right w:val="none" w:sz="0" w:space="0" w:color="auto"/>
      </w:divBdr>
    </w:div>
    <w:div w:id="843937752">
      <w:bodyDiv w:val="1"/>
      <w:marLeft w:val="0"/>
      <w:marRight w:val="0"/>
      <w:marTop w:val="0"/>
      <w:marBottom w:val="0"/>
      <w:divBdr>
        <w:top w:val="none" w:sz="0" w:space="0" w:color="auto"/>
        <w:left w:val="none" w:sz="0" w:space="0" w:color="auto"/>
        <w:bottom w:val="none" w:sz="0" w:space="0" w:color="auto"/>
        <w:right w:val="none" w:sz="0" w:space="0" w:color="auto"/>
      </w:divBdr>
    </w:div>
    <w:div w:id="845873639">
      <w:bodyDiv w:val="1"/>
      <w:marLeft w:val="0"/>
      <w:marRight w:val="0"/>
      <w:marTop w:val="0"/>
      <w:marBottom w:val="0"/>
      <w:divBdr>
        <w:top w:val="none" w:sz="0" w:space="0" w:color="auto"/>
        <w:left w:val="none" w:sz="0" w:space="0" w:color="auto"/>
        <w:bottom w:val="none" w:sz="0" w:space="0" w:color="auto"/>
        <w:right w:val="none" w:sz="0" w:space="0" w:color="auto"/>
      </w:divBdr>
    </w:div>
    <w:div w:id="850340764">
      <w:bodyDiv w:val="1"/>
      <w:marLeft w:val="0"/>
      <w:marRight w:val="0"/>
      <w:marTop w:val="0"/>
      <w:marBottom w:val="0"/>
      <w:divBdr>
        <w:top w:val="none" w:sz="0" w:space="0" w:color="auto"/>
        <w:left w:val="none" w:sz="0" w:space="0" w:color="auto"/>
        <w:bottom w:val="none" w:sz="0" w:space="0" w:color="auto"/>
        <w:right w:val="none" w:sz="0" w:space="0" w:color="auto"/>
      </w:divBdr>
    </w:div>
    <w:div w:id="856188635">
      <w:bodyDiv w:val="1"/>
      <w:marLeft w:val="0"/>
      <w:marRight w:val="0"/>
      <w:marTop w:val="0"/>
      <w:marBottom w:val="0"/>
      <w:divBdr>
        <w:top w:val="none" w:sz="0" w:space="0" w:color="auto"/>
        <w:left w:val="none" w:sz="0" w:space="0" w:color="auto"/>
        <w:bottom w:val="none" w:sz="0" w:space="0" w:color="auto"/>
        <w:right w:val="none" w:sz="0" w:space="0" w:color="auto"/>
      </w:divBdr>
    </w:div>
    <w:div w:id="860824867">
      <w:bodyDiv w:val="1"/>
      <w:marLeft w:val="0"/>
      <w:marRight w:val="0"/>
      <w:marTop w:val="0"/>
      <w:marBottom w:val="0"/>
      <w:divBdr>
        <w:top w:val="none" w:sz="0" w:space="0" w:color="auto"/>
        <w:left w:val="none" w:sz="0" w:space="0" w:color="auto"/>
        <w:bottom w:val="none" w:sz="0" w:space="0" w:color="auto"/>
        <w:right w:val="none" w:sz="0" w:space="0" w:color="auto"/>
      </w:divBdr>
    </w:div>
    <w:div w:id="880820297">
      <w:bodyDiv w:val="1"/>
      <w:marLeft w:val="0"/>
      <w:marRight w:val="0"/>
      <w:marTop w:val="0"/>
      <w:marBottom w:val="0"/>
      <w:divBdr>
        <w:top w:val="none" w:sz="0" w:space="0" w:color="auto"/>
        <w:left w:val="none" w:sz="0" w:space="0" w:color="auto"/>
        <w:bottom w:val="none" w:sz="0" w:space="0" w:color="auto"/>
        <w:right w:val="none" w:sz="0" w:space="0" w:color="auto"/>
      </w:divBdr>
    </w:div>
    <w:div w:id="899827942">
      <w:bodyDiv w:val="1"/>
      <w:marLeft w:val="0"/>
      <w:marRight w:val="0"/>
      <w:marTop w:val="0"/>
      <w:marBottom w:val="0"/>
      <w:divBdr>
        <w:top w:val="none" w:sz="0" w:space="0" w:color="auto"/>
        <w:left w:val="none" w:sz="0" w:space="0" w:color="auto"/>
        <w:bottom w:val="none" w:sz="0" w:space="0" w:color="auto"/>
        <w:right w:val="none" w:sz="0" w:space="0" w:color="auto"/>
      </w:divBdr>
    </w:div>
    <w:div w:id="901015369">
      <w:bodyDiv w:val="1"/>
      <w:marLeft w:val="0"/>
      <w:marRight w:val="0"/>
      <w:marTop w:val="0"/>
      <w:marBottom w:val="0"/>
      <w:divBdr>
        <w:top w:val="none" w:sz="0" w:space="0" w:color="auto"/>
        <w:left w:val="none" w:sz="0" w:space="0" w:color="auto"/>
        <w:bottom w:val="none" w:sz="0" w:space="0" w:color="auto"/>
        <w:right w:val="none" w:sz="0" w:space="0" w:color="auto"/>
      </w:divBdr>
    </w:div>
    <w:div w:id="924342122">
      <w:bodyDiv w:val="1"/>
      <w:marLeft w:val="0"/>
      <w:marRight w:val="0"/>
      <w:marTop w:val="0"/>
      <w:marBottom w:val="0"/>
      <w:divBdr>
        <w:top w:val="none" w:sz="0" w:space="0" w:color="auto"/>
        <w:left w:val="none" w:sz="0" w:space="0" w:color="auto"/>
        <w:bottom w:val="none" w:sz="0" w:space="0" w:color="auto"/>
        <w:right w:val="none" w:sz="0" w:space="0" w:color="auto"/>
      </w:divBdr>
    </w:div>
    <w:div w:id="930705010">
      <w:bodyDiv w:val="1"/>
      <w:marLeft w:val="0"/>
      <w:marRight w:val="0"/>
      <w:marTop w:val="0"/>
      <w:marBottom w:val="0"/>
      <w:divBdr>
        <w:top w:val="none" w:sz="0" w:space="0" w:color="auto"/>
        <w:left w:val="none" w:sz="0" w:space="0" w:color="auto"/>
        <w:bottom w:val="none" w:sz="0" w:space="0" w:color="auto"/>
        <w:right w:val="none" w:sz="0" w:space="0" w:color="auto"/>
      </w:divBdr>
    </w:div>
    <w:div w:id="941111308">
      <w:bodyDiv w:val="1"/>
      <w:marLeft w:val="0"/>
      <w:marRight w:val="0"/>
      <w:marTop w:val="0"/>
      <w:marBottom w:val="0"/>
      <w:divBdr>
        <w:top w:val="none" w:sz="0" w:space="0" w:color="auto"/>
        <w:left w:val="none" w:sz="0" w:space="0" w:color="auto"/>
        <w:bottom w:val="none" w:sz="0" w:space="0" w:color="auto"/>
        <w:right w:val="none" w:sz="0" w:space="0" w:color="auto"/>
      </w:divBdr>
    </w:div>
    <w:div w:id="959804158">
      <w:bodyDiv w:val="1"/>
      <w:marLeft w:val="0"/>
      <w:marRight w:val="0"/>
      <w:marTop w:val="0"/>
      <w:marBottom w:val="0"/>
      <w:divBdr>
        <w:top w:val="none" w:sz="0" w:space="0" w:color="auto"/>
        <w:left w:val="none" w:sz="0" w:space="0" w:color="auto"/>
        <w:bottom w:val="none" w:sz="0" w:space="0" w:color="auto"/>
        <w:right w:val="none" w:sz="0" w:space="0" w:color="auto"/>
      </w:divBdr>
    </w:div>
    <w:div w:id="962687723">
      <w:bodyDiv w:val="1"/>
      <w:marLeft w:val="0"/>
      <w:marRight w:val="0"/>
      <w:marTop w:val="0"/>
      <w:marBottom w:val="0"/>
      <w:divBdr>
        <w:top w:val="none" w:sz="0" w:space="0" w:color="auto"/>
        <w:left w:val="none" w:sz="0" w:space="0" w:color="auto"/>
        <w:bottom w:val="none" w:sz="0" w:space="0" w:color="auto"/>
        <w:right w:val="none" w:sz="0" w:space="0" w:color="auto"/>
      </w:divBdr>
    </w:div>
    <w:div w:id="975842262">
      <w:bodyDiv w:val="1"/>
      <w:marLeft w:val="0"/>
      <w:marRight w:val="0"/>
      <w:marTop w:val="0"/>
      <w:marBottom w:val="0"/>
      <w:divBdr>
        <w:top w:val="none" w:sz="0" w:space="0" w:color="auto"/>
        <w:left w:val="none" w:sz="0" w:space="0" w:color="auto"/>
        <w:bottom w:val="none" w:sz="0" w:space="0" w:color="auto"/>
        <w:right w:val="none" w:sz="0" w:space="0" w:color="auto"/>
      </w:divBdr>
    </w:div>
    <w:div w:id="977958545">
      <w:bodyDiv w:val="1"/>
      <w:marLeft w:val="0"/>
      <w:marRight w:val="0"/>
      <w:marTop w:val="0"/>
      <w:marBottom w:val="0"/>
      <w:divBdr>
        <w:top w:val="none" w:sz="0" w:space="0" w:color="auto"/>
        <w:left w:val="none" w:sz="0" w:space="0" w:color="auto"/>
        <w:bottom w:val="none" w:sz="0" w:space="0" w:color="auto"/>
        <w:right w:val="none" w:sz="0" w:space="0" w:color="auto"/>
      </w:divBdr>
    </w:div>
    <w:div w:id="991255998">
      <w:bodyDiv w:val="1"/>
      <w:marLeft w:val="0"/>
      <w:marRight w:val="0"/>
      <w:marTop w:val="0"/>
      <w:marBottom w:val="0"/>
      <w:divBdr>
        <w:top w:val="none" w:sz="0" w:space="0" w:color="auto"/>
        <w:left w:val="none" w:sz="0" w:space="0" w:color="auto"/>
        <w:bottom w:val="none" w:sz="0" w:space="0" w:color="auto"/>
        <w:right w:val="none" w:sz="0" w:space="0" w:color="auto"/>
      </w:divBdr>
    </w:div>
    <w:div w:id="997919673">
      <w:bodyDiv w:val="1"/>
      <w:marLeft w:val="0"/>
      <w:marRight w:val="0"/>
      <w:marTop w:val="0"/>
      <w:marBottom w:val="0"/>
      <w:divBdr>
        <w:top w:val="none" w:sz="0" w:space="0" w:color="auto"/>
        <w:left w:val="none" w:sz="0" w:space="0" w:color="auto"/>
        <w:bottom w:val="none" w:sz="0" w:space="0" w:color="auto"/>
        <w:right w:val="none" w:sz="0" w:space="0" w:color="auto"/>
      </w:divBdr>
    </w:div>
    <w:div w:id="999192318">
      <w:bodyDiv w:val="1"/>
      <w:marLeft w:val="0"/>
      <w:marRight w:val="0"/>
      <w:marTop w:val="0"/>
      <w:marBottom w:val="0"/>
      <w:divBdr>
        <w:top w:val="none" w:sz="0" w:space="0" w:color="auto"/>
        <w:left w:val="none" w:sz="0" w:space="0" w:color="auto"/>
        <w:bottom w:val="none" w:sz="0" w:space="0" w:color="auto"/>
        <w:right w:val="none" w:sz="0" w:space="0" w:color="auto"/>
      </w:divBdr>
    </w:div>
    <w:div w:id="1008755686">
      <w:bodyDiv w:val="1"/>
      <w:marLeft w:val="0"/>
      <w:marRight w:val="0"/>
      <w:marTop w:val="0"/>
      <w:marBottom w:val="0"/>
      <w:divBdr>
        <w:top w:val="none" w:sz="0" w:space="0" w:color="auto"/>
        <w:left w:val="none" w:sz="0" w:space="0" w:color="auto"/>
        <w:bottom w:val="none" w:sz="0" w:space="0" w:color="auto"/>
        <w:right w:val="none" w:sz="0" w:space="0" w:color="auto"/>
      </w:divBdr>
    </w:div>
    <w:div w:id="1012219505">
      <w:bodyDiv w:val="1"/>
      <w:marLeft w:val="0"/>
      <w:marRight w:val="0"/>
      <w:marTop w:val="0"/>
      <w:marBottom w:val="0"/>
      <w:divBdr>
        <w:top w:val="none" w:sz="0" w:space="0" w:color="auto"/>
        <w:left w:val="none" w:sz="0" w:space="0" w:color="auto"/>
        <w:bottom w:val="none" w:sz="0" w:space="0" w:color="auto"/>
        <w:right w:val="none" w:sz="0" w:space="0" w:color="auto"/>
      </w:divBdr>
    </w:div>
    <w:div w:id="1018970716">
      <w:bodyDiv w:val="1"/>
      <w:marLeft w:val="0"/>
      <w:marRight w:val="0"/>
      <w:marTop w:val="0"/>
      <w:marBottom w:val="0"/>
      <w:divBdr>
        <w:top w:val="none" w:sz="0" w:space="0" w:color="auto"/>
        <w:left w:val="none" w:sz="0" w:space="0" w:color="auto"/>
        <w:bottom w:val="none" w:sz="0" w:space="0" w:color="auto"/>
        <w:right w:val="none" w:sz="0" w:space="0" w:color="auto"/>
      </w:divBdr>
    </w:div>
    <w:div w:id="1019815154">
      <w:bodyDiv w:val="1"/>
      <w:marLeft w:val="0"/>
      <w:marRight w:val="0"/>
      <w:marTop w:val="0"/>
      <w:marBottom w:val="0"/>
      <w:divBdr>
        <w:top w:val="none" w:sz="0" w:space="0" w:color="auto"/>
        <w:left w:val="none" w:sz="0" w:space="0" w:color="auto"/>
        <w:bottom w:val="none" w:sz="0" w:space="0" w:color="auto"/>
        <w:right w:val="none" w:sz="0" w:space="0" w:color="auto"/>
      </w:divBdr>
    </w:div>
    <w:div w:id="1020546613">
      <w:bodyDiv w:val="1"/>
      <w:marLeft w:val="0"/>
      <w:marRight w:val="0"/>
      <w:marTop w:val="0"/>
      <w:marBottom w:val="0"/>
      <w:divBdr>
        <w:top w:val="none" w:sz="0" w:space="0" w:color="auto"/>
        <w:left w:val="none" w:sz="0" w:space="0" w:color="auto"/>
        <w:bottom w:val="none" w:sz="0" w:space="0" w:color="auto"/>
        <w:right w:val="none" w:sz="0" w:space="0" w:color="auto"/>
      </w:divBdr>
    </w:div>
    <w:div w:id="1042561455">
      <w:bodyDiv w:val="1"/>
      <w:marLeft w:val="0"/>
      <w:marRight w:val="0"/>
      <w:marTop w:val="0"/>
      <w:marBottom w:val="0"/>
      <w:divBdr>
        <w:top w:val="none" w:sz="0" w:space="0" w:color="auto"/>
        <w:left w:val="none" w:sz="0" w:space="0" w:color="auto"/>
        <w:bottom w:val="none" w:sz="0" w:space="0" w:color="auto"/>
        <w:right w:val="none" w:sz="0" w:space="0" w:color="auto"/>
      </w:divBdr>
    </w:div>
    <w:div w:id="1047603760">
      <w:bodyDiv w:val="1"/>
      <w:marLeft w:val="0"/>
      <w:marRight w:val="0"/>
      <w:marTop w:val="0"/>
      <w:marBottom w:val="0"/>
      <w:divBdr>
        <w:top w:val="none" w:sz="0" w:space="0" w:color="auto"/>
        <w:left w:val="none" w:sz="0" w:space="0" w:color="auto"/>
        <w:bottom w:val="none" w:sz="0" w:space="0" w:color="auto"/>
        <w:right w:val="none" w:sz="0" w:space="0" w:color="auto"/>
      </w:divBdr>
    </w:div>
    <w:div w:id="1064793063">
      <w:bodyDiv w:val="1"/>
      <w:marLeft w:val="0"/>
      <w:marRight w:val="0"/>
      <w:marTop w:val="0"/>
      <w:marBottom w:val="0"/>
      <w:divBdr>
        <w:top w:val="none" w:sz="0" w:space="0" w:color="auto"/>
        <w:left w:val="none" w:sz="0" w:space="0" w:color="auto"/>
        <w:bottom w:val="none" w:sz="0" w:space="0" w:color="auto"/>
        <w:right w:val="none" w:sz="0" w:space="0" w:color="auto"/>
      </w:divBdr>
    </w:div>
    <w:div w:id="1094402443">
      <w:bodyDiv w:val="1"/>
      <w:marLeft w:val="0"/>
      <w:marRight w:val="0"/>
      <w:marTop w:val="0"/>
      <w:marBottom w:val="0"/>
      <w:divBdr>
        <w:top w:val="none" w:sz="0" w:space="0" w:color="auto"/>
        <w:left w:val="none" w:sz="0" w:space="0" w:color="auto"/>
        <w:bottom w:val="none" w:sz="0" w:space="0" w:color="auto"/>
        <w:right w:val="none" w:sz="0" w:space="0" w:color="auto"/>
      </w:divBdr>
    </w:div>
    <w:div w:id="1100636161">
      <w:bodyDiv w:val="1"/>
      <w:marLeft w:val="0"/>
      <w:marRight w:val="0"/>
      <w:marTop w:val="0"/>
      <w:marBottom w:val="0"/>
      <w:divBdr>
        <w:top w:val="none" w:sz="0" w:space="0" w:color="auto"/>
        <w:left w:val="none" w:sz="0" w:space="0" w:color="auto"/>
        <w:bottom w:val="none" w:sz="0" w:space="0" w:color="auto"/>
        <w:right w:val="none" w:sz="0" w:space="0" w:color="auto"/>
      </w:divBdr>
    </w:div>
    <w:div w:id="1116681944">
      <w:bodyDiv w:val="1"/>
      <w:marLeft w:val="0"/>
      <w:marRight w:val="0"/>
      <w:marTop w:val="0"/>
      <w:marBottom w:val="0"/>
      <w:divBdr>
        <w:top w:val="none" w:sz="0" w:space="0" w:color="auto"/>
        <w:left w:val="none" w:sz="0" w:space="0" w:color="auto"/>
        <w:bottom w:val="none" w:sz="0" w:space="0" w:color="auto"/>
        <w:right w:val="none" w:sz="0" w:space="0" w:color="auto"/>
      </w:divBdr>
    </w:div>
    <w:div w:id="1122964428">
      <w:bodyDiv w:val="1"/>
      <w:marLeft w:val="0"/>
      <w:marRight w:val="0"/>
      <w:marTop w:val="0"/>
      <w:marBottom w:val="0"/>
      <w:divBdr>
        <w:top w:val="none" w:sz="0" w:space="0" w:color="auto"/>
        <w:left w:val="none" w:sz="0" w:space="0" w:color="auto"/>
        <w:bottom w:val="none" w:sz="0" w:space="0" w:color="auto"/>
        <w:right w:val="none" w:sz="0" w:space="0" w:color="auto"/>
      </w:divBdr>
    </w:div>
    <w:div w:id="1137844169">
      <w:bodyDiv w:val="1"/>
      <w:marLeft w:val="0"/>
      <w:marRight w:val="0"/>
      <w:marTop w:val="0"/>
      <w:marBottom w:val="0"/>
      <w:divBdr>
        <w:top w:val="none" w:sz="0" w:space="0" w:color="auto"/>
        <w:left w:val="none" w:sz="0" w:space="0" w:color="auto"/>
        <w:bottom w:val="none" w:sz="0" w:space="0" w:color="auto"/>
        <w:right w:val="none" w:sz="0" w:space="0" w:color="auto"/>
      </w:divBdr>
    </w:div>
    <w:div w:id="1145706450">
      <w:bodyDiv w:val="1"/>
      <w:marLeft w:val="0"/>
      <w:marRight w:val="0"/>
      <w:marTop w:val="0"/>
      <w:marBottom w:val="0"/>
      <w:divBdr>
        <w:top w:val="none" w:sz="0" w:space="0" w:color="auto"/>
        <w:left w:val="none" w:sz="0" w:space="0" w:color="auto"/>
        <w:bottom w:val="none" w:sz="0" w:space="0" w:color="auto"/>
        <w:right w:val="none" w:sz="0" w:space="0" w:color="auto"/>
      </w:divBdr>
    </w:div>
    <w:div w:id="1155531707">
      <w:bodyDiv w:val="1"/>
      <w:marLeft w:val="0"/>
      <w:marRight w:val="0"/>
      <w:marTop w:val="0"/>
      <w:marBottom w:val="0"/>
      <w:divBdr>
        <w:top w:val="none" w:sz="0" w:space="0" w:color="auto"/>
        <w:left w:val="none" w:sz="0" w:space="0" w:color="auto"/>
        <w:bottom w:val="none" w:sz="0" w:space="0" w:color="auto"/>
        <w:right w:val="none" w:sz="0" w:space="0" w:color="auto"/>
      </w:divBdr>
    </w:div>
    <w:div w:id="1155686926">
      <w:bodyDiv w:val="1"/>
      <w:marLeft w:val="0"/>
      <w:marRight w:val="0"/>
      <w:marTop w:val="0"/>
      <w:marBottom w:val="0"/>
      <w:divBdr>
        <w:top w:val="none" w:sz="0" w:space="0" w:color="auto"/>
        <w:left w:val="none" w:sz="0" w:space="0" w:color="auto"/>
        <w:bottom w:val="none" w:sz="0" w:space="0" w:color="auto"/>
        <w:right w:val="none" w:sz="0" w:space="0" w:color="auto"/>
      </w:divBdr>
    </w:div>
    <w:div w:id="1155727370">
      <w:bodyDiv w:val="1"/>
      <w:marLeft w:val="0"/>
      <w:marRight w:val="0"/>
      <w:marTop w:val="0"/>
      <w:marBottom w:val="0"/>
      <w:divBdr>
        <w:top w:val="none" w:sz="0" w:space="0" w:color="auto"/>
        <w:left w:val="none" w:sz="0" w:space="0" w:color="auto"/>
        <w:bottom w:val="none" w:sz="0" w:space="0" w:color="auto"/>
        <w:right w:val="none" w:sz="0" w:space="0" w:color="auto"/>
      </w:divBdr>
    </w:div>
    <w:div w:id="1161845266">
      <w:bodyDiv w:val="1"/>
      <w:marLeft w:val="0"/>
      <w:marRight w:val="0"/>
      <w:marTop w:val="0"/>
      <w:marBottom w:val="0"/>
      <w:divBdr>
        <w:top w:val="none" w:sz="0" w:space="0" w:color="auto"/>
        <w:left w:val="none" w:sz="0" w:space="0" w:color="auto"/>
        <w:bottom w:val="none" w:sz="0" w:space="0" w:color="auto"/>
        <w:right w:val="none" w:sz="0" w:space="0" w:color="auto"/>
      </w:divBdr>
    </w:div>
    <w:div w:id="1197236042">
      <w:bodyDiv w:val="1"/>
      <w:marLeft w:val="0"/>
      <w:marRight w:val="0"/>
      <w:marTop w:val="0"/>
      <w:marBottom w:val="0"/>
      <w:divBdr>
        <w:top w:val="none" w:sz="0" w:space="0" w:color="auto"/>
        <w:left w:val="none" w:sz="0" w:space="0" w:color="auto"/>
        <w:bottom w:val="none" w:sz="0" w:space="0" w:color="auto"/>
        <w:right w:val="none" w:sz="0" w:space="0" w:color="auto"/>
      </w:divBdr>
    </w:div>
    <w:div w:id="1203594854">
      <w:bodyDiv w:val="1"/>
      <w:marLeft w:val="0"/>
      <w:marRight w:val="0"/>
      <w:marTop w:val="0"/>
      <w:marBottom w:val="0"/>
      <w:divBdr>
        <w:top w:val="none" w:sz="0" w:space="0" w:color="auto"/>
        <w:left w:val="none" w:sz="0" w:space="0" w:color="auto"/>
        <w:bottom w:val="none" w:sz="0" w:space="0" w:color="auto"/>
        <w:right w:val="none" w:sz="0" w:space="0" w:color="auto"/>
      </w:divBdr>
    </w:div>
    <w:div w:id="1248272175">
      <w:bodyDiv w:val="1"/>
      <w:marLeft w:val="0"/>
      <w:marRight w:val="0"/>
      <w:marTop w:val="0"/>
      <w:marBottom w:val="0"/>
      <w:divBdr>
        <w:top w:val="none" w:sz="0" w:space="0" w:color="auto"/>
        <w:left w:val="none" w:sz="0" w:space="0" w:color="auto"/>
        <w:bottom w:val="none" w:sz="0" w:space="0" w:color="auto"/>
        <w:right w:val="none" w:sz="0" w:space="0" w:color="auto"/>
      </w:divBdr>
    </w:div>
    <w:div w:id="1256472208">
      <w:bodyDiv w:val="1"/>
      <w:marLeft w:val="0"/>
      <w:marRight w:val="0"/>
      <w:marTop w:val="0"/>
      <w:marBottom w:val="0"/>
      <w:divBdr>
        <w:top w:val="none" w:sz="0" w:space="0" w:color="auto"/>
        <w:left w:val="none" w:sz="0" w:space="0" w:color="auto"/>
        <w:bottom w:val="none" w:sz="0" w:space="0" w:color="auto"/>
        <w:right w:val="none" w:sz="0" w:space="0" w:color="auto"/>
      </w:divBdr>
    </w:div>
    <w:div w:id="1268805720">
      <w:bodyDiv w:val="1"/>
      <w:marLeft w:val="0"/>
      <w:marRight w:val="0"/>
      <w:marTop w:val="0"/>
      <w:marBottom w:val="0"/>
      <w:divBdr>
        <w:top w:val="none" w:sz="0" w:space="0" w:color="auto"/>
        <w:left w:val="none" w:sz="0" w:space="0" w:color="auto"/>
        <w:bottom w:val="none" w:sz="0" w:space="0" w:color="auto"/>
        <w:right w:val="none" w:sz="0" w:space="0" w:color="auto"/>
      </w:divBdr>
    </w:div>
    <w:div w:id="1278416898">
      <w:bodyDiv w:val="1"/>
      <w:marLeft w:val="0"/>
      <w:marRight w:val="0"/>
      <w:marTop w:val="0"/>
      <w:marBottom w:val="0"/>
      <w:divBdr>
        <w:top w:val="none" w:sz="0" w:space="0" w:color="auto"/>
        <w:left w:val="none" w:sz="0" w:space="0" w:color="auto"/>
        <w:bottom w:val="none" w:sz="0" w:space="0" w:color="auto"/>
        <w:right w:val="none" w:sz="0" w:space="0" w:color="auto"/>
      </w:divBdr>
    </w:div>
    <w:div w:id="1283154203">
      <w:bodyDiv w:val="1"/>
      <w:marLeft w:val="0"/>
      <w:marRight w:val="0"/>
      <w:marTop w:val="0"/>
      <w:marBottom w:val="0"/>
      <w:divBdr>
        <w:top w:val="none" w:sz="0" w:space="0" w:color="auto"/>
        <w:left w:val="none" w:sz="0" w:space="0" w:color="auto"/>
        <w:bottom w:val="none" w:sz="0" w:space="0" w:color="auto"/>
        <w:right w:val="none" w:sz="0" w:space="0" w:color="auto"/>
      </w:divBdr>
    </w:div>
    <w:div w:id="1306934857">
      <w:bodyDiv w:val="1"/>
      <w:marLeft w:val="0"/>
      <w:marRight w:val="0"/>
      <w:marTop w:val="0"/>
      <w:marBottom w:val="0"/>
      <w:divBdr>
        <w:top w:val="none" w:sz="0" w:space="0" w:color="auto"/>
        <w:left w:val="none" w:sz="0" w:space="0" w:color="auto"/>
        <w:bottom w:val="none" w:sz="0" w:space="0" w:color="auto"/>
        <w:right w:val="none" w:sz="0" w:space="0" w:color="auto"/>
      </w:divBdr>
    </w:div>
    <w:div w:id="1370226883">
      <w:bodyDiv w:val="1"/>
      <w:marLeft w:val="0"/>
      <w:marRight w:val="0"/>
      <w:marTop w:val="0"/>
      <w:marBottom w:val="0"/>
      <w:divBdr>
        <w:top w:val="none" w:sz="0" w:space="0" w:color="auto"/>
        <w:left w:val="none" w:sz="0" w:space="0" w:color="auto"/>
        <w:bottom w:val="none" w:sz="0" w:space="0" w:color="auto"/>
        <w:right w:val="none" w:sz="0" w:space="0" w:color="auto"/>
      </w:divBdr>
    </w:div>
    <w:div w:id="1372652125">
      <w:bodyDiv w:val="1"/>
      <w:marLeft w:val="0"/>
      <w:marRight w:val="0"/>
      <w:marTop w:val="0"/>
      <w:marBottom w:val="0"/>
      <w:divBdr>
        <w:top w:val="none" w:sz="0" w:space="0" w:color="auto"/>
        <w:left w:val="none" w:sz="0" w:space="0" w:color="auto"/>
        <w:bottom w:val="none" w:sz="0" w:space="0" w:color="auto"/>
        <w:right w:val="none" w:sz="0" w:space="0" w:color="auto"/>
      </w:divBdr>
    </w:div>
    <w:div w:id="1379476605">
      <w:bodyDiv w:val="1"/>
      <w:marLeft w:val="0"/>
      <w:marRight w:val="0"/>
      <w:marTop w:val="0"/>
      <w:marBottom w:val="0"/>
      <w:divBdr>
        <w:top w:val="none" w:sz="0" w:space="0" w:color="auto"/>
        <w:left w:val="none" w:sz="0" w:space="0" w:color="auto"/>
        <w:bottom w:val="none" w:sz="0" w:space="0" w:color="auto"/>
        <w:right w:val="none" w:sz="0" w:space="0" w:color="auto"/>
      </w:divBdr>
    </w:div>
    <w:div w:id="1380780124">
      <w:bodyDiv w:val="1"/>
      <w:marLeft w:val="0"/>
      <w:marRight w:val="0"/>
      <w:marTop w:val="0"/>
      <w:marBottom w:val="0"/>
      <w:divBdr>
        <w:top w:val="none" w:sz="0" w:space="0" w:color="auto"/>
        <w:left w:val="none" w:sz="0" w:space="0" w:color="auto"/>
        <w:bottom w:val="none" w:sz="0" w:space="0" w:color="auto"/>
        <w:right w:val="none" w:sz="0" w:space="0" w:color="auto"/>
      </w:divBdr>
    </w:div>
    <w:div w:id="1384645267">
      <w:bodyDiv w:val="1"/>
      <w:marLeft w:val="0"/>
      <w:marRight w:val="0"/>
      <w:marTop w:val="0"/>
      <w:marBottom w:val="0"/>
      <w:divBdr>
        <w:top w:val="none" w:sz="0" w:space="0" w:color="auto"/>
        <w:left w:val="none" w:sz="0" w:space="0" w:color="auto"/>
        <w:bottom w:val="none" w:sz="0" w:space="0" w:color="auto"/>
        <w:right w:val="none" w:sz="0" w:space="0" w:color="auto"/>
      </w:divBdr>
    </w:div>
    <w:div w:id="1391272341">
      <w:bodyDiv w:val="1"/>
      <w:marLeft w:val="0"/>
      <w:marRight w:val="0"/>
      <w:marTop w:val="0"/>
      <w:marBottom w:val="0"/>
      <w:divBdr>
        <w:top w:val="none" w:sz="0" w:space="0" w:color="auto"/>
        <w:left w:val="none" w:sz="0" w:space="0" w:color="auto"/>
        <w:bottom w:val="none" w:sz="0" w:space="0" w:color="auto"/>
        <w:right w:val="none" w:sz="0" w:space="0" w:color="auto"/>
      </w:divBdr>
    </w:div>
    <w:div w:id="1391877694">
      <w:bodyDiv w:val="1"/>
      <w:marLeft w:val="0"/>
      <w:marRight w:val="0"/>
      <w:marTop w:val="0"/>
      <w:marBottom w:val="0"/>
      <w:divBdr>
        <w:top w:val="none" w:sz="0" w:space="0" w:color="auto"/>
        <w:left w:val="none" w:sz="0" w:space="0" w:color="auto"/>
        <w:bottom w:val="none" w:sz="0" w:space="0" w:color="auto"/>
        <w:right w:val="none" w:sz="0" w:space="0" w:color="auto"/>
      </w:divBdr>
    </w:div>
    <w:div w:id="1395817534">
      <w:bodyDiv w:val="1"/>
      <w:marLeft w:val="0"/>
      <w:marRight w:val="0"/>
      <w:marTop w:val="0"/>
      <w:marBottom w:val="0"/>
      <w:divBdr>
        <w:top w:val="none" w:sz="0" w:space="0" w:color="auto"/>
        <w:left w:val="none" w:sz="0" w:space="0" w:color="auto"/>
        <w:bottom w:val="none" w:sz="0" w:space="0" w:color="auto"/>
        <w:right w:val="none" w:sz="0" w:space="0" w:color="auto"/>
      </w:divBdr>
    </w:div>
    <w:div w:id="1415738975">
      <w:bodyDiv w:val="1"/>
      <w:marLeft w:val="0"/>
      <w:marRight w:val="0"/>
      <w:marTop w:val="0"/>
      <w:marBottom w:val="0"/>
      <w:divBdr>
        <w:top w:val="none" w:sz="0" w:space="0" w:color="auto"/>
        <w:left w:val="none" w:sz="0" w:space="0" w:color="auto"/>
        <w:bottom w:val="none" w:sz="0" w:space="0" w:color="auto"/>
        <w:right w:val="none" w:sz="0" w:space="0" w:color="auto"/>
      </w:divBdr>
    </w:div>
    <w:div w:id="1427848696">
      <w:bodyDiv w:val="1"/>
      <w:marLeft w:val="0"/>
      <w:marRight w:val="0"/>
      <w:marTop w:val="0"/>
      <w:marBottom w:val="0"/>
      <w:divBdr>
        <w:top w:val="none" w:sz="0" w:space="0" w:color="auto"/>
        <w:left w:val="none" w:sz="0" w:space="0" w:color="auto"/>
        <w:bottom w:val="none" w:sz="0" w:space="0" w:color="auto"/>
        <w:right w:val="none" w:sz="0" w:space="0" w:color="auto"/>
      </w:divBdr>
    </w:div>
    <w:div w:id="1442917875">
      <w:bodyDiv w:val="1"/>
      <w:marLeft w:val="0"/>
      <w:marRight w:val="0"/>
      <w:marTop w:val="0"/>
      <w:marBottom w:val="0"/>
      <w:divBdr>
        <w:top w:val="none" w:sz="0" w:space="0" w:color="auto"/>
        <w:left w:val="none" w:sz="0" w:space="0" w:color="auto"/>
        <w:bottom w:val="none" w:sz="0" w:space="0" w:color="auto"/>
        <w:right w:val="none" w:sz="0" w:space="0" w:color="auto"/>
      </w:divBdr>
    </w:div>
    <w:div w:id="1447385127">
      <w:bodyDiv w:val="1"/>
      <w:marLeft w:val="0"/>
      <w:marRight w:val="0"/>
      <w:marTop w:val="0"/>
      <w:marBottom w:val="0"/>
      <w:divBdr>
        <w:top w:val="none" w:sz="0" w:space="0" w:color="auto"/>
        <w:left w:val="none" w:sz="0" w:space="0" w:color="auto"/>
        <w:bottom w:val="none" w:sz="0" w:space="0" w:color="auto"/>
        <w:right w:val="none" w:sz="0" w:space="0" w:color="auto"/>
      </w:divBdr>
    </w:div>
    <w:div w:id="1462530602">
      <w:bodyDiv w:val="1"/>
      <w:marLeft w:val="0"/>
      <w:marRight w:val="0"/>
      <w:marTop w:val="0"/>
      <w:marBottom w:val="0"/>
      <w:divBdr>
        <w:top w:val="none" w:sz="0" w:space="0" w:color="auto"/>
        <w:left w:val="none" w:sz="0" w:space="0" w:color="auto"/>
        <w:bottom w:val="none" w:sz="0" w:space="0" w:color="auto"/>
        <w:right w:val="none" w:sz="0" w:space="0" w:color="auto"/>
      </w:divBdr>
    </w:div>
    <w:div w:id="1474912008">
      <w:bodyDiv w:val="1"/>
      <w:marLeft w:val="0"/>
      <w:marRight w:val="0"/>
      <w:marTop w:val="0"/>
      <w:marBottom w:val="0"/>
      <w:divBdr>
        <w:top w:val="none" w:sz="0" w:space="0" w:color="auto"/>
        <w:left w:val="none" w:sz="0" w:space="0" w:color="auto"/>
        <w:bottom w:val="none" w:sz="0" w:space="0" w:color="auto"/>
        <w:right w:val="none" w:sz="0" w:space="0" w:color="auto"/>
      </w:divBdr>
    </w:div>
    <w:div w:id="1475836303">
      <w:bodyDiv w:val="1"/>
      <w:marLeft w:val="0"/>
      <w:marRight w:val="0"/>
      <w:marTop w:val="0"/>
      <w:marBottom w:val="0"/>
      <w:divBdr>
        <w:top w:val="none" w:sz="0" w:space="0" w:color="auto"/>
        <w:left w:val="none" w:sz="0" w:space="0" w:color="auto"/>
        <w:bottom w:val="none" w:sz="0" w:space="0" w:color="auto"/>
        <w:right w:val="none" w:sz="0" w:space="0" w:color="auto"/>
      </w:divBdr>
    </w:div>
    <w:div w:id="1478260026">
      <w:bodyDiv w:val="1"/>
      <w:marLeft w:val="0"/>
      <w:marRight w:val="0"/>
      <w:marTop w:val="0"/>
      <w:marBottom w:val="0"/>
      <w:divBdr>
        <w:top w:val="none" w:sz="0" w:space="0" w:color="auto"/>
        <w:left w:val="none" w:sz="0" w:space="0" w:color="auto"/>
        <w:bottom w:val="none" w:sz="0" w:space="0" w:color="auto"/>
        <w:right w:val="none" w:sz="0" w:space="0" w:color="auto"/>
      </w:divBdr>
    </w:div>
    <w:div w:id="1481535099">
      <w:bodyDiv w:val="1"/>
      <w:marLeft w:val="0"/>
      <w:marRight w:val="0"/>
      <w:marTop w:val="0"/>
      <w:marBottom w:val="0"/>
      <w:divBdr>
        <w:top w:val="none" w:sz="0" w:space="0" w:color="auto"/>
        <w:left w:val="none" w:sz="0" w:space="0" w:color="auto"/>
        <w:bottom w:val="none" w:sz="0" w:space="0" w:color="auto"/>
        <w:right w:val="none" w:sz="0" w:space="0" w:color="auto"/>
      </w:divBdr>
    </w:div>
    <w:div w:id="1483767388">
      <w:bodyDiv w:val="1"/>
      <w:marLeft w:val="0"/>
      <w:marRight w:val="0"/>
      <w:marTop w:val="0"/>
      <w:marBottom w:val="0"/>
      <w:divBdr>
        <w:top w:val="none" w:sz="0" w:space="0" w:color="auto"/>
        <w:left w:val="none" w:sz="0" w:space="0" w:color="auto"/>
        <w:bottom w:val="none" w:sz="0" w:space="0" w:color="auto"/>
        <w:right w:val="none" w:sz="0" w:space="0" w:color="auto"/>
      </w:divBdr>
    </w:div>
    <w:div w:id="1485466668">
      <w:bodyDiv w:val="1"/>
      <w:marLeft w:val="0"/>
      <w:marRight w:val="0"/>
      <w:marTop w:val="0"/>
      <w:marBottom w:val="0"/>
      <w:divBdr>
        <w:top w:val="none" w:sz="0" w:space="0" w:color="auto"/>
        <w:left w:val="none" w:sz="0" w:space="0" w:color="auto"/>
        <w:bottom w:val="none" w:sz="0" w:space="0" w:color="auto"/>
        <w:right w:val="none" w:sz="0" w:space="0" w:color="auto"/>
      </w:divBdr>
    </w:div>
    <w:div w:id="1486510417">
      <w:bodyDiv w:val="1"/>
      <w:marLeft w:val="0"/>
      <w:marRight w:val="0"/>
      <w:marTop w:val="0"/>
      <w:marBottom w:val="0"/>
      <w:divBdr>
        <w:top w:val="none" w:sz="0" w:space="0" w:color="auto"/>
        <w:left w:val="none" w:sz="0" w:space="0" w:color="auto"/>
        <w:bottom w:val="none" w:sz="0" w:space="0" w:color="auto"/>
        <w:right w:val="none" w:sz="0" w:space="0" w:color="auto"/>
      </w:divBdr>
    </w:div>
    <w:div w:id="1512135342">
      <w:bodyDiv w:val="1"/>
      <w:marLeft w:val="0"/>
      <w:marRight w:val="0"/>
      <w:marTop w:val="0"/>
      <w:marBottom w:val="0"/>
      <w:divBdr>
        <w:top w:val="none" w:sz="0" w:space="0" w:color="auto"/>
        <w:left w:val="none" w:sz="0" w:space="0" w:color="auto"/>
        <w:bottom w:val="none" w:sz="0" w:space="0" w:color="auto"/>
        <w:right w:val="none" w:sz="0" w:space="0" w:color="auto"/>
      </w:divBdr>
    </w:div>
    <w:div w:id="1513716708">
      <w:bodyDiv w:val="1"/>
      <w:marLeft w:val="0"/>
      <w:marRight w:val="0"/>
      <w:marTop w:val="0"/>
      <w:marBottom w:val="0"/>
      <w:divBdr>
        <w:top w:val="none" w:sz="0" w:space="0" w:color="auto"/>
        <w:left w:val="none" w:sz="0" w:space="0" w:color="auto"/>
        <w:bottom w:val="none" w:sz="0" w:space="0" w:color="auto"/>
        <w:right w:val="none" w:sz="0" w:space="0" w:color="auto"/>
      </w:divBdr>
    </w:div>
    <w:div w:id="1514219220">
      <w:bodyDiv w:val="1"/>
      <w:marLeft w:val="0"/>
      <w:marRight w:val="0"/>
      <w:marTop w:val="0"/>
      <w:marBottom w:val="0"/>
      <w:divBdr>
        <w:top w:val="none" w:sz="0" w:space="0" w:color="auto"/>
        <w:left w:val="none" w:sz="0" w:space="0" w:color="auto"/>
        <w:bottom w:val="none" w:sz="0" w:space="0" w:color="auto"/>
        <w:right w:val="none" w:sz="0" w:space="0" w:color="auto"/>
      </w:divBdr>
    </w:div>
    <w:div w:id="1514420396">
      <w:bodyDiv w:val="1"/>
      <w:marLeft w:val="0"/>
      <w:marRight w:val="0"/>
      <w:marTop w:val="0"/>
      <w:marBottom w:val="0"/>
      <w:divBdr>
        <w:top w:val="none" w:sz="0" w:space="0" w:color="auto"/>
        <w:left w:val="none" w:sz="0" w:space="0" w:color="auto"/>
        <w:bottom w:val="none" w:sz="0" w:space="0" w:color="auto"/>
        <w:right w:val="none" w:sz="0" w:space="0" w:color="auto"/>
      </w:divBdr>
    </w:div>
    <w:div w:id="1525434988">
      <w:bodyDiv w:val="1"/>
      <w:marLeft w:val="0"/>
      <w:marRight w:val="0"/>
      <w:marTop w:val="0"/>
      <w:marBottom w:val="0"/>
      <w:divBdr>
        <w:top w:val="none" w:sz="0" w:space="0" w:color="auto"/>
        <w:left w:val="none" w:sz="0" w:space="0" w:color="auto"/>
        <w:bottom w:val="none" w:sz="0" w:space="0" w:color="auto"/>
        <w:right w:val="none" w:sz="0" w:space="0" w:color="auto"/>
      </w:divBdr>
    </w:div>
    <w:div w:id="1572036786">
      <w:bodyDiv w:val="1"/>
      <w:marLeft w:val="0"/>
      <w:marRight w:val="0"/>
      <w:marTop w:val="0"/>
      <w:marBottom w:val="0"/>
      <w:divBdr>
        <w:top w:val="none" w:sz="0" w:space="0" w:color="auto"/>
        <w:left w:val="none" w:sz="0" w:space="0" w:color="auto"/>
        <w:bottom w:val="none" w:sz="0" w:space="0" w:color="auto"/>
        <w:right w:val="none" w:sz="0" w:space="0" w:color="auto"/>
      </w:divBdr>
    </w:div>
    <w:div w:id="1592620764">
      <w:bodyDiv w:val="1"/>
      <w:marLeft w:val="0"/>
      <w:marRight w:val="0"/>
      <w:marTop w:val="0"/>
      <w:marBottom w:val="0"/>
      <w:divBdr>
        <w:top w:val="none" w:sz="0" w:space="0" w:color="auto"/>
        <w:left w:val="none" w:sz="0" w:space="0" w:color="auto"/>
        <w:bottom w:val="none" w:sz="0" w:space="0" w:color="auto"/>
        <w:right w:val="none" w:sz="0" w:space="0" w:color="auto"/>
      </w:divBdr>
    </w:div>
    <w:div w:id="1598057521">
      <w:bodyDiv w:val="1"/>
      <w:marLeft w:val="0"/>
      <w:marRight w:val="0"/>
      <w:marTop w:val="0"/>
      <w:marBottom w:val="0"/>
      <w:divBdr>
        <w:top w:val="none" w:sz="0" w:space="0" w:color="auto"/>
        <w:left w:val="none" w:sz="0" w:space="0" w:color="auto"/>
        <w:bottom w:val="none" w:sz="0" w:space="0" w:color="auto"/>
        <w:right w:val="none" w:sz="0" w:space="0" w:color="auto"/>
      </w:divBdr>
    </w:div>
    <w:div w:id="1619723453">
      <w:bodyDiv w:val="1"/>
      <w:marLeft w:val="0"/>
      <w:marRight w:val="0"/>
      <w:marTop w:val="0"/>
      <w:marBottom w:val="0"/>
      <w:divBdr>
        <w:top w:val="none" w:sz="0" w:space="0" w:color="auto"/>
        <w:left w:val="none" w:sz="0" w:space="0" w:color="auto"/>
        <w:bottom w:val="none" w:sz="0" w:space="0" w:color="auto"/>
        <w:right w:val="none" w:sz="0" w:space="0" w:color="auto"/>
      </w:divBdr>
    </w:div>
    <w:div w:id="1623226231">
      <w:bodyDiv w:val="1"/>
      <w:marLeft w:val="0"/>
      <w:marRight w:val="0"/>
      <w:marTop w:val="0"/>
      <w:marBottom w:val="0"/>
      <w:divBdr>
        <w:top w:val="none" w:sz="0" w:space="0" w:color="auto"/>
        <w:left w:val="none" w:sz="0" w:space="0" w:color="auto"/>
        <w:bottom w:val="none" w:sz="0" w:space="0" w:color="auto"/>
        <w:right w:val="none" w:sz="0" w:space="0" w:color="auto"/>
      </w:divBdr>
    </w:div>
    <w:div w:id="1624655750">
      <w:bodyDiv w:val="1"/>
      <w:marLeft w:val="0"/>
      <w:marRight w:val="0"/>
      <w:marTop w:val="0"/>
      <w:marBottom w:val="0"/>
      <w:divBdr>
        <w:top w:val="none" w:sz="0" w:space="0" w:color="auto"/>
        <w:left w:val="none" w:sz="0" w:space="0" w:color="auto"/>
        <w:bottom w:val="none" w:sz="0" w:space="0" w:color="auto"/>
        <w:right w:val="none" w:sz="0" w:space="0" w:color="auto"/>
      </w:divBdr>
    </w:div>
    <w:div w:id="1647398196">
      <w:bodyDiv w:val="1"/>
      <w:marLeft w:val="0"/>
      <w:marRight w:val="0"/>
      <w:marTop w:val="0"/>
      <w:marBottom w:val="0"/>
      <w:divBdr>
        <w:top w:val="none" w:sz="0" w:space="0" w:color="auto"/>
        <w:left w:val="none" w:sz="0" w:space="0" w:color="auto"/>
        <w:bottom w:val="none" w:sz="0" w:space="0" w:color="auto"/>
        <w:right w:val="none" w:sz="0" w:space="0" w:color="auto"/>
      </w:divBdr>
    </w:div>
    <w:div w:id="1660426790">
      <w:bodyDiv w:val="1"/>
      <w:marLeft w:val="0"/>
      <w:marRight w:val="0"/>
      <w:marTop w:val="0"/>
      <w:marBottom w:val="0"/>
      <w:divBdr>
        <w:top w:val="none" w:sz="0" w:space="0" w:color="auto"/>
        <w:left w:val="none" w:sz="0" w:space="0" w:color="auto"/>
        <w:bottom w:val="none" w:sz="0" w:space="0" w:color="auto"/>
        <w:right w:val="none" w:sz="0" w:space="0" w:color="auto"/>
      </w:divBdr>
    </w:div>
    <w:div w:id="1688479060">
      <w:bodyDiv w:val="1"/>
      <w:marLeft w:val="0"/>
      <w:marRight w:val="0"/>
      <w:marTop w:val="0"/>
      <w:marBottom w:val="0"/>
      <w:divBdr>
        <w:top w:val="none" w:sz="0" w:space="0" w:color="auto"/>
        <w:left w:val="none" w:sz="0" w:space="0" w:color="auto"/>
        <w:bottom w:val="none" w:sz="0" w:space="0" w:color="auto"/>
        <w:right w:val="none" w:sz="0" w:space="0" w:color="auto"/>
      </w:divBdr>
    </w:div>
    <w:div w:id="1701710505">
      <w:bodyDiv w:val="1"/>
      <w:marLeft w:val="0"/>
      <w:marRight w:val="0"/>
      <w:marTop w:val="0"/>
      <w:marBottom w:val="0"/>
      <w:divBdr>
        <w:top w:val="none" w:sz="0" w:space="0" w:color="auto"/>
        <w:left w:val="none" w:sz="0" w:space="0" w:color="auto"/>
        <w:bottom w:val="none" w:sz="0" w:space="0" w:color="auto"/>
        <w:right w:val="none" w:sz="0" w:space="0" w:color="auto"/>
      </w:divBdr>
      <w:divsChild>
        <w:div w:id="1977250787">
          <w:marLeft w:val="0"/>
          <w:marRight w:val="0"/>
          <w:marTop w:val="0"/>
          <w:marBottom w:val="0"/>
          <w:divBdr>
            <w:top w:val="none" w:sz="0" w:space="0" w:color="auto"/>
            <w:left w:val="none" w:sz="0" w:space="0" w:color="auto"/>
            <w:bottom w:val="none" w:sz="0" w:space="0" w:color="auto"/>
            <w:right w:val="none" w:sz="0" w:space="0" w:color="auto"/>
          </w:divBdr>
          <w:divsChild>
            <w:div w:id="1293634798">
              <w:marLeft w:val="0"/>
              <w:marRight w:val="0"/>
              <w:marTop w:val="0"/>
              <w:marBottom w:val="0"/>
              <w:divBdr>
                <w:top w:val="none" w:sz="0" w:space="0" w:color="auto"/>
                <w:left w:val="none" w:sz="0" w:space="0" w:color="auto"/>
                <w:bottom w:val="none" w:sz="0" w:space="0" w:color="auto"/>
                <w:right w:val="none" w:sz="0" w:space="0" w:color="auto"/>
              </w:divBdr>
              <w:divsChild>
                <w:div w:id="1392540232">
                  <w:marLeft w:val="-225"/>
                  <w:marRight w:val="-225"/>
                  <w:marTop w:val="0"/>
                  <w:marBottom w:val="0"/>
                  <w:divBdr>
                    <w:top w:val="none" w:sz="0" w:space="0" w:color="auto"/>
                    <w:left w:val="none" w:sz="0" w:space="0" w:color="auto"/>
                    <w:bottom w:val="none" w:sz="0" w:space="0" w:color="auto"/>
                    <w:right w:val="none" w:sz="0" w:space="0" w:color="auto"/>
                  </w:divBdr>
                  <w:divsChild>
                    <w:div w:id="89551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08258">
      <w:bodyDiv w:val="1"/>
      <w:marLeft w:val="0"/>
      <w:marRight w:val="0"/>
      <w:marTop w:val="0"/>
      <w:marBottom w:val="0"/>
      <w:divBdr>
        <w:top w:val="none" w:sz="0" w:space="0" w:color="auto"/>
        <w:left w:val="none" w:sz="0" w:space="0" w:color="auto"/>
        <w:bottom w:val="none" w:sz="0" w:space="0" w:color="auto"/>
        <w:right w:val="none" w:sz="0" w:space="0" w:color="auto"/>
      </w:divBdr>
    </w:div>
    <w:div w:id="1715350226">
      <w:bodyDiv w:val="1"/>
      <w:marLeft w:val="0"/>
      <w:marRight w:val="0"/>
      <w:marTop w:val="0"/>
      <w:marBottom w:val="0"/>
      <w:divBdr>
        <w:top w:val="none" w:sz="0" w:space="0" w:color="auto"/>
        <w:left w:val="none" w:sz="0" w:space="0" w:color="auto"/>
        <w:bottom w:val="none" w:sz="0" w:space="0" w:color="auto"/>
        <w:right w:val="none" w:sz="0" w:space="0" w:color="auto"/>
      </w:divBdr>
    </w:div>
    <w:div w:id="1729264926">
      <w:bodyDiv w:val="1"/>
      <w:marLeft w:val="0"/>
      <w:marRight w:val="0"/>
      <w:marTop w:val="0"/>
      <w:marBottom w:val="0"/>
      <w:divBdr>
        <w:top w:val="none" w:sz="0" w:space="0" w:color="auto"/>
        <w:left w:val="none" w:sz="0" w:space="0" w:color="auto"/>
        <w:bottom w:val="none" w:sz="0" w:space="0" w:color="auto"/>
        <w:right w:val="none" w:sz="0" w:space="0" w:color="auto"/>
      </w:divBdr>
    </w:div>
    <w:div w:id="1730377035">
      <w:bodyDiv w:val="1"/>
      <w:marLeft w:val="0"/>
      <w:marRight w:val="0"/>
      <w:marTop w:val="0"/>
      <w:marBottom w:val="0"/>
      <w:divBdr>
        <w:top w:val="none" w:sz="0" w:space="0" w:color="auto"/>
        <w:left w:val="none" w:sz="0" w:space="0" w:color="auto"/>
        <w:bottom w:val="none" w:sz="0" w:space="0" w:color="auto"/>
        <w:right w:val="none" w:sz="0" w:space="0" w:color="auto"/>
      </w:divBdr>
    </w:div>
    <w:div w:id="1740907326">
      <w:bodyDiv w:val="1"/>
      <w:marLeft w:val="0"/>
      <w:marRight w:val="0"/>
      <w:marTop w:val="0"/>
      <w:marBottom w:val="0"/>
      <w:divBdr>
        <w:top w:val="none" w:sz="0" w:space="0" w:color="auto"/>
        <w:left w:val="none" w:sz="0" w:space="0" w:color="auto"/>
        <w:bottom w:val="none" w:sz="0" w:space="0" w:color="auto"/>
        <w:right w:val="none" w:sz="0" w:space="0" w:color="auto"/>
      </w:divBdr>
    </w:div>
    <w:div w:id="1744253208">
      <w:bodyDiv w:val="1"/>
      <w:marLeft w:val="0"/>
      <w:marRight w:val="0"/>
      <w:marTop w:val="0"/>
      <w:marBottom w:val="0"/>
      <w:divBdr>
        <w:top w:val="none" w:sz="0" w:space="0" w:color="auto"/>
        <w:left w:val="none" w:sz="0" w:space="0" w:color="auto"/>
        <w:bottom w:val="none" w:sz="0" w:space="0" w:color="auto"/>
        <w:right w:val="none" w:sz="0" w:space="0" w:color="auto"/>
      </w:divBdr>
    </w:div>
    <w:div w:id="1764765420">
      <w:bodyDiv w:val="1"/>
      <w:marLeft w:val="0"/>
      <w:marRight w:val="0"/>
      <w:marTop w:val="0"/>
      <w:marBottom w:val="0"/>
      <w:divBdr>
        <w:top w:val="none" w:sz="0" w:space="0" w:color="auto"/>
        <w:left w:val="none" w:sz="0" w:space="0" w:color="auto"/>
        <w:bottom w:val="none" w:sz="0" w:space="0" w:color="auto"/>
        <w:right w:val="none" w:sz="0" w:space="0" w:color="auto"/>
      </w:divBdr>
    </w:div>
    <w:div w:id="1765178271">
      <w:bodyDiv w:val="1"/>
      <w:marLeft w:val="0"/>
      <w:marRight w:val="0"/>
      <w:marTop w:val="0"/>
      <w:marBottom w:val="0"/>
      <w:divBdr>
        <w:top w:val="none" w:sz="0" w:space="0" w:color="auto"/>
        <w:left w:val="none" w:sz="0" w:space="0" w:color="auto"/>
        <w:bottom w:val="none" w:sz="0" w:space="0" w:color="auto"/>
        <w:right w:val="none" w:sz="0" w:space="0" w:color="auto"/>
      </w:divBdr>
    </w:div>
    <w:div w:id="1765179287">
      <w:bodyDiv w:val="1"/>
      <w:marLeft w:val="0"/>
      <w:marRight w:val="0"/>
      <w:marTop w:val="0"/>
      <w:marBottom w:val="0"/>
      <w:divBdr>
        <w:top w:val="none" w:sz="0" w:space="0" w:color="auto"/>
        <w:left w:val="none" w:sz="0" w:space="0" w:color="auto"/>
        <w:bottom w:val="none" w:sz="0" w:space="0" w:color="auto"/>
        <w:right w:val="none" w:sz="0" w:space="0" w:color="auto"/>
      </w:divBdr>
    </w:div>
    <w:div w:id="1775858981">
      <w:bodyDiv w:val="1"/>
      <w:marLeft w:val="0"/>
      <w:marRight w:val="0"/>
      <w:marTop w:val="0"/>
      <w:marBottom w:val="0"/>
      <w:divBdr>
        <w:top w:val="none" w:sz="0" w:space="0" w:color="auto"/>
        <w:left w:val="none" w:sz="0" w:space="0" w:color="auto"/>
        <w:bottom w:val="none" w:sz="0" w:space="0" w:color="auto"/>
        <w:right w:val="none" w:sz="0" w:space="0" w:color="auto"/>
      </w:divBdr>
    </w:div>
    <w:div w:id="1781873342">
      <w:bodyDiv w:val="1"/>
      <w:marLeft w:val="0"/>
      <w:marRight w:val="0"/>
      <w:marTop w:val="0"/>
      <w:marBottom w:val="0"/>
      <w:divBdr>
        <w:top w:val="none" w:sz="0" w:space="0" w:color="auto"/>
        <w:left w:val="none" w:sz="0" w:space="0" w:color="auto"/>
        <w:bottom w:val="none" w:sz="0" w:space="0" w:color="auto"/>
        <w:right w:val="none" w:sz="0" w:space="0" w:color="auto"/>
      </w:divBdr>
    </w:div>
    <w:div w:id="1782914552">
      <w:bodyDiv w:val="1"/>
      <w:marLeft w:val="0"/>
      <w:marRight w:val="0"/>
      <w:marTop w:val="0"/>
      <w:marBottom w:val="0"/>
      <w:divBdr>
        <w:top w:val="none" w:sz="0" w:space="0" w:color="auto"/>
        <w:left w:val="none" w:sz="0" w:space="0" w:color="auto"/>
        <w:bottom w:val="none" w:sz="0" w:space="0" w:color="auto"/>
        <w:right w:val="none" w:sz="0" w:space="0" w:color="auto"/>
      </w:divBdr>
    </w:div>
    <w:div w:id="1793748143">
      <w:bodyDiv w:val="1"/>
      <w:marLeft w:val="0"/>
      <w:marRight w:val="0"/>
      <w:marTop w:val="0"/>
      <w:marBottom w:val="0"/>
      <w:divBdr>
        <w:top w:val="none" w:sz="0" w:space="0" w:color="auto"/>
        <w:left w:val="none" w:sz="0" w:space="0" w:color="auto"/>
        <w:bottom w:val="none" w:sz="0" w:space="0" w:color="auto"/>
        <w:right w:val="none" w:sz="0" w:space="0" w:color="auto"/>
      </w:divBdr>
    </w:div>
    <w:div w:id="1800568308">
      <w:bodyDiv w:val="1"/>
      <w:marLeft w:val="0"/>
      <w:marRight w:val="0"/>
      <w:marTop w:val="0"/>
      <w:marBottom w:val="0"/>
      <w:divBdr>
        <w:top w:val="none" w:sz="0" w:space="0" w:color="auto"/>
        <w:left w:val="none" w:sz="0" w:space="0" w:color="auto"/>
        <w:bottom w:val="none" w:sz="0" w:space="0" w:color="auto"/>
        <w:right w:val="none" w:sz="0" w:space="0" w:color="auto"/>
      </w:divBdr>
    </w:div>
    <w:div w:id="1812401138">
      <w:bodyDiv w:val="1"/>
      <w:marLeft w:val="0"/>
      <w:marRight w:val="0"/>
      <w:marTop w:val="0"/>
      <w:marBottom w:val="0"/>
      <w:divBdr>
        <w:top w:val="none" w:sz="0" w:space="0" w:color="auto"/>
        <w:left w:val="none" w:sz="0" w:space="0" w:color="auto"/>
        <w:bottom w:val="none" w:sz="0" w:space="0" w:color="auto"/>
        <w:right w:val="none" w:sz="0" w:space="0" w:color="auto"/>
      </w:divBdr>
    </w:div>
    <w:div w:id="1816602327">
      <w:bodyDiv w:val="1"/>
      <w:marLeft w:val="0"/>
      <w:marRight w:val="0"/>
      <w:marTop w:val="0"/>
      <w:marBottom w:val="0"/>
      <w:divBdr>
        <w:top w:val="none" w:sz="0" w:space="0" w:color="auto"/>
        <w:left w:val="none" w:sz="0" w:space="0" w:color="auto"/>
        <w:bottom w:val="none" w:sz="0" w:space="0" w:color="auto"/>
        <w:right w:val="none" w:sz="0" w:space="0" w:color="auto"/>
      </w:divBdr>
    </w:div>
    <w:div w:id="1830435626">
      <w:bodyDiv w:val="1"/>
      <w:marLeft w:val="0"/>
      <w:marRight w:val="0"/>
      <w:marTop w:val="0"/>
      <w:marBottom w:val="0"/>
      <w:divBdr>
        <w:top w:val="none" w:sz="0" w:space="0" w:color="auto"/>
        <w:left w:val="none" w:sz="0" w:space="0" w:color="auto"/>
        <w:bottom w:val="none" w:sz="0" w:space="0" w:color="auto"/>
        <w:right w:val="none" w:sz="0" w:space="0" w:color="auto"/>
      </w:divBdr>
    </w:div>
    <w:div w:id="1837111244">
      <w:bodyDiv w:val="1"/>
      <w:marLeft w:val="0"/>
      <w:marRight w:val="0"/>
      <w:marTop w:val="0"/>
      <w:marBottom w:val="0"/>
      <w:divBdr>
        <w:top w:val="none" w:sz="0" w:space="0" w:color="auto"/>
        <w:left w:val="none" w:sz="0" w:space="0" w:color="auto"/>
        <w:bottom w:val="none" w:sz="0" w:space="0" w:color="auto"/>
        <w:right w:val="none" w:sz="0" w:space="0" w:color="auto"/>
      </w:divBdr>
    </w:div>
    <w:div w:id="1846935603">
      <w:bodyDiv w:val="1"/>
      <w:marLeft w:val="0"/>
      <w:marRight w:val="0"/>
      <w:marTop w:val="0"/>
      <w:marBottom w:val="0"/>
      <w:divBdr>
        <w:top w:val="none" w:sz="0" w:space="0" w:color="auto"/>
        <w:left w:val="none" w:sz="0" w:space="0" w:color="auto"/>
        <w:bottom w:val="none" w:sz="0" w:space="0" w:color="auto"/>
        <w:right w:val="none" w:sz="0" w:space="0" w:color="auto"/>
      </w:divBdr>
    </w:div>
    <w:div w:id="1853912980">
      <w:bodyDiv w:val="1"/>
      <w:marLeft w:val="0"/>
      <w:marRight w:val="0"/>
      <w:marTop w:val="0"/>
      <w:marBottom w:val="0"/>
      <w:divBdr>
        <w:top w:val="none" w:sz="0" w:space="0" w:color="auto"/>
        <w:left w:val="none" w:sz="0" w:space="0" w:color="auto"/>
        <w:bottom w:val="none" w:sz="0" w:space="0" w:color="auto"/>
        <w:right w:val="none" w:sz="0" w:space="0" w:color="auto"/>
      </w:divBdr>
    </w:div>
    <w:div w:id="1881211947">
      <w:bodyDiv w:val="1"/>
      <w:marLeft w:val="0"/>
      <w:marRight w:val="0"/>
      <w:marTop w:val="0"/>
      <w:marBottom w:val="0"/>
      <w:divBdr>
        <w:top w:val="none" w:sz="0" w:space="0" w:color="auto"/>
        <w:left w:val="none" w:sz="0" w:space="0" w:color="auto"/>
        <w:bottom w:val="none" w:sz="0" w:space="0" w:color="auto"/>
        <w:right w:val="none" w:sz="0" w:space="0" w:color="auto"/>
      </w:divBdr>
    </w:div>
    <w:div w:id="1911382337">
      <w:bodyDiv w:val="1"/>
      <w:marLeft w:val="0"/>
      <w:marRight w:val="0"/>
      <w:marTop w:val="0"/>
      <w:marBottom w:val="0"/>
      <w:divBdr>
        <w:top w:val="none" w:sz="0" w:space="0" w:color="auto"/>
        <w:left w:val="none" w:sz="0" w:space="0" w:color="auto"/>
        <w:bottom w:val="none" w:sz="0" w:space="0" w:color="auto"/>
        <w:right w:val="none" w:sz="0" w:space="0" w:color="auto"/>
      </w:divBdr>
    </w:div>
    <w:div w:id="1916426554">
      <w:bodyDiv w:val="1"/>
      <w:marLeft w:val="0"/>
      <w:marRight w:val="0"/>
      <w:marTop w:val="0"/>
      <w:marBottom w:val="0"/>
      <w:divBdr>
        <w:top w:val="none" w:sz="0" w:space="0" w:color="auto"/>
        <w:left w:val="none" w:sz="0" w:space="0" w:color="auto"/>
        <w:bottom w:val="none" w:sz="0" w:space="0" w:color="auto"/>
        <w:right w:val="none" w:sz="0" w:space="0" w:color="auto"/>
      </w:divBdr>
    </w:div>
    <w:div w:id="1918859250">
      <w:bodyDiv w:val="1"/>
      <w:marLeft w:val="0"/>
      <w:marRight w:val="0"/>
      <w:marTop w:val="0"/>
      <w:marBottom w:val="0"/>
      <w:divBdr>
        <w:top w:val="none" w:sz="0" w:space="0" w:color="auto"/>
        <w:left w:val="none" w:sz="0" w:space="0" w:color="auto"/>
        <w:bottom w:val="none" w:sz="0" w:space="0" w:color="auto"/>
        <w:right w:val="none" w:sz="0" w:space="0" w:color="auto"/>
      </w:divBdr>
    </w:div>
    <w:div w:id="1921982021">
      <w:bodyDiv w:val="1"/>
      <w:marLeft w:val="0"/>
      <w:marRight w:val="0"/>
      <w:marTop w:val="0"/>
      <w:marBottom w:val="0"/>
      <w:divBdr>
        <w:top w:val="none" w:sz="0" w:space="0" w:color="auto"/>
        <w:left w:val="none" w:sz="0" w:space="0" w:color="auto"/>
        <w:bottom w:val="none" w:sz="0" w:space="0" w:color="auto"/>
        <w:right w:val="none" w:sz="0" w:space="0" w:color="auto"/>
      </w:divBdr>
    </w:div>
    <w:div w:id="1927153433">
      <w:bodyDiv w:val="1"/>
      <w:marLeft w:val="0"/>
      <w:marRight w:val="0"/>
      <w:marTop w:val="0"/>
      <w:marBottom w:val="0"/>
      <w:divBdr>
        <w:top w:val="none" w:sz="0" w:space="0" w:color="auto"/>
        <w:left w:val="none" w:sz="0" w:space="0" w:color="auto"/>
        <w:bottom w:val="none" w:sz="0" w:space="0" w:color="auto"/>
        <w:right w:val="none" w:sz="0" w:space="0" w:color="auto"/>
      </w:divBdr>
    </w:div>
    <w:div w:id="1945573048">
      <w:bodyDiv w:val="1"/>
      <w:marLeft w:val="0"/>
      <w:marRight w:val="0"/>
      <w:marTop w:val="0"/>
      <w:marBottom w:val="0"/>
      <w:divBdr>
        <w:top w:val="none" w:sz="0" w:space="0" w:color="auto"/>
        <w:left w:val="none" w:sz="0" w:space="0" w:color="auto"/>
        <w:bottom w:val="none" w:sz="0" w:space="0" w:color="auto"/>
        <w:right w:val="none" w:sz="0" w:space="0" w:color="auto"/>
      </w:divBdr>
    </w:div>
    <w:div w:id="1950777076">
      <w:bodyDiv w:val="1"/>
      <w:marLeft w:val="0"/>
      <w:marRight w:val="0"/>
      <w:marTop w:val="0"/>
      <w:marBottom w:val="0"/>
      <w:divBdr>
        <w:top w:val="none" w:sz="0" w:space="0" w:color="auto"/>
        <w:left w:val="none" w:sz="0" w:space="0" w:color="auto"/>
        <w:bottom w:val="none" w:sz="0" w:space="0" w:color="auto"/>
        <w:right w:val="none" w:sz="0" w:space="0" w:color="auto"/>
      </w:divBdr>
    </w:div>
    <w:div w:id="1952779478">
      <w:bodyDiv w:val="1"/>
      <w:marLeft w:val="0"/>
      <w:marRight w:val="0"/>
      <w:marTop w:val="0"/>
      <w:marBottom w:val="0"/>
      <w:divBdr>
        <w:top w:val="none" w:sz="0" w:space="0" w:color="auto"/>
        <w:left w:val="none" w:sz="0" w:space="0" w:color="auto"/>
        <w:bottom w:val="none" w:sz="0" w:space="0" w:color="auto"/>
        <w:right w:val="none" w:sz="0" w:space="0" w:color="auto"/>
      </w:divBdr>
    </w:div>
    <w:div w:id="1959605522">
      <w:bodyDiv w:val="1"/>
      <w:marLeft w:val="0"/>
      <w:marRight w:val="0"/>
      <w:marTop w:val="0"/>
      <w:marBottom w:val="0"/>
      <w:divBdr>
        <w:top w:val="none" w:sz="0" w:space="0" w:color="auto"/>
        <w:left w:val="none" w:sz="0" w:space="0" w:color="auto"/>
        <w:bottom w:val="none" w:sz="0" w:space="0" w:color="auto"/>
        <w:right w:val="none" w:sz="0" w:space="0" w:color="auto"/>
      </w:divBdr>
    </w:div>
    <w:div w:id="1961959532">
      <w:bodyDiv w:val="1"/>
      <w:marLeft w:val="0"/>
      <w:marRight w:val="0"/>
      <w:marTop w:val="0"/>
      <w:marBottom w:val="0"/>
      <w:divBdr>
        <w:top w:val="none" w:sz="0" w:space="0" w:color="auto"/>
        <w:left w:val="none" w:sz="0" w:space="0" w:color="auto"/>
        <w:bottom w:val="none" w:sz="0" w:space="0" w:color="auto"/>
        <w:right w:val="none" w:sz="0" w:space="0" w:color="auto"/>
      </w:divBdr>
    </w:div>
    <w:div w:id="1964770860">
      <w:bodyDiv w:val="1"/>
      <w:marLeft w:val="0"/>
      <w:marRight w:val="0"/>
      <w:marTop w:val="0"/>
      <w:marBottom w:val="0"/>
      <w:divBdr>
        <w:top w:val="none" w:sz="0" w:space="0" w:color="auto"/>
        <w:left w:val="none" w:sz="0" w:space="0" w:color="auto"/>
        <w:bottom w:val="none" w:sz="0" w:space="0" w:color="auto"/>
        <w:right w:val="none" w:sz="0" w:space="0" w:color="auto"/>
      </w:divBdr>
    </w:div>
    <w:div w:id="1970624127">
      <w:bodyDiv w:val="1"/>
      <w:marLeft w:val="0"/>
      <w:marRight w:val="0"/>
      <w:marTop w:val="0"/>
      <w:marBottom w:val="0"/>
      <w:divBdr>
        <w:top w:val="none" w:sz="0" w:space="0" w:color="auto"/>
        <w:left w:val="none" w:sz="0" w:space="0" w:color="auto"/>
        <w:bottom w:val="none" w:sz="0" w:space="0" w:color="auto"/>
        <w:right w:val="none" w:sz="0" w:space="0" w:color="auto"/>
      </w:divBdr>
    </w:div>
    <w:div w:id="1973318893">
      <w:bodyDiv w:val="1"/>
      <w:marLeft w:val="0"/>
      <w:marRight w:val="0"/>
      <w:marTop w:val="0"/>
      <w:marBottom w:val="0"/>
      <w:divBdr>
        <w:top w:val="none" w:sz="0" w:space="0" w:color="auto"/>
        <w:left w:val="none" w:sz="0" w:space="0" w:color="auto"/>
        <w:bottom w:val="none" w:sz="0" w:space="0" w:color="auto"/>
        <w:right w:val="none" w:sz="0" w:space="0" w:color="auto"/>
      </w:divBdr>
    </w:div>
    <w:div w:id="1979219006">
      <w:bodyDiv w:val="1"/>
      <w:marLeft w:val="0"/>
      <w:marRight w:val="0"/>
      <w:marTop w:val="0"/>
      <w:marBottom w:val="0"/>
      <w:divBdr>
        <w:top w:val="none" w:sz="0" w:space="0" w:color="auto"/>
        <w:left w:val="none" w:sz="0" w:space="0" w:color="auto"/>
        <w:bottom w:val="none" w:sz="0" w:space="0" w:color="auto"/>
        <w:right w:val="none" w:sz="0" w:space="0" w:color="auto"/>
      </w:divBdr>
    </w:div>
    <w:div w:id="2003846990">
      <w:bodyDiv w:val="1"/>
      <w:marLeft w:val="0"/>
      <w:marRight w:val="0"/>
      <w:marTop w:val="0"/>
      <w:marBottom w:val="0"/>
      <w:divBdr>
        <w:top w:val="none" w:sz="0" w:space="0" w:color="auto"/>
        <w:left w:val="none" w:sz="0" w:space="0" w:color="auto"/>
        <w:bottom w:val="none" w:sz="0" w:space="0" w:color="auto"/>
        <w:right w:val="none" w:sz="0" w:space="0" w:color="auto"/>
      </w:divBdr>
    </w:div>
    <w:div w:id="2017923084">
      <w:bodyDiv w:val="1"/>
      <w:marLeft w:val="0"/>
      <w:marRight w:val="0"/>
      <w:marTop w:val="0"/>
      <w:marBottom w:val="0"/>
      <w:divBdr>
        <w:top w:val="none" w:sz="0" w:space="0" w:color="auto"/>
        <w:left w:val="none" w:sz="0" w:space="0" w:color="auto"/>
        <w:bottom w:val="none" w:sz="0" w:space="0" w:color="auto"/>
        <w:right w:val="none" w:sz="0" w:space="0" w:color="auto"/>
      </w:divBdr>
    </w:div>
    <w:div w:id="2033455664">
      <w:bodyDiv w:val="1"/>
      <w:marLeft w:val="0"/>
      <w:marRight w:val="0"/>
      <w:marTop w:val="0"/>
      <w:marBottom w:val="0"/>
      <w:divBdr>
        <w:top w:val="none" w:sz="0" w:space="0" w:color="auto"/>
        <w:left w:val="none" w:sz="0" w:space="0" w:color="auto"/>
        <w:bottom w:val="none" w:sz="0" w:space="0" w:color="auto"/>
        <w:right w:val="none" w:sz="0" w:space="0" w:color="auto"/>
      </w:divBdr>
    </w:div>
    <w:div w:id="2046711438">
      <w:bodyDiv w:val="1"/>
      <w:marLeft w:val="0"/>
      <w:marRight w:val="0"/>
      <w:marTop w:val="0"/>
      <w:marBottom w:val="0"/>
      <w:divBdr>
        <w:top w:val="none" w:sz="0" w:space="0" w:color="auto"/>
        <w:left w:val="none" w:sz="0" w:space="0" w:color="auto"/>
        <w:bottom w:val="none" w:sz="0" w:space="0" w:color="auto"/>
        <w:right w:val="none" w:sz="0" w:space="0" w:color="auto"/>
      </w:divBdr>
    </w:div>
    <w:div w:id="2082554263">
      <w:bodyDiv w:val="1"/>
      <w:marLeft w:val="0"/>
      <w:marRight w:val="0"/>
      <w:marTop w:val="0"/>
      <w:marBottom w:val="0"/>
      <w:divBdr>
        <w:top w:val="none" w:sz="0" w:space="0" w:color="auto"/>
        <w:left w:val="none" w:sz="0" w:space="0" w:color="auto"/>
        <w:bottom w:val="none" w:sz="0" w:space="0" w:color="auto"/>
        <w:right w:val="none" w:sz="0" w:space="0" w:color="auto"/>
      </w:divBdr>
    </w:div>
    <w:div w:id="2084176286">
      <w:bodyDiv w:val="1"/>
      <w:marLeft w:val="0"/>
      <w:marRight w:val="0"/>
      <w:marTop w:val="0"/>
      <w:marBottom w:val="0"/>
      <w:divBdr>
        <w:top w:val="none" w:sz="0" w:space="0" w:color="auto"/>
        <w:left w:val="none" w:sz="0" w:space="0" w:color="auto"/>
        <w:bottom w:val="none" w:sz="0" w:space="0" w:color="auto"/>
        <w:right w:val="none" w:sz="0" w:space="0" w:color="auto"/>
      </w:divBdr>
    </w:div>
    <w:div w:id="2087798548">
      <w:bodyDiv w:val="1"/>
      <w:marLeft w:val="0"/>
      <w:marRight w:val="0"/>
      <w:marTop w:val="0"/>
      <w:marBottom w:val="0"/>
      <w:divBdr>
        <w:top w:val="none" w:sz="0" w:space="0" w:color="auto"/>
        <w:left w:val="none" w:sz="0" w:space="0" w:color="auto"/>
        <w:bottom w:val="none" w:sz="0" w:space="0" w:color="auto"/>
        <w:right w:val="none" w:sz="0" w:space="0" w:color="auto"/>
      </w:divBdr>
    </w:div>
    <w:div w:id="2117631807">
      <w:bodyDiv w:val="1"/>
      <w:marLeft w:val="0"/>
      <w:marRight w:val="0"/>
      <w:marTop w:val="0"/>
      <w:marBottom w:val="0"/>
      <w:divBdr>
        <w:top w:val="none" w:sz="0" w:space="0" w:color="auto"/>
        <w:left w:val="none" w:sz="0" w:space="0" w:color="auto"/>
        <w:bottom w:val="none" w:sz="0" w:space="0" w:color="auto"/>
        <w:right w:val="none" w:sz="0" w:space="0" w:color="auto"/>
      </w:divBdr>
    </w:div>
    <w:div w:id="2124764921">
      <w:bodyDiv w:val="1"/>
      <w:marLeft w:val="0"/>
      <w:marRight w:val="0"/>
      <w:marTop w:val="0"/>
      <w:marBottom w:val="0"/>
      <w:divBdr>
        <w:top w:val="none" w:sz="0" w:space="0" w:color="auto"/>
        <w:left w:val="none" w:sz="0" w:space="0" w:color="auto"/>
        <w:bottom w:val="none" w:sz="0" w:space="0" w:color="auto"/>
        <w:right w:val="none" w:sz="0" w:space="0" w:color="auto"/>
      </w:divBdr>
    </w:div>
    <w:div w:id="2141730063">
      <w:bodyDiv w:val="1"/>
      <w:marLeft w:val="0"/>
      <w:marRight w:val="0"/>
      <w:marTop w:val="0"/>
      <w:marBottom w:val="0"/>
      <w:divBdr>
        <w:top w:val="none" w:sz="0" w:space="0" w:color="auto"/>
        <w:left w:val="none" w:sz="0" w:space="0" w:color="auto"/>
        <w:bottom w:val="none" w:sz="0" w:space="0" w:color="auto"/>
        <w:right w:val="none" w:sz="0" w:space="0" w:color="auto"/>
      </w:divBdr>
    </w:div>
    <w:div w:id="214376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file:///C:\Users\jmurinova\AppData\Local\Microsoft\Windows\INetCache\Content.MSO\58515831.tmp" TargetMode="External"/><Relationship Id="rId18" Type="http://schemas.openxmlformats.org/officeDocument/2006/relationships/hyperlink" Target="https://eur-lex.europa.eu/legal-content/SK/TXT/?uri=celex%3A32022R246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slov-lex.sk/ezbierky-fe/pravne-predpisy/SK/ZZ/2009/57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aspi.sk/products/lawText/1/58751/1/ASPI%253A/718/2004%20Z.z." TargetMode="Externa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spi.sk/products/lawText/1/58751/1/ASPI%253A/95/2002%20Z.z." TargetMode="Externa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s://www.planobnovy.sk/site/assets/files/1232/vykonavacie_rozhodnutie_rady_k_aktualizacii_planu_obnovy_-_2023.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8054-2025-ADD-1/sk/pdf" TargetMode="External"/><Relationship Id="rId3" Type="http://schemas.openxmlformats.org/officeDocument/2006/relationships/hyperlink" Target="https://rokovania.gov.sk/RVL/Resolution/21987/1" TargetMode="External"/><Relationship Id="rId7" Type="http://schemas.openxmlformats.org/officeDocument/2006/relationships/hyperlink" Target="https://data.consilium.europa.eu/doc/document/ST-8054-2025-INIT/sk/pdf" TargetMode="External"/><Relationship Id="rId2" Type="http://schemas.openxmlformats.org/officeDocument/2006/relationships/hyperlink" Target="https://ec.europa.eu/eurostat/databrowser/view/gov_10dd_edpt1/default/table?lang=en&amp;category=gov.gov_gfs10.gov_10dd" TargetMode="External"/><Relationship Id="rId1" Type="http://schemas.openxmlformats.org/officeDocument/2006/relationships/hyperlink" Target="https://ec.europa.eu/eurostat/web/products-euro-indicators/w/2-22042025-ap" TargetMode="External"/><Relationship Id="rId6" Type="http://schemas.openxmlformats.org/officeDocument/2006/relationships/hyperlink" Target="https://data.consilium.europa.eu/doc/document/ST-11205-2023-ADD-1/en/pdf" TargetMode="External"/><Relationship Id="rId5" Type="http://schemas.openxmlformats.org/officeDocument/2006/relationships/hyperlink" Target="https://data.consilium.europa.eu/doc/document/ST-11205-2023-INIT/en/pdf" TargetMode="External"/><Relationship Id="rId10" Type="http://schemas.openxmlformats.org/officeDocument/2006/relationships/hyperlink" Target="https://data.consilium.europa.eu/doc/document/ST-14450-2025-ADD-1/en/pdf" TargetMode="External"/><Relationship Id="rId4" Type="http://schemas.openxmlformats.org/officeDocument/2006/relationships/hyperlink" Target="https://eur-lex.europa.eu/SK/legal-content/summary/european-development-fund-edf.html?fromSummary=11" TargetMode="External"/><Relationship Id="rId9" Type="http://schemas.openxmlformats.org/officeDocument/2006/relationships/hyperlink" Target="https://data.consilium.europa.eu/doc/document/ST-14450-2025-INIT/en/pdf"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5\kap1_grafy.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5\kap1_grafy.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5\kap1_grafy.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oleObject" Target="file:///\\VM-DFS.mf.mfsr.sk\FileShare\ADRESARE\IFP_NEW\3_MAKRO\3_7_Materialy\3_7_8_SZU\SZU%20za%202025\kap1_grafy.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2" Type="http://schemas.openxmlformats.org/officeDocument/2006/relationships/oleObject" Target="file:///\\VM-DFS.mf.mfsr.sk\FileShare\ADRESARE\IFP_NEW\3_MAKRO\3_7_Materialy\3_7_8_SZU\SZU%20za%202025\kap1_grafy.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oleObject" Target="file:///\\VM-DFS.mf.mfsr.sk\FileShare\ADRESARE\IFP_NEW\2_FISKAL\05_Dlh\01%20-%20Prognoza\2026\DLH_Model_DBP%202026_SZU%202.xlsm"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etik\PETIK%20workplace\Finan&#269;n&#233;%20riadenie\Finan&#269;n&#233;%20riadenie%202%200%202%206\MF%20SR\Z&#225;vere&#269;n&#253;%20&#250;&#269;et\&#268;erpanie%20pod&#318;a%20komponentov.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43593461255347"/>
          <c:y val="6.868560724320949E-2"/>
          <c:w val="0.84398158554434344"/>
          <c:h val="0.80345443862913957"/>
        </c:manualLayout>
      </c:layout>
      <c:barChart>
        <c:barDir val="col"/>
        <c:grouping val="stacked"/>
        <c:varyColors val="0"/>
        <c:ser>
          <c:idx val="3"/>
          <c:order val="0"/>
          <c:tx>
            <c:strRef>
              <c:f>HDP!$A$5</c:f>
              <c:strCache>
                <c:ptCount val="1"/>
                <c:pt idx="0">
                  <c:v>štatistická diskrepancia</c:v>
                </c:pt>
              </c:strCache>
            </c:strRef>
          </c:tx>
          <c:spPr>
            <a:solidFill>
              <a:srgbClr val="7C7C7C"/>
            </a:solidFill>
          </c:spPr>
          <c:invertIfNegative val="0"/>
          <c:cat>
            <c:numRef>
              <c:f>HDP!$I$1:$R$1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HDP!$I$5:$R$5</c:f>
              <c:numCache>
                <c:formatCode>0.0</c:formatCode>
                <c:ptCount val="10"/>
                <c:pt idx="0">
                  <c:v>4.8557695788365551E-2</c:v>
                </c:pt>
                <c:pt idx="1">
                  <c:v>4.6363437422349871E-2</c:v>
                </c:pt>
                <c:pt idx="2">
                  <c:v>0.12503582207603514</c:v>
                </c:pt>
                <c:pt idx="3">
                  <c:v>-8.8969615197392771E-2</c:v>
                </c:pt>
                <c:pt idx="4">
                  <c:v>-1.3895318224874886E-2</c:v>
                </c:pt>
                <c:pt idx="5">
                  <c:v>-1.4432899320127035E-15</c:v>
                </c:pt>
                <c:pt idx="6">
                  <c:v>-4.8867484335112232E-2</c:v>
                </c:pt>
                <c:pt idx="7">
                  <c:v>0.76285802933106073</c:v>
                </c:pt>
                <c:pt idx="8">
                  <c:v>-6.2258860535577831E-3</c:v>
                </c:pt>
                <c:pt idx="9">
                  <c:v>-0.10716569274222681</c:v>
                </c:pt>
              </c:numCache>
            </c:numRef>
          </c:val>
          <c:extLst>
            <c:ext xmlns:c16="http://schemas.microsoft.com/office/drawing/2014/chart" uri="{C3380CC4-5D6E-409C-BE32-E72D297353CC}">
              <c16:uniqueId val="{00000000-B99B-4B25-8CF2-036653400797}"/>
            </c:ext>
          </c:extLst>
        </c:ser>
        <c:ser>
          <c:idx val="1"/>
          <c:order val="2"/>
          <c:tx>
            <c:strRef>
              <c:f>HDP!$A$3</c:f>
              <c:strCache>
                <c:ptCount val="1"/>
                <c:pt idx="0">
                  <c:v>domáci dopyt</c:v>
                </c:pt>
              </c:strCache>
            </c:strRef>
          </c:tx>
          <c:spPr>
            <a:solidFill>
              <a:srgbClr val="2C9ADC"/>
            </a:solidFill>
          </c:spPr>
          <c:invertIfNegative val="0"/>
          <c:cat>
            <c:numRef>
              <c:f>HDP!$I$1:$R$1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HDP!$I$3:$R$3</c:f>
              <c:numCache>
                <c:formatCode>0.0</c:formatCode>
                <c:ptCount val="10"/>
                <c:pt idx="0">
                  <c:v>1.6818313011576467</c:v>
                </c:pt>
                <c:pt idx="1">
                  <c:v>2.948245331608943</c:v>
                </c:pt>
                <c:pt idx="2">
                  <c:v>3.5383049137077482</c:v>
                </c:pt>
                <c:pt idx="3">
                  <c:v>3.2377357756332534</c:v>
                </c:pt>
                <c:pt idx="4">
                  <c:v>-3.9565632806724325</c:v>
                </c:pt>
                <c:pt idx="5">
                  <c:v>6.3659466566274316</c:v>
                </c:pt>
                <c:pt idx="6">
                  <c:v>1.7797702562942375</c:v>
                </c:pt>
                <c:pt idx="7">
                  <c:v>-5.037925132509713</c:v>
                </c:pt>
                <c:pt idx="8">
                  <c:v>4.0672032500806452</c:v>
                </c:pt>
                <c:pt idx="9">
                  <c:v>0.56166589247701482</c:v>
                </c:pt>
              </c:numCache>
            </c:numRef>
          </c:val>
          <c:extLst>
            <c:ext xmlns:c16="http://schemas.microsoft.com/office/drawing/2014/chart" uri="{C3380CC4-5D6E-409C-BE32-E72D297353CC}">
              <c16:uniqueId val="{00000001-B99B-4B25-8CF2-036653400797}"/>
            </c:ext>
          </c:extLst>
        </c:ser>
        <c:ser>
          <c:idx val="2"/>
          <c:order val="3"/>
          <c:tx>
            <c:strRef>
              <c:f>HDP!$A$4</c:f>
              <c:strCache>
                <c:ptCount val="1"/>
                <c:pt idx="0">
                  <c:v>zahraničný dopyt</c:v>
                </c:pt>
              </c:strCache>
            </c:strRef>
          </c:tx>
          <c:spPr>
            <a:solidFill>
              <a:srgbClr val="555555"/>
            </a:solidFill>
          </c:spPr>
          <c:invertIfNegative val="0"/>
          <c:cat>
            <c:numRef>
              <c:f>HDP!$I$1:$R$1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HDP!$I$4:$R$4</c:f>
              <c:numCache>
                <c:formatCode>0.0</c:formatCode>
                <c:ptCount val="10"/>
                <c:pt idx="0">
                  <c:v>0.21742941829955886</c:v>
                </c:pt>
                <c:pt idx="1">
                  <c:v>-0.11987549449432415</c:v>
                </c:pt>
                <c:pt idx="2">
                  <c:v>0.39877908318107258</c:v>
                </c:pt>
                <c:pt idx="3">
                  <c:v>-0.87286706024193028</c:v>
                </c:pt>
                <c:pt idx="4">
                  <c:v>1.38494618156521</c:v>
                </c:pt>
                <c:pt idx="5">
                  <c:v>-0.7100878500719231</c:v>
                </c:pt>
                <c:pt idx="6">
                  <c:v>-1.1863111398216524</c:v>
                </c:pt>
                <c:pt idx="7">
                  <c:v>6.3877034353282474</c:v>
                </c:pt>
                <c:pt idx="8">
                  <c:v>-2.122302908532621</c:v>
                </c:pt>
                <c:pt idx="9">
                  <c:v>0.35291849040996842</c:v>
                </c:pt>
              </c:numCache>
            </c:numRef>
          </c:val>
          <c:extLst>
            <c:ext xmlns:c16="http://schemas.microsoft.com/office/drawing/2014/chart" uri="{C3380CC4-5D6E-409C-BE32-E72D297353CC}">
              <c16:uniqueId val="{00000002-B99B-4B25-8CF2-036653400797}"/>
            </c:ext>
          </c:extLst>
        </c:ser>
        <c:dLbls>
          <c:showLegendKey val="0"/>
          <c:showVal val="0"/>
          <c:showCatName val="0"/>
          <c:showSerName val="0"/>
          <c:showPercent val="0"/>
          <c:showBubbleSize val="0"/>
        </c:dLbls>
        <c:gapWidth val="150"/>
        <c:overlap val="100"/>
        <c:axId val="493704816"/>
        <c:axId val="493705208"/>
      </c:barChart>
      <c:lineChart>
        <c:grouping val="standard"/>
        <c:varyColors val="0"/>
        <c:ser>
          <c:idx val="0"/>
          <c:order val="1"/>
          <c:tx>
            <c:strRef>
              <c:f>HDP!$A$2</c:f>
              <c:strCache>
                <c:ptCount val="1"/>
                <c:pt idx="0">
                  <c:v>rast HDP</c:v>
                </c:pt>
              </c:strCache>
            </c:strRef>
          </c:tx>
          <c:spPr>
            <a:ln>
              <a:solidFill>
                <a:schemeClr val="tx1"/>
              </a:solidFill>
            </a:ln>
          </c:spPr>
          <c:marker>
            <c:symbol val="none"/>
          </c:marker>
          <c:dLbls>
            <c:dLbl>
              <c:idx val="3"/>
              <c:layout>
                <c:manualLayout>
                  <c:x val="-5.7103911191428942E-2"/>
                  <c:y val="-8.8828006088280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9B-4B25-8CF2-036653400797}"/>
                </c:ext>
              </c:extLst>
            </c:dLbl>
            <c:dLbl>
              <c:idx val="4"/>
              <c:layout>
                <c:manualLayout>
                  <c:x val="-1.3750443975065411E-2"/>
                  <c:y val="3.4904776771776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9B-4B25-8CF2-036653400797}"/>
                </c:ext>
              </c:extLst>
            </c:dLbl>
            <c:dLbl>
              <c:idx val="6"/>
              <c:layout>
                <c:manualLayout>
                  <c:x val="-5.6922921723519669E-2"/>
                  <c:y val="-9.7617795071310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9B-4B25-8CF2-036653400797}"/>
                </c:ext>
              </c:extLst>
            </c:dLbl>
            <c:dLbl>
              <c:idx val="7"/>
              <c:layout>
                <c:manualLayout>
                  <c:x val="-1.7740417971412084E-2"/>
                  <c:y val="-8.3432639121369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9B-4B25-8CF2-036653400797}"/>
                </c:ext>
              </c:extLst>
            </c:dLbl>
            <c:dLbl>
              <c:idx val="8"/>
              <c:layout>
                <c:manualLayout>
                  <c:x val="-1.7701350198952304E-2"/>
                  <c:y val="-9.1356282618903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9B-4B25-8CF2-036653400797}"/>
                </c:ext>
              </c:extLst>
            </c:dLbl>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numRef>
              <c:f>HDP!$I$1:$R$1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HDP!$I$2:$R$2</c:f>
              <c:numCache>
                <c:formatCode>0.0</c:formatCode>
                <c:ptCount val="10"/>
                <c:pt idx="0">
                  <c:v>1.9478184152455711</c:v>
                </c:pt>
                <c:pt idx="1">
                  <c:v>2.8747332745369687</c:v>
                </c:pt>
                <c:pt idx="2">
                  <c:v>4.062119818964856</c:v>
                </c:pt>
                <c:pt idx="3">
                  <c:v>2.2758991001939304</c:v>
                </c:pt>
                <c:pt idx="4">
                  <c:v>-2.5855124173320974</c:v>
                </c:pt>
                <c:pt idx="5">
                  <c:v>5.6558588065555071</c:v>
                </c:pt>
                <c:pt idx="6">
                  <c:v>0.54459163213747286</c:v>
                </c:pt>
                <c:pt idx="7">
                  <c:v>2.1126363321495956</c:v>
                </c:pt>
                <c:pt idx="8">
                  <c:v>1.9386744554944664</c:v>
                </c:pt>
                <c:pt idx="9">
                  <c:v>0.80741869014475642</c:v>
                </c:pt>
              </c:numCache>
            </c:numRef>
          </c:val>
          <c:smooth val="0"/>
          <c:extLst>
            <c:ext xmlns:c16="http://schemas.microsoft.com/office/drawing/2014/chart" uri="{C3380CC4-5D6E-409C-BE32-E72D297353CC}">
              <c16:uniqueId val="{00000008-B99B-4B25-8CF2-036653400797}"/>
            </c:ext>
          </c:extLst>
        </c:ser>
        <c:dLbls>
          <c:showLegendKey val="0"/>
          <c:showVal val="0"/>
          <c:showCatName val="0"/>
          <c:showSerName val="0"/>
          <c:showPercent val="0"/>
          <c:showBubbleSize val="0"/>
        </c:dLbls>
        <c:marker val="1"/>
        <c:smooth val="0"/>
        <c:axId val="493704816"/>
        <c:axId val="493705208"/>
      </c:lineChart>
      <c:catAx>
        <c:axId val="493704816"/>
        <c:scaling>
          <c:orientation val="minMax"/>
        </c:scaling>
        <c:delete val="0"/>
        <c:axPos val="b"/>
        <c:numFmt formatCode="General" sourceLinked="1"/>
        <c:majorTickMark val="out"/>
        <c:minorTickMark val="none"/>
        <c:tickLblPos val="low"/>
        <c:crossAx val="493705208"/>
        <c:crosses val="autoZero"/>
        <c:auto val="1"/>
        <c:lblAlgn val="ctr"/>
        <c:lblOffset val="100"/>
        <c:noMultiLvlLbl val="0"/>
      </c:catAx>
      <c:valAx>
        <c:axId val="493705208"/>
        <c:scaling>
          <c:orientation val="minMax"/>
        </c:scaling>
        <c:delete val="0"/>
        <c:axPos val="l"/>
        <c:majorGridlines>
          <c:spPr>
            <a:ln>
              <a:prstDash val="sysDash"/>
            </a:ln>
          </c:spPr>
        </c:majorGridlines>
        <c:numFmt formatCode="0.0" sourceLinked="0"/>
        <c:majorTickMark val="out"/>
        <c:minorTickMark val="none"/>
        <c:tickLblPos val="nextTo"/>
        <c:crossAx val="493704816"/>
        <c:crosses val="autoZero"/>
        <c:crossBetween val="between"/>
      </c:valAx>
    </c:plotArea>
    <c:legend>
      <c:legendPos val="r"/>
      <c:layout>
        <c:manualLayout>
          <c:xMode val="edge"/>
          <c:yMode val="edge"/>
          <c:x val="6.1015471780344305E-2"/>
          <c:y val="0.6182687981985393"/>
          <c:w val="0.49317758054764643"/>
          <c:h val="0.27245388846942076"/>
        </c:manualLayout>
      </c:layout>
      <c:overlay val="1"/>
    </c:legend>
    <c:plotVisOnly val="1"/>
    <c:dispBlanksAs val="gap"/>
    <c:showDLblsOverMax val="0"/>
  </c:chart>
  <c:spPr>
    <a:ln>
      <a:noFill/>
    </a:ln>
  </c:spPr>
  <c:txPr>
    <a:bodyPr/>
    <a:lstStyle/>
    <a:p>
      <a:pPr>
        <a:defRPr sz="800">
          <a:latin typeface="Arial Narrow" panose="020B0606020202030204" pitchFamily="34" charset="0"/>
        </a:defRPr>
      </a:pPr>
      <a:endParaRPr lang="sk-SK"/>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74453193350831E-2"/>
          <c:y val="0.15146600897810292"/>
          <c:w val="0.89093095636884034"/>
          <c:h val="0.67930840328127295"/>
        </c:manualLayout>
      </c:layout>
      <c:barChart>
        <c:barDir val="col"/>
        <c:grouping val="stacked"/>
        <c:varyColors val="0"/>
        <c:ser>
          <c:idx val="8"/>
          <c:order val="1"/>
          <c:tx>
            <c:strRef>
              <c:f>trh_prace!$A$16</c:f>
              <c:strCache>
                <c:ptCount val="1"/>
                <c:pt idx="0">
                  <c:v>Poľnohospodárstvo</c:v>
                </c:pt>
              </c:strCache>
            </c:strRef>
          </c:tx>
          <c:invertIfNegative val="0"/>
          <c:cat>
            <c:strRef>
              <c:f>trh_prace!$J$15:$Q$15</c:f>
              <c:strCache>
                <c:ptCount val="8"/>
                <c:pt idx="0">
                  <c:v>2024Q1</c:v>
                </c:pt>
                <c:pt idx="1">
                  <c:v>2024Q2</c:v>
                </c:pt>
                <c:pt idx="2">
                  <c:v>2024Q3</c:v>
                </c:pt>
                <c:pt idx="3">
                  <c:v>2024Q4</c:v>
                </c:pt>
                <c:pt idx="4">
                  <c:v>2025Q1</c:v>
                </c:pt>
                <c:pt idx="5">
                  <c:v>2025Q2</c:v>
                </c:pt>
                <c:pt idx="6">
                  <c:v>2025Q3</c:v>
                </c:pt>
                <c:pt idx="7">
                  <c:v>2025Q4</c:v>
                </c:pt>
              </c:strCache>
            </c:strRef>
          </c:cat>
          <c:val>
            <c:numRef>
              <c:f>trh_prace!$J$16:$Q$16</c:f>
              <c:numCache>
                <c:formatCode>0.00</c:formatCode>
                <c:ptCount val="8"/>
                <c:pt idx="0">
                  <c:v>6.0618854435074171E-2</c:v>
                </c:pt>
                <c:pt idx="1">
                  <c:v>-7.9664987546433516E-2</c:v>
                </c:pt>
                <c:pt idx="2">
                  <c:v>1.893314213603709E-3</c:v>
                </c:pt>
                <c:pt idx="3">
                  <c:v>-8.1048979502836502E-3</c:v>
                </c:pt>
                <c:pt idx="4">
                  <c:v>4.4988662280855213E-2</c:v>
                </c:pt>
                <c:pt idx="5">
                  <c:v>-6.4097675789421632E-2</c:v>
                </c:pt>
                <c:pt idx="6">
                  <c:v>2.0755654062548645E-2</c:v>
                </c:pt>
                <c:pt idx="7">
                  <c:v>5.6877733892163936E-3</c:v>
                </c:pt>
              </c:numCache>
            </c:numRef>
          </c:val>
          <c:extLst>
            <c:ext xmlns:c16="http://schemas.microsoft.com/office/drawing/2014/chart" uri="{C3380CC4-5D6E-409C-BE32-E72D297353CC}">
              <c16:uniqueId val="{00000000-5CC3-493D-85C5-753B28EA1F17}"/>
            </c:ext>
          </c:extLst>
        </c:ser>
        <c:ser>
          <c:idx val="0"/>
          <c:order val="2"/>
          <c:tx>
            <c:strRef>
              <c:f>trh_prace!$A$17</c:f>
              <c:strCache>
                <c:ptCount val="1"/>
                <c:pt idx="0">
                  <c:v>Priemysel</c:v>
                </c:pt>
              </c:strCache>
            </c:strRef>
          </c:tx>
          <c:spPr>
            <a:solidFill>
              <a:srgbClr val="FFFFFF">
                <a:lumMod val="50000"/>
              </a:srgbClr>
            </a:solidFill>
          </c:spPr>
          <c:invertIfNegative val="0"/>
          <c:cat>
            <c:strRef>
              <c:f>trh_prace!$J$15:$Q$15</c:f>
              <c:strCache>
                <c:ptCount val="8"/>
                <c:pt idx="0">
                  <c:v>2024Q1</c:v>
                </c:pt>
                <c:pt idx="1">
                  <c:v>2024Q2</c:v>
                </c:pt>
                <c:pt idx="2">
                  <c:v>2024Q3</c:v>
                </c:pt>
                <c:pt idx="3">
                  <c:v>2024Q4</c:v>
                </c:pt>
                <c:pt idx="4">
                  <c:v>2025Q1</c:v>
                </c:pt>
                <c:pt idx="5">
                  <c:v>2025Q2</c:v>
                </c:pt>
                <c:pt idx="6">
                  <c:v>2025Q3</c:v>
                </c:pt>
                <c:pt idx="7">
                  <c:v>2025Q4</c:v>
                </c:pt>
              </c:strCache>
            </c:strRef>
          </c:cat>
          <c:val>
            <c:numRef>
              <c:f>trh_prace!$J$17:$Q$17</c:f>
              <c:numCache>
                <c:formatCode>0.00</c:formatCode>
                <c:ptCount val="8"/>
                <c:pt idx="0">
                  <c:v>-0.21631402866500185</c:v>
                </c:pt>
                <c:pt idx="1">
                  <c:v>2.7555777829786242E-3</c:v>
                </c:pt>
                <c:pt idx="2">
                  <c:v>-0.22797972672067751</c:v>
                </c:pt>
                <c:pt idx="3">
                  <c:v>-1.1643076750915093E-2</c:v>
                </c:pt>
                <c:pt idx="4">
                  <c:v>-4.544143015376409E-2</c:v>
                </c:pt>
                <c:pt idx="5">
                  <c:v>-5.8903909133815761E-2</c:v>
                </c:pt>
                <c:pt idx="6">
                  <c:v>-0.19672571320792634</c:v>
                </c:pt>
                <c:pt idx="7">
                  <c:v>3.3508404097340058E-2</c:v>
                </c:pt>
              </c:numCache>
            </c:numRef>
          </c:val>
          <c:extLst>
            <c:ext xmlns:c16="http://schemas.microsoft.com/office/drawing/2014/chart" uri="{C3380CC4-5D6E-409C-BE32-E72D297353CC}">
              <c16:uniqueId val="{00000001-5CC3-493D-85C5-753B28EA1F17}"/>
            </c:ext>
          </c:extLst>
        </c:ser>
        <c:ser>
          <c:idx val="1"/>
          <c:order val="3"/>
          <c:tx>
            <c:strRef>
              <c:f>trh_prace!$A$20</c:f>
              <c:strCache>
                <c:ptCount val="1"/>
                <c:pt idx="0">
                  <c:v>Stavebníctvo</c:v>
                </c:pt>
              </c:strCache>
            </c:strRef>
          </c:tx>
          <c:spPr>
            <a:solidFill>
              <a:srgbClr val="131D2B">
                <a:lumMod val="25000"/>
                <a:lumOff val="75000"/>
              </a:srgbClr>
            </a:solidFill>
          </c:spPr>
          <c:invertIfNegative val="0"/>
          <c:cat>
            <c:strRef>
              <c:f>trh_prace!$J$15:$Q$15</c:f>
              <c:strCache>
                <c:ptCount val="8"/>
                <c:pt idx="0">
                  <c:v>2024Q1</c:v>
                </c:pt>
                <c:pt idx="1">
                  <c:v>2024Q2</c:v>
                </c:pt>
                <c:pt idx="2">
                  <c:v>2024Q3</c:v>
                </c:pt>
                <c:pt idx="3">
                  <c:v>2024Q4</c:v>
                </c:pt>
                <c:pt idx="4">
                  <c:v>2025Q1</c:v>
                </c:pt>
                <c:pt idx="5">
                  <c:v>2025Q2</c:v>
                </c:pt>
                <c:pt idx="6">
                  <c:v>2025Q3</c:v>
                </c:pt>
                <c:pt idx="7">
                  <c:v>2025Q4</c:v>
                </c:pt>
              </c:strCache>
            </c:strRef>
          </c:cat>
          <c:val>
            <c:numRef>
              <c:f>trh_prace!$J$20:$Q$20</c:f>
              <c:numCache>
                <c:formatCode>0.00</c:formatCode>
                <c:ptCount val="8"/>
                <c:pt idx="0">
                  <c:v>2.1356235979836428E-3</c:v>
                </c:pt>
                <c:pt idx="1">
                  <c:v>-2.2209134370210267E-3</c:v>
                </c:pt>
                <c:pt idx="2">
                  <c:v>4.7662127377242403E-2</c:v>
                </c:pt>
                <c:pt idx="3">
                  <c:v>-3.266644148489959E-2</c:v>
                </c:pt>
                <c:pt idx="4">
                  <c:v>-2.8400893846102563E-2</c:v>
                </c:pt>
                <c:pt idx="5">
                  <c:v>-1.6282046261621573E-2</c:v>
                </c:pt>
                <c:pt idx="6">
                  <c:v>7.3180153311804663E-2</c:v>
                </c:pt>
                <c:pt idx="7">
                  <c:v>4.9871056528635299E-2</c:v>
                </c:pt>
              </c:numCache>
            </c:numRef>
          </c:val>
          <c:extLst>
            <c:ext xmlns:c16="http://schemas.microsoft.com/office/drawing/2014/chart" uri="{C3380CC4-5D6E-409C-BE32-E72D297353CC}">
              <c16:uniqueId val="{00000002-5CC3-493D-85C5-753B28EA1F17}"/>
            </c:ext>
          </c:extLst>
        </c:ser>
        <c:ser>
          <c:idx val="2"/>
          <c:order val="4"/>
          <c:tx>
            <c:strRef>
              <c:f>trh_prace!$A$19</c:f>
              <c:strCache>
                <c:ptCount val="1"/>
                <c:pt idx="0">
                  <c:v>Verejný sektor</c:v>
                </c:pt>
              </c:strCache>
            </c:strRef>
          </c:tx>
          <c:spPr>
            <a:solidFill>
              <a:srgbClr val="2E75B6"/>
            </a:solidFill>
          </c:spPr>
          <c:invertIfNegative val="0"/>
          <c:cat>
            <c:strRef>
              <c:f>trh_prace!$J$15:$Q$15</c:f>
              <c:strCache>
                <c:ptCount val="8"/>
                <c:pt idx="0">
                  <c:v>2024Q1</c:v>
                </c:pt>
                <c:pt idx="1">
                  <c:v>2024Q2</c:v>
                </c:pt>
                <c:pt idx="2">
                  <c:v>2024Q3</c:v>
                </c:pt>
                <c:pt idx="3">
                  <c:v>2024Q4</c:v>
                </c:pt>
                <c:pt idx="4">
                  <c:v>2025Q1</c:v>
                </c:pt>
                <c:pt idx="5">
                  <c:v>2025Q2</c:v>
                </c:pt>
                <c:pt idx="6">
                  <c:v>2025Q3</c:v>
                </c:pt>
                <c:pt idx="7">
                  <c:v>2025Q4</c:v>
                </c:pt>
              </c:strCache>
            </c:strRef>
          </c:cat>
          <c:val>
            <c:numRef>
              <c:f>trh_prace!$J$19:$Q$19</c:f>
              <c:numCache>
                <c:formatCode>0.00</c:formatCode>
                <c:ptCount val="8"/>
                <c:pt idx="0">
                  <c:v>4.3246377859168766E-2</c:v>
                </c:pt>
                <c:pt idx="1">
                  <c:v>8.764382470906032E-2</c:v>
                </c:pt>
                <c:pt idx="2">
                  <c:v>0.17068639225683874</c:v>
                </c:pt>
                <c:pt idx="3">
                  <c:v>2.0323957296650371E-2</c:v>
                </c:pt>
                <c:pt idx="4">
                  <c:v>9.3146699672072591E-2</c:v>
                </c:pt>
                <c:pt idx="5">
                  <c:v>3.1492362895898296E-2</c:v>
                </c:pt>
                <c:pt idx="6">
                  <c:v>0.18379461127212976</c:v>
                </c:pt>
                <c:pt idx="7">
                  <c:v>-1.3807275981071182E-2</c:v>
                </c:pt>
              </c:numCache>
            </c:numRef>
          </c:val>
          <c:extLst>
            <c:ext xmlns:c16="http://schemas.microsoft.com/office/drawing/2014/chart" uri="{C3380CC4-5D6E-409C-BE32-E72D297353CC}">
              <c16:uniqueId val="{00000003-5CC3-493D-85C5-753B28EA1F17}"/>
            </c:ext>
          </c:extLst>
        </c:ser>
        <c:ser>
          <c:idx val="3"/>
          <c:order val="5"/>
          <c:tx>
            <c:strRef>
              <c:f>trh_prace!$A$18</c:f>
              <c:strCache>
                <c:ptCount val="1"/>
                <c:pt idx="0">
                  <c:v>Služby</c:v>
                </c:pt>
              </c:strCache>
            </c:strRef>
          </c:tx>
          <c:spPr>
            <a:solidFill>
              <a:srgbClr val="00B0F0"/>
            </a:solidFill>
          </c:spPr>
          <c:invertIfNegative val="0"/>
          <c:cat>
            <c:strRef>
              <c:f>trh_prace!$J$15:$Q$15</c:f>
              <c:strCache>
                <c:ptCount val="8"/>
                <c:pt idx="0">
                  <c:v>2024Q1</c:v>
                </c:pt>
                <c:pt idx="1">
                  <c:v>2024Q2</c:v>
                </c:pt>
                <c:pt idx="2">
                  <c:v>2024Q3</c:v>
                </c:pt>
                <c:pt idx="3">
                  <c:v>2024Q4</c:v>
                </c:pt>
                <c:pt idx="4">
                  <c:v>2025Q1</c:v>
                </c:pt>
                <c:pt idx="5">
                  <c:v>2025Q2</c:v>
                </c:pt>
                <c:pt idx="6">
                  <c:v>2025Q3</c:v>
                </c:pt>
                <c:pt idx="7">
                  <c:v>2025Q4</c:v>
                </c:pt>
              </c:strCache>
            </c:strRef>
          </c:cat>
          <c:val>
            <c:numRef>
              <c:f>trh_prace!$J$18:$Q$18</c:f>
              <c:numCache>
                <c:formatCode>0.00</c:formatCode>
                <c:ptCount val="8"/>
                <c:pt idx="0">
                  <c:v>-3.1541517754835338E-2</c:v>
                </c:pt>
                <c:pt idx="1">
                  <c:v>-8.377779020758136E-2</c:v>
                </c:pt>
                <c:pt idx="2">
                  <c:v>5.0008190641924057E-2</c:v>
                </c:pt>
                <c:pt idx="3">
                  <c:v>-1.431728165836909E-2</c:v>
                </c:pt>
                <c:pt idx="4">
                  <c:v>-0.20901411442102724</c:v>
                </c:pt>
                <c:pt idx="5">
                  <c:v>0.20132028846015126</c:v>
                </c:pt>
                <c:pt idx="6">
                  <c:v>-0.16324486647607703</c:v>
                </c:pt>
                <c:pt idx="7">
                  <c:v>-1.4549159466618748E-2</c:v>
                </c:pt>
              </c:numCache>
            </c:numRef>
          </c:val>
          <c:extLst>
            <c:ext xmlns:c16="http://schemas.microsoft.com/office/drawing/2014/chart" uri="{C3380CC4-5D6E-409C-BE32-E72D297353CC}">
              <c16:uniqueId val="{00000004-5CC3-493D-85C5-753B28EA1F17}"/>
            </c:ext>
          </c:extLst>
        </c:ser>
        <c:dLbls>
          <c:showLegendKey val="0"/>
          <c:showVal val="0"/>
          <c:showCatName val="0"/>
          <c:showSerName val="0"/>
          <c:showPercent val="0"/>
          <c:showBubbleSize val="0"/>
        </c:dLbls>
        <c:gapWidth val="150"/>
        <c:overlap val="100"/>
        <c:axId val="493185248"/>
        <c:axId val="493185640"/>
      </c:barChart>
      <c:lineChart>
        <c:grouping val="standard"/>
        <c:varyColors val="0"/>
        <c:ser>
          <c:idx val="5"/>
          <c:order val="0"/>
          <c:tx>
            <c:strRef>
              <c:f>trh_prace!$A$21</c:f>
              <c:strCache>
                <c:ptCount val="1"/>
                <c:pt idx="0">
                  <c:v>Hospodárstvo spolu</c:v>
                </c:pt>
              </c:strCache>
            </c:strRef>
          </c:tx>
          <c:spPr>
            <a:ln>
              <a:solidFill>
                <a:srgbClr val="686767">
                  <a:lumMod val="50000"/>
                </a:srgbClr>
              </a:solidFill>
            </a:ln>
          </c:spPr>
          <c:marker>
            <c:symbol val="none"/>
          </c:marker>
          <c:cat>
            <c:strRef>
              <c:f>trh_prace!$J$15:$Q$15</c:f>
              <c:strCache>
                <c:ptCount val="8"/>
                <c:pt idx="0">
                  <c:v>2024Q1</c:v>
                </c:pt>
                <c:pt idx="1">
                  <c:v>2024Q2</c:v>
                </c:pt>
                <c:pt idx="2">
                  <c:v>2024Q3</c:v>
                </c:pt>
                <c:pt idx="3">
                  <c:v>2024Q4</c:v>
                </c:pt>
                <c:pt idx="4">
                  <c:v>2025Q1</c:v>
                </c:pt>
                <c:pt idx="5">
                  <c:v>2025Q2</c:v>
                </c:pt>
                <c:pt idx="6">
                  <c:v>2025Q3</c:v>
                </c:pt>
                <c:pt idx="7">
                  <c:v>2025Q4</c:v>
                </c:pt>
              </c:strCache>
            </c:strRef>
          </c:cat>
          <c:val>
            <c:numRef>
              <c:f>trh_prace!$J$21:$Q$21</c:f>
              <c:numCache>
                <c:formatCode>0.00</c:formatCode>
                <c:ptCount val="8"/>
                <c:pt idx="0">
                  <c:v>-0.14185469052758748</c:v>
                </c:pt>
                <c:pt idx="1">
                  <c:v>-7.5264288699006254E-2</c:v>
                </c:pt>
                <c:pt idx="2">
                  <c:v>4.2270297768909337E-2</c:v>
                </c:pt>
                <c:pt idx="3">
                  <c:v>-4.6407740547838028E-2</c:v>
                </c:pt>
                <c:pt idx="4">
                  <c:v>-0.1447210764679685</c:v>
                </c:pt>
                <c:pt idx="5">
                  <c:v>9.3529020171212451E-2</c:v>
                </c:pt>
                <c:pt idx="6">
                  <c:v>-8.2240161037516746E-2</c:v>
                </c:pt>
                <c:pt idx="7">
                  <c:v>6.0710798567509272E-2</c:v>
                </c:pt>
              </c:numCache>
            </c:numRef>
          </c:val>
          <c:smooth val="0"/>
          <c:extLst>
            <c:ext xmlns:c16="http://schemas.microsoft.com/office/drawing/2014/chart" uri="{C3380CC4-5D6E-409C-BE32-E72D297353CC}">
              <c16:uniqueId val="{00000005-5CC3-493D-85C5-753B28EA1F17}"/>
            </c:ext>
          </c:extLst>
        </c:ser>
        <c:dLbls>
          <c:showLegendKey val="0"/>
          <c:showVal val="0"/>
          <c:showCatName val="0"/>
          <c:showSerName val="0"/>
          <c:showPercent val="0"/>
          <c:showBubbleSize val="0"/>
        </c:dLbls>
        <c:marker val="1"/>
        <c:smooth val="0"/>
        <c:axId val="493185248"/>
        <c:axId val="493185640"/>
      </c:lineChart>
      <c:catAx>
        <c:axId val="493185248"/>
        <c:scaling>
          <c:orientation val="minMax"/>
        </c:scaling>
        <c:delete val="0"/>
        <c:axPos val="b"/>
        <c:numFmt formatCode="General" sourceLinked="1"/>
        <c:majorTickMark val="out"/>
        <c:minorTickMark val="none"/>
        <c:tickLblPos val="low"/>
        <c:txPr>
          <a:bodyPr rot="-5400000" vert="horz"/>
          <a:lstStyle/>
          <a:p>
            <a:pPr>
              <a:defRPr/>
            </a:pPr>
            <a:endParaRPr lang="sk-SK"/>
          </a:p>
        </c:txPr>
        <c:crossAx val="493185640"/>
        <c:crosses val="autoZero"/>
        <c:auto val="1"/>
        <c:lblAlgn val="ctr"/>
        <c:lblOffset val="100"/>
        <c:noMultiLvlLbl val="0"/>
      </c:catAx>
      <c:valAx>
        <c:axId val="493185640"/>
        <c:scaling>
          <c:orientation val="minMax"/>
        </c:scaling>
        <c:delete val="0"/>
        <c:axPos val="l"/>
        <c:majorGridlines>
          <c:spPr>
            <a:ln>
              <a:solidFill>
                <a:schemeClr val="bg1">
                  <a:lumMod val="75000"/>
                </a:schemeClr>
              </a:solidFill>
              <a:prstDash val="dash"/>
            </a:ln>
          </c:spPr>
        </c:majorGridlines>
        <c:numFmt formatCode="#,##0.0" sourceLinked="0"/>
        <c:majorTickMark val="out"/>
        <c:minorTickMark val="none"/>
        <c:tickLblPos val="nextTo"/>
        <c:crossAx val="493185248"/>
        <c:crosses val="autoZero"/>
        <c:crossBetween val="between"/>
      </c:valAx>
    </c:plotArea>
    <c:legend>
      <c:legendPos val="r"/>
      <c:layout>
        <c:manualLayout>
          <c:xMode val="edge"/>
          <c:yMode val="edge"/>
          <c:x val="4.3423572460608545E-2"/>
          <c:y val="9.1737913948875208E-3"/>
          <c:w val="0.92457658997836978"/>
          <c:h val="0.21981693204154501"/>
        </c:manualLayout>
      </c:layout>
      <c:overlay val="0"/>
    </c:legend>
    <c:plotVisOnly val="1"/>
    <c:dispBlanksAs val="gap"/>
    <c:showDLblsOverMax val="0"/>
  </c:chart>
  <c:spPr>
    <a:ln>
      <a:noFill/>
    </a:ln>
  </c:spPr>
  <c:txPr>
    <a:bodyPr/>
    <a:lstStyle/>
    <a:p>
      <a:pPr>
        <a:defRPr sz="800">
          <a:latin typeface="Arial Narrow" panose="020B0606020202030204" pitchFamily="34" charset="0"/>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515773876186696E-2"/>
          <c:y val="8.4437627114792468E-2"/>
          <c:w val="0.91819511922711794"/>
          <c:h val="0.72658193006773042"/>
        </c:manualLayout>
      </c:layout>
      <c:lineChart>
        <c:grouping val="standard"/>
        <c:varyColors val="0"/>
        <c:ser>
          <c:idx val="3"/>
          <c:order val="0"/>
          <c:tx>
            <c:strRef>
              <c:f>trh_prace!$A$9</c:f>
              <c:strCache>
                <c:ptCount val="1"/>
                <c:pt idx="0">
                  <c:v>Rast nominálnej mzdy (YoY)</c:v>
                </c:pt>
              </c:strCache>
            </c:strRef>
          </c:tx>
          <c:spPr>
            <a:ln w="19050">
              <a:solidFill>
                <a:srgbClr val="2C9ADC"/>
              </a:solidFill>
            </a:ln>
          </c:spPr>
          <c:marker>
            <c:symbol val="none"/>
          </c:marker>
          <c:cat>
            <c:strRef>
              <c:f>trh_prace!$C$7:$V$7</c:f>
              <c:strCache>
                <c:ptCount val="20"/>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strCache>
            </c:strRef>
          </c:cat>
          <c:val>
            <c:numRef>
              <c:f>trh_prace!$C$9:$V$9</c:f>
              <c:numCache>
                <c:formatCode>0.0</c:formatCode>
                <c:ptCount val="20"/>
                <c:pt idx="0">
                  <c:v>3.4990791896869267</c:v>
                </c:pt>
                <c:pt idx="1">
                  <c:v>10.477941176470583</c:v>
                </c:pt>
                <c:pt idx="2">
                  <c:v>6.4690026954177915</c:v>
                </c:pt>
                <c:pt idx="3">
                  <c:v>6.9076305220883594</c:v>
                </c:pt>
                <c:pt idx="4">
                  <c:v>7.8291814946619187</c:v>
                </c:pt>
                <c:pt idx="5">
                  <c:v>7.4043261231281132</c:v>
                </c:pt>
                <c:pt idx="6">
                  <c:v>9.3670886075949422</c:v>
                </c:pt>
                <c:pt idx="7">
                  <c:v>6.536438767843733</c:v>
                </c:pt>
                <c:pt idx="8">
                  <c:v>9.4884488448844895</c:v>
                </c:pt>
                <c:pt idx="9">
                  <c:v>9.9147947327653085</c:v>
                </c:pt>
                <c:pt idx="10">
                  <c:v>8.2561728395061706</c:v>
                </c:pt>
                <c:pt idx="11">
                  <c:v>10.648801128349783</c:v>
                </c:pt>
                <c:pt idx="12">
                  <c:v>9.042954031650341</c:v>
                </c:pt>
                <c:pt idx="13">
                  <c:v>7.1176885130373568</c:v>
                </c:pt>
                <c:pt idx="14">
                  <c:v>5.7733428367783279</c:v>
                </c:pt>
                <c:pt idx="15">
                  <c:v>4.716379859783304</c:v>
                </c:pt>
                <c:pt idx="16">
                  <c:v>4.9000000000000004</c:v>
                </c:pt>
                <c:pt idx="17">
                  <c:v>8.8000000000000007</c:v>
                </c:pt>
                <c:pt idx="18">
                  <c:v>5.7</c:v>
                </c:pt>
                <c:pt idx="19">
                  <c:v>5.8</c:v>
                </c:pt>
              </c:numCache>
            </c:numRef>
          </c:val>
          <c:smooth val="0"/>
          <c:extLst>
            <c:ext xmlns:c16="http://schemas.microsoft.com/office/drawing/2014/chart" uri="{C3380CC4-5D6E-409C-BE32-E72D297353CC}">
              <c16:uniqueId val="{00000000-E80B-4E22-9A5F-11A7D324C582}"/>
            </c:ext>
          </c:extLst>
        </c:ser>
        <c:ser>
          <c:idx val="5"/>
          <c:order val="1"/>
          <c:tx>
            <c:strRef>
              <c:f>trh_prace!$A$8</c:f>
              <c:strCache>
                <c:ptCount val="1"/>
                <c:pt idx="0">
                  <c:v>Rast reálnej mzdy (YoY)</c:v>
                </c:pt>
              </c:strCache>
            </c:strRef>
          </c:tx>
          <c:spPr>
            <a:ln w="19050">
              <a:solidFill>
                <a:sysClr val="windowText" lastClr="000000"/>
              </a:solidFill>
            </a:ln>
          </c:spPr>
          <c:marker>
            <c:symbol val="none"/>
          </c:marker>
          <c:cat>
            <c:strRef>
              <c:f>trh_prace!$C$7:$V$7</c:f>
              <c:strCache>
                <c:ptCount val="20"/>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strCache>
            </c:strRef>
          </c:cat>
          <c:val>
            <c:numRef>
              <c:f>trh_prace!$C$8:$V$8</c:f>
              <c:numCache>
                <c:formatCode>0.00</c:formatCode>
                <c:ptCount val="20"/>
                <c:pt idx="0">
                  <c:v>2.4743358313731978</c:v>
                </c:pt>
                <c:pt idx="1">
                  <c:v>8.0645006616927759</c:v>
                </c:pt>
                <c:pt idx="2">
                  <c:v>2.4725723728756588</c:v>
                </c:pt>
                <c:pt idx="3">
                  <c:v>1.3342469403681223</c:v>
                </c:pt>
                <c:pt idx="4">
                  <c:v>-1.3155752031770107</c:v>
                </c:pt>
                <c:pt idx="5">
                  <c:v>-4.5577670706799855</c:v>
                </c:pt>
                <c:pt idx="6">
                  <c:v>-4.0078215849078891</c:v>
                </c:pt>
                <c:pt idx="7">
                  <c:v>-7.5472038462449653</c:v>
                </c:pt>
                <c:pt idx="8">
                  <c:v>-4.9029106732329293</c:v>
                </c:pt>
                <c:pt idx="9">
                  <c:v>-2.0076124224974845</c:v>
                </c:pt>
                <c:pt idx="10">
                  <c:v>-0.62162836030644764</c:v>
                </c:pt>
                <c:pt idx="11">
                  <c:v>3.9932341431858864</c:v>
                </c:pt>
                <c:pt idx="12" formatCode="0.0">
                  <c:v>5.6617771624518864</c:v>
                </c:pt>
                <c:pt idx="13" formatCode="0.0">
                  <c:v>4.8802433221645014</c:v>
                </c:pt>
                <c:pt idx="14" formatCode="0.0">
                  <c:v>3.0259832825763056</c:v>
                </c:pt>
                <c:pt idx="15" formatCode="0.0">
                  <c:v>1.6006272895698448</c:v>
                </c:pt>
                <c:pt idx="16" formatCode="0.0">
                  <c:v>0.96246390760346134</c:v>
                </c:pt>
                <c:pt idx="17" formatCode="0.0">
                  <c:v>4.5485965877820611</c:v>
                </c:pt>
                <c:pt idx="18" formatCode="0.0">
                  <c:v>1.3422818791946289</c:v>
                </c:pt>
                <c:pt idx="19" formatCode="0.0">
                  <c:v>1.9922879177378006</c:v>
                </c:pt>
              </c:numCache>
            </c:numRef>
          </c:val>
          <c:smooth val="0"/>
          <c:extLst>
            <c:ext xmlns:c16="http://schemas.microsoft.com/office/drawing/2014/chart" uri="{C3380CC4-5D6E-409C-BE32-E72D297353CC}">
              <c16:uniqueId val="{00000001-E80B-4E22-9A5F-11A7D324C582}"/>
            </c:ext>
          </c:extLst>
        </c:ser>
        <c:dLbls>
          <c:showLegendKey val="0"/>
          <c:showVal val="0"/>
          <c:showCatName val="0"/>
          <c:showSerName val="0"/>
          <c:showPercent val="0"/>
          <c:showBubbleSize val="0"/>
        </c:dLbls>
        <c:smooth val="0"/>
        <c:axId val="491237056"/>
        <c:axId val="493184464"/>
      </c:lineChart>
      <c:catAx>
        <c:axId val="491237056"/>
        <c:scaling>
          <c:orientation val="minMax"/>
        </c:scaling>
        <c:delete val="0"/>
        <c:axPos val="b"/>
        <c:numFmt formatCode="General" sourceLinked="0"/>
        <c:majorTickMark val="out"/>
        <c:minorTickMark val="none"/>
        <c:tickLblPos val="low"/>
        <c:txPr>
          <a:bodyPr rot="-5400000" vert="horz"/>
          <a:lstStyle/>
          <a:p>
            <a:pPr>
              <a:defRPr/>
            </a:pPr>
            <a:endParaRPr lang="sk-SK"/>
          </a:p>
        </c:txPr>
        <c:crossAx val="493184464"/>
        <c:crosses val="autoZero"/>
        <c:auto val="1"/>
        <c:lblAlgn val="ctr"/>
        <c:lblOffset val="100"/>
        <c:noMultiLvlLbl val="0"/>
      </c:catAx>
      <c:valAx>
        <c:axId val="493184464"/>
        <c:scaling>
          <c:orientation val="minMax"/>
        </c:scaling>
        <c:delete val="0"/>
        <c:axPos val="l"/>
        <c:majorGridlines>
          <c:spPr>
            <a:ln>
              <a:solidFill>
                <a:schemeClr val="bg1">
                  <a:lumMod val="75000"/>
                </a:schemeClr>
              </a:solidFill>
              <a:prstDash val="sysDash"/>
            </a:ln>
          </c:spPr>
        </c:majorGridlines>
        <c:numFmt formatCode="#,##0.0" sourceLinked="0"/>
        <c:majorTickMark val="out"/>
        <c:minorTickMark val="none"/>
        <c:tickLblPos val="nextTo"/>
        <c:txPr>
          <a:bodyPr rot="0" vert="horz"/>
          <a:lstStyle/>
          <a:p>
            <a:pPr>
              <a:defRPr/>
            </a:pPr>
            <a:endParaRPr lang="sk-SK"/>
          </a:p>
        </c:txPr>
        <c:crossAx val="491237056"/>
        <c:crosses val="autoZero"/>
        <c:crossBetween val="between"/>
      </c:valAx>
    </c:plotArea>
    <c:legend>
      <c:legendPos val="l"/>
      <c:layout>
        <c:manualLayout>
          <c:xMode val="edge"/>
          <c:yMode val="edge"/>
          <c:x val="0.11629213483146066"/>
          <c:y val="7.4298465500801159E-2"/>
          <c:w val="0.84091598100799203"/>
          <c:h val="0.10888593471270637"/>
        </c:manualLayout>
      </c:layout>
      <c:overlay val="1"/>
    </c:legend>
    <c:plotVisOnly val="1"/>
    <c:dispBlanksAs val="gap"/>
    <c:showDLblsOverMax val="0"/>
  </c:chart>
  <c:spPr>
    <a:ln>
      <a:noFill/>
    </a:ln>
  </c:spPr>
  <c:txPr>
    <a:bodyPr/>
    <a:lstStyle/>
    <a:p>
      <a:pPr>
        <a:defRPr sz="800" b="0" i="0" u="none" strike="noStrike" baseline="0">
          <a:solidFill>
            <a:srgbClr val="000000"/>
          </a:solidFill>
          <a:latin typeface="Arial Narrow" panose="020B0606020202030204" pitchFamily="34" charset="0"/>
          <a:ea typeface="Calibri"/>
          <a:cs typeface="Calibri"/>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inflacia!$A$3</c:f>
              <c:strCache>
                <c:ptCount val="1"/>
                <c:pt idx="0">
                  <c:v>CPI</c:v>
                </c:pt>
              </c:strCache>
            </c:strRef>
          </c:tx>
          <c:spPr>
            <a:ln w="28575" cap="rnd">
              <a:solidFill>
                <a:schemeClr val="tx1"/>
              </a:solidFill>
              <a:round/>
            </a:ln>
            <a:effectLst/>
          </c:spPr>
          <c:marker>
            <c:symbol val="none"/>
          </c:marker>
          <c:cat>
            <c:numRef>
              <c:f>inflacia!$Z$2:$AW$2</c:f>
              <c:numCache>
                <c:formatCode>mmm\-yy</c:formatCode>
                <c:ptCount val="2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numCache>
            </c:numRef>
          </c:cat>
          <c:val>
            <c:numRef>
              <c:f>inflacia!$Z$3:$AW$3</c:f>
              <c:numCache>
                <c:formatCode>0.0</c:formatCode>
                <c:ptCount val="24"/>
                <c:pt idx="0">
                  <c:v>3.9000000000000057</c:v>
                </c:pt>
                <c:pt idx="1">
                  <c:v>3.4000000000000057</c:v>
                </c:pt>
                <c:pt idx="2">
                  <c:v>2.2999999999999972</c:v>
                </c:pt>
                <c:pt idx="3">
                  <c:v>2.0999999999999943</c:v>
                </c:pt>
                <c:pt idx="4">
                  <c:v>2.2000000000000028</c:v>
                </c:pt>
                <c:pt idx="5">
                  <c:v>2.0999999999999943</c:v>
                </c:pt>
                <c:pt idx="6">
                  <c:v>2.5999999999999943</c:v>
                </c:pt>
                <c:pt idx="7">
                  <c:v>2.7999999999999972</c:v>
                </c:pt>
                <c:pt idx="8">
                  <c:v>2.5999999999999943</c:v>
                </c:pt>
                <c:pt idx="9">
                  <c:v>3.0999999999999943</c:v>
                </c:pt>
                <c:pt idx="10">
                  <c:v>3.2000000000000028</c:v>
                </c:pt>
                <c:pt idx="11">
                  <c:v>2.9000000000000057</c:v>
                </c:pt>
                <c:pt idx="12">
                  <c:v>3.9000000000000057</c:v>
                </c:pt>
                <c:pt idx="13">
                  <c:v>3.7999999999999972</c:v>
                </c:pt>
                <c:pt idx="14">
                  <c:v>4</c:v>
                </c:pt>
                <c:pt idx="15">
                  <c:v>3.7000000000000028</c:v>
                </c:pt>
                <c:pt idx="16">
                  <c:v>4.0999999999999943</c:v>
                </c:pt>
                <c:pt idx="17">
                  <c:v>4.2999999999999972</c:v>
                </c:pt>
                <c:pt idx="18">
                  <c:v>4.4000000000000057</c:v>
                </c:pt>
                <c:pt idx="19">
                  <c:v>4.2000000000000028</c:v>
                </c:pt>
                <c:pt idx="20">
                  <c:v>4.2999999999999972</c:v>
                </c:pt>
                <c:pt idx="21">
                  <c:v>3.7000000000000028</c:v>
                </c:pt>
                <c:pt idx="22">
                  <c:v>3.7000000000000028</c:v>
                </c:pt>
                <c:pt idx="23">
                  <c:v>3.7999999999999972</c:v>
                </c:pt>
              </c:numCache>
            </c:numRef>
          </c:val>
          <c:smooth val="0"/>
          <c:extLst>
            <c:ext xmlns:c16="http://schemas.microsoft.com/office/drawing/2014/chart" uri="{C3380CC4-5D6E-409C-BE32-E72D297353CC}">
              <c16:uniqueId val="{00000000-6A2B-42CE-8C32-CC769D302375}"/>
            </c:ext>
          </c:extLst>
        </c:ser>
        <c:ser>
          <c:idx val="1"/>
          <c:order val="1"/>
          <c:tx>
            <c:strRef>
              <c:f>inflacia!$A$4</c:f>
              <c:strCache>
                <c:ptCount val="1"/>
                <c:pt idx="0">
                  <c:v>Potraviny</c:v>
                </c:pt>
              </c:strCache>
            </c:strRef>
          </c:tx>
          <c:spPr>
            <a:ln w="19050" cap="rnd">
              <a:solidFill>
                <a:srgbClr val="2EAAE1"/>
              </a:solidFill>
              <a:round/>
            </a:ln>
            <a:effectLst/>
          </c:spPr>
          <c:marker>
            <c:symbol val="none"/>
          </c:marker>
          <c:cat>
            <c:numRef>
              <c:f>inflacia!$Z$2:$AW$2</c:f>
              <c:numCache>
                <c:formatCode>mmm\-yy</c:formatCode>
                <c:ptCount val="2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numCache>
            </c:numRef>
          </c:cat>
          <c:val>
            <c:numRef>
              <c:f>inflacia!$Z$4:$AW$4</c:f>
              <c:numCache>
                <c:formatCode>0.0</c:formatCode>
                <c:ptCount val="24"/>
                <c:pt idx="0">
                  <c:v>5.4588415866221709</c:v>
                </c:pt>
                <c:pt idx="1">
                  <c:v>4.4501524561864301</c:v>
                </c:pt>
                <c:pt idx="2">
                  <c:v>1.8943291980135513</c:v>
                </c:pt>
                <c:pt idx="3">
                  <c:v>1.5494138424115675</c:v>
                </c:pt>
                <c:pt idx="4">
                  <c:v>1.8827163373314164</c:v>
                </c:pt>
                <c:pt idx="5">
                  <c:v>1.6560934309250968</c:v>
                </c:pt>
                <c:pt idx="6">
                  <c:v>2.1953692022893989</c:v>
                </c:pt>
                <c:pt idx="7">
                  <c:v>3.7154947665898987</c:v>
                </c:pt>
                <c:pt idx="8">
                  <c:v>3.7093242992013273</c:v>
                </c:pt>
                <c:pt idx="9">
                  <c:v>5.1760219266854648</c:v>
                </c:pt>
                <c:pt idx="10">
                  <c:v>4.904644143141951</c:v>
                </c:pt>
                <c:pt idx="11">
                  <c:v>2.7825342225800114</c:v>
                </c:pt>
                <c:pt idx="12">
                  <c:v>3.4413211528443242</c:v>
                </c:pt>
                <c:pt idx="13">
                  <c:v>3.2535512343431208</c:v>
                </c:pt>
                <c:pt idx="14">
                  <c:v>3.7373205228186919</c:v>
                </c:pt>
                <c:pt idx="15">
                  <c:v>3.7208265159429459</c:v>
                </c:pt>
                <c:pt idx="16">
                  <c:v>4.2692534680845569</c:v>
                </c:pt>
                <c:pt idx="17">
                  <c:v>4.6001302799550672</c:v>
                </c:pt>
                <c:pt idx="18">
                  <c:v>5.0173136975925701</c:v>
                </c:pt>
                <c:pt idx="19">
                  <c:v>4.3906568961392054</c:v>
                </c:pt>
                <c:pt idx="20">
                  <c:v>4.0257319915281329</c:v>
                </c:pt>
                <c:pt idx="21">
                  <c:v>2.3373208170535378</c:v>
                </c:pt>
                <c:pt idx="22">
                  <c:v>1.7936856224322781</c:v>
                </c:pt>
                <c:pt idx="23">
                  <c:v>3.3029321896125765</c:v>
                </c:pt>
              </c:numCache>
            </c:numRef>
          </c:val>
          <c:smooth val="0"/>
          <c:extLst>
            <c:ext xmlns:c16="http://schemas.microsoft.com/office/drawing/2014/chart" uri="{C3380CC4-5D6E-409C-BE32-E72D297353CC}">
              <c16:uniqueId val="{00000001-6A2B-42CE-8C32-CC769D302375}"/>
            </c:ext>
          </c:extLst>
        </c:ser>
        <c:ser>
          <c:idx val="2"/>
          <c:order val="2"/>
          <c:tx>
            <c:strRef>
              <c:f>inflacia!$A$5</c:f>
              <c:strCache>
                <c:ptCount val="1"/>
                <c:pt idx="0">
                  <c:v>Energie</c:v>
                </c:pt>
              </c:strCache>
            </c:strRef>
          </c:tx>
          <c:spPr>
            <a:ln w="19050" cap="rnd">
              <a:solidFill>
                <a:srgbClr val="1AA380"/>
              </a:solidFill>
              <a:round/>
            </a:ln>
            <a:effectLst/>
          </c:spPr>
          <c:marker>
            <c:symbol val="none"/>
          </c:marker>
          <c:cat>
            <c:numRef>
              <c:f>inflacia!$Z$2:$AW$2</c:f>
              <c:numCache>
                <c:formatCode>mmm\-yy</c:formatCode>
                <c:ptCount val="2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numCache>
            </c:numRef>
          </c:cat>
          <c:val>
            <c:numRef>
              <c:f>inflacia!$Z$5:$AW$5</c:f>
              <c:numCache>
                <c:formatCode>0.0</c:formatCode>
                <c:ptCount val="24"/>
                <c:pt idx="0">
                  <c:v>-1.197090835711478</c:v>
                </c:pt>
                <c:pt idx="1">
                  <c:v>-1.4929079290177185</c:v>
                </c:pt>
                <c:pt idx="2">
                  <c:v>-1.0996660445028255</c:v>
                </c:pt>
                <c:pt idx="3">
                  <c:v>-0.90146898246776175</c:v>
                </c:pt>
                <c:pt idx="4">
                  <c:v>-0.80227125372148578</c:v>
                </c:pt>
                <c:pt idx="5">
                  <c:v>-0.4038868009251928</c:v>
                </c:pt>
                <c:pt idx="6">
                  <c:v>-0.30419099191711041</c:v>
                </c:pt>
                <c:pt idx="7">
                  <c:v>-0.10439979150011425</c:v>
                </c:pt>
                <c:pt idx="8">
                  <c:v>-0.20419559590419567</c:v>
                </c:pt>
                <c:pt idx="9">
                  <c:v>-0.40358781249577191</c:v>
                </c:pt>
                <c:pt idx="10">
                  <c:v>-0.30389170419998379</c:v>
                </c:pt>
                <c:pt idx="11">
                  <c:v>-0.10449948760839334</c:v>
                </c:pt>
                <c:pt idx="12">
                  <c:v>1.6056953852120017</c:v>
                </c:pt>
                <c:pt idx="13">
                  <c:v>1.6056953852120301</c:v>
                </c:pt>
                <c:pt idx="14">
                  <c:v>0.99969720200002143</c:v>
                </c:pt>
                <c:pt idx="15">
                  <c:v>0.89869750479803656</c:v>
                </c:pt>
                <c:pt idx="16">
                  <c:v>0.89869750479803656</c:v>
                </c:pt>
                <c:pt idx="17">
                  <c:v>0.89869750479803656</c:v>
                </c:pt>
                <c:pt idx="18">
                  <c:v>0.99959620230281132</c:v>
                </c:pt>
                <c:pt idx="19">
                  <c:v>0.99959620230281132</c:v>
                </c:pt>
                <c:pt idx="20">
                  <c:v>1.1005957985050969</c:v>
                </c:pt>
                <c:pt idx="21">
                  <c:v>1.2017975961012013</c:v>
                </c:pt>
                <c:pt idx="22">
                  <c:v>1.3029993936972915</c:v>
                </c:pt>
                <c:pt idx="23">
                  <c:v>1.1007977981010839</c:v>
                </c:pt>
              </c:numCache>
            </c:numRef>
          </c:val>
          <c:smooth val="0"/>
          <c:extLst>
            <c:ext xmlns:c16="http://schemas.microsoft.com/office/drawing/2014/chart" uri="{C3380CC4-5D6E-409C-BE32-E72D297353CC}">
              <c16:uniqueId val="{00000002-6A2B-42CE-8C32-CC769D302375}"/>
            </c:ext>
          </c:extLst>
        </c:ser>
        <c:ser>
          <c:idx val="3"/>
          <c:order val="3"/>
          <c:tx>
            <c:strRef>
              <c:f>inflacia!$A$6</c:f>
              <c:strCache>
                <c:ptCount val="1"/>
                <c:pt idx="0">
                  <c:v>Poh. hmoty</c:v>
                </c:pt>
              </c:strCache>
            </c:strRef>
          </c:tx>
          <c:spPr>
            <a:ln w="19050" cap="rnd">
              <a:solidFill>
                <a:srgbClr val="F2CA6D"/>
              </a:solidFill>
              <a:round/>
            </a:ln>
            <a:effectLst/>
          </c:spPr>
          <c:marker>
            <c:symbol val="none"/>
          </c:marker>
          <c:cat>
            <c:numRef>
              <c:f>inflacia!$Z$2:$AW$2</c:f>
              <c:numCache>
                <c:formatCode>mmm\-yy</c:formatCode>
                <c:ptCount val="2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numCache>
            </c:numRef>
          </c:cat>
          <c:val>
            <c:numRef>
              <c:f>inflacia!$Z$6:$AW$6</c:f>
              <c:numCache>
                <c:formatCode>0.0</c:formatCode>
                <c:ptCount val="24"/>
                <c:pt idx="0">
                  <c:v>-0.36295455153127421</c:v>
                </c:pt>
                <c:pt idx="1">
                  <c:v>2.2796782845283019</c:v>
                </c:pt>
                <c:pt idx="2">
                  <c:v>5.1091365977273426</c:v>
                </c:pt>
                <c:pt idx="3">
                  <c:v>5.7310841515600544</c:v>
                </c:pt>
                <c:pt idx="4">
                  <c:v>5.1883167791187788</c:v>
                </c:pt>
                <c:pt idx="5">
                  <c:v>1.7717671199544753</c:v>
                </c:pt>
                <c:pt idx="6">
                  <c:v>1.3699042685430385</c:v>
                </c:pt>
                <c:pt idx="7">
                  <c:v>-8.2663774047015011</c:v>
                </c:pt>
                <c:pt idx="8">
                  <c:v>-13.342546243967035</c:v>
                </c:pt>
                <c:pt idx="9">
                  <c:v>-9.3913255545727736</c:v>
                </c:pt>
                <c:pt idx="10">
                  <c:v>-6.1353670272730483</c:v>
                </c:pt>
                <c:pt idx="11">
                  <c:v>-1.3343576163506583</c:v>
                </c:pt>
                <c:pt idx="12">
                  <c:v>2.1859229840570151</c:v>
                </c:pt>
                <c:pt idx="13">
                  <c:v>-2.1166421942190681</c:v>
                </c:pt>
                <c:pt idx="14">
                  <c:v>-6.1178562221722075</c:v>
                </c:pt>
                <c:pt idx="15">
                  <c:v>-9.2472610147664653</c:v>
                </c:pt>
                <c:pt idx="16">
                  <c:v>-7.936075931388487</c:v>
                </c:pt>
                <c:pt idx="17">
                  <c:v>-4.9390814550959448</c:v>
                </c:pt>
                <c:pt idx="18">
                  <c:v>-5.5985724658138167</c:v>
                </c:pt>
                <c:pt idx="19">
                  <c:v>-2.8763891795550904</c:v>
                </c:pt>
                <c:pt idx="20">
                  <c:v>2.9144537250111568</c:v>
                </c:pt>
                <c:pt idx="21">
                  <c:v>0.67053104716154621</c:v>
                </c:pt>
                <c:pt idx="22">
                  <c:v>1.5684842477804182</c:v>
                </c:pt>
                <c:pt idx="23">
                  <c:v>-2.970325872527539</c:v>
                </c:pt>
              </c:numCache>
            </c:numRef>
          </c:val>
          <c:smooth val="0"/>
          <c:extLst>
            <c:ext xmlns:c16="http://schemas.microsoft.com/office/drawing/2014/chart" uri="{C3380CC4-5D6E-409C-BE32-E72D297353CC}">
              <c16:uniqueId val="{00000003-6A2B-42CE-8C32-CC769D302375}"/>
            </c:ext>
          </c:extLst>
        </c:ser>
        <c:ser>
          <c:idx val="4"/>
          <c:order val="4"/>
          <c:tx>
            <c:strRef>
              <c:f>inflacia!$A$7</c:f>
              <c:strCache>
                <c:ptCount val="1"/>
                <c:pt idx="0">
                  <c:v>Tovary</c:v>
                </c:pt>
              </c:strCache>
            </c:strRef>
          </c:tx>
          <c:spPr>
            <a:ln w="19050" cap="rnd">
              <a:solidFill>
                <a:srgbClr val="E85477"/>
              </a:solidFill>
              <a:round/>
            </a:ln>
            <a:effectLst/>
          </c:spPr>
          <c:marker>
            <c:symbol val="none"/>
          </c:marker>
          <c:cat>
            <c:numRef>
              <c:f>inflacia!$Z$2:$AW$2</c:f>
              <c:numCache>
                <c:formatCode>mmm\-yy</c:formatCode>
                <c:ptCount val="2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numCache>
            </c:numRef>
          </c:cat>
          <c:val>
            <c:numRef>
              <c:f>inflacia!$Z$7:$AW$7</c:f>
              <c:numCache>
                <c:formatCode>0.0</c:formatCode>
                <c:ptCount val="24"/>
                <c:pt idx="0">
                  <c:v>4.8472136218150013</c:v>
                </c:pt>
                <c:pt idx="1">
                  <c:v>4.2827702455048495</c:v>
                </c:pt>
                <c:pt idx="2">
                  <c:v>3.4718782906667514</c:v>
                </c:pt>
                <c:pt idx="3">
                  <c:v>2.895525383169101</c:v>
                </c:pt>
                <c:pt idx="4">
                  <c:v>2.2250022144909138</c:v>
                </c:pt>
                <c:pt idx="5">
                  <c:v>2.0396755622080747</c:v>
                </c:pt>
                <c:pt idx="6">
                  <c:v>2.0571355967184672</c:v>
                </c:pt>
                <c:pt idx="7">
                  <c:v>2.0591762886481604</c:v>
                </c:pt>
                <c:pt idx="8">
                  <c:v>1.9012525405850624</c:v>
                </c:pt>
                <c:pt idx="9">
                  <c:v>1.9699806526514152</c:v>
                </c:pt>
                <c:pt idx="10">
                  <c:v>1.8087366844331996</c:v>
                </c:pt>
                <c:pt idx="11">
                  <c:v>2.3266071603732712</c:v>
                </c:pt>
                <c:pt idx="12">
                  <c:v>2.4393135856012975</c:v>
                </c:pt>
                <c:pt idx="13">
                  <c:v>2.7630574103189929</c:v>
                </c:pt>
                <c:pt idx="14">
                  <c:v>3.0871335857235493</c:v>
                </c:pt>
                <c:pt idx="15">
                  <c:v>2.6447084385240203</c:v>
                </c:pt>
                <c:pt idx="16">
                  <c:v>3.0427685052164293</c:v>
                </c:pt>
                <c:pt idx="17">
                  <c:v>2.791146376578709</c:v>
                </c:pt>
                <c:pt idx="18">
                  <c:v>2.8534254590088892</c:v>
                </c:pt>
                <c:pt idx="19">
                  <c:v>2.8271361551812362</c:v>
                </c:pt>
                <c:pt idx="20">
                  <c:v>3.0286166856124765</c:v>
                </c:pt>
                <c:pt idx="21">
                  <c:v>2.8310170769176892</c:v>
                </c:pt>
                <c:pt idx="22">
                  <c:v>2.6004577607039039</c:v>
                </c:pt>
                <c:pt idx="23">
                  <c:v>2.0526808870487798</c:v>
                </c:pt>
              </c:numCache>
            </c:numRef>
          </c:val>
          <c:smooth val="0"/>
          <c:extLst>
            <c:ext xmlns:c16="http://schemas.microsoft.com/office/drawing/2014/chart" uri="{C3380CC4-5D6E-409C-BE32-E72D297353CC}">
              <c16:uniqueId val="{00000004-6A2B-42CE-8C32-CC769D302375}"/>
            </c:ext>
          </c:extLst>
        </c:ser>
        <c:ser>
          <c:idx val="5"/>
          <c:order val="5"/>
          <c:tx>
            <c:strRef>
              <c:f>inflacia!$A$8</c:f>
              <c:strCache>
                <c:ptCount val="1"/>
                <c:pt idx="0">
                  <c:v>Imp. nájomné</c:v>
                </c:pt>
              </c:strCache>
            </c:strRef>
          </c:tx>
          <c:spPr>
            <a:ln w="19050" cap="rnd">
              <a:solidFill>
                <a:srgbClr val="7D5207"/>
              </a:solidFill>
              <a:round/>
            </a:ln>
            <a:effectLst/>
          </c:spPr>
          <c:marker>
            <c:symbol val="none"/>
          </c:marker>
          <c:cat>
            <c:numRef>
              <c:f>inflacia!$Z$2:$AW$2</c:f>
              <c:numCache>
                <c:formatCode>mmm\-yy</c:formatCode>
                <c:ptCount val="2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numCache>
            </c:numRef>
          </c:cat>
          <c:val>
            <c:numRef>
              <c:f>inflacia!$Z$8:$AW$8</c:f>
              <c:numCache>
                <c:formatCode>0.0</c:formatCode>
                <c:ptCount val="24"/>
                <c:pt idx="0">
                  <c:v>-0.40269157455166749</c:v>
                </c:pt>
                <c:pt idx="1">
                  <c:v>-0.70058980513624647</c:v>
                </c:pt>
                <c:pt idx="2">
                  <c:v>-0.60158740215034356</c:v>
                </c:pt>
                <c:pt idx="3">
                  <c:v>-0.89948474260343403</c:v>
                </c:pt>
                <c:pt idx="4">
                  <c:v>-1.1967862883756339</c:v>
                </c:pt>
                <c:pt idx="5">
                  <c:v>-1.1967862883756339</c:v>
                </c:pt>
                <c:pt idx="6">
                  <c:v>-0.89918624707554784</c:v>
                </c:pt>
                <c:pt idx="7">
                  <c:v>-0.50079101590799269</c:v>
                </c:pt>
                <c:pt idx="8">
                  <c:v>-0.40129180692392197</c:v>
                </c:pt>
                <c:pt idx="9">
                  <c:v>-0.40129180692392197</c:v>
                </c:pt>
                <c:pt idx="10">
                  <c:v>-0.40129180692393618</c:v>
                </c:pt>
                <c:pt idx="11">
                  <c:v>-0.30159340032427906</c:v>
                </c:pt>
                <c:pt idx="12">
                  <c:v>0.89718503574395925</c:v>
                </c:pt>
                <c:pt idx="13">
                  <c:v>1.3007737758869524</c:v>
                </c:pt>
                <c:pt idx="14">
                  <c:v>1.4016709609227007</c:v>
                </c:pt>
                <c:pt idx="15">
                  <c:v>1.7064856030897886</c:v>
                </c:pt>
                <c:pt idx="16">
                  <c:v>2.1145356957802193</c:v>
                </c:pt>
                <c:pt idx="17">
                  <c:v>1.9101021908837623</c:v>
                </c:pt>
                <c:pt idx="18">
                  <c:v>1.8080900765785657</c:v>
                </c:pt>
                <c:pt idx="19">
                  <c:v>2.0119100767318514</c:v>
                </c:pt>
                <c:pt idx="20">
                  <c:v>1.7061800765019228</c:v>
                </c:pt>
                <c:pt idx="21">
                  <c:v>1.8078862565783993</c:v>
                </c:pt>
                <c:pt idx="22">
                  <c:v>1.5030722258700706</c:v>
                </c:pt>
                <c:pt idx="23">
                  <c:v>1.4015691536442176</c:v>
                </c:pt>
              </c:numCache>
            </c:numRef>
          </c:val>
          <c:smooth val="0"/>
          <c:extLst>
            <c:ext xmlns:c16="http://schemas.microsoft.com/office/drawing/2014/chart" uri="{C3380CC4-5D6E-409C-BE32-E72D297353CC}">
              <c16:uniqueId val="{00000005-6A2B-42CE-8C32-CC769D302375}"/>
            </c:ext>
          </c:extLst>
        </c:ser>
        <c:ser>
          <c:idx val="6"/>
          <c:order val="6"/>
          <c:tx>
            <c:strRef>
              <c:f>inflacia!$A$9</c:f>
              <c:strCache>
                <c:ptCount val="1"/>
                <c:pt idx="0">
                  <c:v>Služby</c:v>
                </c:pt>
              </c:strCache>
            </c:strRef>
          </c:tx>
          <c:spPr>
            <a:ln w="19050" cap="rnd">
              <a:solidFill>
                <a:srgbClr val="6535F2"/>
              </a:solidFill>
              <a:round/>
            </a:ln>
            <a:effectLst/>
          </c:spPr>
          <c:marker>
            <c:symbol val="none"/>
          </c:marker>
          <c:cat>
            <c:numRef>
              <c:f>inflacia!$Z$2:$AW$2</c:f>
              <c:numCache>
                <c:formatCode>mmm\-yy</c:formatCode>
                <c:ptCount val="2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numCache>
            </c:numRef>
          </c:cat>
          <c:val>
            <c:numRef>
              <c:f>inflacia!$Z$9:$AW$9</c:f>
              <c:numCache>
                <c:formatCode>0.0</c:formatCode>
                <c:ptCount val="24"/>
                <c:pt idx="0">
                  <c:v>5.9211072359542953</c:v>
                </c:pt>
                <c:pt idx="1">
                  <c:v>5.3087091647040126</c:v>
                </c:pt>
                <c:pt idx="2">
                  <c:v>4.309141160716095</c:v>
                </c:pt>
                <c:pt idx="3">
                  <c:v>4.2309405839152703</c:v>
                </c:pt>
                <c:pt idx="4">
                  <c:v>5.297615376168082</c:v>
                </c:pt>
                <c:pt idx="5">
                  <c:v>5.2853966677994606</c:v>
                </c:pt>
                <c:pt idx="6">
                  <c:v>6.7985628253040034</c:v>
                </c:pt>
                <c:pt idx="7">
                  <c:v>6.8316500938795173</c:v>
                </c:pt>
                <c:pt idx="8">
                  <c:v>6.7225849109108395</c:v>
                </c:pt>
                <c:pt idx="9">
                  <c:v>6.5431704115879796</c:v>
                </c:pt>
                <c:pt idx="10">
                  <c:v>6.850456569054046</c:v>
                </c:pt>
                <c:pt idx="11">
                  <c:v>6.8154558976473538</c:v>
                </c:pt>
                <c:pt idx="12">
                  <c:v>8.3852186409620657</c:v>
                </c:pt>
                <c:pt idx="13">
                  <c:v>7.9994314355281944</c:v>
                </c:pt>
                <c:pt idx="14">
                  <c:v>8.2783617977294028</c:v>
                </c:pt>
                <c:pt idx="15">
                  <c:v>8.0923903320884847</c:v>
                </c:pt>
                <c:pt idx="16">
                  <c:v>8.3722384763128588</c:v>
                </c:pt>
                <c:pt idx="17">
                  <c:v>8.6213618408709038</c:v>
                </c:pt>
                <c:pt idx="18">
                  <c:v>8.254639460751136</c:v>
                </c:pt>
                <c:pt idx="19">
                  <c:v>7.8281070902014704</c:v>
                </c:pt>
                <c:pt idx="20">
                  <c:v>7.7799037792884178</c:v>
                </c:pt>
                <c:pt idx="21">
                  <c:v>7.5912306617839107</c:v>
                </c:pt>
                <c:pt idx="22">
                  <c:v>8.3422222697362685</c:v>
                </c:pt>
                <c:pt idx="23">
                  <c:v>8.1246814531368301</c:v>
                </c:pt>
              </c:numCache>
            </c:numRef>
          </c:val>
          <c:smooth val="0"/>
          <c:extLst>
            <c:ext xmlns:c16="http://schemas.microsoft.com/office/drawing/2014/chart" uri="{C3380CC4-5D6E-409C-BE32-E72D297353CC}">
              <c16:uniqueId val="{00000006-6A2B-42CE-8C32-CC769D302375}"/>
            </c:ext>
          </c:extLst>
        </c:ser>
        <c:dLbls>
          <c:showLegendKey val="0"/>
          <c:showVal val="0"/>
          <c:showCatName val="0"/>
          <c:showSerName val="0"/>
          <c:showPercent val="0"/>
          <c:showBubbleSize val="0"/>
        </c:dLbls>
        <c:smooth val="0"/>
        <c:axId val="983673584"/>
        <c:axId val="983672928"/>
      </c:lineChart>
      <c:dateAx>
        <c:axId val="983673584"/>
        <c:scaling>
          <c:orientation val="minMax"/>
        </c:scaling>
        <c:delete val="0"/>
        <c:axPos val="b"/>
        <c:numFmt formatCode="mmm\-yy"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Calibri Light" panose="020F0302020204030204" pitchFamily="34" charset="0"/>
              </a:defRPr>
            </a:pPr>
            <a:endParaRPr lang="sk-SK"/>
          </a:p>
        </c:txPr>
        <c:crossAx val="983672928"/>
        <c:crosses val="autoZero"/>
        <c:auto val="1"/>
        <c:lblOffset val="100"/>
        <c:baseTimeUnit val="months"/>
      </c:dateAx>
      <c:valAx>
        <c:axId val="983672928"/>
        <c:scaling>
          <c:orientation val="minMax"/>
        </c:scaling>
        <c:delete val="0"/>
        <c:axPos val="l"/>
        <c:majorGridlines>
          <c:spPr>
            <a:ln w="9525" cap="flat" cmpd="sng" algn="ctr">
              <a:solidFill>
                <a:schemeClr val="bg1">
                  <a:lumMod val="75000"/>
                </a:schemeClr>
              </a:solidFill>
              <a:prstDash val="dash"/>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Calibri Light" panose="020F0302020204030204" pitchFamily="34" charset="0"/>
              </a:defRPr>
            </a:pPr>
            <a:endParaRPr lang="sk-SK"/>
          </a:p>
        </c:txPr>
        <c:crossAx val="983673584"/>
        <c:crosses val="autoZero"/>
        <c:crossBetween val="between"/>
      </c:valAx>
      <c:spPr>
        <a:noFill/>
        <a:ln>
          <a:noFill/>
        </a:ln>
        <a:effectLst/>
      </c:spPr>
    </c:plotArea>
    <c:legend>
      <c:legendPos val="b"/>
      <c:layout>
        <c:manualLayout>
          <c:xMode val="edge"/>
          <c:yMode val="edge"/>
          <c:x val="0.10986727264986376"/>
          <c:y val="0.61649317389922842"/>
          <c:w val="0.83812241786487951"/>
          <c:h val="0.21516751205611048"/>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Calibri Light" panose="020F0302020204030204" pitchFamily="34" charset="0"/>
            </a:defRPr>
          </a:pPr>
          <a:endParaRPr lang="sk-SK"/>
        </a:p>
      </c:txPr>
    </c:legend>
    <c:plotVisOnly val="1"/>
    <c:dispBlanksAs val="gap"/>
    <c:showDLblsOverMax val="0"/>
  </c:chart>
  <c:spPr>
    <a:solidFill>
      <a:schemeClr val="bg1"/>
    </a:solidFill>
    <a:ln w="9525" cap="flat" cmpd="sng" algn="ctr">
      <a:noFill/>
      <a:round/>
    </a:ln>
    <a:effectLst/>
  </c:spPr>
  <c:txPr>
    <a:bodyPr/>
    <a:lstStyle/>
    <a:p>
      <a:pPr>
        <a:defRPr sz="1000">
          <a:latin typeface="Arial Narrow" panose="020B0606020202030204" pitchFamily="34" charset="0"/>
          <a:cs typeface="Calibri Light" panose="020F0302020204030204"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099679777191692E-2"/>
          <c:y val="8.5242482034935022E-2"/>
          <c:w val="0.89093095636884034"/>
          <c:h val="0.49142430590671576"/>
        </c:manualLayout>
      </c:layout>
      <c:barChart>
        <c:barDir val="col"/>
        <c:grouping val="stacked"/>
        <c:varyColors val="0"/>
        <c:ser>
          <c:idx val="5"/>
          <c:order val="0"/>
          <c:tx>
            <c:strRef>
              <c:f>'BÚ PB'!$A$3</c:f>
              <c:strCache>
                <c:ptCount val="1"/>
                <c:pt idx="0">
                  <c:v>Tovary</c:v>
                </c:pt>
              </c:strCache>
            </c:strRef>
          </c:tx>
          <c:spPr>
            <a:solidFill>
              <a:srgbClr val="2C9ADC"/>
            </a:solidFill>
          </c:spPr>
          <c:invertIfNegative val="0"/>
          <c:cat>
            <c:numRef>
              <c:f>'BÚ PB'!$K$1:$S$1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'BÚ PB'!$K$3:$S$3</c:f>
              <c:numCache>
                <c:formatCode>0.0</c:formatCode>
                <c:ptCount val="9"/>
                <c:pt idx="0">
                  <c:v>6.3559001605446669E-2</c:v>
                </c:pt>
                <c:pt idx="1">
                  <c:v>-0.2095801891756135</c:v>
                </c:pt>
                <c:pt idx="2">
                  <c:v>-1.5992630392131062</c:v>
                </c:pt>
                <c:pt idx="3">
                  <c:v>-0.25579437789836945</c:v>
                </c:pt>
                <c:pt idx="4">
                  <c:v>-1.4341489809729251</c:v>
                </c:pt>
                <c:pt idx="5">
                  <c:v>-6.5744562182267829</c:v>
                </c:pt>
                <c:pt idx="6">
                  <c:v>0.69844683498192472</c:v>
                </c:pt>
                <c:pt idx="7">
                  <c:v>-0.8055288817037376</c:v>
                </c:pt>
                <c:pt idx="8">
                  <c:v>-0.18611511301654587</c:v>
                </c:pt>
              </c:numCache>
            </c:numRef>
          </c:val>
          <c:extLst>
            <c:ext xmlns:c16="http://schemas.microsoft.com/office/drawing/2014/chart" uri="{C3380CC4-5D6E-409C-BE32-E72D297353CC}">
              <c16:uniqueId val="{00000000-0531-4104-BCDF-BD8A4C50D2F8}"/>
            </c:ext>
          </c:extLst>
        </c:ser>
        <c:ser>
          <c:idx val="8"/>
          <c:order val="1"/>
          <c:tx>
            <c:strRef>
              <c:f>'BÚ PB'!$A$4</c:f>
              <c:strCache>
                <c:ptCount val="1"/>
                <c:pt idx="0">
                  <c:v>Služby</c:v>
                </c:pt>
              </c:strCache>
            </c:strRef>
          </c:tx>
          <c:spPr>
            <a:solidFill>
              <a:schemeClr val="tx2">
                <a:lumMod val="20000"/>
                <a:lumOff val="80000"/>
              </a:schemeClr>
            </a:solidFill>
            <a:ln>
              <a:noFill/>
            </a:ln>
          </c:spPr>
          <c:invertIfNegative val="0"/>
          <c:cat>
            <c:numRef>
              <c:f>'BÚ PB'!$K$1:$S$1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'BÚ PB'!$K$4:$S$4</c:f>
              <c:numCache>
                <c:formatCode>0.0</c:formatCode>
                <c:ptCount val="9"/>
                <c:pt idx="0">
                  <c:v>1.2265791237642543</c:v>
                </c:pt>
                <c:pt idx="1">
                  <c:v>1.2330762751746345</c:v>
                </c:pt>
                <c:pt idx="2">
                  <c:v>1.4626236040475904</c:v>
                </c:pt>
                <c:pt idx="3">
                  <c:v>1.2639998728843755</c:v>
                </c:pt>
                <c:pt idx="4">
                  <c:v>0.85643928924264456</c:v>
                </c:pt>
                <c:pt idx="5">
                  <c:v>0.55877244325177655</c:v>
                </c:pt>
                <c:pt idx="6">
                  <c:v>0.76200128473284523</c:v>
                </c:pt>
                <c:pt idx="7">
                  <c:v>0.49083375971439869</c:v>
                </c:pt>
                <c:pt idx="8">
                  <c:v>0.24466154734157489</c:v>
                </c:pt>
              </c:numCache>
            </c:numRef>
          </c:val>
          <c:extLst>
            <c:ext xmlns:c16="http://schemas.microsoft.com/office/drawing/2014/chart" uri="{C3380CC4-5D6E-409C-BE32-E72D297353CC}">
              <c16:uniqueId val="{00000001-0531-4104-BCDF-BD8A4C50D2F8}"/>
            </c:ext>
          </c:extLst>
        </c:ser>
        <c:ser>
          <c:idx val="0"/>
          <c:order val="2"/>
          <c:tx>
            <c:strRef>
              <c:f>'BÚ PB'!$A$5</c:f>
              <c:strCache>
                <c:ptCount val="1"/>
                <c:pt idx="0">
                  <c:v>Primárne výnosy</c:v>
                </c:pt>
              </c:strCache>
            </c:strRef>
          </c:tx>
          <c:invertIfNegative val="0"/>
          <c:cat>
            <c:numRef>
              <c:f>'BÚ PB'!$K$1:$S$1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'BÚ PB'!$K$5:$S$5</c:f>
              <c:numCache>
                <c:formatCode>0.0</c:formatCode>
                <c:ptCount val="9"/>
                <c:pt idx="0">
                  <c:v>-1.8275844761689086</c:v>
                </c:pt>
                <c:pt idx="1">
                  <c:v>-1.3133749358198015</c:v>
                </c:pt>
                <c:pt idx="2">
                  <c:v>-2.2817437897149828</c:v>
                </c:pt>
                <c:pt idx="3">
                  <c:v>-0.72404447946187167</c:v>
                </c:pt>
                <c:pt idx="4">
                  <c:v>-3.214312017212642</c:v>
                </c:pt>
                <c:pt idx="5">
                  <c:v>-2.8687067094254881</c:v>
                </c:pt>
                <c:pt idx="6">
                  <c:v>-3.9153653160280131</c:v>
                </c:pt>
                <c:pt idx="7">
                  <c:v>-3.5395258278719761</c:v>
                </c:pt>
                <c:pt idx="8">
                  <c:v>-2.8213716632147676</c:v>
                </c:pt>
              </c:numCache>
            </c:numRef>
          </c:val>
          <c:extLst>
            <c:ext xmlns:c16="http://schemas.microsoft.com/office/drawing/2014/chart" uri="{C3380CC4-5D6E-409C-BE32-E72D297353CC}">
              <c16:uniqueId val="{00000002-0531-4104-BCDF-BD8A4C50D2F8}"/>
            </c:ext>
          </c:extLst>
        </c:ser>
        <c:ser>
          <c:idx val="1"/>
          <c:order val="3"/>
          <c:tx>
            <c:strRef>
              <c:f>'BÚ PB'!$A$6</c:f>
              <c:strCache>
                <c:ptCount val="1"/>
                <c:pt idx="0">
                  <c:v>Sekundárne výnosy</c:v>
                </c:pt>
              </c:strCache>
            </c:strRef>
          </c:tx>
          <c:invertIfNegative val="0"/>
          <c:cat>
            <c:numRef>
              <c:f>'BÚ PB'!$K$1:$S$1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'BÚ PB'!$K$6:$S$6</c:f>
              <c:numCache>
                <c:formatCode>0.0</c:formatCode>
                <c:ptCount val="9"/>
                <c:pt idx="0">
                  <c:v>-1.1971560517990973</c:v>
                </c:pt>
                <c:pt idx="1">
                  <c:v>-1.3430927056944324</c:v>
                </c:pt>
                <c:pt idx="2">
                  <c:v>-1.1085837023718239</c:v>
                </c:pt>
                <c:pt idx="3">
                  <c:v>-0.73898004253577676</c:v>
                </c:pt>
                <c:pt idx="4">
                  <c:v>-1.0382430779933305</c:v>
                </c:pt>
                <c:pt idx="5">
                  <c:v>-0.74522565603543123</c:v>
                </c:pt>
                <c:pt idx="6">
                  <c:v>-0.56935858160242192</c:v>
                </c:pt>
                <c:pt idx="7">
                  <c:v>-0.77014131709984257</c:v>
                </c:pt>
                <c:pt idx="8">
                  <c:v>-0.88716003113057518</c:v>
                </c:pt>
              </c:numCache>
            </c:numRef>
          </c:val>
          <c:extLst>
            <c:ext xmlns:c16="http://schemas.microsoft.com/office/drawing/2014/chart" uri="{C3380CC4-5D6E-409C-BE32-E72D297353CC}">
              <c16:uniqueId val="{00000003-0531-4104-BCDF-BD8A4C50D2F8}"/>
            </c:ext>
          </c:extLst>
        </c:ser>
        <c:dLbls>
          <c:showLegendKey val="0"/>
          <c:showVal val="0"/>
          <c:showCatName val="0"/>
          <c:showSerName val="0"/>
          <c:showPercent val="0"/>
          <c:showBubbleSize val="0"/>
        </c:dLbls>
        <c:gapWidth val="150"/>
        <c:overlap val="100"/>
        <c:axId val="144225904"/>
        <c:axId val="144225512"/>
      </c:barChart>
      <c:lineChart>
        <c:grouping val="standard"/>
        <c:varyColors val="0"/>
        <c:ser>
          <c:idx val="3"/>
          <c:order val="4"/>
          <c:tx>
            <c:strRef>
              <c:f>'BÚ PB'!$A$2</c:f>
              <c:strCache>
                <c:ptCount val="1"/>
                <c:pt idx="0">
                  <c:v>BÚ PB</c:v>
                </c:pt>
              </c:strCache>
            </c:strRef>
          </c:tx>
          <c:spPr>
            <a:ln w="19050">
              <a:solidFill>
                <a:sysClr val="windowText" lastClr="000000"/>
              </a:solidFill>
            </a:ln>
          </c:spPr>
          <c:marker>
            <c:symbol val="none"/>
          </c:marker>
          <c:val>
            <c:numRef>
              <c:f>'BÚ PB'!$K$2:$S$2</c:f>
              <c:numCache>
                <c:formatCode>0.0</c:formatCode>
                <c:ptCount val="9"/>
                <c:pt idx="0">
                  <c:v>-1.7346024025983051</c:v>
                </c:pt>
                <c:pt idx="1">
                  <c:v>-1.6329715555152127</c:v>
                </c:pt>
                <c:pt idx="2">
                  <c:v>-3.5269669272523227</c:v>
                </c:pt>
                <c:pt idx="3">
                  <c:v>-0.45481902701164229</c:v>
                </c:pt>
                <c:pt idx="4">
                  <c:v>-4.8302647869362536</c:v>
                </c:pt>
                <c:pt idx="5">
                  <c:v>-9.6296161404359264</c:v>
                </c:pt>
                <c:pt idx="6">
                  <c:v>-3.024275777915665</c:v>
                </c:pt>
                <c:pt idx="7">
                  <c:v>-4.6243622669611577</c:v>
                </c:pt>
                <c:pt idx="8">
                  <c:v>-3.6499852600203142</c:v>
                </c:pt>
              </c:numCache>
            </c:numRef>
          </c:val>
          <c:smooth val="0"/>
          <c:extLst>
            <c:ext xmlns:c16="http://schemas.microsoft.com/office/drawing/2014/chart" uri="{C3380CC4-5D6E-409C-BE32-E72D297353CC}">
              <c16:uniqueId val="{00000004-0531-4104-BCDF-BD8A4C50D2F8}"/>
            </c:ext>
          </c:extLst>
        </c:ser>
        <c:dLbls>
          <c:showLegendKey val="0"/>
          <c:showVal val="0"/>
          <c:showCatName val="0"/>
          <c:showSerName val="0"/>
          <c:showPercent val="0"/>
          <c:showBubbleSize val="0"/>
        </c:dLbls>
        <c:marker val="1"/>
        <c:smooth val="0"/>
        <c:axId val="144225904"/>
        <c:axId val="144225512"/>
      </c:lineChart>
      <c:catAx>
        <c:axId val="144225904"/>
        <c:scaling>
          <c:orientation val="minMax"/>
        </c:scaling>
        <c:delete val="0"/>
        <c:axPos val="b"/>
        <c:numFmt formatCode="General" sourceLinked="1"/>
        <c:majorTickMark val="out"/>
        <c:minorTickMark val="none"/>
        <c:tickLblPos val="low"/>
        <c:txPr>
          <a:bodyPr/>
          <a:lstStyle/>
          <a:p>
            <a:pPr>
              <a:defRPr sz="900"/>
            </a:pPr>
            <a:endParaRPr lang="sk-SK"/>
          </a:p>
        </c:txPr>
        <c:crossAx val="144225512"/>
        <c:crosses val="autoZero"/>
        <c:auto val="1"/>
        <c:lblAlgn val="ctr"/>
        <c:lblOffset val="100"/>
        <c:noMultiLvlLbl val="0"/>
      </c:catAx>
      <c:valAx>
        <c:axId val="144225512"/>
        <c:scaling>
          <c:orientation val="minMax"/>
          <c:max val="5"/>
          <c:min val="-10"/>
        </c:scaling>
        <c:delete val="0"/>
        <c:axPos val="l"/>
        <c:majorGridlines>
          <c:spPr>
            <a:ln>
              <a:solidFill>
                <a:schemeClr val="bg1">
                  <a:lumMod val="75000"/>
                </a:schemeClr>
              </a:solidFill>
              <a:prstDash val="dash"/>
            </a:ln>
          </c:spPr>
        </c:majorGridlines>
        <c:numFmt formatCode="0.0" sourceLinked="0"/>
        <c:majorTickMark val="out"/>
        <c:minorTickMark val="none"/>
        <c:tickLblPos val="nextTo"/>
        <c:txPr>
          <a:bodyPr/>
          <a:lstStyle/>
          <a:p>
            <a:pPr>
              <a:defRPr sz="900"/>
            </a:pPr>
            <a:endParaRPr lang="sk-SK"/>
          </a:p>
        </c:txPr>
        <c:crossAx val="144225904"/>
        <c:crosses val="autoZero"/>
        <c:crossBetween val="between"/>
      </c:valAx>
    </c:plotArea>
    <c:legend>
      <c:legendPos val="b"/>
      <c:layout>
        <c:manualLayout>
          <c:xMode val="edge"/>
          <c:yMode val="edge"/>
          <c:x val="5.7451772901010958E-2"/>
          <c:y val="0.75165595126297291"/>
          <c:w val="0.9104445974671419"/>
          <c:h val="0.2116468010306051"/>
        </c:manualLayout>
      </c:layout>
      <c:overlay val="0"/>
      <c:txPr>
        <a:bodyPr/>
        <a:lstStyle/>
        <a:p>
          <a:pPr>
            <a:defRPr sz="700"/>
          </a:pPr>
          <a:endParaRPr lang="sk-SK"/>
        </a:p>
      </c:txPr>
    </c:legend>
    <c:plotVisOnly val="1"/>
    <c:dispBlanksAs val="gap"/>
    <c:showDLblsOverMax val="0"/>
  </c:chart>
  <c:spPr>
    <a:ln>
      <a:noFill/>
    </a:ln>
  </c:spPr>
  <c:txPr>
    <a:bodyPr/>
    <a:lstStyle/>
    <a:p>
      <a:pPr>
        <a:defRPr>
          <a:latin typeface="Arial Narrow" pitchFamily="34" charset="0"/>
        </a:defRPr>
      </a:pPr>
      <a:endParaRPr lang="sk-SK"/>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550784142968031"/>
          <c:y val="4.3897176911907448E-2"/>
          <c:w val="0.58180757431090657"/>
          <c:h val="0.91220564617618516"/>
        </c:manualLayout>
      </c:layout>
      <c:barChart>
        <c:barDir val="bar"/>
        <c:grouping val="stacked"/>
        <c:varyColors val="0"/>
        <c:ser>
          <c:idx val="0"/>
          <c:order val="0"/>
          <c:spPr>
            <a:solidFill>
              <a:schemeClr val="accent1"/>
            </a:solidFill>
            <a:ln>
              <a:noFill/>
            </a:ln>
            <a:effectLst/>
          </c:spPr>
          <c:invertIfNegative val="0"/>
          <c:cat>
            <c:strRef>
              <c:f>('vs. RVS'!$K$150:$K$154,'vs. RVS'!$K$156)</c:f>
              <c:strCache>
                <c:ptCount val="6"/>
                <c:pt idx="0">
                  <c:v>Hrubý dlh (RVS 2025)</c:v>
                </c:pt>
                <c:pt idx="1">
                  <c:v>Hotovostný schodok ŠR</c:v>
                </c:pt>
                <c:pt idx="2">
                  <c:v>Využitie hotovosti v Štátnej pokladnici (-)</c:v>
                </c:pt>
                <c:pt idx="3">
                  <c:v>Vplyv zmeny reálneho HDP</c:v>
                </c:pt>
                <c:pt idx="4">
                  <c:v>Vplyv zmeny inflácie</c:v>
                </c:pt>
                <c:pt idx="5">
                  <c:v>Hrubý dlh (skutočnosť 2025)</c:v>
                </c:pt>
              </c:strCache>
              <c:extLst/>
            </c:strRef>
          </c:cat>
          <c:val>
            <c:numRef>
              <c:f>('vs. RVS'!$N$150:$N$154,'vs. RVS'!$N$156)</c:f>
              <c:numCache>
                <c:formatCode>0.0</c:formatCode>
                <c:ptCount val="6"/>
                <c:pt idx="1">
                  <c:v>0</c:v>
                </c:pt>
                <c:pt idx="2">
                  <c:v>0</c:v>
                </c:pt>
                <c:pt idx="3">
                  <c:v>0</c:v>
                </c:pt>
                <c:pt idx="4">
                  <c:v>0</c:v>
                </c:pt>
              </c:numCache>
              <c:extLst/>
            </c:numRef>
          </c:val>
          <c:extLst>
            <c:ext xmlns:c16="http://schemas.microsoft.com/office/drawing/2014/chart" uri="{C3380CC4-5D6E-409C-BE32-E72D297353CC}">
              <c16:uniqueId val="{00000000-D6A1-4513-890D-975E1FD212BE}"/>
            </c:ext>
          </c:extLst>
        </c:ser>
        <c:ser>
          <c:idx val="1"/>
          <c:order val="1"/>
          <c:spPr>
            <a:noFill/>
            <a:ln>
              <a:noFill/>
            </a:ln>
            <a:effectLst/>
          </c:spPr>
          <c:invertIfNegative val="0"/>
          <c:cat>
            <c:strRef>
              <c:f>('vs. RVS'!$K$150:$K$154,'vs. RVS'!$K$156)</c:f>
              <c:strCache>
                <c:ptCount val="6"/>
                <c:pt idx="0">
                  <c:v>Hrubý dlh (RVS 2025)</c:v>
                </c:pt>
                <c:pt idx="1">
                  <c:v>Hotovostný schodok ŠR</c:v>
                </c:pt>
                <c:pt idx="2">
                  <c:v>Využitie hotovosti v Štátnej pokladnici (-)</c:v>
                </c:pt>
                <c:pt idx="3">
                  <c:v>Vplyv zmeny reálneho HDP</c:v>
                </c:pt>
                <c:pt idx="4">
                  <c:v>Vplyv zmeny inflácie</c:v>
                </c:pt>
                <c:pt idx="5">
                  <c:v>Hrubý dlh (skutočnosť 2025)</c:v>
                </c:pt>
              </c:strCache>
              <c:extLst/>
            </c:strRef>
          </c:cat>
          <c:val>
            <c:numRef>
              <c:f>('vs. RVS'!$O$150:$O$154,'vs. RVS'!$O$156)</c:f>
              <c:numCache>
                <c:formatCode>0.0</c:formatCode>
                <c:ptCount val="6"/>
                <c:pt idx="1">
                  <c:v>59.563716918638733</c:v>
                </c:pt>
                <c:pt idx="2">
                  <c:v>59.782517626728946</c:v>
                </c:pt>
                <c:pt idx="3">
                  <c:v>60.03420640131656</c:v>
                </c:pt>
                <c:pt idx="4">
                  <c:v>61.28523918682189</c:v>
                </c:pt>
              </c:numCache>
              <c:extLst/>
            </c:numRef>
          </c:val>
          <c:extLst>
            <c:ext xmlns:c16="http://schemas.microsoft.com/office/drawing/2014/chart" uri="{C3380CC4-5D6E-409C-BE32-E72D297353CC}">
              <c16:uniqueId val="{00000001-D6A1-4513-890D-975E1FD212BE}"/>
            </c:ext>
          </c:extLst>
        </c:ser>
        <c:ser>
          <c:idx val="2"/>
          <c:order val="2"/>
          <c:spPr>
            <a:solidFill>
              <a:srgbClr val="002060"/>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3-D6A1-4513-890D-975E1FD212BE}"/>
              </c:ext>
            </c:extLst>
          </c:dPt>
          <c:dPt>
            <c:idx val="1"/>
            <c:invertIfNegative val="0"/>
            <c:bubble3D val="0"/>
            <c:spPr>
              <a:solidFill>
                <a:srgbClr val="FF0000"/>
              </a:solidFill>
              <a:ln>
                <a:noFill/>
              </a:ln>
              <a:effectLst/>
            </c:spPr>
            <c:extLst>
              <c:ext xmlns:c16="http://schemas.microsoft.com/office/drawing/2014/chart" uri="{C3380CC4-5D6E-409C-BE32-E72D297353CC}">
                <c16:uniqueId val="{00000005-D6A1-4513-890D-975E1FD212BE}"/>
              </c:ext>
            </c:extLst>
          </c:dPt>
          <c:dPt>
            <c:idx val="2"/>
            <c:invertIfNegative val="0"/>
            <c:bubble3D val="0"/>
            <c:spPr>
              <a:solidFill>
                <a:srgbClr val="FF0000"/>
              </a:solidFill>
              <a:ln>
                <a:noFill/>
              </a:ln>
              <a:effectLst/>
            </c:spPr>
            <c:extLst>
              <c:ext xmlns:c16="http://schemas.microsoft.com/office/drawing/2014/chart" uri="{C3380CC4-5D6E-409C-BE32-E72D297353CC}">
                <c16:uniqueId val="{00000007-D6A1-4513-890D-975E1FD212BE}"/>
              </c:ext>
            </c:extLst>
          </c:dPt>
          <c:dPt>
            <c:idx val="3"/>
            <c:invertIfNegative val="0"/>
            <c:bubble3D val="0"/>
            <c:spPr>
              <a:solidFill>
                <a:srgbClr val="FF0000"/>
              </a:solidFill>
              <a:ln>
                <a:noFill/>
              </a:ln>
              <a:effectLst/>
            </c:spPr>
            <c:extLst>
              <c:ext xmlns:c16="http://schemas.microsoft.com/office/drawing/2014/chart" uri="{C3380CC4-5D6E-409C-BE32-E72D297353CC}">
                <c16:uniqueId val="{00000009-D6A1-4513-890D-975E1FD212BE}"/>
              </c:ext>
            </c:extLst>
          </c:dPt>
          <c:dPt>
            <c:idx val="4"/>
            <c:invertIfNegative val="0"/>
            <c:bubble3D val="0"/>
            <c:spPr>
              <a:solidFill>
                <a:srgbClr val="FF0000"/>
              </a:solidFill>
              <a:ln>
                <a:noFill/>
              </a:ln>
              <a:effectLst/>
            </c:spPr>
            <c:extLst>
              <c:ext xmlns:c16="http://schemas.microsoft.com/office/drawing/2014/chart" uri="{C3380CC4-5D6E-409C-BE32-E72D297353CC}">
                <c16:uniqueId val="{0000000B-D6A1-4513-890D-975E1FD212BE}"/>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showLegendKey val="0"/>
              <c:showVal val="1"/>
              <c:showCatName val="0"/>
              <c:showSerName val="0"/>
              <c:showPercent val="0"/>
              <c:showBubbleSize val="0"/>
              <c:extLst>
                <c:ext xmlns:c16="http://schemas.microsoft.com/office/drawing/2014/chart" uri="{C3380CC4-5D6E-409C-BE32-E72D297353CC}">
                  <c16:uniqueId val="{00000003-D6A1-4513-890D-975E1FD212BE}"/>
                </c:ext>
              </c:extLst>
            </c:dLbl>
            <c:dLbl>
              <c:idx val="1"/>
              <c:layout>
                <c:manualLayout>
                  <c:x val="3.1426386782111113E-2"/>
                  <c:y val="3.5910382054735155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A1-4513-890D-975E1FD212BE}"/>
                </c:ext>
              </c:extLst>
            </c:dLbl>
            <c:dLbl>
              <c:idx val="2"/>
              <c:layout>
                <c:manualLayout>
                  <c:x val="3.1426386782111113E-2"/>
                  <c:y val="3.5910382058915675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A1-4513-890D-975E1FD212BE}"/>
                </c:ext>
              </c:extLst>
            </c:dLbl>
            <c:dLbl>
              <c:idx val="3"/>
              <c:layout>
                <c:manualLayout>
                  <c:x val="8.38036980856297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A1-4513-890D-975E1FD212BE}"/>
                </c:ext>
              </c:extLst>
            </c:dLbl>
            <c:dLbl>
              <c:idx val="4"/>
              <c:layout>
                <c:manualLayout>
                  <c:x val="-2.6188655651759533E-2"/>
                  <c:y val="0"/>
                </c:manualLayout>
              </c:layout>
              <c:tx>
                <c:rich>
                  <a:bodyPr/>
                  <a:lstStyle/>
                  <a:p>
                    <a:fld id="{233EC939-AB50-42D8-B75D-ABC0CDDD3A08}" type="VALUE">
                      <a:rPr lang="en-US"/>
                      <a:pPr/>
                      <a:t>[HODNOTA]</a:t>
                    </a:fld>
                    <a:endParaRPr lang="sk-SK"/>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6A1-4513-890D-975E1FD212BE}"/>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sk-SK"/>
                </a:p>
              </c:txPr>
              <c:showLegendKey val="0"/>
              <c:showVal val="1"/>
              <c:showCatName val="0"/>
              <c:showSerName val="0"/>
              <c:showPercent val="0"/>
              <c:showBubbleSize val="0"/>
              <c:extLst>
                <c:ext xmlns:c16="http://schemas.microsoft.com/office/drawing/2014/chart" uri="{C3380CC4-5D6E-409C-BE32-E72D297353CC}">
                  <c16:uniqueId val="{0000000C-D6A1-4513-890D-975E1FD212B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('vs. RVS'!$K$150:$K$154,'vs. RVS'!$K$156)</c:f>
              <c:strCache>
                <c:ptCount val="6"/>
                <c:pt idx="0">
                  <c:v>Hrubý dlh (RVS 2025)</c:v>
                </c:pt>
                <c:pt idx="1">
                  <c:v>Hotovostný schodok ŠR</c:v>
                </c:pt>
                <c:pt idx="2">
                  <c:v>Využitie hotovosti v Štátnej pokladnici (-)</c:v>
                </c:pt>
                <c:pt idx="3">
                  <c:v>Vplyv zmeny reálneho HDP</c:v>
                </c:pt>
                <c:pt idx="4">
                  <c:v>Vplyv zmeny inflácie</c:v>
                </c:pt>
                <c:pt idx="5">
                  <c:v>Hrubý dlh (skutočnosť 2025)</c:v>
                </c:pt>
              </c:strCache>
              <c:extLst/>
            </c:strRef>
          </c:cat>
          <c:val>
            <c:numRef>
              <c:f>('vs. RVS'!$P$150:$P$154,'vs. RVS'!$P$156)</c:f>
              <c:numCache>
                <c:formatCode>0.0</c:formatCode>
                <c:ptCount val="6"/>
                <c:pt idx="0">
                  <c:v>59.563716918638733</c:v>
                </c:pt>
                <c:pt idx="1">
                  <c:v>0.21880070809021496</c:v>
                </c:pt>
                <c:pt idx="2">
                  <c:v>0.25168877458761124</c:v>
                </c:pt>
                <c:pt idx="3">
                  <c:v>1.2510327855053278</c:v>
                </c:pt>
                <c:pt idx="4">
                  <c:v>0.14264451230585395</c:v>
                </c:pt>
                <c:pt idx="5">
                  <c:v>61.385455637515832</c:v>
                </c:pt>
              </c:numCache>
              <c:extLst/>
            </c:numRef>
          </c:val>
          <c:extLst>
            <c:ext xmlns:c16="http://schemas.microsoft.com/office/drawing/2014/chart" uri="{C3380CC4-5D6E-409C-BE32-E72D297353CC}">
              <c16:uniqueId val="{0000000D-D6A1-4513-890D-975E1FD212BE}"/>
            </c:ext>
          </c:extLst>
        </c:ser>
        <c:dLbls>
          <c:showLegendKey val="0"/>
          <c:showVal val="0"/>
          <c:showCatName val="0"/>
          <c:showSerName val="0"/>
          <c:showPercent val="0"/>
          <c:showBubbleSize val="0"/>
        </c:dLbls>
        <c:gapWidth val="50"/>
        <c:overlap val="100"/>
        <c:axId val="1378622336"/>
        <c:axId val="1170408000"/>
      </c:barChart>
      <c:catAx>
        <c:axId val="1378622336"/>
        <c:scaling>
          <c:orientation val="maxMin"/>
        </c:scaling>
        <c:delete val="0"/>
        <c:axPos val="l"/>
        <c:numFmt formatCode="General" sourceLinked="1"/>
        <c:majorTickMark val="none"/>
        <c:minorTickMark val="none"/>
        <c:tickLblPos val="nextTo"/>
        <c:spPr>
          <a:noFill/>
          <a:ln w="3175" cap="flat" cmpd="sng" algn="ctr">
            <a:solidFill>
              <a:sysClr val="windowText" lastClr="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170408000"/>
        <c:crosses val="autoZero"/>
        <c:auto val="1"/>
        <c:lblAlgn val="ctr"/>
        <c:lblOffset val="100"/>
        <c:noMultiLvlLbl val="0"/>
      </c:catAx>
      <c:valAx>
        <c:axId val="1170408000"/>
        <c:scaling>
          <c:orientation val="minMax"/>
          <c:min val="55"/>
        </c:scaling>
        <c:delete val="1"/>
        <c:axPos val="t"/>
        <c:numFmt formatCode="0.0" sourceLinked="1"/>
        <c:majorTickMark val="none"/>
        <c:minorTickMark val="none"/>
        <c:tickLblPos val="nextTo"/>
        <c:crossAx val="1378622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400" b="0" i="0" u="none" strike="noStrike" baseline="0"/>
              <a:t>Vývoj výdavkov štátneho rozpočtu na Plán obnovy  po zohľadnení príjmov z EÚ</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RIS!$G$3</c:f>
              <c:strCache>
                <c:ptCount val="1"/>
                <c:pt idx="0">
                  <c:v>Ročné čerpanie POO (zdroj 1P01, 3P01) v mil. eur</c:v>
                </c:pt>
              </c:strCache>
            </c:strRef>
          </c:tx>
          <c:spPr>
            <a:solidFill>
              <a:schemeClr val="accent1"/>
            </a:solidFill>
            <a:ln>
              <a:noFill/>
            </a:ln>
            <a:effectLst/>
          </c:spPr>
          <c:invertIfNegative val="0"/>
          <c:dLbls>
            <c:dLbl>
              <c:idx val="0"/>
              <c:tx>
                <c:rich>
                  <a:bodyPr/>
                  <a:lstStyle/>
                  <a:p>
                    <a:fld id="{E92A9BF1-634A-46C4-8DFD-92502658A729}" type="VALUE">
                      <a:rPr lang="en-US" sz="800"/>
                      <a:pPr/>
                      <a:t>[HODNOTA]</a:t>
                    </a:fld>
                    <a:endParaRPr lang="sk-SK"/>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D1E-4ACC-AA79-1EECC8D8A418}"/>
                </c:ext>
              </c:extLst>
            </c:dLbl>
            <c:dLbl>
              <c:idx val="1"/>
              <c:tx>
                <c:rich>
                  <a:bodyPr/>
                  <a:lstStyle/>
                  <a:p>
                    <a:fld id="{60D8511B-C2C5-4555-914B-2CADCFE9A730}" type="VALUE">
                      <a:rPr lang="en-US" sz="800"/>
                      <a:pPr/>
                      <a:t>[HODNOTA]</a:t>
                    </a:fld>
                    <a:endParaRPr lang="sk-SK"/>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1E-4ACC-AA79-1EECC8D8A41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1E-4ACC-AA79-1EECC8D8A41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1E-4ACC-AA79-1EECC8D8A418}"/>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1E-4ACC-AA79-1EECC8D8A41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RIS!$B$4:$B$8</c:f>
              <c:numCache>
                <c:formatCode>General</c:formatCode>
                <c:ptCount val="5"/>
                <c:pt idx="0">
                  <c:v>2021</c:v>
                </c:pt>
                <c:pt idx="1">
                  <c:v>2022</c:v>
                </c:pt>
                <c:pt idx="2">
                  <c:v>2023</c:v>
                </c:pt>
                <c:pt idx="3">
                  <c:v>2024</c:v>
                </c:pt>
                <c:pt idx="4">
                  <c:v>2025</c:v>
                </c:pt>
              </c:numCache>
            </c:numRef>
          </c:cat>
          <c:val>
            <c:numRef>
              <c:f>RIS!$G$4:$G$8</c:f>
              <c:numCache>
                <c:formatCode>#\ ##0.00\ "€"</c:formatCode>
                <c:ptCount val="5"/>
                <c:pt idx="0">
                  <c:v>6.0719348899999996</c:v>
                </c:pt>
                <c:pt idx="1">
                  <c:v>48.726654530000005</c:v>
                </c:pt>
                <c:pt idx="2">
                  <c:v>372.09241443000002</c:v>
                </c:pt>
                <c:pt idx="3">
                  <c:v>931.72091138000008</c:v>
                </c:pt>
                <c:pt idx="4">
                  <c:v>1938.6329100700002</c:v>
                </c:pt>
              </c:numCache>
            </c:numRef>
          </c:val>
          <c:extLst>
            <c:ext xmlns:c16="http://schemas.microsoft.com/office/drawing/2014/chart" uri="{C3380CC4-5D6E-409C-BE32-E72D297353CC}">
              <c16:uniqueId val="{00000005-FD1E-4ACC-AA79-1EECC8D8A418}"/>
            </c:ext>
          </c:extLst>
        </c:ser>
        <c:dLbls>
          <c:showLegendKey val="0"/>
          <c:showVal val="0"/>
          <c:showCatName val="0"/>
          <c:showSerName val="0"/>
          <c:showPercent val="0"/>
          <c:showBubbleSize val="0"/>
        </c:dLbls>
        <c:gapWidth val="219"/>
        <c:overlap val="-27"/>
        <c:axId val="484025456"/>
        <c:axId val="484026896"/>
      </c:barChart>
      <c:catAx>
        <c:axId val="48402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84026896"/>
        <c:crosses val="autoZero"/>
        <c:auto val="1"/>
        <c:lblAlgn val="ctr"/>
        <c:lblOffset val="100"/>
        <c:noMultiLvlLbl val="0"/>
      </c:catAx>
      <c:valAx>
        <c:axId val="484026896"/>
        <c:scaling>
          <c:orientation val="minMax"/>
        </c:scaling>
        <c:delete val="0"/>
        <c:axPos val="l"/>
        <c:majorGridlines>
          <c:spPr>
            <a:ln w="9525" cap="flat" cmpd="sng" algn="ctr">
              <a:solidFill>
                <a:schemeClr val="tx1">
                  <a:lumMod val="15000"/>
                  <a:lumOff val="85000"/>
                </a:schemeClr>
              </a:solidFill>
              <a:round/>
            </a:ln>
            <a:effectLst/>
          </c:spPr>
        </c:majorGridlines>
        <c:numFmt formatCode="#\ ##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84025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400" b="0" i="0" u="none" strike="noStrike" baseline="0"/>
              <a:t>Čerpanie prostriedkov Plánu obnovy a odolnosti podľa komponentov (stav k 31. 12. 2025)</a:t>
            </a:r>
            <a:endParaRPr lang="sk-SK"/>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Detail!$D$5</c:f>
              <c:strCache>
                <c:ptCount val="1"/>
                <c:pt idx="0">
                  <c:v>ALOKÁCIA</c:v>
                </c:pt>
              </c:strCache>
            </c:strRef>
          </c:tx>
          <c:spPr>
            <a:solidFill>
              <a:schemeClr val="accent1"/>
            </a:solidFill>
            <a:ln>
              <a:noFill/>
            </a:ln>
            <a:effectLst/>
          </c:spPr>
          <c:invertIfNegative val="0"/>
          <c:cat>
            <c:strRef>
              <c:f>Detail!$B$6:$B$23</c:f>
              <c:strCache>
                <c:ptCount val="18"/>
                <c:pt idx="0">
                  <c:v>Obnoviteľné zdroje energie a energetická infraštruktúra</c:v>
                </c:pt>
                <c:pt idx="1">
                  <c:v>Obnova budov</c:v>
                </c:pt>
                <c:pt idx="2">
                  <c:v>Udržateľná doprava</c:v>
                </c:pt>
                <c:pt idx="3">
                  <c:v>Dekarbonizácia priemyslu</c:v>
                </c:pt>
                <c:pt idx="4">
                  <c:v>Adaptácia na zmenu klímy</c:v>
                </c:pt>
                <c:pt idx="5">
                  <c:v>Dostupnosť, rozvoj a kvalita inkluzívneho vzdelávania na všetkých stupňoch</c:v>
                </c:pt>
                <c:pt idx="6">
                  <c:v>Vzdelávanie pre 21. storočie</c:v>
                </c:pt>
                <c:pt idx="7">
                  <c:v>Zvýšenie výkonnosti slovenských vysokých škôl</c:v>
                </c:pt>
                <c:pt idx="8">
                  <c:v>Efektívnejšie riadenie a posilnenie financovania vedy, výskumu a inovácií</c:v>
                </c:pt>
                <c:pt idx="9">
                  <c:v>Lákanie a udržanie talentov</c:v>
                </c:pt>
                <c:pt idx="10">
                  <c:v>Moderná a dostupná zdravotná starostlivosť</c:v>
                </c:pt>
                <c:pt idx="11">
                  <c:v>Humánna, moderná a dostupná starostlivosť o duševné zdravie</c:v>
                </c:pt>
                <c:pt idx="12">
                  <c:v>Dostupná a kvalitná dlhodobá sociálno-zdravotná starostlivosť</c:v>
                </c:pt>
                <c:pt idx="13">
                  <c:v>Zlepšenie podnikateľského prostredia</c:v>
                </c:pt>
                <c:pt idx="14">
                  <c:v>Reforma justície</c:v>
                </c:pt>
                <c:pt idx="15">
                  <c:v>Boj proti korupcii a praniu špinavých peňazí, bezpečnosť a ochrana obyvateľstva</c:v>
                </c:pt>
                <c:pt idx="16">
                  <c:v>Digitálne Slovensko</c:v>
                </c:pt>
                <c:pt idx="17">
                  <c:v>Repower</c:v>
                </c:pt>
              </c:strCache>
            </c:strRef>
          </c:cat>
          <c:val>
            <c:numRef>
              <c:f>Detail!$D$6:$D$23</c:f>
              <c:numCache>
                <c:formatCode>#,##0.00</c:formatCode>
                <c:ptCount val="18"/>
                <c:pt idx="0">
                  <c:v>239453572.50999999</c:v>
                </c:pt>
                <c:pt idx="1">
                  <c:v>629674592.39999998</c:v>
                </c:pt>
                <c:pt idx="2">
                  <c:v>808216327</c:v>
                </c:pt>
                <c:pt idx="3">
                  <c:v>41078973</c:v>
                </c:pt>
                <c:pt idx="4">
                  <c:v>116350127.84</c:v>
                </c:pt>
                <c:pt idx="5">
                  <c:v>223492314.20825779</c:v>
                </c:pt>
                <c:pt idx="6">
                  <c:v>465328791.76999998</c:v>
                </c:pt>
                <c:pt idx="7">
                  <c:v>167219296.06</c:v>
                </c:pt>
                <c:pt idx="8">
                  <c:v>576239167</c:v>
                </c:pt>
                <c:pt idx="9">
                  <c:v>94094659</c:v>
                </c:pt>
                <c:pt idx="10">
                  <c:v>1284602189.73</c:v>
                </c:pt>
                <c:pt idx="11">
                  <c:v>76210872</c:v>
                </c:pt>
                <c:pt idx="12">
                  <c:v>303340902.39999998</c:v>
                </c:pt>
                <c:pt idx="13">
                  <c:v>11160000</c:v>
                </c:pt>
                <c:pt idx="14">
                  <c:v>157763381</c:v>
                </c:pt>
                <c:pt idx="15">
                  <c:v>260975183.53</c:v>
                </c:pt>
                <c:pt idx="16">
                  <c:v>549142924.25999999</c:v>
                </c:pt>
                <c:pt idx="17">
                  <c:v>402896745.82999998</c:v>
                </c:pt>
              </c:numCache>
            </c:numRef>
          </c:val>
          <c:extLst>
            <c:ext xmlns:c16="http://schemas.microsoft.com/office/drawing/2014/chart" uri="{C3380CC4-5D6E-409C-BE32-E72D297353CC}">
              <c16:uniqueId val="{00000000-5F82-46DC-9E7D-2B839D80B69A}"/>
            </c:ext>
          </c:extLst>
        </c:ser>
        <c:ser>
          <c:idx val="1"/>
          <c:order val="1"/>
          <c:tx>
            <c:strRef>
              <c:f>Detail!$F$5</c:f>
              <c:strCache>
                <c:ptCount val="1"/>
                <c:pt idx="0">
                  <c:v>SPOLU čerpanie 2021 - 2025</c:v>
                </c:pt>
              </c:strCache>
            </c:strRef>
          </c:tx>
          <c:spPr>
            <a:solidFill>
              <a:schemeClr val="accent2"/>
            </a:solidFill>
            <a:ln>
              <a:noFill/>
            </a:ln>
            <a:effectLst/>
          </c:spPr>
          <c:invertIfNegative val="0"/>
          <c:cat>
            <c:strRef>
              <c:f>Detail!$B$6:$B$23</c:f>
              <c:strCache>
                <c:ptCount val="18"/>
                <c:pt idx="0">
                  <c:v>Obnoviteľné zdroje energie a energetická infraštruktúra</c:v>
                </c:pt>
                <c:pt idx="1">
                  <c:v>Obnova budov</c:v>
                </c:pt>
                <c:pt idx="2">
                  <c:v>Udržateľná doprava</c:v>
                </c:pt>
                <c:pt idx="3">
                  <c:v>Dekarbonizácia priemyslu</c:v>
                </c:pt>
                <c:pt idx="4">
                  <c:v>Adaptácia na zmenu klímy</c:v>
                </c:pt>
                <c:pt idx="5">
                  <c:v>Dostupnosť, rozvoj a kvalita inkluzívneho vzdelávania na všetkých stupňoch</c:v>
                </c:pt>
                <c:pt idx="6">
                  <c:v>Vzdelávanie pre 21. storočie</c:v>
                </c:pt>
                <c:pt idx="7">
                  <c:v>Zvýšenie výkonnosti slovenských vysokých škôl</c:v>
                </c:pt>
                <c:pt idx="8">
                  <c:v>Efektívnejšie riadenie a posilnenie financovania vedy, výskumu a inovácií</c:v>
                </c:pt>
                <c:pt idx="9">
                  <c:v>Lákanie a udržanie talentov</c:v>
                </c:pt>
                <c:pt idx="10">
                  <c:v>Moderná a dostupná zdravotná starostlivosť</c:v>
                </c:pt>
                <c:pt idx="11">
                  <c:v>Humánna, moderná a dostupná starostlivosť o duševné zdravie</c:v>
                </c:pt>
                <c:pt idx="12">
                  <c:v>Dostupná a kvalitná dlhodobá sociálno-zdravotná starostlivosť</c:v>
                </c:pt>
                <c:pt idx="13">
                  <c:v>Zlepšenie podnikateľského prostredia</c:v>
                </c:pt>
                <c:pt idx="14">
                  <c:v>Reforma justície</c:v>
                </c:pt>
                <c:pt idx="15">
                  <c:v>Boj proti korupcii a praniu špinavých peňazí, bezpečnosť a ochrana obyvateľstva</c:v>
                </c:pt>
                <c:pt idx="16">
                  <c:v>Digitálne Slovensko</c:v>
                </c:pt>
                <c:pt idx="17">
                  <c:v>Repower</c:v>
                </c:pt>
              </c:strCache>
            </c:strRef>
          </c:cat>
          <c:val>
            <c:numRef>
              <c:f>Detail!$F$6:$F$23</c:f>
              <c:numCache>
                <c:formatCode>#,##0.00</c:formatCode>
                <c:ptCount val="18"/>
                <c:pt idx="0">
                  <c:v>28773108.169999998</c:v>
                </c:pt>
                <c:pt idx="1">
                  <c:v>505317299.06999999</c:v>
                </c:pt>
                <c:pt idx="2">
                  <c:v>442165264.81</c:v>
                </c:pt>
                <c:pt idx="3">
                  <c:v>8496249.3000000007</c:v>
                </c:pt>
                <c:pt idx="4">
                  <c:v>47168622.380000003</c:v>
                </c:pt>
                <c:pt idx="5">
                  <c:v>172972863.71000001</c:v>
                </c:pt>
                <c:pt idx="6">
                  <c:v>224044412.16</c:v>
                </c:pt>
                <c:pt idx="7">
                  <c:v>134110317.14000002</c:v>
                </c:pt>
                <c:pt idx="8">
                  <c:v>285298247.76999998</c:v>
                </c:pt>
                <c:pt idx="9">
                  <c:v>58845630.449999996</c:v>
                </c:pt>
                <c:pt idx="10">
                  <c:v>575591411.29100013</c:v>
                </c:pt>
                <c:pt idx="11">
                  <c:v>34902820.959999993</c:v>
                </c:pt>
                <c:pt idx="12">
                  <c:v>247850728.15000001</c:v>
                </c:pt>
                <c:pt idx="13">
                  <c:v>4870843.3000000007</c:v>
                </c:pt>
                <c:pt idx="14">
                  <c:v>89481890.709999993</c:v>
                </c:pt>
                <c:pt idx="15">
                  <c:v>149390363.09000003</c:v>
                </c:pt>
                <c:pt idx="16">
                  <c:v>145536430.08999997</c:v>
                </c:pt>
                <c:pt idx="17">
                  <c:v>142472182.04999998</c:v>
                </c:pt>
              </c:numCache>
            </c:numRef>
          </c:val>
          <c:extLst>
            <c:ext xmlns:c16="http://schemas.microsoft.com/office/drawing/2014/chart" uri="{C3380CC4-5D6E-409C-BE32-E72D297353CC}">
              <c16:uniqueId val="{00000001-5F82-46DC-9E7D-2B839D80B69A}"/>
            </c:ext>
          </c:extLst>
        </c:ser>
        <c:dLbls>
          <c:showLegendKey val="0"/>
          <c:showVal val="0"/>
          <c:showCatName val="0"/>
          <c:showSerName val="0"/>
          <c:showPercent val="0"/>
          <c:showBubbleSize val="0"/>
        </c:dLbls>
        <c:gapWidth val="219"/>
        <c:overlap val="-27"/>
        <c:axId val="1736899247"/>
        <c:axId val="1736899727"/>
      </c:barChart>
      <c:catAx>
        <c:axId val="1736899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36899727"/>
        <c:crosses val="autoZero"/>
        <c:auto val="1"/>
        <c:lblAlgn val="ctr"/>
        <c:lblOffset val="100"/>
        <c:noMultiLvlLbl val="0"/>
      </c:catAx>
      <c:valAx>
        <c:axId val="17368997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36899247"/>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IFP motív">
    <a:dk1>
      <a:srgbClr val="131D2B"/>
    </a:dk1>
    <a:lt1>
      <a:srgbClr val="FFFFFF"/>
    </a:lt1>
    <a:dk2>
      <a:srgbClr val="FFFFFF"/>
    </a:dk2>
    <a:lt2>
      <a:srgbClr val="FFFFFF"/>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94853-A597-4C6A-9329-63F84CAE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4415</TotalTime>
  <Pages>101</Pages>
  <Words>47044</Words>
  <Characters>268155</Characters>
  <Application>Microsoft Office Word</Application>
  <DocSecurity>0</DocSecurity>
  <Lines>2234</Lines>
  <Paragraphs>629</Paragraphs>
  <ScaleCrop>false</ScaleCrop>
  <HeadingPairs>
    <vt:vector size="2" baseType="variant">
      <vt:variant>
        <vt:lpstr>Názov</vt:lpstr>
      </vt:variant>
      <vt:variant>
        <vt:i4>1</vt:i4>
      </vt:variant>
    </vt:vector>
  </HeadingPairs>
  <TitlesOfParts>
    <vt:vector size="1" baseType="lpstr">
      <vt:lpstr/>
    </vt:vector>
  </TitlesOfParts>
  <Company>MF SR</Company>
  <LinksUpToDate>false</LinksUpToDate>
  <CharactersWithSpaces>314570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Suttova Jana</dc:creator>
  <cp:keywords/>
  <dc:description/>
  <cp:lastModifiedBy>Murinova Jana</cp:lastModifiedBy>
  <cp:revision>704</cp:revision>
  <cp:lastPrinted>2026-04-21T13:26:00Z</cp:lastPrinted>
  <dcterms:created xsi:type="dcterms:W3CDTF">2025-05-09T09:07:00Z</dcterms:created>
  <dcterms:modified xsi:type="dcterms:W3CDTF">2026-04-27T12:55:00Z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5f1ac4e5,4bf61c0,74fc5758</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2026-01-29T10:41:21Z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37185152-d423-4b53-84f8-4a4dbdb8bb64</vt:lpwstr>
  </property>
  <property fmtid="{D5CDD505-2E9C-101B-9397-08002B2CF9AE}" pid="11" name="MSIP_Label_4c805978-f532-4a1a-b9e1-4e19c2c6466f_ContentBits">
    <vt:lpwstr>2</vt:lpwstr>
  </property>
  <property fmtid="{D5CDD505-2E9C-101B-9397-08002B2CF9AE}" pid="12" name="MSIP_Label_4c805978-f532-4a1a-b9e1-4e19c2c6466f_Tag">
    <vt:lpwstr>10, 3, 0, 1</vt:lpwstr>
  </property>
</Properties>
</file>