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79D8" w14:textId="77777777" w:rsidR="002171FA" w:rsidRPr="0070001F" w:rsidRDefault="002171FA" w:rsidP="002171FA">
      <w:pPr>
        <w:spacing w:before="360" w:after="80"/>
        <w:jc w:val="center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u w:val="single"/>
          <w:lang w:val="sk-SK"/>
        </w:rPr>
        <w:t>DOLOŽKA ZLUČITEĽNOSTI</w:t>
      </w:r>
    </w:p>
    <w:p w14:paraId="52B22152" w14:textId="77777777" w:rsidR="002171FA" w:rsidRPr="0070001F" w:rsidRDefault="002171FA" w:rsidP="002171FA">
      <w:pPr>
        <w:spacing w:before="40" w:after="200"/>
        <w:jc w:val="center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lang w:val="sk-SK"/>
        </w:rPr>
        <w:t>právneho predpisu s právom Európskej únie</w:t>
      </w:r>
    </w:p>
    <w:p w14:paraId="16B51611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lang w:val="sk-SK"/>
        </w:rPr>
        <w:t>1.</w:t>
      </w:r>
      <w:r w:rsidRPr="0070001F">
        <w:rPr>
          <w:rFonts w:ascii="Palatino Linotype" w:hAnsi="Palatino Linotype"/>
          <w:b/>
          <w:bCs/>
          <w:lang w:val="sk-SK"/>
        </w:rPr>
        <w:tab/>
        <w:t>Predkladatelia právneho predpisu:</w:t>
      </w:r>
    </w:p>
    <w:p w14:paraId="3C1C4465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 xml:space="preserve">Poslanci Národnej rady Slovenskej republiky Andrea Turčanová, Milan Majerský, Monika </w:t>
      </w:r>
      <w:proofErr w:type="spellStart"/>
      <w:r w:rsidRPr="0070001F">
        <w:rPr>
          <w:rFonts w:ascii="Palatino Linotype" w:hAnsi="Palatino Linotype"/>
          <w:lang w:val="sk-SK"/>
        </w:rPr>
        <w:t>Kolejáková</w:t>
      </w:r>
      <w:proofErr w:type="spellEnd"/>
      <w:r w:rsidRPr="0070001F">
        <w:rPr>
          <w:rFonts w:ascii="Palatino Linotype" w:hAnsi="Palatino Linotype"/>
          <w:lang w:val="sk-SK"/>
        </w:rPr>
        <w:t xml:space="preserve"> a Rastislav Krátky.</w:t>
      </w:r>
    </w:p>
    <w:p w14:paraId="2378B5B4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68DF7A27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lang w:val="sk-SK"/>
        </w:rPr>
        <w:t>2.</w:t>
      </w:r>
      <w:r w:rsidRPr="0070001F">
        <w:rPr>
          <w:rFonts w:ascii="Palatino Linotype" w:hAnsi="Palatino Linotype"/>
          <w:b/>
          <w:bCs/>
          <w:lang w:val="sk-SK"/>
        </w:rPr>
        <w:tab/>
        <w:t>Názov návrhu právneho predpisu:</w:t>
      </w:r>
    </w:p>
    <w:p w14:paraId="605E1A1C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Návrh zákona o rodinnej karte.</w:t>
      </w:r>
    </w:p>
    <w:p w14:paraId="151C8C40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033D3232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lang w:val="sk-SK"/>
        </w:rPr>
        <w:t>3.</w:t>
      </w:r>
      <w:r w:rsidRPr="0070001F">
        <w:rPr>
          <w:rFonts w:ascii="Palatino Linotype" w:hAnsi="Palatino Linotype"/>
          <w:b/>
          <w:bCs/>
          <w:lang w:val="sk-SK"/>
        </w:rPr>
        <w:tab/>
        <w:t>Problematika návrhu právneho predpisu:</w:t>
      </w:r>
    </w:p>
    <w:p w14:paraId="5DBB4B74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a)</w:t>
      </w:r>
      <w:r w:rsidRPr="0070001F">
        <w:rPr>
          <w:rFonts w:ascii="Palatino Linotype" w:hAnsi="Palatino Linotype"/>
          <w:lang w:val="sk-SK"/>
        </w:rPr>
        <w:tab/>
        <w:t>nie je upravená v práve Európskej únie.</w:t>
      </w:r>
    </w:p>
    <w:p w14:paraId="754A902F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Predmetom návrhu zákona je zavedenie rodinnej karty ako vnútroštátneho nástroja rodinnej politiky a organizácie verejnej správy. Ide o oblasť, v ktorej má Únia len podpornú právomoc podľa článku 153 ods. 1 písm. j) Zmluvy o fungovaní Európskej únie. Predmet návrhu zákona nie je harmonizovaný právom Európskej únie.</w:t>
      </w:r>
    </w:p>
    <w:p w14:paraId="488A5342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V dotknutých oblastiach sú relevantné tieto akty sekundárneho práva EÚ, ktorých sa návrh zákona dotýka, nie však transpozičným spôsobom:</w:t>
      </w:r>
    </w:p>
    <w:p w14:paraId="7DA8F24D" w14:textId="77777777" w:rsidR="002171FA" w:rsidRPr="0070001F" w:rsidRDefault="002171FA" w:rsidP="002171FA">
      <w:pPr>
        <w:spacing w:before="80" w:after="80" w:line="280" w:lineRule="auto"/>
        <w:ind w:left="360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– nariadenie Európskeho parlamentu a Rady (EÚ) 2016/679 z 27. apríla 2016 o ochrane fyzických osôb pri spracúvaní osobných údajov (GDPR) – návrh zákona vymedzuje v § 19 a § 20 účely, kategórie údajov, právny základ a základné bezpečnostné opatrenia spracúvania osobných údajov v súlade s článkami 5, 6, 13 a 89 GDPR; relevantná je aj povinnosť posúdenia vplyvu na ochranu údajov (DPIA) podľa článku 35 GDPR, ktorú ministerstvo vykoná pred spustením informačného systému rodinnej karty;</w:t>
      </w:r>
    </w:p>
    <w:p w14:paraId="55646051" w14:textId="77777777" w:rsidR="002171FA" w:rsidRPr="0070001F" w:rsidRDefault="002171FA" w:rsidP="002171FA">
      <w:pPr>
        <w:spacing w:before="80" w:after="80" w:line="280" w:lineRule="auto"/>
        <w:ind w:left="360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– nariadenie Európskeho parlamentu a Rady (EÚ) č. 910/2014 v znení nariadenia (EÚ) 2024/1183 (</w:t>
      </w:r>
      <w:proofErr w:type="spellStart"/>
      <w:r w:rsidRPr="0070001F">
        <w:rPr>
          <w:rFonts w:ascii="Palatino Linotype" w:hAnsi="Palatino Linotype"/>
          <w:lang w:val="sk-SK"/>
        </w:rPr>
        <w:t>eIDAS</w:t>
      </w:r>
      <w:proofErr w:type="spellEnd"/>
      <w:r w:rsidRPr="0070001F">
        <w:rPr>
          <w:rFonts w:ascii="Palatino Linotype" w:hAnsi="Palatino Linotype"/>
          <w:lang w:val="sk-SK"/>
        </w:rPr>
        <w:t xml:space="preserve"> 2.0) – elektronická rodinná karta je viazaná na prostriedky elektronickej identifikácie podľa osobitného predpisu, čo umožňuje budúce napojenie na európsku peňaženku digitálnej identity podľa nariadenia </w:t>
      </w:r>
      <w:proofErr w:type="spellStart"/>
      <w:r w:rsidRPr="0070001F">
        <w:rPr>
          <w:rFonts w:ascii="Palatino Linotype" w:hAnsi="Palatino Linotype"/>
          <w:lang w:val="sk-SK"/>
        </w:rPr>
        <w:t>eIDAS</w:t>
      </w:r>
      <w:proofErr w:type="spellEnd"/>
      <w:r w:rsidRPr="0070001F">
        <w:rPr>
          <w:rFonts w:ascii="Palatino Linotype" w:hAnsi="Palatino Linotype"/>
          <w:lang w:val="sk-SK"/>
        </w:rPr>
        <w:t xml:space="preserve"> 2.0; návrh zákona tomuto nariadeniu nie je v rozpore;</w:t>
      </w:r>
    </w:p>
    <w:p w14:paraId="06CFF672" w14:textId="77777777" w:rsidR="002171FA" w:rsidRPr="0070001F" w:rsidRDefault="002171FA" w:rsidP="002171FA">
      <w:pPr>
        <w:spacing w:before="80" w:after="80" w:line="280" w:lineRule="auto"/>
        <w:ind w:left="360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– všeobecný rámec vnútorného trhu EÚ vrátane pravidiel štátnej pomoci (článok 107 ZFEÚ) – zapojenie súkromných poskytovateľov do systému rodinnej karty je dobrovoľné a zmluvné; zákon im neukladá žiadnu povinnosť poskytovať zvýhodnenia, a preto systém rodinnej karty neustanovuje schému štátnej pomoci v zmysle článku 107 ZFEÚ;</w:t>
      </w:r>
    </w:p>
    <w:p w14:paraId="732E1FEB" w14:textId="77777777" w:rsidR="002171FA" w:rsidRPr="0070001F" w:rsidRDefault="002171FA" w:rsidP="002171FA">
      <w:pPr>
        <w:spacing w:before="80" w:after="80" w:line="280" w:lineRule="auto"/>
        <w:ind w:left="360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– návrh zákona nepredstavuje technický predpis v zmysle smernice (EÚ) 2015/1535 o postupe pri poskytovaní informácií v oblasti technických predpisov, a preto nepodlieha notifikačnej povinnosti podľa tejto smernice.</w:t>
      </w:r>
    </w:p>
    <w:p w14:paraId="4B8B7687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404EF222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b)</w:t>
      </w:r>
      <w:r w:rsidRPr="0070001F">
        <w:rPr>
          <w:rFonts w:ascii="Palatino Linotype" w:hAnsi="Palatino Linotype"/>
          <w:lang w:val="sk-SK"/>
        </w:rPr>
        <w:tab/>
        <w:t>nie je obsiahnutá v judikatúre Súdneho dvora Európskej únie</w:t>
      </w:r>
    </w:p>
    <w:p w14:paraId="2FABDB11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Problematika rodinných kariet ako vnútroštátnych nástrojov rodinnej politiky nie je osobitne upravená v judikatúre Súdneho dvora Európskej únie, ktorá by vyžadovala špecifické riešenia pri koncipovaní návrhu zákona.</w:t>
      </w:r>
    </w:p>
    <w:p w14:paraId="6EFFF769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6CC367FC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lang w:val="sk-SK"/>
        </w:rPr>
        <w:t>4.</w:t>
      </w:r>
      <w:r w:rsidRPr="0070001F">
        <w:rPr>
          <w:rFonts w:ascii="Palatino Linotype" w:hAnsi="Palatino Linotype"/>
          <w:b/>
          <w:bCs/>
          <w:lang w:val="sk-SK"/>
        </w:rPr>
        <w:tab/>
        <w:t>Záväzky Slovenskej republiky vo vzťahu k Európskej únii:</w:t>
      </w:r>
    </w:p>
    <w:p w14:paraId="1F791DAB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Návrh zákona nie je transpozičným predpisom. Z návrhu zákona nevyplývajú nové záväzky Slovenskej republiky vo vzťahu k Európskej únii a na jeho prijatie sa neviaže lehota na prebratie smernice ani na implementáciu nariadenia EÚ. V danej oblasti nie je Komisii ani Súdnemu dvoru EÚ známe konanie podľa článku 258 alebo 260 ZFEÚ voči Slovenskej republike. Právne akty EÚ relevantné v oblasti ochrany osobných údajov (GDPR) a elektronickej identifikácie (</w:t>
      </w:r>
      <w:proofErr w:type="spellStart"/>
      <w:r w:rsidRPr="0070001F">
        <w:rPr>
          <w:rFonts w:ascii="Palatino Linotype" w:hAnsi="Palatino Linotype"/>
          <w:lang w:val="sk-SK"/>
        </w:rPr>
        <w:t>eIDAS</w:t>
      </w:r>
      <w:proofErr w:type="spellEnd"/>
      <w:r w:rsidRPr="0070001F">
        <w:rPr>
          <w:rFonts w:ascii="Palatino Linotype" w:hAnsi="Palatino Linotype"/>
          <w:lang w:val="sk-SK"/>
        </w:rPr>
        <w:t>/</w:t>
      </w:r>
      <w:proofErr w:type="spellStart"/>
      <w:r w:rsidRPr="0070001F">
        <w:rPr>
          <w:rFonts w:ascii="Palatino Linotype" w:hAnsi="Palatino Linotype"/>
          <w:lang w:val="sk-SK"/>
        </w:rPr>
        <w:t>eIDAS</w:t>
      </w:r>
      <w:proofErr w:type="spellEnd"/>
      <w:r w:rsidRPr="0070001F">
        <w:rPr>
          <w:rFonts w:ascii="Palatino Linotype" w:hAnsi="Palatino Linotype"/>
          <w:lang w:val="sk-SK"/>
        </w:rPr>
        <w:t xml:space="preserve"> 2.0) sú prebrané a implementované v osobitných vnútroštátnych predpisoch; návrh zákona sa na </w:t>
      </w:r>
      <w:proofErr w:type="spellStart"/>
      <w:r w:rsidRPr="0070001F">
        <w:rPr>
          <w:rFonts w:ascii="Palatino Linotype" w:hAnsi="Palatino Linotype"/>
          <w:lang w:val="sk-SK"/>
        </w:rPr>
        <w:t>ne</w:t>
      </w:r>
      <w:proofErr w:type="spellEnd"/>
      <w:r w:rsidRPr="0070001F">
        <w:rPr>
          <w:rFonts w:ascii="Palatino Linotype" w:hAnsi="Palatino Linotype"/>
          <w:lang w:val="sk-SK"/>
        </w:rPr>
        <w:t xml:space="preserve"> odvoláva a materiálne ich rešpektuje.</w:t>
      </w:r>
    </w:p>
    <w:p w14:paraId="0473EAFD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6E0A926C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b/>
          <w:bCs/>
          <w:lang w:val="sk-SK"/>
        </w:rPr>
        <w:t>5.</w:t>
      </w:r>
      <w:r w:rsidRPr="0070001F">
        <w:rPr>
          <w:rFonts w:ascii="Palatino Linotype" w:hAnsi="Palatino Linotype"/>
          <w:b/>
          <w:bCs/>
          <w:lang w:val="sk-SK"/>
        </w:rPr>
        <w:tab/>
        <w:t>Stupeň zlučiteľnosti návrhu právneho predpisu s právom Európskej únie:</w:t>
      </w:r>
    </w:p>
    <w:p w14:paraId="26A02103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  <w:r w:rsidRPr="0070001F">
        <w:rPr>
          <w:rFonts w:ascii="Palatino Linotype" w:hAnsi="Palatino Linotype"/>
          <w:lang w:val="sk-SK"/>
        </w:rPr>
        <w:t>Úplný.</w:t>
      </w:r>
    </w:p>
    <w:p w14:paraId="681F3998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10F15D54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16962294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18B9510C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18670590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434D34BD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03ECFED2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35F86EB2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16BB632E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2DD89E40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6A3BBC1D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10AC8D96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46C0804B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62069E0D" w14:textId="77777777" w:rsidR="002171FA" w:rsidRPr="0070001F" w:rsidRDefault="002171FA" w:rsidP="002171FA">
      <w:pPr>
        <w:spacing w:before="80" w:after="80" w:line="280" w:lineRule="auto"/>
        <w:jc w:val="both"/>
        <w:rPr>
          <w:rFonts w:ascii="Palatino Linotype" w:hAnsi="Palatino Linotype"/>
          <w:lang w:val="sk-SK"/>
        </w:rPr>
      </w:pPr>
    </w:p>
    <w:p w14:paraId="42C6E887" w14:textId="77777777" w:rsidR="007876F7" w:rsidRDefault="007876F7"/>
    <w:sectPr w:rsidR="007876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1FA"/>
    <w:rsid w:val="002171FA"/>
    <w:rsid w:val="003C5017"/>
    <w:rsid w:val="007876F7"/>
    <w:rsid w:val="00B6769C"/>
    <w:rsid w:val="00BA2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D0883"/>
  <w15:chartTrackingRefBased/>
  <w15:docId w15:val="{FB26A011-1712-4B7B-8B90-8078103B7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171FA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2171F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k-SK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2171F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k-SK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2171F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k-SK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2171F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2171F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2171F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71F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sk-SK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171F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sk-SK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2171F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sk-SK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171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71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2171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2171F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2171F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2171F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2171F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2171F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2171F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2171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21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171F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k-SK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21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2171F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sk-SK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2171F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2171F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sk-SK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2171F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171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sk-SK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171F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2171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485</Words>
  <Characters>2765</Characters>
  <DocSecurity>0</DocSecurity>
  <Lines>23</Lines>
  <Paragraphs>6</Paragraphs>
  <ScaleCrop>false</ScaleCrop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2026-05-08T14:36:00Z</dcterms:created>
  <dcterms:modified xsi:type="dcterms:W3CDTF">2026-05-08T14:36:00Z</dcterms:modified>
</cp:coreProperties>
</file>