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211C" w14:textId="77777777" w:rsidR="00E86A0B" w:rsidRPr="00861B42" w:rsidRDefault="00E86A0B" w:rsidP="00E86A0B">
      <w:pPr>
        <w:spacing w:before="360" w:after="200"/>
        <w:jc w:val="center"/>
        <w:rPr>
          <w:rFonts w:ascii="Palatino Linotype" w:hAnsi="Palatino Linotype"/>
          <w:sz w:val="22"/>
          <w:szCs w:val="22"/>
          <w:lang w:val="sk-SK"/>
        </w:rPr>
      </w:pPr>
      <w:r w:rsidRPr="00861B42">
        <w:rPr>
          <w:rFonts w:ascii="Palatino Linotype" w:hAnsi="Palatino Linotype"/>
          <w:b/>
          <w:bCs/>
          <w:sz w:val="22"/>
          <w:szCs w:val="22"/>
          <w:u w:val="single"/>
          <w:lang w:val="sk-SK"/>
        </w:rPr>
        <w:t>Doložka vybraných vplyvov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3"/>
        <w:gridCol w:w="371"/>
        <w:gridCol w:w="1141"/>
        <w:gridCol w:w="371"/>
        <w:gridCol w:w="1111"/>
        <w:gridCol w:w="371"/>
        <w:gridCol w:w="2792"/>
      </w:tblGrid>
      <w:tr w:rsidR="00E86A0B" w:rsidRPr="00861B42" w14:paraId="19B6689A" w14:textId="77777777" w:rsidTr="00060CC8">
        <w:tc>
          <w:tcPr>
            <w:tcW w:w="936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5E8F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2AE09AF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Základné údaje</w:t>
            </w:r>
          </w:p>
        </w:tc>
      </w:tr>
      <w:tr w:rsidR="00E86A0B" w:rsidRPr="00861B42" w14:paraId="59D7DB5B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5D79053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Názov návrhu zákona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9C8725B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Zákon o ochrane maloletých osôb v digitálnom priestore a o povinnostiach poskytovateľov platforiem sociálnych sietí a o zmene a doplnení niektorých zákonov</w:t>
            </w:r>
          </w:p>
        </w:tc>
      </w:tr>
      <w:tr w:rsidR="00E86A0B" w:rsidRPr="00861B42" w14:paraId="5F722EDD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9072B24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Navrhovateľ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30EF24C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Poslanci Národnej rady Slovenskej republiky Ján Horecký, Peter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Stachura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a Monika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Kolejaková</w:t>
            </w:r>
            <w:proofErr w:type="spellEnd"/>
          </w:p>
        </w:tc>
      </w:tr>
      <w:tr w:rsidR="00E86A0B" w:rsidRPr="00861B42" w14:paraId="1085DCEC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A7CCBA6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Definovanie problému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09D6057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Nedostatočná právna ochrana maloletých osôb pred rizikami platformového digitálneho prostredia: absencia záväzného mechanizmu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age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assurance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(overovania veku), neexistencia normatívnych požiadaviek bezpečného dizajnu, nekontrolované vystavenie maloletých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kyberšikane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groomingu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, cielenej reklame a algoritmicky podporovanému návykovému správaniu.</w:t>
            </w:r>
          </w:p>
        </w:tc>
      </w:tr>
      <w:tr w:rsidR="00E86A0B" w:rsidRPr="00861B42" w14:paraId="79CBA1D7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A79121D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Ciele a výsledný stav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1B8CE36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Vytvorenie komplexného právneho rámca ochrany maloletých na platformách sociálnych sietí. Výsledkom bude posilnenie práv detí v digitálnom priestore, zavedenie efektívneho technologicky neutrálneho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age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assurance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, bezpečný dizajn platforiem, efektívny dohľad Rady pre mediálne služby a vymáhateľné sankcie.</w:t>
            </w:r>
          </w:p>
        </w:tc>
      </w:tr>
      <w:tr w:rsidR="00E86A0B" w:rsidRPr="00861B42" w14:paraId="54C54318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40CA61A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Dotknuté subjekty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44CE3A0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Maloleté osoby a ich zákonní zástupcovia; poskytovatelia platforiem sociálnych sietí; Rada pre mediálne služby; Úrad na ochranu osobných údajov SR; Ministerstvo investícií, regionálneho rozvoja a informatizácie SR; Ministerstvo školstva, výskumu, vývoja a mládeže SR; školy; orgány sociálnoprávnej ochrany detí.</w:t>
            </w:r>
          </w:p>
        </w:tc>
      </w:tr>
      <w:tr w:rsidR="00E86A0B" w:rsidRPr="00861B42" w14:paraId="23E0C523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EABE4FC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Alternatívne riešenia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37C554A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Nulový variant by znamenal zachovanie súčasného nedostatočného stavu bez efektívnej vekovej bariéry a bez záväzných požiadaviek bezpečného dizajnu. Samoregulácia platforiem sa preukázala dlhodobo nepostačujúcou. Legislatívna intervencia je nevyhnutná a v súlade s globálnym regulačným trendom (Austrália, Francúzsko, Španielsko, Malajzia).</w:t>
            </w:r>
          </w:p>
        </w:tc>
      </w:tr>
      <w:tr w:rsidR="00E86A0B" w:rsidRPr="00861B42" w14:paraId="0AD03A27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0F78D9C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Vykonávacie predpisy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4004E7F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Návrh zákona si vyžaduje vydanie vyhlášky Ministerstva investícií, regionálneho rozvoja a informatizácie SR podľa § 17 ods. 2 k technickým požiadavkám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age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assurance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a vekového atribútu a vydanie metodických usmernení Rady pre mediálne služby podľa § 17 ods. 1.</w:t>
            </w:r>
          </w:p>
        </w:tc>
      </w:tr>
      <w:tr w:rsidR="00E86A0B" w:rsidRPr="00861B42" w14:paraId="11E5379F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153AB3E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lastRenderedPageBreak/>
              <w:t>Transpozícia práva EÚ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1DD4D24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Neaplikuje sa. Návrh zákona dopĺňa priamo uplatniteľné nariadenia EÚ (DSA, GDPR, AIA) v oblastiach, v ktorých tieto ponechávajú priestor na prísnejšiu vnútroštátnu úpravu.</w:t>
            </w:r>
          </w:p>
        </w:tc>
      </w:tr>
      <w:tr w:rsidR="00E86A0B" w:rsidRPr="00861B42" w14:paraId="50D6AA61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1938490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Preskúmanie účelnosti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3514BD3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Rada pre mediálne služby predloží parlamentnému výboru príslušnému pre oblasť digitálnych médií správu o účinnosti zákona do troch rokov od nadobudnutia jeho účinnosti.</w:t>
            </w:r>
          </w:p>
        </w:tc>
      </w:tr>
      <w:tr w:rsidR="00E86A0B" w:rsidRPr="00861B42" w14:paraId="4EC241F0" w14:textId="77777777" w:rsidTr="00060CC8">
        <w:tc>
          <w:tcPr>
            <w:tcW w:w="936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5E8F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6532514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Vybrané vplyvy materiálu</w:t>
            </w:r>
          </w:p>
        </w:tc>
      </w:tr>
      <w:tr w:rsidR="00E86A0B" w:rsidRPr="00861B42" w14:paraId="143826D0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D686D95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Vplyvy na rozpočet verejnej správy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4094FD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0A007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7F899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78C711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9CDF0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DE4635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1E5FE5DA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935BEF2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z toho rozpočtovo zabezpečené vplyvy, v prípade identifikovaného negatívneho vplyvu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B2B66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ECA798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Áno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64D41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EAB0D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Nie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64F5E7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A7323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Čiastočne</w:t>
            </w:r>
          </w:p>
        </w:tc>
      </w:tr>
      <w:tr w:rsidR="00E86A0B" w:rsidRPr="00861B42" w14:paraId="55CF93BF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0019165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 tom vplyvy na rozpočty obcí a VÚC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33A82F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7DA68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29EA0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5C279C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684A17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F1399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2BFE7154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763E4F3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Vplyvy na podnikateľské prostredie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2FA98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47B87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E3A982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AB44D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13A831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83ED0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4D36660C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B4E6D18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predpokladané vyčíslenie negatívnych vplyvov na podnikateľské prostredie:</w:t>
            </w:r>
          </w:p>
        </w:tc>
        <w:tc>
          <w:tcPr>
            <w:tcW w:w="598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ABC19CB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Jednorazové (implementačné) náklady: Integrácia systémov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age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assurance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: 500 000 EUR až 5 000 000 EUR pre veľkých poskytovateľov (VLOP), 50 000 - 500 000 EUR pre menších poskytovateľov.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Redesign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registračného procesu a bezpečného dizajnu (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safety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by design): 100 000 - 2 000 000 EUR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podla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rozsahu platformy. Priebežné (prevádzkové) náklady: Prevádzka systémov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age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assurance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a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compliance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dokumentácia: 50 000 - 500 000 EUR ročne. Personálne zabezpečenie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compliance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agendy: 30 000 - 200 000 EUR ročne. Tieto náklady nesú výlučne poskytovatelia platforiem sociálnych sietí. Pre globálne platformy s obratom v miliardách EUR (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Meta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Alphabet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ByteDance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) predstavujú náklady menej ako 0,01 % obratu a sú proporcionálne sledovanému záujmu ochrany maloletých. Náklady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niesú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rozpočtovo zabezpečené - ide o súkromnoprávne povinnosti plnené z vlastných zdrojov povinných subjektov.</w:t>
            </w:r>
          </w:p>
        </w:tc>
      </w:tr>
      <w:tr w:rsidR="00E86A0B" w:rsidRPr="00861B42" w14:paraId="09242249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AF5CA61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Sociálne vplyvy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1B3EC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01F8D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07549E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60DA3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85F0B2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6FA545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05D85453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A43F24E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Vplyvy na životné prostredie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3857C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4B626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9C89F3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50752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D698AC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ABEE0D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354C9ED1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727A155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Vplyvy na informatizáciu spoločnosti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652806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D4879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91F8B7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F4524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C6CEA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B2A24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3F6B498D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7757571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lastRenderedPageBreak/>
              <w:t>Vplyvy na služby verejnej správy pre občana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274EC2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055919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7C7C8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82A3D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90CD3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EDCA00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2C2C9510" w14:textId="77777777" w:rsidTr="00060CC8">
        <w:tc>
          <w:tcPr>
            <w:tcW w:w="3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11F18143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Vplyvy na manželstvo, rodičovstvo, rodinu a deti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F8B569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5487AF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Pozitívne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63F3B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4A19C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Žiadne</w:t>
            </w:r>
          </w:p>
        </w:tc>
        <w:tc>
          <w:tcPr>
            <w:tcW w:w="3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88BC14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</w:p>
        </w:tc>
        <w:tc>
          <w:tcPr>
            <w:tcW w:w="11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44660" w14:textId="77777777" w:rsidR="00E86A0B" w:rsidRPr="00861B42" w:rsidRDefault="00E86A0B" w:rsidP="00060CC8">
            <w:pPr>
              <w:jc w:val="center"/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Negatívne</w:t>
            </w:r>
          </w:p>
        </w:tc>
      </w:tr>
      <w:tr w:rsidR="00E86A0B" w:rsidRPr="00861B42" w14:paraId="2819FE94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55F4587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Poznámky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2FB2727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Vplyvy na rozpočet verejnej správy: žiadne - zákon nevytvára nové orgány ani priame nároky na štátny rozpočet; výkon dohľadu RMS prebieha v rámci existujúcich kapacít. Vplyvy na podnikateľské prostredie: negatívne - zákon ukladá poskytovateľom platforiem nové povinnosti (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age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assurance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safety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by design,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compliance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dokumentácia,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nahlasovacie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mechanizmy), čo generuje jednorazové implementačné náklady odhadované na 50 000 - 5 000 000 EUR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podla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veľkosti poskytovateľa a priebežné prevádzkové náklady 80 000 - 700 000 EUR ročne. Negatívny vplyv je odôvodnený a proporcionálny: (a) dotýka sa výlučne veľkých platforiem sociálnych sietí, nie MSP; (b) pre platformy s globálnym obratom v miliardách EUR nepredstavuje náklady vyššie ako 0,01 % obratu; (c) zodpovedajúce povinnosti vyplývajú aj z čl. 28 DSA,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t.j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.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compliance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základ čiastočne existuje; (d) náklady sú vyvážené verejným záujmom ochrany duševného zdravia a bezpečnosti detí. Sociálne vplyvy: výrazne pozitívne - znižuje sa vystavenie maloletých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groomingu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,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kyberšikane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, online vydieraniu a algoritmicky podporovanému návykovému správaniu; posilňuje sa právne postavenie zákonných zástupcov. Vplyv na informatizáciu: pozitívny - zavedenie vekového atribútu (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age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assurance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infraštruktúra) modernizuje systém digitálnej identifikácie SR v súlade s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eIDAS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2.0.</w:t>
            </w:r>
          </w:p>
        </w:tc>
      </w:tr>
      <w:tr w:rsidR="00E86A0B" w:rsidRPr="00861B42" w14:paraId="47D0E15E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08482D8A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Kontakt na spracovateľa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407BC55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Ján Horecký jan.horecky@nrsr.sk  |  Peter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Stachura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peter.stachura@nrsr.sk  |  Monika </w:t>
            </w:r>
            <w:proofErr w:type="spellStart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Kolejaková</w:t>
            </w:r>
            <w:proofErr w:type="spellEnd"/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monika.kolejakova@nrsr.sk</w:t>
            </w:r>
          </w:p>
        </w:tc>
      </w:tr>
      <w:tr w:rsidR="00E86A0B" w:rsidRPr="00861B42" w14:paraId="48C64A6D" w14:textId="77777777" w:rsidTr="00060CC8">
        <w:tc>
          <w:tcPr>
            <w:tcW w:w="2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362C0D8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b/>
                <w:bCs/>
                <w:sz w:val="22"/>
                <w:szCs w:val="22"/>
                <w:lang w:val="sk-SK"/>
              </w:rPr>
              <w:t>Stanovisko gestorov</w:t>
            </w:r>
          </w:p>
        </w:tc>
        <w:tc>
          <w:tcPr>
            <w:tcW w:w="646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E8CF54F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Stanovisko Ministerstva financií SR                                        </w:t>
            </w: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 vy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ž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iadan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é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  </w:t>
            </w: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 prilo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ž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en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é</w:t>
            </w:r>
          </w:p>
          <w:p w14:paraId="30ABC58C" w14:textId="77777777" w:rsidR="00E86A0B" w:rsidRPr="00861B42" w:rsidRDefault="00E86A0B" w:rsidP="00060CC8">
            <w:pPr>
              <w:rPr>
                <w:rFonts w:ascii="Palatino Linotype" w:hAnsi="Palatino Linotype"/>
                <w:sz w:val="22"/>
                <w:szCs w:val="22"/>
                <w:lang w:val="sk-SK"/>
              </w:rPr>
            </w:pP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Stanovisko Ministerstva hospodárstva SR                              </w:t>
            </w: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☒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 vy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ž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iadan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é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  </w:t>
            </w:r>
            <w:r w:rsidRPr="00861B42">
              <w:rPr>
                <w:rFonts w:ascii="Segoe UI Symbol" w:hAnsi="Segoe UI Symbol" w:cs="Segoe UI Symbol"/>
                <w:sz w:val="22"/>
                <w:szCs w:val="22"/>
                <w:lang w:val="sk-SK"/>
              </w:rPr>
              <w:t>☐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 xml:space="preserve">  prilo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ž</w:t>
            </w:r>
            <w:r w:rsidRPr="00861B42">
              <w:rPr>
                <w:rFonts w:ascii="Palatino Linotype" w:hAnsi="Palatino Linotype"/>
                <w:sz w:val="22"/>
                <w:szCs w:val="22"/>
                <w:lang w:val="sk-SK"/>
              </w:rPr>
              <w:t>en</w:t>
            </w:r>
            <w:r w:rsidRPr="00861B42">
              <w:rPr>
                <w:rFonts w:ascii="Palatino Linotype" w:hAnsi="Palatino Linotype" w:cs="Palatino Linotype"/>
                <w:sz w:val="22"/>
                <w:szCs w:val="22"/>
                <w:lang w:val="sk-SK"/>
              </w:rPr>
              <w:t>é</w:t>
            </w:r>
          </w:p>
        </w:tc>
      </w:tr>
    </w:tbl>
    <w:p w14:paraId="7A2204C5" w14:textId="77777777" w:rsidR="00E86A0B" w:rsidRPr="00861B42" w:rsidRDefault="00E86A0B" w:rsidP="00E86A0B">
      <w:pPr>
        <w:rPr>
          <w:rFonts w:ascii="Palatino Linotype" w:hAnsi="Palatino Linotype"/>
          <w:sz w:val="22"/>
          <w:szCs w:val="22"/>
          <w:lang w:val="sk-SK"/>
        </w:rPr>
      </w:pPr>
    </w:p>
    <w:p w14:paraId="0A19A701" w14:textId="77777777" w:rsidR="007876F7" w:rsidRDefault="007876F7"/>
    <w:sectPr w:rsidR="007876F7" w:rsidSect="00E86A0B">
      <w:footerReference w:type="default" r:id="rId4"/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184600"/>
      <w:docPartObj>
        <w:docPartGallery w:val="Page Numbers (Bottom of Page)"/>
        <w:docPartUnique/>
      </w:docPartObj>
    </w:sdtPr>
    <w:sdtContent>
      <w:p w14:paraId="061DFD38" w14:textId="77777777" w:rsidR="00E86A0B" w:rsidRDefault="00E86A0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788065D" w14:textId="77777777" w:rsidR="00E86A0B" w:rsidRDefault="00E86A0B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0B"/>
    <w:rsid w:val="007876F7"/>
    <w:rsid w:val="00BA293F"/>
    <w:rsid w:val="00E2740F"/>
    <w:rsid w:val="00E8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A0DE"/>
  <w15:chartTrackingRefBased/>
  <w15:docId w15:val="{B62F74C9-4E74-4C5F-A72F-B2B03AB8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A0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A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6A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6A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6A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6A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6A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6A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6A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6A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6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6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6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6A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6A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6A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6A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6A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6A0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6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86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6A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86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6A0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86A0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6A0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86A0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6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6A0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6A0B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E86A0B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86A0B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4858</Characters>
  <DocSecurity>0</DocSecurity>
  <Lines>40</Lines>
  <Paragraphs>11</Paragraphs>
  <ScaleCrop>false</ScaleCrop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2026-05-08T14:59:00Z</dcterms:created>
  <dcterms:modified xsi:type="dcterms:W3CDTF">2026-05-08T15:00:00Z</dcterms:modified>
</cp:coreProperties>
</file>