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7D54F" w14:textId="77777777" w:rsidR="008062E5" w:rsidRPr="0070001F" w:rsidRDefault="008062E5">
      <w:pPr>
        <w:spacing w:before="80" w:after="80" w:line="280" w:lineRule="auto"/>
        <w:jc w:val="both"/>
        <w:rPr>
          <w:rFonts w:ascii="Palatino Linotype" w:hAnsi="Palatino Linotype"/>
          <w:lang w:val="sk-SK"/>
        </w:rPr>
      </w:pPr>
    </w:p>
    <w:p w14:paraId="7D3F1355" w14:textId="77777777" w:rsidR="008062E5" w:rsidRPr="0070001F" w:rsidRDefault="00000000">
      <w:pPr>
        <w:spacing w:after="240"/>
        <w:jc w:val="center"/>
        <w:rPr>
          <w:rFonts w:ascii="Palatino Linotype" w:hAnsi="Palatino Linotype"/>
          <w:lang w:val="sk-SK"/>
        </w:rPr>
      </w:pPr>
      <w:r w:rsidRPr="0070001F">
        <w:rPr>
          <w:rFonts w:ascii="Palatino Linotype" w:hAnsi="Palatino Linotype"/>
          <w:b/>
          <w:bCs/>
          <w:lang w:val="sk-SK"/>
        </w:rPr>
        <w:t>D ô v o d o v á   s p r á v a</w:t>
      </w:r>
    </w:p>
    <w:p w14:paraId="77D5A9B3" w14:textId="77777777" w:rsidR="008062E5" w:rsidRPr="0070001F" w:rsidRDefault="00000000">
      <w:pPr>
        <w:spacing w:before="120" w:after="80" w:line="280" w:lineRule="auto"/>
        <w:jc w:val="both"/>
        <w:rPr>
          <w:rFonts w:ascii="Palatino Linotype" w:hAnsi="Palatino Linotype"/>
          <w:lang w:val="sk-SK"/>
        </w:rPr>
      </w:pPr>
      <w:r w:rsidRPr="0070001F">
        <w:rPr>
          <w:rFonts w:ascii="Palatino Linotype" w:hAnsi="Palatino Linotype"/>
          <w:lang w:val="sk-SK"/>
        </w:rPr>
        <w:t>–</w:t>
      </w:r>
      <w:r w:rsidRPr="0070001F">
        <w:rPr>
          <w:rFonts w:ascii="Palatino Linotype" w:hAnsi="Palatino Linotype"/>
          <w:lang w:val="sk-SK"/>
        </w:rPr>
        <w:tab/>
      </w:r>
      <w:r w:rsidRPr="0070001F">
        <w:rPr>
          <w:rFonts w:ascii="Palatino Linotype" w:hAnsi="Palatino Linotype"/>
          <w:b/>
          <w:bCs/>
          <w:lang w:val="sk-SK"/>
        </w:rPr>
        <w:t>Všeobecná časť</w:t>
      </w:r>
    </w:p>
    <w:p w14:paraId="5ADC21C0" w14:textId="77777777" w:rsidR="008062E5" w:rsidRPr="0070001F" w:rsidRDefault="008062E5">
      <w:pPr>
        <w:spacing w:before="80" w:after="80" w:line="280" w:lineRule="auto"/>
        <w:jc w:val="both"/>
        <w:rPr>
          <w:rFonts w:ascii="Palatino Linotype" w:hAnsi="Palatino Linotype"/>
          <w:lang w:val="sk-SK"/>
        </w:rPr>
      </w:pPr>
    </w:p>
    <w:p w14:paraId="4A07A7FA" w14:textId="5A642949"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Návrh zákona o rodinnej karte (ďalej len „návrh zákona“) predkladajú poslanci Národnej rady Slovenskej republiky Andrea Turčanová, Milan Majerský, Monika </w:t>
      </w:r>
      <w:proofErr w:type="spellStart"/>
      <w:r w:rsidRPr="0070001F">
        <w:rPr>
          <w:rFonts w:ascii="Palatino Linotype" w:hAnsi="Palatino Linotype"/>
          <w:lang w:val="sk-SK"/>
        </w:rPr>
        <w:t>Kolej</w:t>
      </w:r>
      <w:r w:rsidR="00AA2B08" w:rsidRPr="0070001F">
        <w:rPr>
          <w:rFonts w:ascii="Palatino Linotype" w:hAnsi="Palatino Linotype"/>
          <w:lang w:val="sk-SK"/>
        </w:rPr>
        <w:t>á</w:t>
      </w:r>
      <w:r w:rsidRPr="0070001F">
        <w:rPr>
          <w:rFonts w:ascii="Palatino Linotype" w:hAnsi="Palatino Linotype"/>
          <w:lang w:val="sk-SK"/>
        </w:rPr>
        <w:t>ková</w:t>
      </w:r>
      <w:proofErr w:type="spellEnd"/>
      <w:r w:rsidRPr="0070001F">
        <w:rPr>
          <w:rFonts w:ascii="Palatino Linotype" w:hAnsi="Palatino Linotype"/>
          <w:lang w:val="sk-SK"/>
        </w:rPr>
        <w:t xml:space="preserve"> a Rastislav Krátky.</w:t>
      </w:r>
    </w:p>
    <w:p w14:paraId="22C40ADF" w14:textId="77777777" w:rsidR="008062E5" w:rsidRPr="0070001F" w:rsidRDefault="008062E5">
      <w:pPr>
        <w:spacing w:before="80" w:after="80" w:line="280" w:lineRule="auto"/>
        <w:jc w:val="both"/>
        <w:rPr>
          <w:rFonts w:ascii="Palatino Linotype" w:hAnsi="Palatino Linotype"/>
          <w:lang w:val="sk-SK"/>
        </w:rPr>
      </w:pPr>
    </w:p>
    <w:p w14:paraId="55E1D9D0" w14:textId="6321AB4E"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Rodina predstavuje základnú spoločenskú jednotku, ktorej ochrana a podpora patria medzi ústavne uznané hodnoty Slovenskej republiky. Napriek existencii viacerých čiastkových nástrojov sociálnej a rodinnej politiky v súčasnosti </w:t>
      </w:r>
      <w:r w:rsidR="00AA2B08" w:rsidRPr="0070001F">
        <w:rPr>
          <w:rFonts w:ascii="Palatino Linotype" w:hAnsi="Palatino Linotype"/>
          <w:lang w:val="sk-SK"/>
        </w:rPr>
        <w:t>absentuje</w:t>
      </w:r>
      <w:r w:rsidRPr="0070001F">
        <w:rPr>
          <w:rFonts w:ascii="Palatino Linotype" w:hAnsi="Palatino Linotype"/>
          <w:lang w:val="sk-SK"/>
        </w:rPr>
        <w:t xml:space="preserve"> jednotný doklad, ktorý by členom rodiny umožňoval jednoducho, zrozumiteľne a administratívne nenáročne preukazovať postavenie oprávnenej osoby pri uplatňovaní </w:t>
      </w:r>
      <w:r w:rsidR="00AA2B08" w:rsidRPr="0070001F">
        <w:rPr>
          <w:rFonts w:ascii="Palatino Linotype" w:hAnsi="Palatino Linotype"/>
          <w:lang w:val="sk-SK"/>
        </w:rPr>
        <w:t>zvýhodnení</w:t>
      </w:r>
      <w:r w:rsidRPr="0070001F">
        <w:rPr>
          <w:rFonts w:ascii="Palatino Linotype" w:hAnsi="Palatino Linotype"/>
          <w:lang w:val="sk-SK"/>
        </w:rPr>
        <w:t xml:space="preserve"> viazaných na rodinný status. Súčasný stav je charakteristický roztrieštenosťou spôsobov preukazovania rodinných pomerov – rodiny sú pri uplatňovaní jednotlivých nárokov alebo </w:t>
      </w:r>
      <w:r w:rsidR="00AA2B08" w:rsidRPr="0070001F">
        <w:rPr>
          <w:rFonts w:ascii="Palatino Linotype" w:hAnsi="Palatino Linotype"/>
          <w:lang w:val="sk-SK"/>
        </w:rPr>
        <w:t>zvýhodnení</w:t>
      </w:r>
      <w:r w:rsidRPr="0070001F">
        <w:rPr>
          <w:rFonts w:ascii="Palatino Linotype" w:hAnsi="Palatino Linotype"/>
          <w:lang w:val="sk-SK"/>
        </w:rPr>
        <w:t xml:space="preserve"> často odkázané na opakované predkladanie potvrdení, rozhodnutí, rodných listov a iných dokladov, pričom rozsah požadovaných dokladov sa líši podľa poskytovateľa služby či orgánu verejnej správy. Takýto stav zvyšuje administratívnu záťaž rodín a zároveň komplikuje poskytovateľom nárokov overovanie oprávnenosti ich čerpania.</w:t>
      </w:r>
    </w:p>
    <w:p w14:paraId="546DE15E" w14:textId="77777777" w:rsidR="008062E5" w:rsidRPr="0070001F" w:rsidRDefault="008062E5">
      <w:pPr>
        <w:spacing w:before="80" w:after="80" w:line="280" w:lineRule="auto"/>
        <w:jc w:val="both"/>
        <w:rPr>
          <w:rFonts w:ascii="Palatino Linotype" w:hAnsi="Palatino Linotype"/>
          <w:lang w:val="sk-SK"/>
        </w:rPr>
      </w:pPr>
    </w:p>
    <w:p w14:paraId="166BC711"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Slovenská republika dlhodobo čelí demografickým výzvam spojeným s nízkou pôrodnosťou, starnutím populácie a rastúcim finančným a organizačným zaťažením rodín s deťmi. Osobitne rodiny s viacerými deťmi znášajú zvýšené náklady na bývanie, dopravu, vzdelávanie, voľnočasové aktivity detí a zdravotnú starostlivosť, pričom podpora ich životnej úrovne a stability je priamo spojená s udržateľnosťou dôchodkového systému, medzigeneračnou solidaritou a sociálnou kohéziou. Navrhovaná právna úprava sleduje vytvorenie mechanizmu, ktorý rodinám poskytne konkrétne praktické benefity, zjednoduší administratívu a prispeje k posilneniu </w:t>
      </w:r>
      <w:proofErr w:type="spellStart"/>
      <w:r w:rsidRPr="0070001F">
        <w:rPr>
          <w:rFonts w:ascii="Palatino Linotype" w:hAnsi="Palatino Linotype"/>
          <w:lang w:val="sk-SK"/>
        </w:rPr>
        <w:t>prorodinnej</w:t>
      </w:r>
      <w:proofErr w:type="spellEnd"/>
      <w:r w:rsidRPr="0070001F">
        <w:rPr>
          <w:rFonts w:ascii="Palatino Linotype" w:hAnsi="Palatino Linotype"/>
          <w:lang w:val="sk-SK"/>
        </w:rPr>
        <w:t xml:space="preserve"> orientácie verejných politík.</w:t>
      </w:r>
    </w:p>
    <w:p w14:paraId="3FC08A94" w14:textId="77777777" w:rsidR="008062E5" w:rsidRPr="0070001F" w:rsidRDefault="008062E5">
      <w:pPr>
        <w:spacing w:before="80" w:after="80" w:line="280" w:lineRule="auto"/>
        <w:jc w:val="both"/>
        <w:rPr>
          <w:rFonts w:ascii="Palatino Linotype" w:hAnsi="Palatino Linotype"/>
          <w:lang w:val="sk-SK"/>
        </w:rPr>
      </w:pPr>
    </w:p>
    <w:p w14:paraId="58911A78"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Cieľom predkladaného návrhu zákona je zaviesť rodinnú kartu ako osobitný doklad člena rodiny, ktorý slúži na preukázanie postavenia člena rodiny a na uplatňovanie nárokov a zvýhodnení podľa tohto zákona, podľa osobitných predpisov, podľa všeobecne záväzných nariadení obcí a vyšších územných celkov alebo na základe zmluvnej spolupráce s poskytovateľmi nárokov a zvýhodnení. Základným princípom návrhu zákona je, že rodinná karta nie je dávkou ani samostatným peňažným plnením – predstavuje identifikačný a preukazný nástroj, ktorý uľahčuje prístup k zvýhodneniam. Návrh zákona </w:t>
      </w:r>
      <w:r w:rsidRPr="0070001F">
        <w:rPr>
          <w:rFonts w:ascii="Palatino Linotype" w:hAnsi="Palatino Linotype"/>
          <w:lang w:val="sk-SK"/>
        </w:rPr>
        <w:lastRenderedPageBreak/>
        <w:t>výslovne ustanovuje, že právna úprava sa nedotýka existujúcich práv na dávky, príspevky a služby podľa osobitných predpisov. Tým sa zachováva systematika platného sociálneho práva a predchádza výkladu, podľa ktorého by rodinná karta zakladala nové dávkové nároky bez osobitného hmotnoprávneho základu.</w:t>
      </w:r>
    </w:p>
    <w:p w14:paraId="51B14B1A" w14:textId="77777777" w:rsidR="008062E5" w:rsidRPr="0070001F" w:rsidRDefault="008062E5">
      <w:pPr>
        <w:spacing w:before="80" w:after="80" w:line="280" w:lineRule="auto"/>
        <w:jc w:val="both"/>
        <w:rPr>
          <w:rFonts w:ascii="Palatino Linotype" w:hAnsi="Palatino Linotype"/>
          <w:lang w:val="sk-SK"/>
        </w:rPr>
      </w:pPr>
    </w:p>
    <w:p w14:paraId="199B18A9"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Inšpiráciou návrhu sú zahraničné modely rodinných preukazov úspešne fungujúce vo viacerých členských štátoch Európskej únie: poľská Karta </w:t>
      </w:r>
      <w:proofErr w:type="spellStart"/>
      <w:r w:rsidRPr="0070001F">
        <w:rPr>
          <w:rFonts w:ascii="Palatino Linotype" w:hAnsi="Palatino Linotype"/>
          <w:lang w:val="sk-SK"/>
        </w:rPr>
        <w:t>Dużej</w:t>
      </w:r>
      <w:proofErr w:type="spellEnd"/>
      <w:r w:rsidRPr="0070001F">
        <w:rPr>
          <w:rFonts w:ascii="Palatino Linotype" w:hAnsi="Palatino Linotype"/>
          <w:lang w:val="sk-SK"/>
        </w:rPr>
        <w:t xml:space="preserve"> </w:t>
      </w:r>
      <w:proofErr w:type="spellStart"/>
      <w:r w:rsidRPr="0070001F">
        <w:rPr>
          <w:rFonts w:ascii="Palatino Linotype" w:hAnsi="Palatino Linotype"/>
          <w:lang w:val="sk-SK"/>
        </w:rPr>
        <w:t>Rodziny</w:t>
      </w:r>
      <w:proofErr w:type="spellEnd"/>
      <w:r w:rsidRPr="0070001F">
        <w:rPr>
          <w:rFonts w:ascii="Palatino Linotype" w:hAnsi="Palatino Linotype"/>
          <w:lang w:val="sk-SK"/>
        </w:rPr>
        <w:t xml:space="preserve">, maďarská </w:t>
      </w:r>
      <w:proofErr w:type="spellStart"/>
      <w:r w:rsidRPr="0070001F">
        <w:rPr>
          <w:rFonts w:ascii="Palatino Linotype" w:hAnsi="Palatino Linotype"/>
          <w:lang w:val="sk-SK"/>
        </w:rPr>
        <w:t>Nagycsaládos</w:t>
      </w:r>
      <w:proofErr w:type="spellEnd"/>
      <w:r w:rsidRPr="0070001F">
        <w:rPr>
          <w:rFonts w:ascii="Palatino Linotype" w:hAnsi="Palatino Linotype"/>
          <w:lang w:val="sk-SK"/>
        </w:rPr>
        <w:t xml:space="preserve"> </w:t>
      </w:r>
      <w:proofErr w:type="spellStart"/>
      <w:r w:rsidRPr="0070001F">
        <w:rPr>
          <w:rFonts w:ascii="Palatino Linotype" w:hAnsi="Palatino Linotype"/>
          <w:lang w:val="sk-SK"/>
        </w:rPr>
        <w:t>Kártya</w:t>
      </w:r>
      <w:proofErr w:type="spellEnd"/>
      <w:r w:rsidRPr="0070001F">
        <w:rPr>
          <w:rFonts w:ascii="Palatino Linotype" w:hAnsi="Palatino Linotype"/>
          <w:lang w:val="sk-SK"/>
        </w:rPr>
        <w:t xml:space="preserve">, česká Karta </w:t>
      </w:r>
      <w:proofErr w:type="spellStart"/>
      <w:r w:rsidRPr="0070001F">
        <w:rPr>
          <w:rFonts w:ascii="Palatino Linotype" w:hAnsi="Palatino Linotype"/>
          <w:lang w:val="sk-SK"/>
        </w:rPr>
        <w:t>velké</w:t>
      </w:r>
      <w:proofErr w:type="spellEnd"/>
      <w:r w:rsidRPr="0070001F">
        <w:rPr>
          <w:rFonts w:ascii="Palatino Linotype" w:hAnsi="Palatino Linotype"/>
          <w:lang w:val="sk-SK"/>
        </w:rPr>
        <w:t xml:space="preserve"> rodiny a rakúsky </w:t>
      </w:r>
      <w:proofErr w:type="spellStart"/>
      <w:r w:rsidRPr="0070001F">
        <w:rPr>
          <w:rFonts w:ascii="Palatino Linotype" w:hAnsi="Palatino Linotype"/>
          <w:lang w:val="sk-SK"/>
        </w:rPr>
        <w:t>Familypass</w:t>
      </w:r>
      <w:proofErr w:type="spellEnd"/>
      <w:r w:rsidRPr="0070001F">
        <w:rPr>
          <w:rFonts w:ascii="Palatino Linotype" w:hAnsi="Palatino Linotype"/>
          <w:lang w:val="sk-SK"/>
        </w:rPr>
        <w:t xml:space="preserve">. Skúsenosti z týchto krajín potvrdzujú, že rodinná karta zvyšuje viditeľnosť </w:t>
      </w:r>
      <w:proofErr w:type="spellStart"/>
      <w:r w:rsidRPr="0070001F">
        <w:rPr>
          <w:rFonts w:ascii="Palatino Linotype" w:hAnsi="Palatino Linotype"/>
          <w:lang w:val="sk-SK"/>
        </w:rPr>
        <w:t>prerodinnej</w:t>
      </w:r>
      <w:proofErr w:type="spellEnd"/>
      <w:r w:rsidRPr="0070001F">
        <w:rPr>
          <w:rFonts w:ascii="Palatino Linotype" w:hAnsi="Palatino Linotype"/>
          <w:lang w:val="sk-SK"/>
        </w:rPr>
        <w:t xml:space="preserve"> politiky, stimuluje partnerstvo verejného a súkromného sektora a prináša rodine prakticky využiteľné benefity v každodennom živote. Slovenský návrh vedome upravuje podmienky tak, aby zohľadňoval štruktúru slovenských rodín a životné náklady, pričom za základný kvantitatívny prah sa stanovuje rodina s najmenej dvoma deťmi – teda podpora rodín začína od druhého dieťaťa, čo oproti niektorým zahraničným modelom rozširuje okruh príjemcov.</w:t>
      </w:r>
    </w:p>
    <w:p w14:paraId="6E0DDAAB" w14:textId="77777777" w:rsidR="008062E5" w:rsidRPr="0070001F" w:rsidRDefault="008062E5">
      <w:pPr>
        <w:spacing w:before="80" w:after="80" w:line="280" w:lineRule="auto"/>
        <w:jc w:val="both"/>
        <w:rPr>
          <w:rFonts w:ascii="Palatino Linotype" w:hAnsi="Palatino Linotype"/>
          <w:lang w:val="sk-SK"/>
        </w:rPr>
      </w:pPr>
    </w:p>
    <w:p w14:paraId="248AB2B5"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Navrhovaná právna úprava vymedzuje rodinu ako rodinu, ktorú tvorí aspoň jeden rodič a najmenej dve deti. Zohľadňuje pritom rôzne právne a sociálne situácie rodín vrátane rodín, v ktorých je dieťa zverené do osobnej starostlivosti nahrádzajúcej starostlivosť rodičov, do pestúnskej starostlivosti alebo v ktorých sa starostlivosť vykonáva v profesionálnej rodine. Návrh zákona sa tak neusiluje zvýhodniť iba jednu formu rodinného usporiadania, ale vychádza z materiálnej potreby podpory rodín, v ktorých sa zabezpečuje skutočná starostlivosť o deti.</w:t>
      </w:r>
    </w:p>
    <w:p w14:paraId="77F68279" w14:textId="77777777" w:rsidR="008062E5" w:rsidRPr="0070001F" w:rsidRDefault="008062E5">
      <w:pPr>
        <w:spacing w:before="80" w:after="80" w:line="280" w:lineRule="auto"/>
        <w:jc w:val="both"/>
        <w:rPr>
          <w:rFonts w:ascii="Palatino Linotype" w:hAnsi="Palatino Linotype"/>
          <w:lang w:val="sk-SK"/>
        </w:rPr>
      </w:pPr>
    </w:p>
    <w:p w14:paraId="46F8490D"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Nárok na rodinnú kartu sa navrhuje priznať každému členovi rodiny pri splnení zákonom ustanovených podmienok. Návrh obsahuje dôležitý stabilizačný prvok: status rodiča alebo manžela rodiča nie je dotknutý tým, že niektoré z detí neskôr dovŕši vek rozhodujúci pre trvanie nároku dieťaťa. Tento princíp zohľadňuje skutočnosť, že rodičovstvo a jeho ekonomické, sociálne a organizačné dôsledky neprestávajú existovať okamihom nadobudnutia plnoletosti dieťaťa. Návrh zákona zároveň obsahuje ochranné ustanovenia, ktoré bránia neoprávnenému uznaniu alebo zneužívaniu rodinnej karty.</w:t>
      </w:r>
    </w:p>
    <w:p w14:paraId="3E17638B" w14:textId="77777777" w:rsidR="008062E5" w:rsidRPr="0070001F" w:rsidRDefault="008062E5">
      <w:pPr>
        <w:spacing w:before="80" w:after="80" w:line="280" w:lineRule="auto"/>
        <w:jc w:val="both"/>
        <w:rPr>
          <w:rFonts w:ascii="Palatino Linotype" w:hAnsi="Palatino Linotype"/>
          <w:lang w:val="sk-SK"/>
        </w:rPr>
      </w:pPr>
    </w:p>
    <w:p w14:paraId="2252B3F3"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Pôsobnosť pri vydávaní rodinnej karty sa zveruje obciam ako prenesený výkon štátnej správy, keďže obec je prirodzeným kontaktným miestom pre rodinu a disponuje miestnou znalosťou. Ministerstvo práce, sociálnych vecí a rodiny Slovenskej republiky zabezpečuje výrobu a personalizáciu listinných kariet, ich distribúciu obciam, zriadenie a správu informačného systému rodinnej karty, rozvoj elektronickej rodinnej karty a metodické usmerňovanie obcí. Takto navrhnuté rozdelenie pôsobnosti spája dostupnosť vybavovania </w:t>
      </w:r>
      <w:r w:rsidRPr="0070001F">
        <w:rPr>
          <w:rFonts w:ascii="Palatino Linotype" w:hAnsi="Palatino Linotype"/>
          <w:lang w:val="sk-SK"/>
        </w:rPr>
        <w:lastRenderedPageBreak/>
        <w:t>na miestnej úrovni s jednotnou metodickou a technickou správou systému na úrovni štátu. Financovanie výdavkov obcí spojených s výkonom preneseného výkonu štátnej správy sa zabezpečuje zo štátneho rozpočtu v súlade s príslušnými predpismi o rozpočtových pravidlách verejnej správy.</w:t>
      </w:r>
    </w:p>
    <w:p w14:paraId="59CE2CB2" w14:textId="77777777" w:rsidR="008062E5" w:rsidRPr="0070001F" w:rsidRDefault="008062E5">
      <w:pPr>
        <w:spacing w:before="80" w:after="80" w:line="280" w:lineRule="auto"/>
        <w:jc w:val="both"/>
        <w:rPr>
          <w:rFonts w:ascii="Palatino Linotype" w:hAnsi="Palatino Linotype"/>
          <w:lang w:val="sk-SK"/>
        </w:rPr>
      </w:pPr>
    </w:p>
    <w:p w14:paraId="55958413"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Rodinná karta je dostupná v listinnej podobe vo forme plastovej karty, ako aj v elektronickej forme vydanej prostredníctvom prostriedkov elektronickej identifikácie. Takéto dvojkoľajné riešenie zohľadňuje potrebu postupnej digitalizácie verejnej správy, ale zároveň zachováva dostupnosť dokladu aj pre osoby, ktoré nevyužívajú alebo nemôžu využívať elektronické prostriedky identifikácie. Elektronická rodinná karta je koncipovaná tak, aby umožňovala budúce napojenie na systémy elektronickej identifikácie podľa osobitného predpisu, vrátane možnej integrácie s európskou peňaženkou digitálnej identity podľa nariadenia (EÚ) č. 910/2014 v znení nariadenia (EÚ) 2024/1183.</w:t>
      </w:r>
    </w:p>
    <w:p w14:paraId="63F8BDD1" w14:textId="77777777" w:rsidR="008062E5" w:rsidRPr="0070001F" w:rsidRDefault="008062E5">
      <w:pPr>
        <w:spacing w:before="80" w:after="80" w:line="280" w:lineRule="auto"/>
        <w:jc w:val="both"/>
        <w:rPr>
          <w:rFonts w:ascii="Palatino Linotype" w:hAnsi="Palatino Linotype"/>
          <w:lang w:val="sk-SK"/>
        </w:rPr>
      </w:pPr>
    </w:p>
    <w:p w14:paraId="5896F0DD"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Návrh zákona vytvára právny rámec pre širokú spoluprácu verejného a súkromného sektora pri podpore rodín. Ministerstvo, obce a vyššie územné celky budú môcť uzatvárať zmluvy s poskytovateľmi nárokov a zvýhodnení; poskytovatelia zapojení do systému budú môcť používať označenie „Partner rodinnej karty“. Zapojenie súkromných poskytovateľov je výlučne dobrovoľné a zákon im neukladá žiadnu povinnosť poskytovať zvýhodnenia, čím sa vylučuje charakter štátnej pomoci v zmysle článku 107 Zmluvy o fungovaní Európskej únie. Návrh zákona tým vytvára platformu, prostredníctvom ktorej bude možné postupne rozširovať okruh praktických benefitov pre rodiny bez toho, aby zákon sám rigidne určoval všetky budúce formy zvýhodnení.</w:t>
      </w:r>
    </w:p>
    <w:p w14:paraId="31A32461" w14:textId="77777777" w:rsidR="008062E5" w:rsidRPr="0070001F" w:rsidRDefault="008062E5">
      <w:pPr>
        <w:spacing w:before="80" w:after="80" w:line="280" w:lineRule="auto"/>
        <w:jc w:val="both"/>
        <w:rPr>
          <w:rFonts w:ascii="Palatino Linotype" w:hAnsi="Palatino Linotype"/>
          <w:lang w:val="sk-SK"/>
        </w:rPr>
      </w:pPr>
    </w:p>
    <w:p w14:paraId="5AB76BC3"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Dôležitým prvkom návrhu zákona je rešpektovanie samosprávnej pôsobnosti obcí a vyšších územných celkov. Obce a vyššie územné celky môžu zavádzať programy podpory rodín vo svojej pôsobnosti všeobecne záväzným nariadením, pričom rodinná karta môže slúžiť ako doklad potvrdzujúci oprávnenosť čerpania zvýhodnení v týchto programoch. Návrh zákona ponecháva prijatie programov na autonómnom rozhodnutí príslušnej územnej samosprávy pri rešpektovaní osobitných predpisov a rozpočtových možností; tým sa plne rešpektuje princíp subsidiarity a Európska charta miestnej samosprávy.</w:t>
      </w:r>
    </w:p>
    <w:p w14:paraId="49ADFF77" w14:textId="77777777" w:rsidR="008062E5" w:rsidRPr="0070001F" w:rsidRDefault="008062E5">
      <w:pPr>
        <w:spacing w:before="80" w:after="80" w:line="280" w:lineRule="auto"/>
        <w:jc w:val="both"/>
        <w:rPr>
          <w:rFonts w:ascii="Palatino Linotype" w:hAnsi="Palatino Linotype"/>
          <w:lang w:val="sk-SK"/>
        </w:rPr>
      </w:pPr>
    </w:p>
    <w:p w14:paraId="332E5A17"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Osobitná pozornosť sa venuje ochrane osobných údajov. Keďže rodinná karta nevyhnutne súvisí so spracúvaním údajov o rodinných vzťahoch, pobyte, vydaní karty, jej platnosti a prípadnom zániku nároku, návrh zákona vymedzuje účely spracúvania osobných údajov, okruh spracúvaných údajov a základné pravidlá ich uchovávania a ochrany, vrátane lehoty uchovávania. Spracúvanie osobných údajov je viazané na plnenie úloh podľa zákona a vykonáva sa v súlade s nariadením Európskeho parlamentu a Rady (EÚ) 2016/679 (GDPR) </w:t>
      </w:r>
      <w:r w:rsidRPr="0070001F">
        <w:rPr>
          <w:rFonts w:ascii="Palatino Linotype" w:hAnsi="Palatino Linotype"/>
          <w:lang w:val="sk-SK"/>
        </w:rPr>
        <w:lastRenderedPageBreak/>
        <w:t>a zákonom č. 18/2018 Z. z. o ochrane osobných údajov. Návrh zároveň obmedzuje oprávnenia poskytovateľov nárokov a zvýhodnení pri overovaní totožnosti tak, aby údaje z dokladu totožnosti mohli iba nahliadnuť a nespracúvali ich nad rámec zákonného oprávnenia alebo súhlasu dotknutej osoby.</w:t>
      </w:r>
    </w:p>
    <w:p w14:paraId="1442E060" w14:textId="77777777" w:rsidR="008062E5" w:rsidRPr="0070001F" w:rsidRDefault="008062E5">
      <w:pPr>
        <w:spacing w:before="80" w:after="80" w:line="280" w:lineRule="auto"/>
        <w:jc w:val="both"/>
        <w:rPr>
          <w:rFonts w:ascii="Palatino Linotype" w:hAnsi="Palatino Linotype"/>
          <w:lang w:val="sk-SK"/>
        </w:rPr>
      </w:pPr>
    </w:p>
    <w:p w14:paraId="64A6894E"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Navrhovaná právna úprava je v súlade s Ústavou Slovenskej republiky, najmä s čl. 1 ods. 1 (právny štát), s čl. 12 (základné práva a slobody sa zaručujú bez rozdielu), s čl. 39 ods. 1 (právo na primerané hmotné zabezpečenie pri rodičovstve), s čl. 41 ods. 1 (manželstvo, rodičovstvo a rodina sú pod ochranou zákona; osobitná ochrana detí a mladistvých je zaručená) a s čl. 41 ods. 3 a 4 (právo detí na ochranu; právo rodičov na pomoc od štátu). Návrh zákona je v súlade s medzinárodnými zmluvami, ktorými je Slovenská republika viazaná, najmä s Dohovorom Organizácie Spojených národov o právach dieťaťa (oznámenie č. 104/1991 Zb.), Európskou sociálnou chartou (oznámenie č. 273/2009 Z. z.) a Európskou chartou miestnej samosprávy (oznámenie č. 336/2000 Z. z.).</w:t>
      </w:r>
    </w:p>
    <w:p w14:paraId="63EE6BA5" w14:textId="77777777" w:rsidR="008062E5" w:rsidRPr="0070001F" w:rsidRDefault="008062E5">
      <w:pPr>
        <w:spacing w:before="80" w:after="80" w:line="280" w:lineRule="auto"/>
        <w:jc w:val="both"/>
        <w:rPr>
          <w:rFonts w:ascii="Palatino Linotype" w:hAnsi="Palatino Linotype"/>
          <w:lang w:val="sk-SK"/>
        </w:rPr>
      </w:pPr>
    </w:p>
    <w:p w14:paraId="4CA491E0"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Predkladaný návrh zákona nie je transpozičným predpisom práva Európskej únie. Predmet návrhu zákona – rodinná karta ako vnútroštátny nástroj rodinnej politiky a organizácie verejnej správy – nie je predmetom harmonizácie právom Európskej únie, keďže ide o oblasť, v ktorej má Únia len podpornú právomoc podľa článku 153 ods. 1 písm. j) Zmluvy o fungovaní Európskej únie. V oblasti ochrany osobných údajov a elektronickej identifikácie, ktorých sa návrh dotýka, je relevantné priamo uplatniteľné právo EÚ (GDPR, nariadenie </w:t>
      </w:r>
      <w:proofErr w:type="spellStart"/>
      <w:r w:rsidRPr="0070001F">
        <w:rPr>
          <w:rFonts w:ascii="Palatino Linotype" w:hAnsi="Palatino Linotype"/>
          <w:lang w:val="sk-SK"/>
        </w:rPr>
        <w:t>eIDAS</w:t>
      </w:r>
      <w:proofErr w:type="spellEnd"/>
      <w:r w:rsidRPr="0070001F">
        <w:rPr>
          <w:rFonts w:ascii="Palatino Linotype" w:hAnsi="Palatino Linotype"/>
          <w:lang w:val="sk-SK"/>
        </w:rPr>
        <w:t xml:space="preserve"> 2.0); návrh zákona tieto akty nepreberá ani nevykonáva, ale dopĺňa ich vnútroštátnu aplikáciu v súlade s ich zásadami.</w:t>
      </w:r>
    </w:p>
    <w:p w14:paraId="607D1EA8" w14:textId="77777777" w:rsidR="008062E5" w:rsidRPr="0070001F" w:rsidRDefault="008062E5">
      <w:pPr>
        <w:spacing w:before="80" w:after="80" w:line="280" w:lineRule="auto"/>
        <w:jc w:val="both"/>
        <w:rPr>
          <w:rFonts w:ascii="Palatino Linotype" w:hAnsi="Palatino Linotype"/>
          <w:lang w:val="sk-SK"/>
        </w:rPr>
      </w:pPr>
    </w:p>
    <w:p w14:paraId="3B0DFC88"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Návrh zákona bude mať pozitívne sociálne vplyvy, pozitívne vplyvy na manželstvo, rodičovstvo, rodinu a deti, pozitívne vplyvy na služby verejnej správy pre občana a pozitívne vplyvy na informatizáciu spoločnosti. Zároveň možno identifikovať vplyv na štátny rozpočet a rozpočty obcí v súvislosti so zriadením a prevádzkou informačného systému rodinnej karty, s výrobou a personalizáciou rodinných kariet v listinnej podobe a s financovaním preneseného výkonu štátnej správy obcami. Tieto náklady sú primerané sledovanému verejnému záujmu, realizujú sa v rámci existujúcich kapacít ministerstva, prípadne s primeraným posilnením IT kapacít, a nezriaďujú nové orgány ani nevznikajú nové priame dávkové nároky na štátny rozpočet. Návrh zákona si vyžaduje vydanie vykonávacích právnych predpisov, a to vyhlášky ministerstva (§ 22 ods. 1 a 3) a nariadenia vlády (§ 22 ods. 2); vykonávacie predpisy vydá ministerstvo do jedného roka od nadobudnutia účinnosti zákona.</w:t>
      </w:r>
    </w:p>
    <w:p w14:paraId="5D7E3123" w14:textId="77777777" w:rsidR="00AA2B08" w:rsidRPr="0070001F" w:rsidRDefault="00AA2B08">
      <w:pPr>
        <w:spacing w:before="80" w:after="80" w:line="280" w:lineRule="auto"/>
        <w:jc w:val="both"/>
        <w:rPr>
          <w:rFonts w:ascii="Palatino Linotype" w:hAnsi="Palatino Linotype"/>
          <w:lang w:val="sk-SK"/>
        </w:rPr>
      </w:pPr>
    </w:p>
    <w:p w14:paraId="229DBDA8" w14:textId="77777777" w:rsidR="008062E5" w:rsidRPr="0070001F" w:rsidRDefault="008062E5">
      <w:pPr>
        <w:spacing w:before="80" w:after="80" w:line="280" w:lineRule="auto"/>
        <w:jc w:val="both"/>
        <w:rPr>
          <w:rFonts w:ascii="Palatino Linotype" w:hAnsi="Palatino Linotype"/>
          <w:lang w:val="sk-SK"/>
        </w:rPr>
      </w:pPr>
    </w:p>
    <w:p w14:paraId="18819E1D" w14:textId="77777777" w:rsidR="008062E5" w:rsidRPr="0070001F" w:rsidRDefault="00000000">
      <w:pPr>
        <w:spacing w:before="280" w:after="80" w:line="280" w:lineRule="auto"/>
        <w:jc w:val="both"/>
        <w:rPr>
          <w:rFonts w:ascii="Palatino Linotype" w:hAnsi="Palatino Linotype"/>
          <w:lang w:val="sk-SK"/>
        </w:rPr>
      </w:pPr>
      <w:r w:rsidRPr="0070001F">
        <w:rPr>
          <w:rFonts w:ascii="Palatino Linotype" w:hAnsi="Palatino Linotype"/>
          <w:lang w:val="sk-SK"/>
        </w:rPr>
        <w:lastRenderedPageBreak/>
        <w:t>–</w:t>
      </w:r>
      <w:r w:rsidRPr="0070001F">
        <w:rPr>
          <w:rFonts w:ascii="Palatino Linotype" w:hAnsi="Palatino Linotype"/>
          <w:lang w:val="sk-SK"/>
        </w:rPr>
        <w:tab/>
      </w:r>
      <w:r w:rsidRPr="0070001F">
        <w:rPr>
          <w:rFonts w:ascii="Palatino Linotype" w:hAnsi="Palatino Linotype"/>
          <w:b/>
          <w:bCs/>
          <w:lang w:val="sk-SK"/>
        </w:rPr>
        <w:t>Osobitná časť</w:t>
      </w:r>
    </w:p>
    <w:p w14:paraId="3F9B8E56" w14:textId="77777777" w:rsidR="008062E5" w:rsidRPr="0070001F" w:rsidRDefault="008062E5">
      <w:pPr>
        <w:spacing w:before="80" w:after="80" w:line="280" w:lineRule="auto"/>
        <w:jc w:val="both"/>
        <w:rPr>
          <w:rFonts w:ascii="Palatino Linotype" w:hAnsi="Palatino Linotype"/>
          <w:lang w:val="sk-SK"/>
        </w:rPr>
      </w:pPr>
    </w:p>
    <w:p w14:paraId="4DB03DE0"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K Prvej časti (Základné ustanovenia)</w:t>
      </w:r>
    </w:p>
    <w:p w14:paraId="7D42A2E6" w14:textId="77777777" w:rsidR="008062E5" w:rsidRPr="0070001F" w:rsidRDefault="008062E5">
      <w:pPr>
        <w:spacing w:before="80" w:after="80" w:line="280" w:lineRule="auto"/>
        <w:jc w:val="both"/>
        <w:rPr>
          <w:rFonts w:ascii="Palatino Linotype" w:hAnsi="Palatino Linotype"/>
          <w:lang w:val="sk-SK"/>
        </w:rPr>
      </w:pPr>
    </w:p>
    <w:p w14:paraId="00703A4F"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 </w:t>
      </w:r>
      <w:r w:rsidRPr="0070001F">
        <w:rPr>
          <w:rFonts w:ascii="Palatino Linotype" w:hAnsi="Palatino Linotype"/>
          <w:lang w:val="sk-SK"/>
        </w:rPr>
        <w:t>(Predmet úpravy):</w:t>
      </w:r>
    </w:p>
    <w:p w14:paraId="6C7999C6"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komplexne vymedzuje predmet zákona v súlade s legislatívnymi pravidlami, ktoré vyžadujú, aby úvodné ustanovenia obsahovali okruh spoločenských vzťahov, ktoré zákon upravuje. Zákon upravuje päť oblastí: rodinnú kartu ako identifikačný prostriedok a doklad nárokov, podmienky vzniku a zániku nároku, pôsobnosť orgánov verejnej správy, pravidlá nárokov a zvýhodnení a informačný systém vrátane ochrany osobných údajov. Odsek 2 štandardnou formuláciou výslovne stanovuje, že zákonom o rodinnej karte nie sú dotknuté práva na dávky, príspevky a služby podľa osobitných predpisov. Toto ustanovenie má dôležitú interpretačnú funkciu: zaručuje, že rodinná karta sa nezavádza ako nová sociálna dávka, ale ako doklad a systémový nástroj na preukazovanie oprávnenosti pri uplatňovaní existujúcich alebo osobitne poskytovaných zvýhodnení.</w:t>
      </w:r>
    </w:p>
    <w:p w14:paraId="100D402A" w14:textId="77777777" w:rsidR="008062E5" w:rsidRPr="0070001F" w:rsidRDefault="008062E5">
      <w:pPr>
        <w:spacing w:before="80" w:after="80" w:line="280" w:lineRule="auto"/>
        <w:jc w:val="both"/>
        <w:rPr>
          <w:rFonts w:ascii="Palatino Linotype" w:hAnsi="Palatino Linotype"/>
          <w:lang w:val="sk-SK"/>
        </w:rPr>
      </w:pPr>
    </w:p>
    <w:p w14:paraId="6763343E"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2 </w:t>
      </w:r>
      <w:r w:rsidRPr="0070001F">
        <w:rPr>
          <w:rFonts w:ascii="Palatino Linotype" w:hAnsi="Palatino Linotype"/>
          <w:lang w:val="sk-SK"/>
        </w:rPr>
        <w:t>(Vymedzenie pojmov):</w:t>
      </w:r>
    </w:p>
    <w:p w14:paraId="63D81613"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vymedzuje základné legálne definície potrebné na jednotnú aplikáciu zákona. Terminológia je zosúladená so zákonom č. 36/2005 Z. z. o rodine, zákonom č. 305/2005 Z. z. o sociálnoprávnej ochrane detí, zákonom č. 600/2003 Z. z. o prídavku na dieťa a zákonom č. 447/2008 Z. z. o peňažných príspevkoch na kompenzáciu ťažkého zdravotného postihnutia.</w:t>
      </w:r>
    </w:p>
    <w:p w14:paraId="73D3B1CA"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Pojem "rodič" je definovaný funkčne a zahŕňa nielen biologického rodiča podľa zákona o rodine, ale aj fyzické osoby, ktorým bolo dieťa zverené do osobnej starostlivosti nahrádzajúcej starostlivosť rodičov, do pestúnskej starostlivosti alebo ktoré vykonávajú starostlivosť o dieťa v profesionálnej rodine. Takéto vymedzenie zohľadňuje reálnu rozmanitosť rodinných a náhradných foriem starostlivosti o dieťa a umožňuje, aby rodinná karta plnila svoj účel aj v prípadoch, keď starostlivosť o dieťa nevykonáva biologický rodič.</w:t>
      </w:r>
    </w:p>
    <w:p w14:paraId="1B5878E3"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Pojem "rodina" je vymedzený minimálnym kvantitatívnym kritériom – aspoň jeden rodič a najmenej dve deti. Toto vymedzenie je volenou slovenskou modifikáciou, ktorá rozširuje okruh oprávnených rodín v porovnaní s niektorými zahraničnými modelmi (napr. poľská Karta </w:t>
      </w:r>
      <w:proofErr w:type="spellStart"/>
      <w:r w:rsidRPr="0070001F">
        <w:rPr>
          <w:rFonts w:ascii="Palatino Linotype" w:hAnsi="Palatino Linotype"/>
          <w:lang w:val="sk-SK"/>
        </w:rPr>
        <w:t>Dużej</w:t>
      </w:r>
      <w:proofErr w:type="spellEnd"/>
      <w:r w:rsidRPr="0070001F">
        <w:rPr>
          <w:rFonts w:ascii="Palatino Linotype" w:hAnsi="Palatino Linotype"/>
          <w:lang w:val="sk-SK"/>
        </w:rPr>
        <w:t xml:space="preserve"> </w:t>
      </w:r>
      <w:proofErr w:type="spellStart"/>
      <w:r w:rsidRPr="0070001F">
        <w:rPr>
          <w:rFonts w:ascii="Palatino Linotype" w:hAnsi="Palatino Linotype"/>
          <w:lang w:val="sk-SK"/>
        </w:rPr>
        <w:t>Rodziny</w:t>
      </w:r>
      <w:proofErr w:type="spellEnd"/>
      <w:r w:rsidRPr="0070001F">
        <w:rPr>
          <w:rFonts w:ascii="Palatino Linotype" w:hAnsi="Palatino Linotype"/>
          <w:lang w:val="sk-SK"/>
        </w:rPr>
        <w:t xml:space="preserve"> vyžaduje tri deti) a zodpovedá demografickej a sociálnej realite Slovenska. Pojem "dieťa" je naviazaný na nezaopatrené dieťa podľa zákona o prídavku na dieťa a na osobitnú úpravu pre deti s ťažkým zdravotným postihnutím; terminológia je zosúladená so zákonom o kompenzáciách ŤZP, čím sa predchádza neurčitosti. Pojmy "rodinná karta v listinnej podobe" a "elektronická rodinná karta" reflektujú duálnu formu dokladu; elektronická rodinná karta je viazaná na prostriedky elektronickej identifikácie </w:t>
      </w:r>
      <w:r w:rsidRPr="0070001F">
        <w:rPr>
          <w:rFonts w:ascii="Palatino Linotype" w:hAnsi="Palatino Linotype"/>
          <w:lang w:val="sk-SK"/>
        </w:rPr>
        <w:lastRenderedPageBreak/>
        <w:t>podľa osobitného predpisu, čo umožňuje budúce napojenie na európsku peňaženku digitálnej identity.</w:t>
      </w:r>
    </w:p>
    <w:p w14:paraId="2C226286" w14:textId="77777777" w:rsidR="008062E5" w:rsidRPr="0070001F" w:rsidRDefault="008062E5">
      <w:pPr>
        <w:spacing w:before="80" w:after="80" w:line="280" w:lineRule="auto"/>
        <w:jc w:val="both"/>
        <w:rPr>
          <w:rFonts w:ascii="Palatino Linotype" w:hAnsi="Palatino Linotype"/>
          <w:lang w:val="sk-SK"/>
        </w:rPr>
      </w:pPr>
    </w:p>
    <w:p w14:paraId="3E2A8226"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K Druhej časti (Nárok na rodinnú kartu)</w:t>
      </w:r>
    </w:p>
    <w:p w14:paraId="7FCFD2FA" w14:textId="77777777" w:rsidR="008062E5" w:rsidRPr="0070001F" w:rsidRDefault="008062E5">
      <w:pPr>
        <w:spacing w:before="80" w:after="80" w:line="280" w:lineRule="auto"/>
        <w:jc w:val="both"/>
        <w:rPr>
          <w:rFonts w:ascii="Palatino Linotype" w:hAnsi="Palatino Linotype"/>
          <w:lang w:val="sk-SK"/>
        </w:rPr>
      </w:pPr>
    </w:p>
    <w:p w14:paraId="62DDC597"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3 </w:t>
      </w:r>
      <w:r w:rsidRPr="0070001F">
        <w:rPr>
          <w:rFonts w:ascii="Palatino Linotype" w:hAnsi="Palatino Linotype"/>
          <w:lang w:val="sk-SK"/>
        </w:rPr>
        <w:t>(Vznik a trvanie nároku na rodinnú kartu):</w:t>
      </w:r>
    </w:p>
    <w:p w14:paraId="70F22CF6"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upravuje základné pravidlá vzniku a trvania nároku na rodinnú kartu. Odsek 1 zakotvuje všeobecné pravidlo, že nárok má každý člen rodiny, ak zákon neustanovuje inak. Odsek 2 rozlišuje tri kategórie nároku dieťaťa: (a) všeobecná hranica 18 rokov veku, (b) predĺženie do 25 rokov pri sústavnej príprave na povolanie štúdiom, najdlhšie do 30. septembra kalendárneho roka dovŕšenia 25 rokov, a (c) nárok bez časového obmedzenia pri ťažkom zdravotnom postihnutí, ktoré podstatne obmedzuje schopnosť dieťaťa pripravovať sa na povolanie alebo vykonávať zárobkovú činnosť – terminológia zodpovedá zákonu o kompenzáciách ŤZP a odstraňuje neurčitý pojem "stredne ťažké zdravotné postihnutie".</w:t>
      </w:r>
    </w:p>
    <w:p w14:paraId="15B3C3EB"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Odseky 3 a 4 upravujú nárok rodiča a manžela rodiča a implementujú stabilizačný princíp: podmienka minimálne dvoch detí môže byť splnená aj v minulosti, aby rodič nestratil nárok po dovŕšení veku detí. Odseky 5 a 6 chránia kontinuitu nároku detí a novonarodených detí v rodine, aby sa predišlo diskontinuitám pri zmenách rodinného statusu. Odsek 7 precizuje situácie, v ktorých rodič nemá nárok na rodinnú kartu, v súlade s terminológiou zákona o rodine – rozlišuje pozastavenie, obmedzenie a odňatie rodičovských práv a povinností a situáciu zverenia detí do náhradnej a pestúnskej starostlivosti rozhodnutím súdu. Odsek 8 taxatívne vymedzuje dôvody zániku nároku, čím sa vytvára právna istota pre adresátov aj pre obec ako vydávajúci orgán.</w:t>
      </w:r>
    </w:p>
    <w:p w14:paraId="2C6FCD3D" w14:textId="77777777" w:rsidR="008062E5" w:rsidRPr="0070001F" w:rsidRDefault="008062E5">
      <w:pPr>
        <w:spacing w:before="80" w:after="80" w:line="280" w:lineRule="auto"/>
        <w:jc w:val="both"/>
        <w:rPr>
          <w:rFonts w:ascii="Palatino Linotype" w:hAnsi="Palatino Linotype"/>
          <w:lang w:val="sk-SK"/>
        </w:rPr>
      </w:pPr>
    </w:p>
    <w:p w14:paraId="58215FD8"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4 </w:t>
      </w:r>
      <w:r w:rsidRPr="0070001F">
        <w:rPr>
          <w:rFonts w:ascii="Palatino Linotype" w:hAnsi="Palatino Linotype"/>
          <w:lang w:val="sk-SK"/>
        </w:rPr>
        <w:t>(Osobná a územná pôsobnosť):</w:t>
      </w:r>
    </w:p>
    <w:p w14:paraId="1366D4A3"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upravuje osobnú a územnú pôsobnosť zákona. Podmienkou vydania rodinnej karty je trvalý pobyt člena rodiny na území Slovenskej republiky; zákon odkazuje na osobitné predpisy upravujúce trvalý pobyt občanov SR a pobyt cudzincov. Odsek 2 umožňuje vydanie rodinnej karty aj pre členov rodiny s prechodným alebo tolerovaným pobytom, ak žijú v SR spolu s rodinou a deti majú trvalý pobyt, čím sa zohľadňujú zmiešané rodiny a rodiny cudzincov. Odsek 3 zakotvuje princíp, že príjem a majetkové pomery nie sú kritériom pre nárok na rodinnú kartu, keďže ide o nástroj rodinnej politiky, nie o sociálnu dávku viazanú na majetkový test. Ide o dôležité koncepčné ustanovenie zdôrazňujúce, že rodinná karta je dokladom rodinného statusu, nie prejavom sociálnej núdze.</w:t>
      </w:r>
    </w:p>
    <w:p w14:paraId="6AF82BA8" w14:textId="77777777" w:rsidR="008062E5" w:rsidRPr="0070001F" w:rsidRDefault="008062E5">
      <w:pPr>
        <w:spacing w:before="80" w:after="80" w:line="280" w:lineRule="auto"/>
        <w:jc w:val="both"/>
        <w:rPr>
          <w:rFonts w:ascii="Palatino Linotype" w:hAnsi="Palatino Linotype"/>
          <w:lang w:val="sk-SK"/>
        </w:rPr>
      </w:pPr>
    </w:p>
    <w:p w14:paraId="4DAFBFF2"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lastRenderedPageBreak/>
        <w:t>K Tretej časti (Vydávanie rodinnej karty)</w:t>
      </w:r>
    </w:p>
    <w:p w14:paraId="6A6380C0" w14:textId="77777777" w:rsidR="008062E5" w:rsidRPr="0070001F" w:rsidRDefault="008062E5">
      <w:pPr>
        <w:spacing w:before="80" w:after="80" w:line="280" w:lineRule="auto"/>
        <w:jc w:val="both"/>
        <w:rPr>
          <w:rFonts w:ascii="Palatino Linotype" w:hAnsi="Palatino Linotype"/>
          <w:lang w:val="sk-SK"/>
        </w:rPr>
      </w:pPr>
    </w:p>
    <w:p w14:paraId="064F3DCA"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5 </w:t>
      </w:r>
      <w:r w:rsidRPr="0070001F">
        <w:rPr>
          <w:rFonts w:ascii="Palatino Linotype" w:hAnsi="Palatino Linotype"/>
          <w:lang w:val="sk-SK"/>
        </w:rPr>
        <w:t>(Príslušný orgán):</w:t>
      </w:r>
    </w:p>
    <w:p w14:paraId="29022169"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zveruje vydávanie rodinnej karty obciam, v ktorých má žiadateľ trvalý pobyt, prípadne prechodný pobyt, ak trvalý pobyt nemá. Obec vykonáva túto pôsobnosť ako prenesený výkon štátnej správy; takéto riešenie vychádza z postavenia obce ako základnej jednotky územnej samosprávy a orgánu verejnej správy najbližšieho k občanovi a rešpektuje Európsku chartu miestnej samosprávy. Odsek 2 upravuje vnútornú organizáciu výkonu pôsobnosti prostredníctvom starostu alebo ním povereného zamestnanca; rozhodovanie v správnom konaní sa riadi správnym poriadkom.</w:t>
      </w:r>
    </w:p>
    <w:p w14:paraId="51C8875E"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Odsek 3 vymedzuje centrálne systémové úlohy ministerstva: výroba a personalizácia listinných kariet a ich distribúcia obciam, zriadenie a správa informačného systému, prevádzka a rozvoj elektronickej rodinnej karty a metodické usmerňovanie obcí. Odsek 4 výslovne zakotvuje, že náklady obcí spojené s preneseným výkonom sú kryté zo štátneho rozpočtu podľa osobitných predpisov o rozpočtových pravidlách a financovaní prenesených kompetencií; tým sa reaguje na požiadavku, aby zákon jasne riešil financovanie úloh a zabránil nekrytým nákladom samospráv.</w:t>
      </w:r>
    </w:p>
    <w:p w14:paraId="14FE1344" w14:textId="77777777" w:rsidR="008062E5" w:rsidRPr="0070001F" w:rsidRDefault="008062E5">
      <w:pPr>
        <w:spacing w:before="80" w:after="80" w:line="280" w:lineRule="auto"/>
        <w:jc w:val="both"/>
        <w:rPr>
          <w:rFonts w:ascii="Palatino Linotype" w:hAnsi="Palatino Linotype"/>
          <w:lang w:val="sk-SK"/>
        </w:rPr>
      </w:pPr>
    </w:p>
    <w:p w14:paraId="7235E3AD"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6 </w:t>
      </w:r>
      <w:r w:rsidRPr="0070001F">
        <w:rPr>
          <w:rFonts w:ascii="Palatino Linotype" w:hAnsi="Palatino Linotype"/>
          <w:lang w:val="sk-SK"/>
        </w:rPr>
        <w:t>(Žiadosť o vydanie rodinnej karty):</w:t>
      </w:r>
    </w:p>
    <w:p w14:paraId="186C6B19"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Ustanovenie upravuje obsah a formu žiadosti o vydanie rodinnej karty. Žiadateľ v žiadosti uvedie, či žiada listinnú, elektronickú alebo kombinovanú podobu karty, čo zodpovedá zásade </w:t>
      </w:r>
      <w:proofErr w:type="spellStart"/>
      <w:r w:rsidRPr="0070001F">
        <w:rPr>
          <w:rFonts w:ascii="Palatino Linotype" w:hAnsi="Palatino Linotype"/>
          <w:lang w:val="sk-SK"/>
        </w:rPr>
        <w:t>multikanálového</w:t>
      </w:r>
      <w:proofErr w:type="spellEnd"/>
      <w:r w:rsidRPr="0070001F">
        <w:rPr>
          <w:rFonts w:ascii="Palatino Linotype" w:hAnsi="Palatino Linotype"/>
          <w:lang w:val="sk-SK"/>
        </w:rPr>
        <w:t xml:space="preserve"> prístupu k verejným službám. Obligatórny obsah žiadosti je minimalizovaný na nevyhnutné identifikačné, adresné a kontaktné údaje. Z praktických dôvodov sa umožňuje podať žiadosť v mene viacerých členov rodiny jednou plnoletou osobou s plnou spôsobilosťou na právne úkony.</w:t>
      </w:r>
    </w:p>
    <w:p w14:paraId="12554C51"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Odsek 5 taxatívne vymedzuje doklady, ktoré sa prikladajú k žiadosti, ak ich obec nevie získať z informačných systémov verejnej správy; tým sa rešpektuje zásada, že verejná správa od občana nesmie požadovať doklady, ktoré má k dispozícii alebo môže získať z dostupných evidencií. Odsek 6 zavádza doložku k vyhláseniam so sankčným upozornením o vedomí právnych následkov nepravdivého vyhlásenia, s odkazom na možnosť ustanoviť vzor doložky vo vykonávacom predpise; cieľom je posilniť pravdivosť a spoľahlivosť údajov a zároveň odrádzať od nepravdivých tvrdení. Žiadosť možno podať v listinnej forme alebo elektronicky prostredníctvom elektronickej schránky, čím sa podporuje dostupnosť konania aj jeho digitalizácia.</w:t>
      </w:r>
    </w:p>
    <w:p w14:paraId="6D5D75AC" w14:textId="77777777" w:rsidR="008062E5" w:rsidRPr="0070001F" w:rsidRDefault="008062E5">
      <w:pPr>
        <w:spacing w:before="80" w:after="80" w:line="280" w:lineRule="auto"/>
        <w:jc w:val="both"/>
        <w:rPr>
          <w:rFonts w:ascii="Palatino Linotype" w:hAnsi="Palatino Linotype"/>
          <w:lang w:val="sk-SK"/>
        </w:rPr>
      </w:pPr>
    </w:p>
    <w:p w14:paraId="357834CE"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7 </w:t>
      </w:r>
      <w:r w:rsidRPr="0070001F">
        <w:rPr>
          <w:rFonts w:ascii="Palatino Linotype" w:hAnsi="Palatino Linotype"/>
          <w:lang w:val="sk-SK"/>
        </w:rPr>
        <w:t>(Konanie o vydaní rodinnej karty):</w:t>
      </w:r>
    </w:p>
    <w:p w14:paraId="5F8E9D46"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lastRenderedPageBreak/>
        <w:t>Ustanovenie upravuje postup obce pri posudzovaní žiadosti. Ak sú podmienky nároku splnené, obec vydá rodinnú kartu bez potreby vydania osobitného rozhodnutia – vydanie karty je osvedčením (konštatovaním splnenia podmienok), nie konštitutívnym správnym aktom. Takéto riešenie znižuje administratívnu náročnosť konania v prípadoch, keď sa žiadosti plne vyhovuje. Ak podmienky splnené nie sú alebo ak obec žiadosti nevyhovie v plnom rozsahu, žiadosť zamietne rozhodnutím, na ktoré sa vzťahuje správny poriadok; tým sa zabezpečujú procesné práva žiadateľa vrátane práva na riadne opravné prostriedky. Odsek 4 stanovuje lehoty na rozhodnutie: bez zbytočného odkladu, najneskôr do 30 dní od doručenia úplnej žiadosti; v osobitne zložitých prípadoch do 60 dní.</w:t>
      </w:r>
    </w:p>
    <w:p w14:paraId="7D34697B" w14:textId="77777777" w:rsidR="008062E5" w:rsidRPr="0070001F" w:rsidRDefault="008062E5">
      <w:pPr>
        <w:spacing w:before="80" w:after="80" w:line="280" w:lineRule="auto"/>
        <w:jc w:val="both"/>
        <w:rPr>
          <w:rFonts w:ascii="Palatino Linotype" w:hAnsi="Palatino Linotype"/>
          <w:lang w:val="sk-SK"/>
        </w:rPr>
      </w:pPr>
    </w:p>
    <w:p w14:paraId="5EBF98D4"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8 </w:t>
      </w:r>
      <w:r w:rsidRPr="0070001F">
        <w:rPr>
          <w:rFonts w:ascii="Palatino Linotype" w:hAnsi="Palatino Linotype"/>
          <w:lang w:val="sk-SK"/>
        </w:rPr>
        <w:t>(Platnosť rodinnej karty):</w:t>
      </w:r>
    </w:p>
    <w:p w14:paraId="7756F4AC"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Platnosť rodinnej karty je diferencovaná podľa kategórie držiteľa, čím sa zabezpečuje súlad doby platnosti s trvaním nároku. Rodičovi a manželovi alebo manželke rodiča sa karta vydáva na dobu neurčitú, čo minimalizuje administratívnu záťaž a predchádza opakovaným žiadostiam. Pri deťoch sa platnosť viaže na dovŕšenie veku, na predpokladaný dátum ukončenia sústavnej prípravy na povolanie, na dobu platnosti rozhodnutia o ťažkom zdravotnom postihnutí alebo na dobu trvania náhradnej alebo pestúnskej starostlivosti. Pre členov rodiny s prechodným alebo tolerovaným pobytom sa rodinná karta vydáva najdlhšie na dobu trvania tohto pobytu, čím sa zabezpečuje súlad platnosti karty s právnym základom pobytu na území Slovenskej republiky.</w:t>
      </w:r>
    </w:p>
    <w:p w14:paraId="5DF56DC2" w14:textId="77777777" w:rsidR="008062E5" w:rsidRPr="0070001F" w:rsidRDefault="008062E5">
      <w:pPr>
        <w:spacing w:before="80" w:after="80" w:line="280" w:lineRule="auto"/>
        <w:jc w:val="both"/>
        <w:rPr>
          <w:rFonts w:ascii="Palatino Linotype" w:hAnsi="Palatino Linotype"/>
          <w:lang w:val="sk-SK"/>
        </w:rPr>
      </w:pPr>
    </w:p>
    <w:p w14:paraId="2B808E4F"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9 </w:t>
      </w:r>
      <w:r w:rsidRPr="0070001F">
        <w:rPr>
          <w:rFonts w:ascii="Palatino Linotype" w:hAnsi="Palatino Linotype"/>
          <w:lang w:val="sk-SK"/>
        </w:rPr>
        <w:t>(Odňatie rodinnej karty):</w:t>
      </w:r>
    </w:p>
    <w:p w14:paraId="7DE03693"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Odňatie rodinnej karty predstavuje obligatórny správny úkon, ak nastane niektorý z taxatívne vymedzených dôvodov: zánik nároku, vydanie karty na základe nepravdivých alebo neúplných údajov alebo zneužitie karty vrátane jej sprístupnenia inej osobe za účelom neoprávneného čerpania výhod. </w:t>
      </w:r>
      <w:proofErr w:type="spellStart"/>
      <w:r w:rsidRPr="0070001F">
        <w:rPr>
          <w:rFonts w:ascii="Palatino Linotype" w:hAnsi="Palatino Linotype"/>
          <w:lang w:val="sk-SK"/>
        </w:rPr>
        <w:t>Taxatívnosť</w:t>
      </w:r>
      <w:proofErr w:type="spellEnd"/>
      <w:r w:rsidRPr="0070001F">
        <w:rPr>
          <w:rFonts w:ascii="Palatino Linotype" w:hAnsi="Palatino Linotype"/>
          <w:lang w:val="sk-SK"/>
        </w:rPr>
        <w:t xml:space="preserve"> dôvodov odňatia zaručuje právnu istotu držiteľa karty. O odňatí sa vydáva rozhodnutie v správnom konaní s možnosťou odvolania podľa správneho poriadku; tým sa vytvára procesná garancia ochrany práv držiteľa a súčasne sa obci poskytuje nástroj na ochranu riadneho fungovania systému.</w:t>
      </w:r>
    </w:p>
    <w:p w14:paraId="1D9AA95A" w14:textId="77777777" w:rsidR="008062E5" w:rsidRPr="0070001F" w:rsidRDefault="008062E5">
      <w:pPr>
        <w:spacing w:before="80" w:after="80" w:line="280" w:lineRule="auto"/>
        <w:jc w:val="both"/>
        <w:rPr>
          <w:rFonts w:ascii="Palatino Linotype" w:hAnsi="Palatino Linotype"/>
          <w:lang w:val="sk-SK"/>
        </w:rPr>
      </w:pPr>
    </w:p>
    <w:p w14:paraId="515FB697"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10 </w:t>
      </w:r>
      <w:r w:rsidRPr="0070001F">
        <w:rPr>
          <w:rFonts w:ascii="Palatino Linotype" w:hAnsi="Palatino Linotype"/>
          <w:lang w:val="sk-SK"/>
        </w:rPr>
        <w:t>(Zmena údajov na rodinnej karte):</w:t>
      </w:r>
    </w:p>
    <w:p w14:paraId="5FEC90FA"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Ak ide o zmenu priezviska, trvalého pobytu alebo iných identifikačných údajov, ktorá nezakladá pochybnosť o trvaní nároku, nová rodinná karta sa vydá zjednodušeným postupom – len na základe oznámenia zmeny a predloženia dokladov preukazujúcich zmenu, bez nového posudzovania podmienok nároku. Ak zmenené skutočnosti zakladajú pochybnosť o trvaní nároku, obec podmienky opätovne posúdi. Pri zmene trvalého pobytu, ktorá má za následok zmenu miestnej príslušnosti, vydá novú rodinnú kartu obec podľa nového trvalého pobytu, čím sa zabezpečuje kontinuita evidencie.</w:t>
      </w:r>
    </w:p>
    <w:p w14:paraId="1182A3A9" w14:textId="77777777" w:rsidR="008062E5" w:rsidRPr="0070001F" w:rsidRDefault="008062E5">
      <w:pPr>
        <w:spacing w:before="80" w:after="80" w:line="280" w:lineRule="auto"/>
        <w:jc w:val="both"/>
        <w:rPr>
          <w:rFonts w:ascii="Palatino Linotype" w:hAnsi="Palatino Linotype"/>
          <w:lang w:val="sk-SK"/>
        </w:rPr>
      </w:pPr>
    </w:p>
    <w:p w14:paraId="5BCD3FE4"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11 </w:t>
      </w:r>
      <w:r w:rsidRPr="0070001F">
        <w:rPr>
          <w:rFonts w:ascii="Palatino Linotype" w:hAnsi="Palatino Linotype"/>
          <w:lang w:val="sk-SK"/>
        </w:rPr>
        <w:t>(Duplikát rodinnej karty):</w:t>
      </w:r>
    </w:p>
    <w:p w14:paraId="6C190230" w14:textId="37311A71"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Duplikát rodinnej karty sa vydáva v prípade straty, odcudzenia, poškodenia alebo zničenia originálu na základe žiadosti držiteľa. Pri strate alebo odcudzení sa vyžaduje vyhlásenie o nemožnosti vrátiť pôvodnú kartu, čo </w:t>
      </w:r>
      <w:r w:rsidR="00D45641" w:rsidRPr="0070001F">
        <w:rPr>
          <w:rFonts w:ascii="Palatino Linotype" w:hAnsi="Palatino Linotype"/>
          <w:lang w:val="sk-SK"/>
        </w:rPr>
        <w:t>nahradzuje</w:t>
      </w:r>
      <w:r w:rsidRPr="0070001F">
        <w:rPr>
          <w:rFonts w:ascii="Palatino Linotype" w:hAnsi="Palatino Linotype"/>
          <w:lang w:val="sk-SK"/>
        </w:rPr>
        <w:t xml:space="preserve"> formálnu povinnosť predloženia originálu a zároveň chráni systém pred zneužitím. Ide o jednoduché procesné riešenie každodenných praktických situácií spojených s používaním dokladu.</w:t>
      </w:r>
    </w:p>
    <w:p w14:paraId="1675EF04" w14:textId="77777777" w:rsidR="008062E5" w:rsidRPr="0070001F" w:rsidRDefault="008062E5">
      <w:pPr>
        <w:spacing w:before="80" w:after="80" w:line="280" w:lineRule="auto"/>
        <w:jc w:val="both"/>
        <w:rPr>
          <w:rFonts w:ascii="Palatino Linotype" w:hAnsi="Palatino Linotype"/>
          <w:lang w:val="sk-SK"/>
        </w:rPr>
      </w:pPr>
    </w:p>
    <w:p w14:paraId="455F1E6E"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12 </w:t>
      </w:r>
      <w:r w:rsidRPr="0070001F">
        <w:rPr>
          <w:rFonts w:ascii="Palatino Linotype" w:hAnsi="Palatino Linotype"/>
          <w:lang w:val="sk-SK"/>
        </w:rPr>
        <w:t>(Poplatky):</w:t>
      </w:r>
    </w:p>
    <w:p w14:paraId="6D1F41B8"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Vydanie rodinnej karty je bezplatné, čo zodpovedá účelu zákona – zabezpečiť skutočnú dostupnosť systému pre všetky rodiny bez ohľadu na ich sociálno-ekonomickú situáciu. Za vydanie duplikátu sa platí správny poplatok podľa zákona o správnych poplatkoch, čo zodpovedá štandardnej praxi pri správnych orgánoch. Obci sa zároveň ponecháva fakultatívna možnosť odpustiť alebo znížiť poplatok vo výnimočných prípadoch hodných osobitného zreteľa, najmä pri nepriaznivej sociálnej alebo zdravotnej situácii rodiny, čím sa predchádza formalistickému postupu v ťažkých životných situáciách.</w:t>
      </w:r>
    </w:p>
    <w:p w14:paraId="63290EED" w14:textId="77777777" w:rsidR="008062E5" w:rsidRPr="0070001F" w:rsidRDefault="008062E5">
      <w:pPr>
        <w:spacing w:before="80" w:after="80" w:line="280" w:lineRule="auto"/>
        <w:jc w:val="both"/>
        <w:rPr>
          <w:rFonts w:ascii="Palatino Linotype" w:hAnsi="Palatino Linotype"/>
          <w:lang w:val="sk-SK"/>
        </w:rPr>
      </w:pPr>
    </w:p>
    <w:p w14:paraId="392E8745"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13 </w:t>
      </w:r>
      <w:r w:rsidRPr="0070001F">
        <w:rPr>
          <w:rFonts w:ascii="Palatino Linotype" w:hAnsi="Palatino Linotype"/>
          <w:lang w:val="sk-SK"/>
        </w:rPr>
        <w:t>(Povinnosti držiteľa rodinnej karty):</w:t>
      </w:r>
    </w:p>
    <w:p w14:paraId="49082E7E"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Obec pri vydaní karty informuje jej držiteľa o právach a povinnostiach. Oznamovacia povinnosť sa vzťahuje na zmeny skutočností rozhodujúcich pre nárok (napr. zánik nezaopatrenosti dieťaťa) i na zmeny identifikačných údajov. Povinnosť bezodkladne vrátiť kartu pri zániku nároku alebo pri karte vydanej v rozpore so zákonom zabezpečuje integritu systému a bráni zneužívaniu neoprávnene nadobudnutých výhod. Tieto povinnosti sú nevyhnutné na zachovanie aktuálnosti evidencie a na predchádzanie neoprávnenému čerpaniu.</w:t>
      </w:r>
    </w:p>
    <w:p w14:paraId="59EC7C1A" w14:textId="77777777" w:rsidR="008062E5" w:rsidRPr="0070001F" w:rsidRDefault="008062E5">
      <w:pPr>
        <w:spacing w:before="80" w:after="80" w:line="280" w:lineRule="auto"/>
        <w:jc w:val="both"/>
        <w:rPr>
          <w:rFonts w:ascii="Palatino Linotype" w:hAnsi="Palatino Linotype"/>
          <w:lang w:val="sk-SK"/>
        </w:rPr>
      </w:pPr>
    </w:p>
    <w:p w14:paraId="6061D39A"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K Štvrtej časti (Nároky a zvýhodnenia spojené s rodinnou kartou)</w:t>
      </w:r>
    </w:p>
    <w:p w14:paraId="23FF92D7" w14:textId="77777777" w:rsidR="008062E5" w:rsidRPr="0070001F" w:rsidRDefault="008062E5">
      <w:pPr>
        <w:spacing w:before="80" w:after="80" w:line="280" w:lineRule="auto"/>
        <w:jc w:val="both"/>
        <w:rPr>
          <w:rFonts w:ascii="Palatino Linotype" w:hAnsi="Palatino Linotype"/>
          <w:lang w:val="sk-SK"/>
        </w:rPr>
      </w:pPr>
    </w:p>
    <w:p w14:paraId="1EB0F80E"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14 </w:t>
      </w:r>
      <w:r w:rsidRPr="0070001F">
        <w:rPr>
          <w:rFonts w:ascii="Palatino Linotype" w:hAnsi="Palatino Linotype"/>
          <w:lang w:val="sk-SK"/>
        </w:rPr>
        <w:t>(Nároky a zvýhodnenia držiteľov rodinnej karty):</w:t>
      </w:r>
    </w:p>
    <w:p w14:paraId="06290289" w14:textId="711A71D8"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upravuje všeobecný rámec nárokov a zvýhodnení spojených s rodinnou kartou. Nároky a zvýhodnenia môžu mať troj</w:t>
      </w:r>
      <w:r w:rsidR="00D45641" w:rsidRPr="0070001F">
        <w:rPr>
          <w:rFonts w:ascii="Palatino Linotype" w:hAnsi="Palatino Linotype"/>
          <w:lang w:val="sk-SK"/>
        </w:rPr>
        <w:t xml:space="preserve">aký </w:t>
      </w:r>
      <w:r w:rsidRPr="0070001F">
        <w:rPr>
          <w:rFonts w:ascii="Palatino Linotype" w:hAnsi="Palatino Linotype"/>
          <w:lang w:val="sk-SK"/>
        </w:rPr>
        <w:t>základ: zákonný (z osobitných predpisov), samosprávny (z všeobecne záväzného nariadenia obce alebo VÚC) alebo zmluvný (z verejnoprávnej zmluvy podľa § 15). Výpočet typových zvýhodnení v odseku 2 (zľavy z cien tovarov a služieb, z poplatkov, zvýhodnené podmienky účasti na podujatiach) je demonštratívny a ponecháva priestor pre inováciu zo strany poskytovateľov. Odsek 3 výslovne zakotvuje, že rodinná karta slúži na preukázanie postavenia člena rodiny pri uplatňovaní nárokov.</w:t>
      </w:r>
    </w:p>
    <w:p w14:paraId="6E530640" w14:textId="77777777" w:rsidR="008062E5" w:rsidRPr="0070001F" w:rsidRDefault="008062E5">
      <w:pPr>
        <w:spacing w:before="80" w:after="80" w:line="280" w:lineRule="auto"/>
        <w:jc w:val="both"/>
        <w:rPr>
          <w:rFonts w:ascii="Palatino Linotype" w:hAnsi="Palatino Linotype"/>
          <w:lang w:val="sk-SK"/>
        </w:rPr>
      </w:pPr>
    </w:p>
    <w:p w14:paraId="0223C635"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15 </w:t>
      </w:r>
      <w:r w:rsidRPr="0070001F">
        <w:rPr>
          <w:rFonts w:ascii="Palatino Linotype" w:hAnsi="Palatino Linotype"/>
          <w:lang w:val="sk-SK"/>
        </w:rPr>
        <w:t>(Zmluvy s poskytovateľmi nárokov a zvýhodnení):</w:t>
      </w:r>
    </w:p>
    <w:p w14:paraId="31778398"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Ministerstvo môže uzatvárať s poskytovateľmi verejnoprávne zmluvy o podmienkach poskytovania zvýhodnení. Zmluvný mechanizmus je flexibilným nástrojom budovania siete partnerov bez potreby zákonnej úpravy každého jednotlivého zvýhodnenia. Obligatórny obsah zmluvy zahŕňa okruh nárokov, dobu zmluvy, spôsob informovania verejnosti, overovanie oprávnenosti a kontrolu plnenia. Rovnakú možnosť uzatvárať zmluvy majú aj obce a vyššie územné celky pre potreby zvýhodnení na svojom území; na tieto zmluvy sa primerane vzťahujú rovnaké pravidlá.</w:t>
      </w:r>
    </w:p>
    <w:p w14:paraId="51003BBB" w14:textId="77777777" w:rsidR="008062E5" w:rsidRPr="0070001F" w:rsidRDefault="008062E5">
      <w:pPr>
        <w:spacing w:before="80" w:after="80" w:line="280" w:lineRule="auto"/>
        <w:jc w:val="both"/>
        <w:rPr>
          <w:rFonts w:ascii="Palatino Linotype" w:hAnsi="Palatino Linotype"/>
          <w:lang w:val="sk-SK"/>
        </w:rPr>
      </w:pPr>
    </w:p>
    <w:p w14:paraId="110059CA"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16 </w:t>
      </w:r>
      <w:r w:rsidRPr="0070001F">
        <w:rPr>
          <w:rFonts w:ascii="Palatino Linotype" w:hAnsi="Palatino Linotype"/>
          <w:lang w:val="sk-SK"/>
        </w:rPr>
        <w:t>(Zoznam nárokov a zvýhodnení):</w:t>
      </w:r>
    </w:p>
    <w:p w14:paraId="55816097"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Ministerstvo je povinné zverejňovať a priebežne aktualizovať zoznam nárokov, zvýhodnení a ich poskytovateľov na svojom webovom sídle. Tento mechanizmus zabezpečuje transparentnosť a informovanosť rodín. Obce a vyššie územné celky informujú ministerstvo o programoch podpory rodín prostredníctvom informačného systému, čím sa vytvára jednotný prehľad o poskytovaných výhodách na celom území Slovenskej republiky.</w:t>
      </w:r>
    </w:p>
    <w:p w14:paraId="5F636243" w14:textId="77777777" w:rsidR="008062E5" w:rsidRPr="0070001F" w:rsidRDefault="008062E5">
      <w:pPr>
        <w:spacing w:before="80" w:after="80" w:line="280" w:lineRule="auto"/>
        <w:jc w:val="both"/>
        <w:rPr>
          <w:rFonts w:ascii="Palatino Linotype" w:hAnsi="Palatino Linotype"/>
          <w:lang w:val="sk-SK"/>
        </w:rPr>
      </w:pPr>
    </w:p>
    <w:p w14:paraId="02BD8347"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17 </w:t>
      </w:r>
      <w:r w:rsidRPr="0070001F">
        <w:rPr>
          <w:rFonts w:ascii="Palatino Linotype" w:hAnsi="Palatino Linotype"/>
          <w:lang w:val="sk-SK"/>
        </w:rPr>
        <w:t>(Programy podpory rodín na úrovni obce a vyššieho územného celku):</w:t>
      </w:r>
    </w:p>
    <w:p w14:paraId="3B61F397"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zakotvuje výslovné oprávnenie obce i vyššieho územného celku zaviesť všeobecne záväzným nariadením program podpory rodín, napríklad vo vzťahu k miestnym daniam, poplatkom a službám. Rodinná karta slúži ako doklad preukazujúci nárok v rámci týchto programov. Odsek 3 zdôrazňuje, že prijatie a vykonávanie programov je vo výlučnej pôsobnosti príslušnej samosprávy, čím sa rešpektuje princíp subsidiarity a samosprávna autonómia. Zákon neukladá obciam a VÚC povinnosť programy zavádzať.</w:t>
      </w:r>
    </w:p>
    <w:p w14:paraId="37CAB58F" w14:textId="77777777" w:rsidR="008062E5" w:rsidRPr="0070001F" w:rsidRDefault="008062E5">
      <w:pPr>
        <w:spacing w:before="80" w:after="80" w:line="280" w:lineRule="auto"/>
        <w:jc w:val="both"/>
        <w:rPr>
          <w:rFonts w:ascii="Palatino Linotype" w:hAnsi="Palatino Linotype"/>
          <w:lang w:val="sk-SK"/>
        </w:rPr>
      </w:pPr>
    </w:p>
    <w:p w14:paraId="76A40749"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18 </w:t>
      </w:r>
      <w:r w:rsidRPr="0070001F">
        <w:rPr>
          <w:rFonts w:ascii="Palatino Linotype" w:hAnsi="Palatino Linotype"/>
          <w:lang w:val="sk-SK"/>
        </w:rPr>
        <w:t>(Označenie poskytovateľov nárokov a zvýhodnení a overovanie totožnosti):</w:t>
      </w:r>
    </w:p>
    <w:p w14:paraId="0DB881A5"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Ustanovenie umožňuje poskytovateľom, ktorí sa zapoja do systému, používať označenie "Partner rodinnej karty" a logo rodinnej karty; podrobnosti o logu a podmienkach používania budú upravené vykonávacím predpisom. Takéto označenie zvyšuje rozoznateľnosť systému pre verejnosť a posilňuje motiváciu súkromného sektora stať sa partnerom systému. Odsek 3 oprávňuje poskytovateľa žiadať preukázanie totožnosti pri uplatnení nároku, no výslovne zakazuje ďalšie spracúvanie, zaznamenávanie alebo uchovávanie údajov z dokladu totožnosti bez osobitného právneho základu alebo súhlasu; tým sa zabezpečuje proporcionalita ochrany osobných údajov a predchádza sa neoprávnenému profilovaniu zákazníkov.</w:t>
      </w:r>
    </w:p>
    <w:p w14:paraId="7A524FCF" w14:textId="77777777" w:rsidR="008062E5" w:rsidRPr="0070001F" w:rsidRDefault="008062E5">
      <w:pPr>
        <w:spacing w:before="80" w:after="80" w:line="280" w:lineRule="auto"/>
        <w:jc w:val="both"/>
        <w:rPr>
          <w:rFonts w:ascii="Palatino Linotype" w:hAnsi="Palatino Linotype"/>
          <w:lang w:val="sk-SK"/>
        </w:rPr>
      </w:pPr>
    </w:p>
    <w:p w14:paraId="42CCB33B"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lastRenderedPageBreak/>
        <w:t>K Piatej časti (Informačný systém a ochrana osobných údajov)</w:t>
      </w:r>
    </w:p>
    <w:p w14:paraId="4204C22A" w14:textId="77777777" w:rsidR="008062E5" w:rsidRPr="0070001F" w:rsidRDefault="008062E5">
      <w:pPr>
        <w:spacing w:before="80" w:after="80" w:line="280" w:lineRule="auto"/>
        <w:jc w:val="both"/>
        <w:rPr>
          <w:rFonts w:ascii="Palatino Linotype" w:hAnsi="Palatino Linotype"/>
          <w:lang w:val="sk-SK"/>
        </w:rPr>
      </w:pPr>
    </w:p>
    <w:p w14:paraId="4B999608"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19 </w:t>
      </w:r>
      <w:r w:rsidRPr="0070001F">
        <w:rPr>
          <w:rFonts w:ascii="Palatino Linotype" w:hAnsi="Palatino Linotype"/>
          <w:lang w:val="sk-SK"/>
        </w:rPr>
        <w:t>(Informačný systém rodinnej karty):</w:t>
      </w:r>
    </w:p>
    <w:p w14:paraId="5E1D8367"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Ministerstvo zriaďuje a spravuje informačný systém rodinnej karty ako informačný systém verejnej správy. Systém slúži na evidenciu vydaných kariet a ich držiteľov, evidenciu programov podpory a zmlúv s poskytovateľmi a na štatistické vyhodnocovanie dopadov zákona – tieto štatistické výstupy budú kľúčové pre ex post hodnotenie účelnosti navrhovanej právnej úpravy a pre plánovanie rodinnej politiky. Obec pri výkone pôsobnosti informačný systém využíva; vzťah ministerstva a obce pri jeho využívaní sa riadi zákonom o informačných technológiách vo verejnej správe. Odsek 3 taxatívne vymedzuje kategórie osobných údajov spracúvaných v informačnom systéme v rozsahu nevyhnutnom na dosiahnutie zákonných účelov; zaradenie základných náležitostí spracúvania priamo do zákona (nie len do vykonávacieho predpisu) zodpovedá požiadavkám transparentnosti podľa GDPR.</w:t>
      </w:r>
    </w:p>
    <w:p w14:paraId="2D46DFBC" w14:textId="77777777" w:rsidR="008062E5" w:rsidRPr="0070001F" w:rsidRDefault="008062E5">
      <w:pPr>
        <w:spacing w:before="80" w:after="80" w:line="280" w:lineRule="auto"/>
        <w:jc w:val="both"/>
        <w:rPr>
          <w:rFonts w:ascii="Palatino Linotype" w:hAnsi="Palatino Linotype"/>
          <w:lang w:val="sk-SK"/>
        </w:rPr>
      </w:pPr>
    </w:p>
    <w:p w14:paraId="1301F68F"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20 </w:t>
      </w:r>
      <w:r w:rsidRPr="0070001F">
        <w:rPr>
          <w:rFonts w:ascii="Palatino Linotype" w:hAnsi="Palatino Linotype"/>
          <w:lang w:val="sk-SK"/>
        </w:rPr>
        <w:t>(Spracúvanie osobných údajov):</w:t>
      </w:r>
    </w:p>
    <w:p w14:paraId="4D5C7576"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Spracúvanie osobných údajov ministerstvom a obcou sa vykonáva v súlade s nariadením (EÚ) 2016/679 (GDPR) a zákonom č. 18/2018 Z. z. o ochrane osobných údajov. Právnym základom spracúvania je plnenie úlohy vo verejnom záujme alebo výkon verejnej moci. Doba uchovávania osobných údajov je obmedzená na desať rokov po zániku nároku na rodinnú kartu; po uplynutí tejto lehoty sa osobné údaje zlikvidujú spôsobom podľa osobitného predpisu. Maximálna doba uchovávania je primeraná potrebe prípadného preskúmania zákonnosti konania v opravnom alebo súdnom konaní a zároveň rešpektuje princíp minimalizácie uchovávania podľa článku 5 ods. 1 písm. e) GDPR. Ministerstvo a obec zabezpečia prístup k osobným údajom len pre poverené osoby a záväzok mlčanlivosti.</w:t>
      </w:r>
    </w:p>
    <w:p w14:paraId="6F12FB78" w14:textId="77777777" w:rsidR="008062E5" w:rsidRPr="0070001F" w:rsidRDefault="008062E5">
      <w:pPr>
        <w:spacing w:before="80" w:after="80" w:line="280" w:lineRule="auto"/>
        <w:jc w:val="both"/>
        <w:rPr>
          <w:rFonts w:ascii="Palatino Linotype" w:hAnsi="Palatino Linotype"/>
          <w:lang w:val="sk-SK"/>
        </w:rPr>
      </w:pPr>
    </w:p>
    <w:p w14:paraId="46460EFF"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K Šiestej časti (Spoločné ustanovenia)</w:t>
      </w:r>
    </w:p>
    <w:p w14:paraId="08BA35C4" w14:textId="77777777" w:rsidR="008062E5" w:rsidRPr="0070001F" w:rsidRDefault="008062E5">
      <w:pPr>
        <w:spacing w:before="80" w:after="80" w:line="280" w:lineRule="auto"/>
        <w:jc w:val="both"/>
        <w:rPr>
          <w:rFonts w:ascii="Palatino Linotype" w:hAnsi="Palatino Linotype"/>
          <w:lang w:val="sk-SK"/>
        </w:rPr>
      </w:pPr>
    </w:p>
    <w:p w14:paraId="6AAD4D9B"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21 </w:t>
      </w:r>
      <w:r w:rsidRPr="0070001F">
        <w:rPr>
          <w:rFonts w:ascii="Palatino Linotype" w:hAnsi="Palatino Linotype"/>
          <w:lang w:val="sk-SK"/>
        </w:rPr>
        <w:t>(Spoločné ustanovenia):</w:t>
      </w:r>
    </w:p>
    <w:p w14:paraId="1587365C"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Odsek 1 stanovuje, že na konania obce sa subsidiárne použije správny poriadok, ak zákon neustanovuje inak. Odsek 2 upravuje doručovanie písomností v nadväznosti na správny poriadok a zákon o e-</w:t>
      </w:r>
      <w:proofErr w:type="spellStart"/>
      <w:r w:rsidRPr="0070001F">
        <w:rPr>
          <w:rFonts w:ascii="Palatino Linotype" w:hAnsi="Palatino Linotype"/>
          <w:lang w:val="sk-SK"/>
        </w:rPr>
        <w:t>Governmente</w:t>
      </w:r>
      <w:proofErr w:type="spellEnd"/>
      <w:r w:rsidRPr="0070001F">
        <w:rPr>
          <w:rFonts w:ascii="Palatino Linotype" w:hAnsi="Palatino Linotype"/>
          <w:lang w:val="sk-SK"/>
        </w:rPr>
        <w:t>, čo zaručuje rovnakú procesnú úroveň listinného i elektronického doručovania. Ide o štandardné spoločné ustanovenie, ktoré sprehľadňuje vzťah k všeobecnej procesnej úprave.</w:t>
      </w:r>
    </w:p>
    <w:p w14:paraId="7F3D3558" w14:textId="77777777" w:rsidR="008062E5" w:rsidRPr="0070001F" w:rsidRDefault="008062E5">
      <w:pPr>
        <w:spacing w:before="80" w:after="80" w:line="280" w:lineRule="auto"/>
        <w:jc w:val="both"/>
        <w:rPr>
          <w:rFonts w:ascii="Palatino Linotype" w:hAnsi="Palatino Linotype"/>
          <w:lang w:val="sk-SK"/>
        </w:rPr>
      </w:pPr>
    </w:p>
    <w:p w14:paraId="6A346D92"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K Siedmej časti (Splnomocňovacie ustanovenia)</w:t>
      </w:r>
    </w:p>
    <w:p w14:paraId="785C7CF0" w14:textId="77777777" w:rsidR="008062E5" w:rsidRPr="0070001F" w:rsidRDefault="008062E5">
      <w:pPr>
        <w:spacing w:before="80" w:after="80" w:line="280" w:lineRule="auto"/>
        <w:jc w:val="both"/>
        <w:rPr>
          <w:rFonts w:ascii="Palatino Linotype" w:hAnsi="Palatino Linotype"/>
          <w:lang w:val="sk-SK"/>
        </w:rPr>
      </w:pPr>
    </w:p>
    <w:p w14:paraId="0F31E98B"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lastRenderedPageBreak/>
        <w:t xml:space="preserve">K § 22 </w:t>
      </w:r>
      <w:r w:rsidRPr="0070001F">
        <w:rPr>
          <w:rFonts w:ascii="Palatino Linotype" w:hAnsi="Palatino Linotype"/>
          <w:lang w:val="sk-SK"/>
        </w:rPr>
        <w:t>(Vykonávacie predpisy):</w:t>
      </w:r>
    </w:p>
    <w:p w14:paraId="08D931C5"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 xml:space="preserve">Splnomocňovacie ustanovenie sústreďuje všetky splnomocnenia na vydanie vykonávacích predpisov do jedného paragrafu v súlade s legislatívnymi pravidlami. Odsek 1 splnomocňuje ministerstvo vydať všeobecne záväzný právny predpis, ktorý upraví podrobnosti o forme a obsahu rodinnej karty, postupe vydávania a </w:t>
      </w:r>
      <w:proofErr w:type="spellStart"/>
      <w:r w:rsidRPr="0070001F">
        <w:rPr>
          <w:rFonts w:ascii="Palatino Linotype" w:hAnsi="Palatino Linotype"/>
          <w:lang w:val="sk-SK"/>
        </w:rPr>
        <w:t>zneplatnenia</w:t>
      </w:r>
      <w:proofErr w:type="spellEnd"/>
      <w:r w:rsidRPr="0070001F">
        <w:rPr>
          <w:rFonts w:ascii="Palatino Linotype" w:hAnsi="Palatino Linotype"/>
          <w:lang w:val="sk-SK"/>
        </w:rPr>
        <w:t>, postupe pri duplikáte, rozsahu informácií v žiadosti a vzore doložky podľa § 6 ods. 6. Odsek 2 splnomocňuje vládu vydať nariadenie o fungovaní informačného systému, rozsahu vedených údajov a prístupe k nim; toto nariadenie vydá vláda na návrh ministerstva, čím sa zabezpečuje medzirezortná koordinácia. Odsek 3 splnomocňuje ministerstvo ustanoviť vzor rodinnej karty, označenia "Partner rodinnej karty" a loga rodinnej karty. Splnomocnenia sú formulované jednoznačne a určujú orgán, predmet aj rozsah úpravy.</w:t>
      </w:r>
    </w:p>
    <w:p w14:paraId="0F5715DB" w14:textId="77777777" w:rsidR="008062E5" w:rsidRPr="0070001F" w:rsidRDefault="008062E5">
      <w:pPr>
        <w:spacing w:before="80" w:after="80" w:line="280" w:lineRule="auto"/>
        <w:jc w:val="both"/>
        <w:rPr>
          <w:rFonts w:ascii="Palatino Linotype" w:hAnsi="Palatino Linotype"/>
          <w:lang w:val="sk-SK"/>
        </w:rPr>
      </w:pPr>
    </w:p>
    <w:p w14:paraId="1AEE2A62"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K Ôsmej časti (Prechodné ustanovenia)</w:t>
      </w:r>
    </w:p>
    <w:p w14:paraId="3DDCB171" w14:textId="77777777" w:rsidR="008062E5" w:rsidRPr="0070001F" w:rsidRDefault="008062E5">
      <w:pPr>
        <w:spacing w:before="80" w:after="80" w:line="280" w:lineRule="auto"/>
        <w:jc w:val="both"/>
        <w:rPr>
          <w:rFonts w:ascii="Palatino Linotype" w:hAnsi="Palatino Linotype"/>
          <w:lang w:val="sk-SK"/>
        </w:rPr>
      </w:pPr>
    </w:p>
    <w:p w14:paraId="56900C99"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23 </w:t>
      </w:r>
      <w:r w:rsidRPr="0070001F">
        <w:rPr>
          <w:rFonts w:ascii="Palatino Linotype" w:hAnsi="Palatino Linotype"/>
          <w:lang w:val="sk-SK"/>
        </w:rPr>
        <w:t>(Prechodné ustanovenia):</w:t>
      </w:r>
    </w:p>
    <w:p w14:paraId="6F402D89"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Ministerstvo zriadi informačný systém do dvoch rokov od nadobudnutia účinnosti zákona, teda najneskôr do 31. decembra 2029. Do zriadenia informačného systému vedú obce evidenciu vydaných rodinných kariet vo vlastnom systéme; po zriadení centrálneho systému zabezpečia prenos dát. Ministerstvo vydá vykonávacie predpisy do jedného roka od nadobudnutia účinnosti zákona. Tieto lehoty sú volené tak, aby poskytovateľom i správnym orgánom umožnili prípravu potrebnej infraštruktúry, metodiky a interných postupov pri plnom využití existujúcich kapacít.</w:t>
      </w:r>
    </w:p>
    <w:p w14:paraId="0C1FC673" w14:textId="77777777" w:rsidR="008062E5" w:rsidRPr="0070001F" w:rsidRDefault="008062E5">
      <w:pPr>
        <w:spacing w:before="80" w:after="80" w:line="280" w:lineRule="auto"/>
        <w:jc w:val="both"/>
        <w:rPr>
          <w:rFonts w:ascii="Palatino Linotype" w:hAnsi="Palatino Linotype"/>
          <w:lang w:val="sk-SK"/>
        </w:rPr>
      </w:pPr>
    </w:p>
    <w:p w14:paraId="3A0CEFFC"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K Deviatej časti (Záverečné ustanovenia)</w:t>
      </w:r>
    </w:p>
    <w:p w14:paraId="1D5F77F5" w14:textId="77777777" w:rsidR="008062E5" w:rsidRPr="0070001F" w:rsidRDefault="008062E5">
      <w:pPr>
        <w:spacing w:before="80" w:after="80" w:line="280" w:lineRule="auto"/>
        <w:jc w:val="both"/>
        <w:rPr>
          <w:rFonts w:ascii="Palatino Linotype" w:hAnsi="Palatino Linotype"/>
          <w:lang w:val="sk-SK"/>
        </w:rPr>
      </w:pPr>
    </w:p>
    <w:p w14:paraId="7289AA92"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b/>
          <w:bCs/>
          <w:lang w:val="sk-SK"/>
        </w:rPr>
        <w:t xml:space="preserve">K § 24 </w:t>
      </w:r>
      <w:r w:rsidRPr="0070001F">
        <w:rPr>
          <w:rFonts w:ascii="Palatino Linotype" w:hAnsi="Palatino Linotype"/>
          <w:lang w:val="sk-SK"/>
        </w:rPr>
        <w:t>(Účinnosť):</w:t>
      </w:r>
    </w:p>
    <w:p w14:paraId="2661A890" w14:textId="77777777" w:rsidR="008062E5" w:rsidRPr="0070001F" w:rsidRDefault="00000000">
      <w:pPr>
        <w:spacing w:before="80" w:after="80" w:line="280" w:lineRule="auto"/>
        <w:jc w:val="both"/>
        <w:rPr>
          <w:rFonts w:ascii="Palatino Linotype" w:hAnsi="Palatino Linotype"/>
          <w:lang w:val="sk-SK"/>
        </w:rPr>
      </w:pPr>
      <w:r w:rsidRPr="0070001F">
        <w:rPr>
          <w:rFonts w:ascii="Palatino Linotype" w:hAnsi="Palatino Linotype"/>
          <w:lang w:val="sk-SK"/>
        </w:rPr>
        <w:t>Zákon nadobúda účinnosť 1. januára 2028. Táto lehota umožňuje ministerstvu vydať vykonávacie právne predpisy, zabezpečiť výrobu a personalizáciu rodinných kariet, metodicky pripraviť obce a začať prípravu informačného systému. Dátum účinnosti k začiatku kalendárneho roka je v súlade s legislatívnymi pravidlami vlády o štandardnom nadobúdaní účinnosti zákonov v oblasti sociálnych dávok a verejnej správy.</w:t>
      </w:r>
    </w:p>
    <w:p w14:paraId="549B0723" w14:textId="77777777" w:rsidR="00D45641" w:rsidRPr="0070001F" w:rsidRDefault="00D45641">
      <w:pPr>
        <w:spacing w:before="80" w:after="80" w:line="280" w:lineRule="auto"/>
        <w:jc w:val="both"/>
        <w:rPr>
          <w:rFonts w:ascii="Palatino Linotype" w:hAnsi="Palatino Linotype"/>
          <w:lang w:val="sk-SK"/>
        </w:rPr>
      </w:pPr>
    </w:p>
    <w:p w14:paraId="3A3F7ABC" w14:textId="77777777" w:rsidR="00D45641" w:rsidRPr="0070001F" w:rsidRDefault="00D45641">
      <w:pPr>
        <w:spacing w:before="80" w:after="80" w:line="280" w:lineRule="auto"/>
        <w:jc w:val="both"/>
        <w:rPr>
          <w:rFonts w:ascii="Palatino Linotype" w:hAnsi="Palatino Linotype"/>
          <w:lang w:val="sk-SK"/>
        </w:rPr>
      </w:pPr>
    </w:p>
    <w:p w14:paraId="0B8C6A2B" w14:textId="77777777" w:rsidR="008062E5" w:rsidRPr="0070001F" w:rsidRDefault="008062E5">
      <w:pPr>
        <w:spacing w:before="80" w:after="80" w:line="280" w:lineRule="auto"/>
        <w:jc w:val="both"/>
        <w:rPr>
          <w:rFonts w:ascii="Palatino Linotype" w:hAnsi="Palatino Linotype"/>
          <w:lang w:val="sk-SK"/>
        </w:rPr>
      </w:pPr>
    </w:p>
    <w:p w14:paraId="24D19C89" w14:textId="77777777" w:rsidR="008062E5" w:rsidRPr="0070001F" w:rsidRDefault="008062E5">
      <w:pPr>
        <w:spacing w:before="80" w:after="80" w:line="280" w:lineRule="auto"/>
        <w:jc w:val="both"/>
        <w:rPr>
          <w:rFonts w:ascii="Palatino Linotype" w:hAnsi="Palatino Linotype"/>
          <w:lang w:val="sk-SK"/>
        </w:rPr>
      </w:pPr>
    </w:p>
    <w:sectPr w:rsidR="008062E5" w:rsidRPr="0070001F">
      <w:footerReference w:type="default" r:id="rId7"/>
      <w:pgSz w:w="11906" w:h="16838"/>
      <w:pgMar w:top="1440" w:right="1440" w:bottom="1440"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08512" w14:textId="77777777" w:rsidR="009B43A7" w:rsidRDefault="009B43A7" w:rsidP="00AA2B08">
      <w:r>
        <w:separator/>
      </w:r>
    </w:p>
  </w:endnote>
  <w:endnote w:type="continuationSeparator" w:id="0">
    <w:p w14:paraId="0604C0F1" w14:textId="77777777" w:rsidR="009B43A7" w:rsidRDefault="009B43A7" w:rsidP="00AA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30416"/>
      <w:docPartObj>
        <w:docPartGallery w:val="Page Numbers (Bottom of Page)"/>
        <w:docPartUnique/>
      </w:docPartObj>
    </w:sdtPr>
    <w:sdtContent>
      <w:p w14:paraId="7E99949F" w14:textId="0820A58A" w:rsidR="00AA2B08" w:rsidRDefault="00AA2B08">
        <w:pPr>
          <w:pStyle w:val="Pta"/>
          <w:jc w:val="center"/>
        </w:pPr>
        <w:r>
          <w:fldChar w:fldCharType="begin"/>
        </w:r>
        <w:r>
          <w:instrText>PAGE   \* MERGEFORMAT</w:instrText>
        </w:r>
        <w:r>
          <w:fldChar w:fldCharType="separate"/>
        </w:r>
        <w:r>
          <w:rPr>
            <w:lang w:val="sk-SK"/>
          </w:rPr>
          <w:t>2</w:t>
        </w:r>
        <w:r>
          <w:fldChar w:fldCharType="end"/>
        </w:r>
      </w:p>
    </w:sdtContent>
  </w:sdt>
  <w:p w14:paraId="505C7634" w14:textId="77777777" w:rsidR="00AA2B08" w:rsidRDefault="00AA2B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0D02B" w14:textId="77777777" w:rsidR="009B43A7" w:rsidRDefault="009B43A7" w:rsidP="00AA2B08">
      <w:r>
        <w:separator/>
      </w:r>
    </w:p>
  </w:footnote>
  <w:footnote w:type="continuationSeparator" w:id="0">
    <w:p w14:paraId="1782C3D9" w14:textId="77777777" w:rsidR="009B43A7" w:rsidRDefault="009B43A7" w:rsidP="00AA2B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46F"/>
    <w:multiLevelType w:val="hybridMultilevel"/>
    <w:tmpl w:val="0EFADEEE"/>
    <w:lvl w:ilvl="0" w:tplc="F0E04658">
      <w:start w:val="1"/>
      <w:numFmt w:val="bullet"/>
      <w:lvlText w:val="●"/>
      <w:lvlJc w:val="left"/>
      <w:pPr>
        <w:ind w:left="720" w:hanging="360"/>
      </w:pPr>
    </w:lvl>
    <w:lvl w:ilvl="1" w:tplc="03A2C38C">
      <w:start w:val="1"/>
      <w:numFmt w:val="bullet"/>
      <w:lvlText w:val="○"/>
      <w:lvlJc w:val="left"/>
      <w:pPr>
        <w:ind w:left="1440" w:hanging="360"/>
      </w:pPr>
    </w:lvl>
    <w:lvl w:ilvl="2" w:tplc="62B077A4">
      <w:start w:val="1"/>
      <w:numFmt w:val="bullet"/>
      <w:lvlText w:val="■"/>
      <w:lvlJc w:val="left"/>
      <w:pPr>
        <w:ind w:left="2160" w:hanging="360"/>
      </w:pPr>
    </w:lvl>
    <w:lvl w:ilvl="3" w:tplc="6CE29E94">
      <w:start w:val="1"/>
      <w:numFmt w:val="bullet"/>
      <w:lvlText w:val="●"/>
      <w:lvlJc w:val="left"/>
      <w:pPr>
        <w:ind w:left="2880" w:hanging="360"/>
      </w:pPr>
    </w:lvl>
    <w:lvl w:ilvl="4" w:tplc="FBAA5658">
      <w:start w:val="1"/>
      <w:numFmt w:val="bullet"/>
      <w:lvlText w:val="○"/>
      <w:lvlJc w:val="left"/>
      <w:pPr>
        <w:ind w:left="3600" w:hanging="360"/>
      </w:pPr>
    </w:lvl>
    <w:lvl w:ilvl="5" w:tplc="083EB45C">
      <w:start w:val="1"/>
      <w:numFmt w:val="bullet"/>
      <w:lvlText w:val="■"/>
      <w:lvlJc w:val="left"/>
      <w:pPr>
        <w:ind w:left="4320" w:hanging="360"/>
      </w:pPr>
    </w:lvl>
    <w:lvl w:ilvl="6" w:tplc="E5B84776">
      <w:start w:val="1"/>
      <w:numFmt w:val="bullet"/>
      <w:lvlText w:val="●"/>
      <w:lvlJc w:val="left"/>
      <w:pPr>
        <w:ind w:left="5040" w:hanging="360"/>
      </w:pPr>
    </w:lvl>
    <w:lvl w:ilvl="7" w:tplc="CF325740">
      <w:start w:val="1"/>
      <w:numFmt w:val="bullet"/>
      <w:lvlText w:val="●"/>
      <w:lvlJc w:val="left"/>
      <w:pPr>
        <w:ind w:left="5760" w:hanging="360"/>
      </w:pPr>
    </w:lvl>
    <w:lvl w:ilvl="8" w:tplc="CB5652A4">
      <w:start w:val="1"/>
      <w:numFmt w:val="bullet"/>
      <w:lvlText w:val="●"/>
      <w:lvlJc w:val="left"/>
      <w:pPr>
        <w:ind w:left="6480" w:hanging="360"/>
      </w:pPr>
    </w:lvl>
  </w:abstractNum>
  <w:num w:numId="1" w16cid:durableId="321974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2E5"/>
    <w:rsid w:val="000F5E21"/>
    <w:rsid w:val="003B3EEB"/>
    <w:rsid w:val="006B1FE9"/>
    <w:rsid w:val="0070001F"/>
    <w:rsid w:val="008062E5"/>
    <w:rsid w:val="0088391F"/>
    <w:rsid w:val="009B43A7"/>
    <w:rsid w:val="00AA2B08"/>
    <w:rsid w:val="00C84184"/>
    <w:rsid w:val="00CD24E8"/>
    <w:rsid w:val="00D45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96499"/>
  <w15:docId w15:val="{7F35B20D-D417-44CF-9515-CEB5E8F4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pPr>
      <w:spacing w:before="320" w:after="160"/>
      <w:outlineLvl w:val="0"/>
    </w:pPr>
    <w:rPr>
      <w:b/>
      <w:bCs/>
      <w:sz w:val="24"/>
      <w:szCs w:val="24"/>
      <w:u w:val="single"/>
    </w:rPr>
  </w:style>
  <w:style w:type="paragraph" w:styleId="Nadpis2">
    <w:name w:val="heading 2"/>
    <w:uiPriority w:val="9"/>
    <w:semiHidden/>
    <w:unhideWhenUsed/>
    <w:qFormat/>
    <w:pPr>
      <w:spacing w:before="240" w:after="100"/>
      <w:outlineLvl w:val="1"/>
    </w:pPr>
    <w:rPr>
      <w:b/>
      <w:bCs/>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uiPriority w:val="10"/>
    <w:qFormat/>
    <w:rPr>
      <w:sz w:val="56"/>
      <w:szCs w:val="56"/>
    </w:rPr>
  </w:style>
  <w:style w:type="paragraph" w:customStyle="1" w:styleId="Vrazn1">
    <w:name w:val="Výrazný1"/>
    <w:qFormat/>
    <w:rPr>
      <w:b/>
      <w:bCs/>
    </w:rPr>
  </w:style>
  <w:style w:type="paragraph" w:styleId="Odsekzoznamu">
    <w:name w:val="List Paragraph"/>
    <w:qFormat/>
  </w:style>
  <w:style w:type="character" w:styleId="Hypertextovprepojenie">
    <w:name w:val="Hyperlink"/>
    <w:uiPriority w:val="99"/>
    <w:unhideWhenUsed/>
    <w:rPr>
      <w:color w:val="0563C1"/>
      <w:u w:val="single"/>
    </w:rPr>
  </w:style>
  <w:style w:type="character" w:styleId="Odkaznapoznmkupodiarou">
    <w:name w:val="footnote reference"/>
    <w:uiPriority w:val="99"/>
    <w:semiHidden/>
    <w:unhideWhenUsed/>
    <w:rPr>
      <w:vertAlign w:val="superscript"/>
    </w:rPr>
  </w:style>
  <w:style w:type="paragraph" w:styleId="Textpoznmkypodiarou">
    <w:name w:val="footnote text"/>
    <w:link w:val="TextpoznmkypodiarouChar"/>
    <w:uiPriority w:val="99"/>
    <w:semiHidden/>
    <w:unhideWhenUsed/>
    <w:rPr>
      <w:sz w:val="20"/>
      <w:szCs w:val="20"/>
    </w:rPr>
  </w:style>
  <w:style w:type="character" w:customStyle="1" w:styleId="TextpoznmkypodiarouChar">
    <w:name w:val="Text poznámky pod čiarou Char"/>
    <w:link w:val="Textpoznmkypodiarou"/>
    <w:uiPriority w:val="99"/>
    <w:semiHidden/>
    <w:unhideWhenUsed/>
    <w:rPr>
      <w:sz w:val="20"/>
      <w:szCs w:val="20"/>
    </w:rPr>
  </w:style>
  <w:style w:type="character" w:styleId="Odkaznavysvetlivku">
    <w:name w:val="endnote reference"/>
    <w:uiPriority w:val="99"/>
    <w:semiHidden/>
    <w:unhideWhenUsed/>
    <w:rPr>
      <w:vertAlign w:val="superscript"/>
    </w:rPr>
  </w:style>
  <w:style w:type="paragraph" w:styleId="Textvysvetlivky">
    <w:name w:val="endnote text"/>
    <w:link w:val="TextvysvetlivkyChar"/>
    <w:uiPriority w:val="99"/>
    <w:semiHidden/>
    <w:unhideWhenUsed/>
    <w:rPr>
      <w:sz w:val="20"/>
      <w:szCs w:val="20"/>
    </w:rPr>
  </w:style>
  <w:style w:type="character" w:customStyle="1" w:styleId="TextvysvetlivkyChar">
    <w:name w:val="Text vysvetlivky Char"/>
    <w:link w:val="Textvysvetlivky"/>
    <w:uiPriority w:val="99"/>
    <w:semiHidden/>
    <w:unhideWhenUsed/>
    <w:rPr>
      <w:sz w:val="20"/>
      <w:szCs w:val="20"/>
    </w:rPr>
  </w:style>
  <w:style w:type="paragraph" w:styleId="Hlavika">
    <w:name w:val="header"/>
    <w:basedOn w:val="Normlny"/>
    <w:link w:val="HlavikaChar"/>
    <w:uiPriority w:val="99"/>
    <w:unhideWhenUsed/>
    <w:rsid w:val="00AA2B08"/>
    <w:pPr>
      <w:tabs>
        <w:tab w:val="center" w:pos="4680"/>
        <w:tab w:val="right" w:pos="9360"/>
      </w:tabs>
    </w:pPr>
  </w:style>
  <w:style w:type="character" w:customStyle="1" w:styleId="HlavikaChar">
    <w:name w:val="Hlavička Char"/>
    <w:basedOn w:val="Predvolenpsmoodseku"/>
    <w:link w:val="Hlavika"/>
    <w:uiPriority w:val="99"/>
    <w:rsid w:val="00AA2B08"/>
  </w:style>
  <w:style w:type="paragraph" w:styleId="Pta">
    <w:name w:val="footer"/>
    <w:basedOn w:val="Normlny"/>
    <w:link w:val="PtaChar"/>
    <w:uiPriority w:val="99"/>
    <w:unhideWhenUsed/>
    <w:rsid w:val="00AA2B08"/>
    <w:pPr>
      <w:tabs>
        <w:tab w:val="center" w:pos="4680"/>
        <w:tab w:val="right" w:pos="9360"/>
      </w:tabs>
    </w:pPr>
  </w:style>
  <w:style w:type="character" w:customStyle="1" w:styleId="PtaChar">
    <w:name w:val="Päta Char"/>
    <w:basedOn w:val="Predvolenpsmoodseku"/>
    <w:link w:val="Pta"/>
    <w:uiPriority w:val="99"/>
    <w:rsid w:val="00AA2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4429</Words>
  <Characters>25249</Characters>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2026-05-07T23:37:00Z</dcterms:created>
  <dcterms:modified xsi:type="dcterms:W3CDTF">2026-05-08T14:39:00Z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3bfa738e-bd11-4570-862c-bcbcbe6a8e07</vt:lpwstr>
  </property>
</Properties>
</file>