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9FCE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NÁRODNÁ  RADA  SLOVENSKEJ  REPUBLIKY</w:t>
      </w:r>
    </w:p>
    <w:p w14:paraId="572F6263" w14:textId="77777777" w:rsidR="00AC333D" w:rsidRPr="0044269C" w:rsidRDefault="00000000">
      <w:pPr>
        <w:pBdr>
          <w:bottom w:val="single" w:sz="18" w:space="10" w:color="auto"/>
        </w:pBd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IX. volebné obdobie</w:t>
      </w:r>
    </w:p>
    <w:p w14:paraId="4FDE492B" w14:textId="77777777" w:rsidR="00AC333D" w:rsidRPr="0044269C" w:rsidRDefault="00AC333D">
      <w:pPr>
        <w:rPr>
          <w:lang w:val="sk-SK"/>
        </w:rPr>
      </w:pPr>
    </w:p>
    <w:p w14:paraId="1DA9C6A6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NÁVRH</w:t>
      </w:r>
    </w:p>
    <w:p w14:paraId="1536817C" w14:textId="77777777" w:rsidR="00AC333D" w:rsidRPr="0044269C" w:rsidRDefault="00AC333D">
      <w:pPr>
        <w:rPr>
          <w:lang w:val="sk-SK"/>
        </w:rPr>
      </w:pPr>
    </w:p>
    <w:p w14:paraId="671227D8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caps/>
          <w:sz w:val="22"/>
          <w:szCs w:val="22"/>
          <w:lang w:val="sk-SK"/>
        </w:rPr>
        <w:t>zákon</w:t>
      </w:r>
    </w:p>
    <w:p w14:paraId="3E8F7358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z ....... 2026,</w:t>
      </w:r>
    </w:p>
    <w:p w14:paraId="2048C3B3" w14:textId="77777777" w:rsidR="00AC333D" w:rsidRPr="0044269C" w:rsidRDefault="00AC333D">
      <w:pPr>
        <w:rPr>
          <w:lang w:val="sk-SK"/>
        </w:rPr>
      </w:pPr>
    </w:p>
    <w:p w14:paraId="22885D81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b/>
          <w:bCs/>
          <w:sz w:val="22"/>
          <w:szCs w:val="22"/>
          <w:lang w:val="sk-SK"/>
        </w:rPr>
        <w:t>ktorým sa mení a dopĺňa zákon č. 376/2024 Z. z. o integrovanej posudkovej činnosti a o zmene a doplnení niektorých zákonov v znení zákona č. 406/2025 Z. z.</w:t>
      </w:r>
    </w:p>
    <w:p w14:paraId="6477EF89" w14:textId="77777777" w:rsidR="00AC333D" w:rsidRPr="0044269C" w:rsidRDefault="00AC333D">
      <w:pPr>
        <w:rPr>
          <w:lang w:val="sk-SK"/>
        </w:rPr>
      </w:pPr>
    </w:p>
    <w:p w14:paraId="682D3428" w14:textId="77777777" w:rsidR="00AC333D" w:rsidRPr="0044269C" w:rsidRDefault="00AC333D">
      <w:pPr>
        <w:rPr>
          <w:lang w:val="sk-SK"/>
        </w:rPr>
      </w:pPr>
    </w:p>
    <w:p w14:paraId="2936D71F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Národná rada Slovenskej republiky sa uzniesla na tomto zákone:</w:t>
      </w:r>
    </w:p>
    <w:p w14:paraId="37E78C04" w14:textId="77777777" w:rsidR="00AC333D" w:rsidRPr="0044269C" w:rsidRDefault="00AC333D">
      <w:pPr>
        <w:rPr>
          <w:lang w:val="sk-SK"/>
        </w:rPr>
      </w:pPr>
    </w:p>
    <w:p w14:paraId="48F3416E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b/>
          <w:bCs/>
          <w:sz w:val="22"/>
          <w:szCs w:val="22"/>
          <w:lang w:val="sk-SK"/>
        </w:rPr>
        <w:t>Čl. I</w:t>
      </w:r>
    </w:p>
    <w:p w14:paraId="3721F9D8" w14:textId="77777777" w:rsidR="00AC333D" w:rsidRPr="0044269C" w:rsidRDefault="00AC333D">
      <w:pPr>
        <w:rPr>
          <w:lang w:val="sk-SK"/>
        </w:rPr>
      </w:pPr>
    </w:p>
    <w:p w14:paraId="2D7AA7FD" w14:textId="77777777" w:rsidR="00AC333D" w:rsidRPr="0044269C" w:rsidRDefault="00000000">
      <w:pPr>
        <w:jc w:val="both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Zákon č. 376/2024 Z. z. o integrovanej posudkovej činnosti a o zmene a doplnení niektorých zákonov v znení zákona č. 406/2025 Z. z. sa mení a dopĺňa takto:</w:t>
      </w:r>
    </w:p>
    <w:p w14:paraId="558B6A8D" w14:textId="77777777" w:rsidR="00AC333D" w:rsidRPr="0044269C" w:rsidRDefault="00AC333D">
      <w:pPr>
        <w:rPr>
          <w:lang w:val="sk-SK"/>
        </w:rPr>
      </w:pPr>
    </w:p>
    <w:p w14:paraId="608394AA" w14:textId="77777777" w:rsidR="00AC333D" w:rsidRPr="0044269C" w:rsidRDefault="00000000">
      <w:pPr>
        <w:pStyle w:val="Odsekzoznamu"/>
        <w:numPr>
          <w:ilvl w:val="0"/>
          <w:numId w:val="2"/>
        </w:numPr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V § 7 ods. 6 sa na konci pripája táto veta:</w:t>
      </w:r>
    </w:p>
    <w:p w14:paraId="32EB17BF" w14:textId="77777777" w:rsidR="00AC333D" w:rsidRPr="0044269C" w:rsidRDefault="00000000">
      <w:pPr>
        <w:ind w:left="426"/>
        <w:jc w:val="both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„Ak ide o konanie podľa § 9 ods. 5, správny orgán nevyzve účastníka konania na doručenie lekárskeho nálezu alebo odborného lekárskeho nálezu podľa odseku 2 písm. a), ak má takýto doklad k dispozícii a nemá dôvodné pochybnosti podľa § 9 ods. 5 druhej vety.“.</w:t>
      </w:r>
    </w:p>
    <w:p w14:paraId="7FFAD9FE" w14:textId="77777777" w:rsidR="00AC333D" w:rsidRPr="0044269C" w:rsidRDefault="00AC333D">
      <w:pPr>
        <w:rPr>
          <w:lang w:val="sk-SK"/>
        </w:rPr>
      </w:pPr>
    </w:p>
    <w:p w14:paraId="5589DCC8" w14:textId="77777777" w:rsidR="00AC333D" w:rsidRPr="0044269C" w:rsidRDefault="00000000">
      <w:pPr>
        <w:pStyle w:val="Odsekzoznamu"/>
        <w:numPr>
          <w:ilvl w:val="0"/>
          <w:numId w:val="2"/>
        </w:numPr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§ 9 sa dopĺňa odsekom 5, ktorý znie:</w:t>
      </w:r>
    </w:p>
    <w:p w14:paraId="24E7DA12" w14:textId="77777777" w:rsidR="00AC333D" w:rsidRPr="0044269C" w:rsidRDefault="00000000">
      <w:pPr>
        <w:ind w:left="426"/>
        <w:jc w:val="both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„(5) Ak sa konanie o integrovanom posudku týka iba zmeny druhu sociálnej služby, pomôcky alebo druhu peňažného príspevku na kompenzáciu sociálnych dôsledkov ťažkého zdravotného postihnutia a z platného integrovaného posudku a z dokladov, ktoré má správny orgán k dispozícii alebo ktoré predložil účastník konania, vyplýva, že nedošlo k zmene funkčných dôsledkov zdravotného stavu účastníka konania, predmetom integrovanej posudkovej činnosti nie je lekárska posudková činnosť podľa § 11. To neplatí, ak má správny orgán dôvodné pochybnosti o správnosti, objektívnosti alebo úplnosti týchto dokladov alebo o tom, že nedošlo k zmene funkčných dôsledkov zdravotného stavu účastníka konania.“.</w:t>
      </w:r>
    </w:p>
    <w:p w14:paraId="6DA5B037" w14:textId="77777777" w:rsidR="00AC333D" w:rsidRPr="0044269C" w:rsidRDefault="00AC333D">
      <w:pPr>
        <w:rPr>
          <w:lang w:val="sk-SK"/>
        </w:rPr>
      </w:pPr>
    </w:p>
    <w:p w14:paraId="0866195B" w14:textId="77777777" w:rsidR="00AC333D" w:rsidRPr="0044269C" w:rsidRDefault="00000000">
      <w:pPr>
        <w:pStyle w:val="Odsekzoznamu"/>
        <w:numPr>
          <w:ilvl w:val="0"/>
          <w:numId w:val="2"/>
        </w:numPr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§ 12 sa dopĺňa odsekom 3, ktorý znie:</w:t>
      </w:r>
    </w:p>
    <w:p w14:paraId="4FE776C6" w14:textId="77777777" w:rsidR="00AC333D" w:rsidRPr="0044269C" w:rsidRDefault="00000000">
      <w:pPr>
        <w:ind w:left="426"/>
        <w:jc w:val="both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„(3) Ak predmetom integrovanej posudkovej činnosti nie je lekárska posudková činnosť z dôvodu podľa § 9 ods. 5, v integrovanom posudku sa uvedie označenie integrovaného posudku alebo lekárskeho posudku, z ktorého správny orgán vychádzal, a skutočnosti rozhodujúce pre zmenu podľa § 9 ods. 5 zistené sociálnou posudkovou činnosťou.“.</w:t>
      </w:r>
    </w:p>
    <w:p w14:paraId="7DC4650A" w14:textId="77777777" w:rsidR="00AC333D" w:rsidRPr="0044269C" w:rsidRDefault="00AC333D">
      <w:pPr>
        <w:rPr>
          <w:lang w:val="sk-SK"/>
        </w:rPr>
      </w:pPr>
    </w:p>
    <w:p w14:paraId="72652C09" w14:textId="77777777" w:rsidR="00AC333D" w:rsidRPr="0044269C" w:rsidRDefault="00000000">
      <w:pPr>
        <w:pStyle w:val="Odsekzoznamu"/>
        <w:numPr>
          <w:ilvl w:val="0"/>
          <w:numId w:val="2"/>
        </w:numPr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Za § 24 sa vkladá § 25, ktorý vrátane nadpisu znie:</w:t>
      </w:r>
    </w:p>
    <w:p w14:paraId="2E575BC4" w14:textId="77777777" w:rsidR="00AC333D" w:rsidRPr="0044269C" w:rsidRDefault="00000000">
      <w:pPr>
        <w:ind w:left="426"/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b/>
          <w:bCs/>
          <w:sz w:val="22"/>
          <w:szCs w:val="22"/>
          <w:lang w:val="sk-SK"/>
        </w:rPr>
        <w:t>„§ 25</w:t>
      </w:r>
    </w:p>
    <w:p w14:paraId="686849D7" w14:textId="77777777" w:rsidR="00AC333D" w:rsidRPr="0044269C" w:rsidRDefault="00000000">
      <w:pPr>
        <w:ind w:left="426"/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b/>
          <w:bCs/>
          <w:sz w:val="22"/>
          <w:szCs w:val="22"/>
          <w:lang w:val="sk-SK"/>
        </w:rPr>
        <w:lastRenderedPageBreak/>
        <w:t>Prechodné ustanovenie účinné od 1. januára 2027</w:t>
      </w:r>
    </w:p>
    <w:p w14:paraId="03E59C91" w14:textId="77777777" w:rsidR="00AC333D" w:rsidRPr="0044269C" w:rsidRDefault="00000000">
      <w:pPr>
        <w:ind w:left="426"/>
        <w:jc w:val="both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Konanie o integrovanom posudku začaté a právoplatne neskončené pred 1. januárom 2027 sa dokončí podľa tohto zákona v znení účinnom od 1. januára 2027.“.</w:t>
      </w:r>
    </w:p>
    <w:p w14:paraId="1AB429E4" w14:textId="77777777" w:rsidR="00AC333D" w:rsidRPr="0044269C" w:rsidRDefault="00AC333D">
      <w:pPr>
        <w:rPr>
          <w:lang w:val="sk-SK"/>
        </w:rPr>
      </w:pPr>
    </w:p>
    <w:p w14:paraId="0CB7C0AF" w14:textId="77777777" w:rsidR="00AC333D" w:rsidRPr="0044269C" w:rsidRDefault="00AC333D">
      <w:pPr>
        <w:rPr>
          <w:lang w:val="sk-SK"/>
        </w:rPr>
      </w:pPr>
    </w:p>
    <w:p w14:paraId="0067BD8A" w14:textId="77777777" w:rsidR="00AC333D" w:rsidRPr="0044269C" w:rsidRDefault="00000000">
      <w:pPr>
        <w:jc w:val="center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b/>
          <w:bCs/>
          <w:sz w:val="22"/>
          <w:szCs w:val="22"/>
          <w:lang w:val="sk-SK"/>
        </w:rPr>
        <w:t>Čl. II</w:t>
      </w:r>
    </w:p>
    <w:p w14:paraId="26DF00F2" w14:textId="77777777" w:rsidR="00AC333D" w:rsidRPr="0044269C" w:rsidRDefault="00AC333D">
      <w:pPr>
        <w:rPr>
          <w:lang w:val="sk-SK"/>
        </w:rPr>
      </w:pPr>
    </w:p>
    <w:p w14:paraId="54340507" w14:textId="77777777" w:rsidR="00AC333D" w:rsidRPr="0044269C" w:rsidRDefault="00000000">
      <w:pPr>
        <w:jc w:val="both"/>
        <w:rPr>
          <w:lang w:val="sk-SK"/>
        </w:rPr>
      </w:pPr>
      <w:r w:rsidRPr="0044269C">
        <w:rPr>
          <w:rFonts w:ascii="Palatino Linotype" w:eastAsia="Palatino Linotype" w:hAnsi="Palatino Linotype" w:cs="Palatino Linotype"/>
          <w:sz w:val="22"/>
          <w:szCs w:val="22"/>
          <w:lang w:val="sk-SK"/>
        </w:rPr>
        <w:t>Tento zákon nadobúda účinnosť 1. januára 2027.</w:t>
      </w:r>
    </w:p>
    <w:sectPr w:rsidR="00AC333D" w:rsidRPr="0044269C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F56B" w14:textId="77777777" w:rsidR="00C90DAE" w:rsidRDefault="00C90DAE" w:rsidP="0044269C">
      <w:r>
        <w:separator/>
      </w:r>
    </w:p>
  </w:endnote>
  <w:endnote w:type="continuationSeparator" w:id="0">
    <w:p w14:paraId="14252A61" w14:textId="77777777" w:rsidR="00C90DAE" w:rsidRDefault="00C90DAE" w:rsidP="0044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006928"/>
      <w:docPartObj>
        <w:docPartGallery w:val="Page Numbers (Bottom of Page)"/>
        <w:docPartUnique/>
      </w:docPartObj>
    </w:sdtPr>
    <w:sdtContent>
      <w:p w14:paraId="7FEEF224" w14:textId="3F299E01" w:rsidR="0044269C" w:rsidRDefault="0044269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18B40CF" w14:textId="77777777" w:rsidR="0044269C" w:rsidRDefault="004426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6C170" w14:textId="77777777" w:rsidR="00C90DAE" w:rsidRDefault="00C90DAE" w:rsidP="0044269C">
      <w:r>
        <w:separator/>
      </w:r>
    </w:p>
  </w:footnote>
  <w:footnote w:type="continuationSeparator" w:id="0">
    <w:p w14:paraId="170A859D" w14:textId="77777777" w:rsidR="00C90DAE" w:rsidRDefault="00C90DAE" w:rsidP="00442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365D9"/>
    <w:multiLevelType w:val="hybridMultilevel"/>
    <w:tmpl w:val="E75EC4E2"/>
    <w:lvl w:ilvl="0" w:tplc="8DF8E3F4">
      <w:start w:val="1"/>
      <w:numFmt w:val="bullet"/>
      <w:lvlText w:val="●"/>
      <w:lvlJc w:val="left"/>
      <w:pPr>
        <w:ind w:left="720" w:hanging="360"/>
      </w:pPr>
    </w:lvl>
    <w:lvl w:ilvl="1" w:tplc="C7489F3A">
      <w:start w:val="1"/>
      <w:numFmt w:val="bullet"/>
      <w:lvlText w:val="○"/>
      <w:lvlJc w:val="left"/>
      <w:pPr>
        <w:ind w:left="1440" w:hanging="360"/>
      </w:pPr>
    </w:lvl>
    <w:lvl w:ilvl="2" w:tplc="0FF2192E">
      <w:start w:val="1"/>
      <w:numFmt w:val="bullet"/>
      <w:lvlText w:val="■"/>
      <w:lvlJc w:val="left"/>
      <w:pPr>
        <w:ind w:left="2160" w:hanging="360"/>
      </w:pPr>
    </w:lvl>
    <w:lvl w:ilvl="3" w:tplc="78F2584C">
      <w:start w:val="1"/>
      <w:numFmt w:val="bullet"/>
      <w:lvlText w:val="●"/>
      <w:lvlJc w:val="left"/>
      <w:pPr>
        <w:ind w:left="2880" w:hanging="360"/>
      </w:pPr>
    </w:lvl>
    <w:lvl w:ilvl="4" w:tplc="C0DC4DCA">
      <w:start w:val="1"/>
      <w:numFmt w:val="bullet"/>
      <w:lvlText w:val="○"/>
      <w:lvlJc w:val="left"/>
      <w:pPr>
        <w:ind w:left="3600" w:hanging="360"/>
      </w:pPr>
    </w:lvl>
    <w:lvl w:ilvl="5" w:tplc="9724C93A">
      <w:start w:val="1"/>
      <w:numFmt w:val="bullet"/>
      <w:lvlText w:val="■"/>
      <w:lvlJc w:val="left"/>
      <w:pPr>
        <w:ind w:left="4320" w:hanging="360"/>
      </w:pPr>
    </w:lvl>
    <w:lvl w:ilvl="6" w:tplc="5412C856">
      <w:start w:val="1"/>
      <w:numFmt w:val="bullet"/>
      <w:lvlText w:val="●"/>
      <w:lvlJc w:val="left"/>
      <w:pPr>
        <w:ind w:left="5040" w:hanging="360"/>
      </w:pPr>
    </w:lvl>
    <w:lvl w:ilvl="7" w:tplc="2DC447D0">
      <w:start w:val="1"/>
      <w:numFmt w:val="bullet"/>
      <w:lvlText w:val="●"/>
      <w:lvlJc w:val="left"/>
      <w:pPr>
        <w:ind w:left="5760" w:hanging="360"/>
      </w:pPr>
    </w:lvl>
    <w:lvl w:ilvl="8" w:tplc="6EBCB0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6B1E40"/>
    <w:multiLevelType w:val="hybridMultilevel"/>
    <w:tmpl w:val="7F36A40C"/>
    <w:lvl w:ilvl="0" w:tplc="E2A8DBD6">
      <w:start w:val="1"/>
      <w:numFmt w:val="decimal"/>
      <w:lvlText w:val="%1."/>
      <w:lvlJc w:val="left"/>
      <w:pPr>
        <w:spacing w:after="0"/>
        <w:ind w:left="426" w:hanging="426"/>
        <w:jc w:val="both"/>
      </w:pPr>
      <w:rPr>
        <w:rFonts w:ascii="Palatino Linotype" w:eastAsia="Palatino Linotype" w:hAnsi="Palatino Linotype" w:cs="Palatino Linotype"/>
        <w:sz w:val="22"/>
        <w:szCs w:val="22"/>
      </w:rPr>
    </w:lvl>
    <w:lvl w:ilvl="1" w:tplc="2B3C254E">
      <w:numFmt w:val="decimal"/>
      <w:lvlText w:val=""/>
      <w:lvlJc w:val="left"/>
    </w:lvl>
    <w:lvl w:ilvl="2" w:tplc="823CD592">
      <w:numFmt w:val="decimal"/>
      <w:lvlText w:val=""/>
      <w:lvlJc w:val="left"/>
    </w:lvl>
    <w:lvl w:ilvl="3" w:tplc="E3CA6448">
      <w:numFmt w:val="decimal"/>
      <w:lvlText w:val=""/>
      <w:lvlJc w:val="left"/>
    </w:lvl>
    <w:lvl w:ilvl="4" w:tplc="75E42F50">
      <w:numFmt w:val="decimal"/>
      <w:lvlText w:val=""/>
      <w:lvlJc w:val="left"/>
    </w:lvl>
    <w:lvl w:ilvl="5" w:tplc="8FFAF3D2">
      <w:numFmt w:val="decimal"/>
      <w:lvlText w:val=""/>
      <w:lvlJc w:val="left"/>
    </w:lvl>
    <w:lvl w:ilvl="6" w:tplc="7D4E9998">
      <w:numFmt w:val="decimal"/>
      <w:lvlText w:val=""/>
      <w:lvlJc w:val="left"/>
    </w:lvl>
    <w:lvl w:ilvl="7" w:tplc="D0062546">
      <w:numFmt w:val="decimal"/>
      <w:lvlText w:val=""/>
      <w:lvlJc w:val="left"/>
    </w:lvl>
    <w:lvl w:ilvl="8" w:tplc="794CFF34">
      <w:numFmt w:val="decimal"/>
      <w:lvlText w:val=""/>
      <w:lvlJc w:val="left"/>
    </w:lvl>
  </w:abstractNum>
  <w:num w:numId="1" w16cid:durableId="1777214281">
    <w:abstractNumId w:val="0"/>
    <w:lvlOverride w:ilvl="0">
      <w:startOverride w:val="1"/>
    </w:lvlOverride>
  </w:num>
  <w:num w:numId="2" w16cid:durableId="5074006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33D"/>
    <w:rsid w:val="0044269C"/>
    <w:rsid w:val="007172B1"/>
    <w:rsid w:val="00AC333D"/>
    <w:rsid w:val="00C90DAE"/>
    <w:rsid w:val="00F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5FC76D"/>
  <w15:docId w15:val="{AF0E799E-E27C-4E05-B707-17125C68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4269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269C"/>
  </w:style>
  <w:style w:type="paragraph" w:styleId="Pta">
    <w:name w:val="footer"/>
    <w:basedOn w:val="Normlny"/>
    <w:link w:val="PtaChar"/>
    <w:uiPriority w:val="99"/>
    <w:unhideWhenUsed/>
    <w:rsid w:val="0044269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442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LGP</cp:lastModifiedBy>
  <cp:revision>2</cp:revision>
  <dcterms:created xsi:type="dcterms:W3CDTF">2026-05-07T18:12:00Z</dcterms:created>
  <dcterms:modified xsi:type="dcterms:W3CDTF">2026-05-07T18:12:00Z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1a528f9b-bfbc-4eb4-b772-755f642372e4</vt:lpwstr>
  </property>
</Properties>
</file>