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391C" w14:textId="77777777" w:rsidR="002C6596" w:rsidRDefault="002C6596" w:rsidP="002C6596">
      <w:pPr>
        <w:spacing w:line="276" w:lineRule="auto"/>
        <w:jc w:val="both"/>
        <w:rPr>
          <w:rFonts w:ascii="Palatino Linotype" w:hAnsi="Palatino Linotype" w:cs="Times New Roman"/>
          <w:sz w:val="22"/>
          <w:szCs w:val="22"/>
        </w:rPr>
      </w:pPr>
    </w:p>
    <w:p w14:paraId="65C3DF0F" w14:textId="77777777" w:rsidR="002C6596" w:rsidRPr="00802C3C" w:rsidRDefault="002C6596" w:rsidP="002C6596">
      <w:pPr>
        <w:spacing w:after="0" w:line="240" w:lineRule="auto"/>
        <w:jc w:val="center"/>
        <w:rPr>
          <w:rFonts w:ascii="Palatino Linotype" w:hAnsi="Palatino Linotype"/>
          <w:b/>
          <w:bCs/>
          <w:caps/>
          <w:spacing w:val="30"/>
        </w:rPr>
      </w:pPr>
      <w:r w:rsidRPr="00802C3C">
        <w:rPr>
          <w:rFonts w:ascii="Palatino Linotype" w:hAnsi="Palatino Linotype"/>
          <w:b/>
          <w:bCs/>
          <w:caps/>
          <w:spacing w:val="30"/>
        </w:rPr>
        <w:t>Doložka zlučiteľnosti</w:t>
      </w:r>
    </w:p>
    <w:p w14:paraId="265124E8" w14:textId="77777777" w:rsidR="002C6596" w:rsidRPr="00802C3C" w:rsidRDefault="002C6596" w:rsidP="002C6596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právneho predpisu s právom Európskej únie </w:t>
      </w:r>
    </w:p>
    <w:p w14:paraId="1201A5AF" w14:textId="77777777" w:rsidR="002C6596" w:rsidRPr="00802C3C" w:rsidRDefault="002C6596" w:rsidP="002C6596">
      <w:pPr>
        <w:spacing w:after="0" w:line="240" w:lineRule="auto"/>
        <w:rPr>
          <w:rFonts w:ascii="Palatino Linotype" w:hAnsi="Palatino Linotype"/>
        </w:rPr>
      </w:pPr>
    </w:p>
    <w:p w14:paraId="643DF666" w14:textId="77777777" w:rsidR="002C6596" w:rsidRPr="00802C3C" w:rsidRDefault="002C6596" w:rsidP="002C6596">
      <w:pPr>
        <w:spacing w:after="0" w:line="240" w:lineRule="auto"/>
        <w:rPr>
          <w:rFonts w:ascii="Palatino Linotype" w:hAnsi="Palatino Linotype"/>
        </w:rPr>
      </w:pPr>
    </w:p>
    <w:p w14:paraId="3822A05D" w14:textId="77777777" w:rsidR="002C6596" w:rsidRPr="00802C3C" w:rsidRDefault="002C6596" w:rsidP="002C6596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1.</w:t>
      </w:r>
      <w:r w:rsidRPr="00802C3C">
        <w:rPr>
          <w:rFonts w:ascii="Palatino Linotype" w:hAnsi="Palatino Linotype"/>
          <w:b/>
          <w:bCs/>
        </w:rPr>
        <w:tab/>
        <w:t>Predkladatelia právneho predpisu:</w:t>
      </w:r>
      <w:r w:rsidRPr="00802C3C">
        <w:rPr>
          <w:rFonts w:ascii="Palatino Linotype" w:hAnsi="Palatino Linotype"/>
        </w:rPr>
        <w:t xml:space="preserve"> Pet</w:t>
      </w:r>
      <w:r>
        <w:rPr>
          <w:rFonts w:ascii="Palatino Linotype" w:hAnsi="Palatino Linotype"/>
        </w:rPr>
        <w:t xml:space="preserve">er </w:t>
      </w:r>
      <w:proofErr w:type="spellStart"/>
      <w:r>
        <w:rPr>
          <w:rFonts w:ascii="Palatino Linotype" w:hAnsi="Palatino Linotype"/>
        </w:rPr>
        <w:t>Stachura</w:t>
      </w:r>
      <w:proofErr w:type="spellEnd"/>
      <w:r>
        <w:rPr>
          <w:rFonts w:ascii="Palatino Linotype" w:hAnsi="Palatino Linotype"/>
        </w:rPr>
        <w:t xml:space="preserve">, Richard </w:t>
      </w:r>
      <w:proofErr w:type="spellStart"/>
      <w:r>
        <w:rPr>
          <w:rFonts w:ascii="Palatino Linotype" w:hAnsi="Palatino Linotype"/>
        </w:rPr>
        <w:t>Vašečka</w:t>
      </w:r>
      <w:proofErr w:type="spellEnd"/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hd w:val="clear" w:color="auto" w:fill="FFFFFF"/>
        </w:rPr>
        <w:t>a František Majerský.</w:t>
      </w:r>
    </w:p>
    <w:p w14:paraId="236EEC8C" w14:textId="77777777" w:rsidR="002C6596" w:rsidRPr="00802C3C" w:rsidRDefault="002C6596" w:rsidP="002C6596">
      <w:pPr>
        <w:tabs>
          <w:tab w:val="left" w:pos="360"/>
        </w:tabs>
        <w:spacing w:after="0" w:line="240" w:lineRule="auto"/>
        <w:ind w:left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 xml:space="preserve"> </w:t>
      </w:r>
    </w:p>
    <w:p w14:paraId="71758BC0" w14:textId="77777777" w:rsidR="002C6596" w:rsidRDefault="002C6596" w:rsidP="002C6596">
      <w:pPr>
        <w:spacing w:after="0" w:line="240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802C3C">
        <w:rPr>
          <w:rFonts w:ascii="Palatino Linotype" w:hAnsi="Palatino Linotype"/>
          <w:b/>
          <w:bCs/>
        </w:rPr>
        <w:t xml:space="preserve">2.   Názov návrhu právneho predpisu: </w:t>
      </w:r>
      <w:r w:rsidRPr="00E9278B">
        <w:rPr>
          <w:rFonts w:ascii="Palatino Linotype" w:hAnsi="Palatino Linotype"/>
          <w:color w:val="000000"/>
          <w:sz w:val="22"/>
          <w:szCs w:val="22"/>
        </w:rPr>
        <w:t xml:space="preserve">Návrh zákona, </w:t>
      </w:r>
      <w:r w:rsidRPr="00E9278B">
        <w:rPr>
          <w:rFonts w:ascii="Palatino Linotype" w:hAnsi="Palatino Linotype" w:cs="Times New Roman"/>
          <w:sz w:val="22"/>
          <w:szCs w:val="22"/>
        </w:rPr>
        <w:t>ktorým sa mení a dopĺňa zákon č. 576/2004 Z. z. o zdravotnej starostlivosti, službách súvisiacich s poskytovaním zdravotnej starostlivosti a o zmene a doplnení niektorých zákonov v znení neskorších predpisov a ktorým sa menia dopĺňajú niektoré zákony</w:t>
      </w:r>
      <w:r>
        <w:rPr>
          <w:rFonts w:ascii="Palatino Linotype" w:hAnsi="Palatino Linotype" w:cs="Times New Roman"/>
          <w:sz w:val="22"/>
          <w:szCs w:val="22"/>
        </w:rPr>
        <w:t>.</w:t>
      </w:r>
    </w:p>
    <w:p w14:paraId="457F3D3C" w14:textId="77777777" w:rsidR="002C6596" w:rsidRPr="00802C3C" w:rsidRDefault="002C6596" w:rsidP="002C6596">
      <w:pPr>
        <w:spacing w:after="0" w:line="240" w:lineRule="auto"/>
        <w:jc w:val="both"/>
        <w:rPr>
          <w:rFonts w:ascii="Palatino Linotype" w:hAnsi="Palatino Linotype"/>
          <w:shd w:val="clear" w:color="auto" w:fill="FFFFFF"/>
        </w:rPr>
      </w:pPr>
    </w:p>
    <w:p w14:paraId="3D5D03A2" w14:textId="77777777" w:rsidR="002C6596" w:rsidRPr="00802C3C" w:rsidRDefault="002C6596" w:rsidP="002C6596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3.</w:t>
      </w:r>
      <w:r w:rsidRPr="00802C3C">
        <w:rPr>
          <w:rFonts w:ascii="Palatino Linotype" w:hAnsi="Palatino Linotype"/>
          <w:b/>
          <w:bCs/>
        </w:rPr>
        <w:tab/>
        <w:t>Problematika návrhu právneho predpisu:</w:t>
      </w:r>
    </w:p>
    <w:p w14:paraId="346139B7" w14:textId="77777777" w:rsidR="002C6596" w:rsidRPr="00802C3C" w:rsidRDefault="002C6596" w:rsidP="002C6596">
      <w:pPr>
        <w:spacing w:after="0" w:line="240" w:lineRule="auto"/>
        <w:ind w:firstLine="360"/>
        <w:rPr>
          <w:rFonts w:ascii="Palatino Linotype" w:hAnsi="Palatino Linotype"/>
        </w:rPr>
      </w:pPr>
    </w:p>
    <w:p w14:paraId="10EFEF7C" w14:textId="77777777" w:rsidR="002C6596" w:rsidRPr="00802C3C" w:rsidRDefault="002C6596" w:rsidP="002C6596">
      <w:pPr>
        <w:pStyle w:val="Odsekzoznamu"/>
        <w:widowControl w:val="0"/>
        <w:numPr>
          <w:ilvl w:val="0"/>
          <w:numId w:val="1"/>
        </w:numPr>
        <w:adjustRightInd w:val="0"/>
        <w:spacing w:after="0" w:line="240" w:lineRule="auto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nie je upravená v práve Európskej únie</w:t>
      </w:r>
    </w:p>
    <w:p w14:paraId="5FC31EE5" w14:textId="77777777" w:rsidR="002C6596" w:rsidRPr="00802C3C" w:rsidRDefault="002C6596" w:rsidP="002C6596">
      <w:pPr>
        <w:spacing w:after="0" w:line="240" w:lineRule="auto"/>
        <w:ind w:left="709" w:hanging="349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b)</w:t>
      </w:r>
      <w:r w:rsidRPr="00802C3C">
        <w:rPr>
          <w:rFonts w:ascii="Palatino Linotype" w:hAnsi="Palatino Linotype"/>
        </w:rPr>
        <w:tab/>
        <w:t>nie je obsiahnutá v judikatúre Súdneho dvora Európskej únie.</w:t>
      </w:r>
    </w:p>
    <w:p w14:paraId="5B850F88" w14:textId="77777777" w:rsidR="002C6596" w:rsidRPr="00802C3C" w:rsidRDefault="002C6596" w:rsidP="002C6596">
      <w:pPr>
        <w:spacing w:after="0" w:line="240" w:lineRule="auto"/>
        <w:ind w:left="709" w:hanging="349"/>
        <w:rPr>
          <w:rFonts w:ascii="Palatino Linotype" w:hAnsi="Palatino Linotype"/>
        </w:rPr>
      </w:pPr>
    </w:p>
    <w:p w14:paraId="1AB1B42B" w14:textId="77777777" w:rsidR="002C6596" w:rsidRPr="00802C3C" w:rsidRDefault="002C6596" w:rsidP="002C6596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4.</w:t>
      </w:r>
      <w:r w:rsidRPr="00802C3C">
        <w:rPr>
          <w:rFonts w:ascii="Palatino Linotype" w:hAnsi="Palatino Linotype"/>
          <w:b/>
          <w:bCs/>
        </w:rPr>
        <w:tab/>
        <w:t xml:space="preserve">Záväzky Slovenskej republiky vo vzťahu k Európskej únii: </w:t>
      </w:r>
    </w:p>
    <w:p w14:paraId="2E598E58" w14:textId="77777777" w:rsidR="002C6596" w:rsidRPr="00802C3C" w:rsidRDefault="002C6596" w:rsidP="002C6596">
      <w:pPr>
        <w:spacing w:after="0" w:line="240" w:lineRule="auto"/>
        <w:rPr>
          <w:rFonts w:ascii="Palatino Linotype" w:hAnsi="Palatino Linotype"/>
        </w:rPr>
      </w:pPr>
    </w:p>
    <w:p w14:paraId="3CB68CB4" w14:textId="77777777" w:rsidR="002C6596" w:rsidRPr="00802C3C" w:rsidRDefault="002C6596" w:rsidP="002C6596">
      <w:pPr>
        <w:spacing w:after="0" w:line="240" w:lineRule="auto"/>
        <w:ind w:firstLine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bezpredmetné </w:t>
      </w:r>
    </w:p>
    <w:p w14:paraId="42409AD9" w14:textId="77777777" w:rsidR="002C6596" w:rsidRPr="00802C3C" w:rsidRDefault="002C6596" w:rsidP="002C6596">
      <w:pPr>
        <w:spacing w:after="0" w:line="240" w:lineRule="auto"/>
        <w:ind w:firstLine="708"/>
        <w:rPr>
          <w:rFonts w:ascii="Palatino Linotype" w:hAnsi="Palatino Linotype"/>
        </w:rPr>
      </w:pPr>
    </w:p>
    <w:p w14:paraId="43815F48" w14:textId="77777777" w:rsidR="002C6596" w:rsidRPr="00802C3C" w:rsidRDefault="002C6596" w:rsidP="002C6596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5.</w:t>
      </w:r>
      <w:r w:rsidRPr="00802C3C">
        <w:rPr>
          <w:rFonts w:ascii="Palatino Linotype" w:hAnsi="Palatino Linotype"/>
          <w:b/>
          <w:bCs/>
        </w:rPr>
        <w:tab/>
        <w:t>Stupeň zlučiteľnosti návrhu právneho predpisu s právom Európskej únie:</w:t>
      </w:r>
    </w:p>
    <w:p w14:paraId="55312EF0" w14:textId="77777777" w:rsidR="002C6596" w:rsidRPr="00802C3C" w:rsidRDefault="002C6596" w:rsidP="002C6596">
      <w:pPr>
        <w:spacing w:after="0" w:line="240" w:lineRule="auto"/>
        <w:rPr>
          <w:rFonts w:ascii="Palatino Linotype" w:hAnsi="Palatino Linotype"/>
        </w:rPr>
      </w:pPr>
    </w:p>
    <w:p w14:paraId="5AE28899" w14:textId="77777777" w:rsidR="002C6596" w:rsidRPr="00802C3C" w:rsidRDefault="002C6596" w:rsidP="002C6596">
      <w:pPr>
        <w:spacing w:after="0" w:line="240" w:lineRule="auto"/>
        <w:ind w:firstLine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Stupeň zlučiteľnosti - úplný </w:t>
      </w:r>
    </w:p>
    <w:p w14:paraId="3F9F4680" w14:textId="77777777" w:rsidR="002C6596" w:rsidRDefault="002C6596" w:rsidP="002C6596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5C606C13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A1EEAFE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A619785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CFEAB2C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0F9995F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27D71A9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17E10F4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C5D1439" w14:textId="77777777" w:rsidR="002C6596" w:rsidRDefault="002C6596" w:rsidP="002C6596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9DDCD60" w14:textId="77777777" w:rsidR="002C6596" w:rsidRDefault="002C6596" w:rsidP="002C6596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F0F48B8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08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6"/>
    <w:rsid w:val="002C6596"/>
    <w:rsid w:val="0053661F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4C7F"/>
  <w15:chartTrackingRefBased/>
  <w15:docId w15:val="{1C0DD65E-BCF7-4BD2-B58E-6057B13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596"/>
  </w:style>
  <w:style w:type="paragraph" w:styleId="Nadpis1">
    <w:name w:val="heading 1"/>
    <w:basedOn w:val="Normlny"/>
    <w:next w:val="Normlny"/>
    <w:link w:val="Nadpis1Char"/>
    <w:uiPriority w:val="9"/>
    <w:qFormat/>
    <w:rsid w:val="002C6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5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5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5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5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5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5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596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2C65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59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59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596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2C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2026-05-08T14:09:00Z</dcterms:created>
  <dcterms:modified xsi:type="dcterms:W3CDTF">2026-05-08T14:10:00Z</dcterms:modified>
</cp:coreProperties>
</file>