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7B81" w14:textId="77777777" w:rsidR="00131FEE" w:rsidRDefault="00EE65C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ô v o d o v á   s p r á v a</w:t>
      </w:r>
    </w:p>
    <w:p w14:paraId="30B0E845" w14:textId="77777777" w:rsidR="00131FEE" w:rsidRDefault="00EE65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14:paraId="0DCB61D5" w14:textId="77777777" w:rsidR="00131FEE" w:rsidRDefault="00EE65C7">
      <w:pPr>
        <w:numPr>
          <w:ilvl w:val="0"/>
          <w:numId w:val="3"/>
        </w:num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Všeobecná časť</w:t>
      </w:r>
    </w:p>
    <w:p w14:paraId="4E74D5C9"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ktorým sa mení a dopĺňa zákon č. 35/2019 Z. z. o finančnej správe a o zmene a doplnení niektorých zákonov predkladajú na rokovanie Národnej rady Slovenskej republiky poslanci Národnej rady Slovenskej republiky Vladimíra </w:t>
      </w:r>
      <w:proofErr w:type="spellStart"/>
      <w:r>
        <w:rPr>
          <w:rFonts w:ascii="Times New Roman" w:eastAsia="Times New Roman" w:hAnsi="Times New Roman" w:cs="Times New Roman"/>
          <w:sz w:val="24"/>
          <w:szCs w:val="24"/>
        </w:rPr>
        <w:t>Marcinková</w:t>
      </w:r>
      <w:proofErr w:type="spellEnd"/>
      <w:r>
        <w:rPr>
          <w:rFonts w:ascii="Times New Roman" w:eastAsia="Times New Roman" w:hAnsi="Times New Roman" w:cs="Times New Roman"/>
          <w:sz w:val="24"/>
          <w:szCs w:val="24"/>
        </w:rPr>
        <w:t xml:space="preserve">, Vladimír </w:t>
      </w:r>
      <w:proofErr w:type="spellStart"/>
      <w:r>
        <w:rPr>
          <w:rFonts w:ascii="Times New Roman" w:eastAsia="Times New Roman" w:hAnsi="Times New Roman" w:cs="Times New Roman"/>
          <w:sz w:val="24"/>
          <w:szCs w:val="24"/>
        </w:rPr>
        <w:t>Ledecký</w:t>
      </w:r>
      <w:proofErr w:type="spellEnd"/>
      <w:r>
        <w:rPr>
          <w:rFonts w:ascii="Times New Roman" w:eastAsia="Times New Roman" w:hAnsi="Times New Roman" w:cs="Times New Roman"/>
          <w:sz w:val="24"/>
          <w:szCs w:val="24"/>
        </w:rPr>
        <w:t xml:space="preserve"> a Alojz Hlina.</w:t>
      </w:r>
    </w:p>
    <w:p w14:paraId="733A5CB4" w14:textId="77777777" w:rsidR="00131FEE" w:rsidRDefault="00EE65C7">
      <w:pPr>
        <w:spacing w:before="240" w:after="24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Cieľom predkladanej novely zákona je zabezpečiť rovnaké postavenie príslušníkov finančnej správy, ktorých nárok na materskú a rodičovskú dovolenku upravuje zákon č. 35/2019 Z. z. o finančnej správe, so zamestnancami, na ktorých sa vzťahuje Zákonník práce. Navrhované zmeny sa týkajú príslušníkov finančnej správy, ktorí prevzali dieťa do starostlivosti nahrádzajúcej starostlivosť rodičov na základe rozhodnutia súdu. Aktuálne platná právna úprava zakladá neodôvodnený rozdiel v nároku na materskú a rodičovskú dovolenku v neprospech príslušníkov finančnej správy.</w:t>
      </w:r>
    </w:p>
    <w:p w14:paraId="210359AE"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Vychádzajúc z § 169 ods. 1 Zákonníka práce platí, že materská dovolenka, otcovská dovolenka a rodičovská dovolenka patrí aj žene a mužovi, ktorí prevzali dieťa na základe rozhodnutia súdu o zverení dieťaťa do starostlivosti nahrádzajúcej starostlivosť rodičov podľa osobitného predpisu. Takúto úpravu považujeme za správnu, pretože nárok na materskú dovolenku vzniká aj na základe neodkladného opatrenia súdu, ktoré je vykonateľné doručením, teda aj pred nadobudnutím právoplatnosti. Oproti tomu § 227 ods. 1 zákona o finančnej správe podmieňuje nárok právoplatným rozhodnutím príslušného orgánu, čím sa nástup na materskú dovolenku neodôvodnene predlžuje. S ohľadom na konkrétnu situáciu nie je možné určiť, o koľko — v prípade podania odvolania môže ísť o týždne až mesiace. Keďže aj v týchto situáciách je nevyhnutné sledovať najlepší záujem dieťaťa, navrhuje sa zosúladiť podmienky vzniku nároku na materskú dovolenku príslušníkov finančnej správy s úpravou v Zákonníku práce tak, aby nárok vznikal od prvého rozhodnutia súdu. Cieľom je predísť aplikačným problémom, právnej neistote a diskriminácii príslušníkov finančnej správy v porovnaní so zamestnancami v pracovnom pomere.</w:t>
      </w:r>
    </w:p>
    <w:p w14:paraId="18943E75"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Pokiaľ ide o nárok na rodičovskú dovolenku, § 169 ods. 2 Zákonníka práce umožňuje čerpať rodičovskú dovolenku v trvaní troch rokov odo dňa prvého rozhodnutia súdu, najdlhšie do dovŕšenia šiestich rokov veku dieťaťa. Táto úprava vytvára priestor na vybudovanie stabilnej a pevnej väzby medzi náhradným rodičom a dieťaťom. Naproti tomu § 227 ods. 2 zákona o finančnej správe obmedzuje rodičovskú dovolenku len do dovŕšenia troch rokov veku dieťaťa. Pri prevzatí dvojročného dieťaťa teda príslušník finančnej správy čerpá rodičovskú dovolenku len jeden rok namiesto troch. Pri prevzatí dieťaťa staršieho ako tri roky nárok nevzniká vôbec, čo núti rodiča voliť medzi zachovaním pracovného pomeru a osobnou starostlivosťou o dieťa.</w:t>
      </w:r>
    </w:p>
    <w:p w14:paraId="0A2CC49B"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Predkladatelia majú za to, že osoby, ktorých nárok na materskú a rodičovskú dovolenku pri prevzatí dieťaťa do náhradnej starostlivosti upravuje zákon o finančnej správe, sú neopodstatnene diskriminované, a preto navrhujú zavedenie totožného nároku podľa vzoru Zákonníka práce.</w:t>
      </w:r>
    </w:p>
    <w:p w14:paraId="727F2754"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1314A420" w14:textId="77777777" w:rsidR="00131FEE" w:rsidRDefault="00EE65C7">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Predkladaný návrh zákona má negatívny vplyv na rozpočet verejnej správy. Návrh zákona nemá vplyv na podnikateľské prostredie, životné prostredie ani na informatizáciu spoločnosti. Návrh zákona bude mať pozitívny sociálny vplyv, pozitívny vplyv na služby verejnej správy pre občana a pozitívny vplyv na manželstvo, rodičovstvo a rodinu.</w:t>
      </w:r>
    </w:p>
    <w:p w14:paraId="19E9149A" w14:textId="77777777" w:rsidR="00131FEE" w:rsidRDefault="00131FEE">
      <w:pPr>
        <w:spacing w:before="240" w:after="240"/>
        <w:ind w:left="1068"/>
        <w:rPr>
          <w:rFonts w:ascii="Times New Roman" w:eastAsia="Times New Roman" w:hAnsi="Times New Roman" w:cs="Times New Roman"/>
          <w:b/>
          <w:bCs/>
          <w:sz w:val="24"/>
          <w:szCs w:val="24"/>
        </w:rPr>
      </w:pPr>
    </w:p>
    <w:p w14:paraId="21B8AEE0" w14:textId="77777777" w:rsidR="00916DE2" w:rsidRDefault="00916DE2">
      <w:pPr>
        <w:spacing w:before="240" w:after="240"/>
        <w:ind w:left="1068"/>
        <w:rPr>
          <w:rFonts w:ascii="Times New Roman" w:eastAsia="Times New Roman" w:hAnsi="Times New Roman" w:cs="Times New Roman"/>
          <w:b/>
          <w:bCs/>
          <w:sz w:val="24"/>
          <w:szCs w:val="24"/>
        </w:rPr>
      </w:pPr>
    </w:p>
    <w:p w14:paraId="7E7C4400" w14:textId="77777777" w:rsidR="00916DE2" w:rsidRDefault="00916DE2">
      <w:pPr>
        <w:spacing w:before="240" w:after="240"/>
        <w:ind w:left="1068"/>
        <w:rPr>
          <w:rFonts w:ascii="Times New Roman" w:eastAsia="Times New Roman" w:hAnsi="Times New Roman" w:cs="Times New Roman"/>
          <w:b/>
          <w:bCs/>
          <w:sz w:val="24"/>
          <w:szCs w:val="24"/>
        </w:rPr>
      </w:pPr>
    </w:p>
    <w:p w14:paraId="265F42F8" w14:textId="77777777" w:rsidR="00916DE2" w:rsidRDefault="00916DE2">
      <w:pPr>
        <w:spacing w:before="240" w:after="240"/>
        <w:ind w:left="1068"/>
        <w:rPr>
          <w:rFonts w:ascii="Times New Roman" w:eastAsia="Times New Roman" w:hAnsi="Times New Roman" w:cs="Times New Roman"/>
          <w:b/>
          <w:bCs/>
          <w:sz w:val="24"/>
          <w:szCs w:val="24"/>
        </w:rPr>
      </w:pPr>
    </w:p>
    <w:p w14:paraId="162B353F" w14:textId="77777777" w:rsidR="00916DE2" w:rsidRDefault="00916DE2">
      <w:pPr>
        <w:spacing w:before="240" w:after="240"/>
        <w:ind w:left="1068"/>
        <w:rPr>
          <w:rFonts w:ascii="Times New Roman" w:eastAsia="Times New Roman" w:hAnsi="Times New Roman" w:cs="Times New Roman"/>
          <w:b/>
          <w:bCs/>
          <w:sz w:val="24"/>
          <w:szCs w:val="24"/>
        </w:rPr>
      </w:pPr>
    </w:p>
    <w:p w14:paraId="15858735" w14:textId="77777777" w:rsidR="00916DE2" w:rsidRDefault="00916DE2">
      <w:pPr>
        <w:spacing w:before="240" w:after="240"/>
        <w:ind w:left="1068"/>
        <w:rPr>
          <w:rFonts w:ascii="Times New Roman" w:eastAsia="Times New Roman" w:hAnsi="Times New Roman" w:cs="Times New Roman"/>
          <w:b/>
          <w:bCs/>
          <w:sz w:val="24"/>
          <w:szCs w:val="24"/>
        </w:rPr>
      </w:pPr>
    </w:p>
    <w:p w14:paraId="3934200F" w14:textId="77777777" w:rsidR="00916DE2" w:rsidRDefault="00916DE2">
      <w:pPr>
        <w:spacing w:before="240" w:after="240"/>
        <w:ind w:left="1068"/>
        <w:rPr>
          <w:rFonts w:ascii="Times New Roman" w:eastAsia="Times New Roman" w:hAnsi="Times New Roman" w:cs="Times New Roman"/>
          <w:b/>
          <w:bCs/>
          <w:sz w:val="24"/>
          <w:szCs w:val="24"/>
        </w:rPr>
      </w:pPr>
    </w:p>
    <w:p w14:paraId="70CED4F6" w14:textId="77777777" w:rsidR="00916DE2" w:rsidRDefault="00916DE2">
      <w:pPr>
        <w:spacing w:before="240" w:after="240"/>
        <w:ind w:left="1068"/>
        <w:rPr>
          <w:rFonts w:ascii="Times New Roman" w:eastAsia="Times New Roman" w:hAnsi="Times New Roman" w:cs="Times New Roman"/>
          <w:b/>
          <w:bCs/>
          <w:sz w:val="24"/>
          <w:szCs w:val="24"/>
        </w:rPr>
      </w:pPr>
    </w:p>
    <w:p w14:paraId="50B1F558" w14:textId="77777777" w:rsidR="00916DE2" w:rsidRDefault="00916DE2">
      <w:pPr>
        <w:spacing w:before="240" w:after="240"/>
        <w:ind w:left="1068"/>
        <w:rPr>
          <w:rFonts w:ascii="Times New Roman" w:eastAsia="Times New Roman" w:hAnsi="Times New Roman" w:cs="Times New Roman"/>
          <w:b/>
          <w:bCs/>
          <w:sz w:val="24"/>
          <w:szCs w:val="24"/>
        </w:rPr>
      </w:pPr>
    </w:p>
    <w:p w14:paraId="5AFE8872" w14:textId="77777777" w:rsidR="00916DE2" w:rsidRDefault="00916DE2">
      <w:pPr>
        <w:spacing w:before="240" w:after="240"/>
        <w:ind w:left="1068"/>
        <w:rPr>
          <w:rFonts w:ascii="Times New Roman" w:eastAsia="Times New Roman" w:hAnsi="Times New Roman" w:cs="Times New Roman"/>
          <w:b/>
          <w:bCs/>
          <w:sz w:val="24"/>
          <w:szCs w:val="24"/>
        </w:rPr>
      </w:pPr>
    </w:p>
    <w:p w14:paraId="3CADF365" w14:textId="77777777" w:rsidR="00916DE2" w:rsidRDefault="00916DE2">
      <w:pPr>
        <w:spacing w:before="240" w:after="240"/>
        <w:ind w:left="1068"/>
        <w:rPr>
          <w:rFonts w:ascii="Times New Roman" w:eastAsia="Times New Roman" w:hAnsi="Times New Roman" w:cs="Times New Roman"/>
          <w:b/>
          <w:bCs/>
          <w:sz w:val="24"/>
          <w:szCs w:val="24"/>
        </w:rPr>
      </w:pPr>
    </w:p>
    <w:p w14:paraId="798C0BA0" w14:textId="77777777" w:rsidR="00916DE2" w:rsidRDefault="00916DE2">
      <w:pPr>
        <w:spacing w:before="240" w:after="240"/>
        <w:ind w:left="1068"/>
        <w:rPr>
          <w:rFonts w:ascii="Times New Roman" w:eastAsia="Times New Roman" w:hAnsi="Times New Roman" w:cs="Times New Roman"/>
          <w:b/>
          <w:bCs/>
          <w:sz w:val="24"/>
          <w:szCs w:val="24"/>
        </w:rPr>
      </w:pPr>
    </w:p>
    <w:p w14:paraId="7E55CAA3" w14:textId="77777777" w:rsidR="00916DE2" w:rsidRDefault="00916DE2">
      <w:pPr>
        <w:spacing w:before="240" w:after="240"/>
        <w:ind w:left="1068"/>
        <w:rPr>
          <w:rFonts w:ascii="Times New Roman" w:eastAsia="Times New Roman" w:hAnsi="Times New Roman" w:cs="Times New Roman"/>
          <w:b/>
          <w:bCs/>
          <w:sz w:val="24"/>
          <w:szCs w:val="24"/>
        </w:rPr>
      </w:pPr>
    </w:p>
    <w:p w14:paraId="41A9417B" w14:textId="77777777" w:rsidR="00916DE2" w:rsidRDefault="00916DE2">
      <w:pPr>
        <w:spacing w:before="240" w:after="240"/>
        <w:ind w:left="1068"/>
        <w:rPr>
          <w:rFonts w:ascii="Times New Roman" w:eastAsia="Times New Roman" w:hAnsi="Times New Roman" w:cs="Times New Roman"/>
          <w:b/>
          <w:bCs/>
          <w:sz w:val="24"/>
          <w:szCs w:val="24"/>
        </w:rPr>
      </w:pPr>
    </w:p>
    <w:p w14:paraId="1AD5C573" w14:textId="77777777" w:rsidR="00916DE2" w:rsidRDefault="00916DE2">
      <w:pPr>
        <w:spacing w:before="240" w:after="240"/>
        <w:ind w:left="1068"/>
        <w:rPr>
          <w:rFonts w:ascii="Times New Roman" w:eastAsia="Times New Roman" w:hAnsi="Times New Roman" w:cs="Times New Roman"/>
          <w:b/>
          <w:bCs/>
          <w:sz w:val="24"/>
          <w:szCs w:val="24"/>
        </w:rPr>
      </w:pPr>
    </w:p>
    <w:p w14:paraId="49BB411E" w14:textId="77777777" w:rsidR="00916DE2" w:rsidRDefault="00916DE2">
      <w:pPr>
        <w:spacing w:before="240" w:after="240"/>
        <w:ind w:left="1068"/>
        <w:rPr>
          <w:rFonts w:ascii="Times New Roman" w:eastAsia="Times New Roman" w:hAnsi="Times New Roman" w:cs="Times New Roman"/>
          <w:b/>
          <w:bCs/>
          <w:sz w:val="24"/>
          <w:szCs w:val="24"/>
        </w:rPr>
      </w:pPr>
    </w:p>
    <w:p w14:paraId="23755D42" w14:textId="77777777" w:rsidR="00916DE2" w:rsidRDefault="00916DE2">
      <w:pPr>
        <w:spacing w:before="240" w:after="240"/>
        <w:ind w:left="1068"/>
        <w:rPr>
          <w:rFonts w:ascii="Times New Roman" w:eastAsia="Times New Roman" w:hAnsi="Times New Roman" w:cs="Times New Roman"/>
          <w:b/>
          <w:bCs/>
          <w:sz w:val="24"/>
          <w:szCs w:val="24"/>
        </w:rPr>
      </w:pPr>
    </w:p>
    <w:p w14:paraId="317FBAC8" w14:textId="77777777" w:rsidR="00916DE2" w:rsidRDefault="00916DE2">
      <w:pPr>
        <w:spacing w:before="240" w:after="240"/>
        <w:ind w:left="1068"/>
        <w:rPr>
          <w:rFonts w:ascii="Times New Roman" w:eastAsia="Times New Roman" w:hAnsi="Times New Roman" w:cs="Times New Roman"/>
          <w:b/>
          <w:bCs/>
          <w:sz w:val="24"/>
          <w:szCs w:val="24"/>
        </w:rPr>
      </w:pPr>
    </w:p>
    <w:p w14:paraId="423EE749" w14:textId="77777777" w:rsidR="00916DE2" w:rsidRDefault="00916DE2">
      <w:pPr>
        <w:spacing w:before="240" w:after="240"/>
        <w:ind w:left="1068"/>
        <w:rPr>
          <w:rFonts w:ascii="Times New Roman" w:eastAsia="Times New Roman" w:hAnsi="Times New Roman" w:cs="Times New Roman"/>
          <w:b/>
          <w:bCs/>
          <w:sz w:val="24"/>
          <w:szCs w:val="24"/>
        </w:rPr>
      </w:pPr>
    </w:p>
    <w:p w14:paraId="44F38ED8" w14:textId="77777777" w:rsidR="000A4456" w:rsidRDefault="000A4456">
      <w:pPr>
        <w:spacing w:before="240" w:after="240"/>
        <w:ind w:left="1068"/>
        <w:rPr>
          <w:rFonts w:ascii="Times New Roman" w:eastAsia="Times New Roman" w:hAnsi="Times New Roman" w:cs="Times New Roman"/>
          <w:b/>
          <w:bCs/>
          <w:sz w:val="24"/>
          <w:szCs w:val="24"/>
        </w:rPr>
      </w:pPr>
    </w:p>
    <w:p w14:paraId="14906DC4" w14:textId="77777777" w:rsidR="000A4456" w:rsidRDefault="000A4456">
      <w:pPr>
        <w:spacing w:before="240" w:after="240"/>
        <w:ind w:left="1068"/>
        <w:rPr>
          <w:rFonts w:ascii="Times New Roman" w:eastAsia="Times New Roman" w:hAnsi="Times New Roman" w:cs="Times New Roman"/>
          <w:b/>
          <w:bCs/>
          <w:sz w:val="24"/>
          <w:szCs w:val="24"/>
        </w:rPr>
      </w:pPr>
    </w:p>
    <w:p w14:paraId="4FA9B303" w14:textId="77777777" w:rsidR="000A4456" w:rsidRDefault="000A4456">
      <w:pPr>
        <w:spacing w:before="240" w:after="240"/>
        <w:ind w:left="1068"/>
        <w:rPr>
          <w:rFonts w:ascii="Times New Roman" w:eastAsia="Times New Roman" w:hAnsi="Times New Roman" w:cs="Times New Roman"/>
          <w:b/>
          <w:bCs/>
          <w:sz w:val="24"/>
          <w:szCs w:val="24"/>
        </w:rPr>
      </w:pPr>
    </w:p>
    <w:p w14:paraId="4886B223" w14:textId="77777777" w:rsidR="00916DE2" w:rsidRDefault="00916DE2">
      <w:pPr>
        <w:spacing w:before="240" w:after="240"/>
        <w:ind w:left="1068"/>
        <w:rPr>
          <w:rFonts w:ascii="Times New Roman" w:eastAsia="Times New Roman" w:hAnsi="Times New Roman" w:cs="Times New Roman"/>
          <w:b/>
          <w:bCs/>
          <w:sz w:val="24"/>
          <w:szCs w:val="24"/>
        </w:rPr>
      </w:pPr>
    </w:p>
    <w:p w14:paraId="1DC81B88" w14:textId="77777777" w:rsidR="00131FEE" w:rsidRDefault="00EE65C7">
      <w:pPr>
        <w:numPr>
          <w:ilvl w:val="0"/>
          <w:numId w:val="3"/>
        </w:num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Osobitná časť </w:t>
      </w:r>
    </w:p>
    <w:p w14:paraId="20D5041A" w14:textId="77777777" w:rsidR="00131FEE" w:rsidRDefault="00EE65C7" w:rsidP="000A4456">
      <w:pPr>
        <w:ind w:firstLine="7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w:t>
      </w:r>
    </w:p>
    <w:p w14:paraId="270B2F2A" w14:textId="77777777" w:rsidR="00131FEE" w:rsidRDefault="00131FEE">
      <w:pPr>
        <w:rPr>
          <w:rFonts w:ascii="Times New Roman" w:eastAsia="Times New Roman" w:hAnsi="Times New Roman" w:cs="Times New Roman"/>
          <w:b/>
          <w:bCs/>
          <w:sz w:val="24"/>
          <w:szCs w:val="24"/>
        </w:rPr>
      </w:pPr>
    </w:p>
    <w:p w14:paraId="731D304D" w14:textId="77777777" w:rsidR="00131FEE" w:rsidRDefault="00EE65C7" w:rsidP="000A4456">
      <w:pPr>
        <w:ind w:firstLine="7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1</w:t>
      </w:r>
    </w:p>
    <w:p w14:paraId="41D2F634" w14:textId="77777777" w:rsidR="00131FEE" w:rsidRDefault="00131FEE">
      <w:pPr>
        <w:rPr>
          <w:rFonts w:ascii="Times New Roman" w:eastAsia="Times New Roman" w:hAnsi="Times New Roman" w:cs="Times New Roman"/>
          <w:b/>
          <w:bCs/>
          <w:sz w:val="24"/>
          <w:szCs w:val="24"/>
        </w:rPr>
      </w:pPr>
    </w:p>
    <w:p w14:paraId="553C0906" w14:textId="77777777" w:rsidR="00131FEE" w:rsidRDefault="00EE65C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Navrhovanou zmenou § 227 ods. 1 sa podmienka vzniku nároku na materskú dovolenku zosúlaďuje s § 169 ods. 1 Zákonníka práce. Vypúšťa sa požiadavka právoplatnosti rozhodnutia príslušného orgánu a nahrádza sa odkazom na prvé rozhodnutie súdu o zverení dieťaťa do starostlivosti nahrádzajúcej starostlivosť rodičov podľa osobitného predpisu, ktorým je zákon č. 36/2005 Z. z. o rodine a o zmene a doplnení niektorých zákonov. Pod pojmom „prvé rozhodnutie súdu" sa rozumie akékoľvek rozhodnutie súdu, ktorým sa dieťa zveruje do náhradnej starostlivosti, teda nielen právoplatné rozhodnutie vo veci samej, ale aj neodkladné opatrenie, ktoré je vykonateľné už svojím doručením, a to bez ohľadu na to, či nadobudlo právoplatnosť. Práve v prípadoch neodkladných opatrení je urýchlený nástup na materskú dovolenku osobitne dôležitý, keďže tieto situácie si spravidla vyžadujú bezodkladnú osobnú starostlivosť o dieťa. Doterajšia podmienka právoplatnosti rozhodnutia tak mohla viesť k situáciám, keď príslušník finančnej správy fakticky staral o dieťa, avšak formálne nemal nárok nastúpiť na materskú dovolenku, čo je v rozpore s najlepším záujmom dieťaťa a vzniká neodôvodnený rozdiel oproti úprave v Zákonníku práce.</w:t>
      </w:r>
    </w:p>
    <w:p w14:paraId="7B3306BD" w14:textId="77777777" w:rsidR="00131FEE" w:rsidRDefault="00131FEE">
      <w:pPr>
        <w:ind w:firstLine="720"/>
        <w:jc w:val="both"/>
        <w:rPr>
          <w:rFonts w:ascii="Times New Roman" w:eastAsia="Times New Roman" w:hAnsi="Times New Roman" w:cs="Times New Roman"/>
          <w:sz w:val="24"/>
          <w:szCs w:val="24"/>
        </w:rPr>
      </w:pPr>
    </w:p>
    <w:p w14:paraId="6F967F83" w14:textId="77777777" w:rsidR="00131FEE" w:rsidRDefault="00EE65C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Zároveň sa vypúšťa taxatívny výpočet foriem náhradnej starostlivosti — náhradná osobná starostlivosť, pestúnska starostlivosť, starostlivosť budúcich osvojiteľov a poručníctvo. Tento výpočet sa nahrádza generickým odkazom na osobitný predpis, ktorým je zákon č. 36/2005 Z. z. o rodine a o zmene a doplnení niektorých zákonov. Generický odkaz pokrýva všetky formy náhradnej starostlivosti upravené zákonom o rodine vrátane tých, ktoré by zákon o rodine v budúcnosti zaviedol. Rozsah nároku sa tým nezužuje — naopak, navrhovaná úprava je širšia a pružnejšia. Zachováva sa osobitná kategória dieťaťa, ktorého matka zomrela, ktorú Zákonník práce nepokrýva. </w:t>
      </w:r>
    </w:p>
    <w:p w14:paraId="7BA6B25B" w14:textId="77777777" w:rsidR="00131FEE" w:rsidRDefault="00131FEE">
      <w:pPr>
        <w:ind w:firstLine="720"/>
        <w:jc w:val="both"/>
        <w:rPr>
          <w:rFonts w:ascii="Times New Roman" w:eastAsia="Times New Roman" w:hAnsi="Times New Roman" w:cs="Times New Roman"/>
          <w:sz w:val="24"/>
          <w:szCs w:val="24"/>
        </w:rPr>
      </w:pPr>
    </w:p>
    <w:p w14:paraId="4515514F" w14:textId="77777777" w:rsidR="00131FEE" w:rsidRDefault="00EE65C7" w:rsidP="000A4456">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2</w:t>
      </w:r>
    </w:p>
    <w:p w14:paraId="5DDD0E1A" w14:textId="77777777" w:rsidR="00131FEE" w:rsidRDefault="00131FEE">
      <w:pPr>
        <w:rPr>
          <w:rFonts w:ascii="Times New Roman" w:eastAsia="Times New Roman" w:hAnsi="Times New Roman" w:cs="Times New Roman"/>
          <w:b/>
          <w:bCs/>
          <w:sz w:val="24"/>
          <w:szCs w:val="24"/>
        </w:rPr>
      </w:pPr>
    </w:p>
    <w:p w14:paraId="0472E373" w14:textId="77777777" w:rsidR="00131FEE" w:rsidRDefault="00EE65C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Navrhovanou zmenou § 227 ods. 2 sa úprava rodičovskej dovolenky zosúlaďuje s § 169 ods. 2 Zákonníka práce. Rodičovská dovolenka sa nové poskytuje v trvaní troch rokov odo dňa prvého rozhodnutia súdu, najdlhšie do dovŕšenia šiestich rokov veku dieťaťa. Ak ide o dieťa s dlhodobo nepriaznivým zdravotným stavom, rodičovská dovolenka trvá do dovŕšenia šiestich rokov veku dieťaťa. Zmena odstraňuje doterajší stav, pri ktorom príslušníkom finančnej správy preberajúcim staršie deti vznikal výrazne kratší, prípadne žiadny nárok na rodičovskú dovolenku.</w:t>
      </w:r>
    </w:p>
    <w:p w14:paraId="468C6AC0" w14:textId="77777777" w:rsidR="00131FEE" w:rsidRDefault="00131FEE">
      <w:pPr>
        <w:rPr>
          <w:rFonts w:ascii="Times New Roman" w:eastAsia="Times New Roman" w:hAnsi="Times New Roman" w:cs="Times New Roman"/>
          <w:b/>
          <w:bCs/>
          <w:sz w:val="24"/>
          <w:szCs w:val="24"/>
        </w:rPr>
      </w:pPr>
    </w:p>
    <w:p w14:paraId="13E81587" w14:textId="77777777" w:rsidR="00131FEE" w:rsidRDefault="00EE65C7" w:rsidP="000A4456">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II</w:t>
      </w:r>
    </w:p>
    <w:p w14:paraId="498EA459" w14:textId="77777777" w:rsidR="00131FEE" w:rsidRDefault="00131FEE">
      <w:pPr>
        <w:rPr>
          <w:rFonts w:ascii="Times New Roman" w:eastAsia="Times New Roman" w:hAnsi="Times New Roman" w:cs="Times New Roman"/>
          <w:b/>
          <w:bCs/>
          <w:sz w:val="24"/>
          <w:szCs w:val="24"/>
        </w:rPr>
      </w:pPr>
    </w:p>
    <w:p w14:paraId="0043CF0A" w14:textId="77777777" w:rsidR="00131FEE" w:rsidRDefault="00EE65C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Účinnosť sa navrhuje od 1. januára 2027.</w:t>
      </w:r>
      <w:r>
        <w:br w:type="page"/>
      </w:r>
    </w:p>
    <w:sectPr w:rsidR="00131FEE">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A050" w14:textId="77777777" w:rsidR="00475AFD" w:rsidRDefault="00475AFD">
      <w:pPr>
        <w:spacing w:line="240" w:lineRule="auto"/>
      </w:pPr>
      <w:r>
        <w:separator/>
      </w:r>
    </w:p>
  </w:endnote>
  <w:endnote w:type="continuationSeparator" w:id="0">
    <w:p w14:paraId="1875E046" w14:textId="77777777" w:rsidR="00475AFD" w:rsidRDefault="00475A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D1470C6-47A2-465E-A0CB-04CA98A01E94}"/>
  </w:font>
  <w:font w:name="Cambria">
    <w:panose1 w:val="02040503050406030204"/>
    <w:charset w:val="EE"/>
    <w:family w:val="roman"/>
    <w:pitch w:val="variable"/>
    <w:sig w:usb0="E00006FF" w:usb1="420024FF" w:usb2="02000000" w:usb3="00000000" w:csb0="0000019F" w:csb1="00000000"/>
    <w:embedRegular r:id="rId2" w:fontKey="{B9A07F57-397A-46A5-8C88-EF9F965DA0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E7F3" w14:textId="77777777" w:rsidR="00475AFD" w:rsidRDefault="00475AFD">
      <w:pPr>
        <w:spacing w:line="240" w:lineRule="auto"/>
      </w:pPr>
      <w:r>
        <w:separator/>
      </w:r>
    </w:p>
  </w:footnote>
  <w:footnote w:type="continuationSeparator" w:id="0">
    <w:p w14:paraId="7F281F3A" w14:textId="77777777" w:rsidR="00475AFD" w:rsidRDefault="00475A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6C99" w14:textId="77777777" w:rsidR="00131FEE" w:rsidRDefault="00131F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F9E"/>
    <w:multiLevelType w:val="multilevel"/>
    <w:tmpl w:val="4078A8F6"/>
    <w:lvl w:ilvl="0">
      <w:start w:val="1"/>
      <w:numFmt w:val="upp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 w15:restartNumberingAfterBreak="0">
    <w:nsid w:val="6E213FA7"/>
    <w:multiLevelType w:val="multilevel"/>
    <w:tmpl w:val="49DC0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D267BBA"/>
    <w:multiLevelType w:val="multilevel"/>
    <w:tmpl w:val="DB4ED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0639269">
    <w:abstractNumId w:val="1"/>
  </w:num>
  <w:num w:numId="2" w16cid:durableId="444203368">
    <w:abstractNumId w:val="2"/>
  </w:num>
  <w:num w:numId="3" w16cid:durableId="1036614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EE"/>
    <w:rsid w:val="000A4456"/>
    <w:rsid w:val="00131FEE"/>
    <w:rsid w:val="00475AFD"/>
    <w:rsid w:val="00526BBE"/>
    <w:rsid w:val="00916DE2"/>
    <w:rsid w:val="00A11439"/>
    <w:rsid w:val="00EE65C7"/>
    <w:rsid w:val="00FB02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20CB"/>
  <w15:docId w15:val="{8852B48E-9C61-4C98-AC34-886B8D66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Andrej Pitonak</cp:lastModifiedBy>
  <cp:revision>4</cp:revision>
  <dcterms:created xsi:type="dcterms:W3CDTF">2026-05-08T09:19:00Z</dcterms:created>
  <dcterms:modified xsi:type="dcterms:W3CDTF">2026-05-08T09:35:00Z</dcterms:modified>
</cp:coreProperties>
</file>