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32B35" w14:textId="77777777" w:rsidR="00131FEE" w:rsidRDefault="00EE65C7">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NÁRODNÁ RADA SLOVENSKEJ REPUBLIKY</w:t>
      </w:r>
    </w:p>
    <w:p w14:paraId="7A6D3E68" w14:textId="77777777" w:rsidR="00131FEE" w:rsidRDefault="00EE65C7">
      <w:pPr>
        <w:pBdr>
          <w:bottom w:val="single" w:sz="12" w:space="1" w:color="000000"/>
        </w:pBd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IX. volebné obdobie</w:t>
      </w:r>
    </w:p>
    <w:p w14:paraId="4C0017CA" w14:textId="77777777" w:rsidR="00131FEE" w:rsidRDefault="00131FEE">
      <w:pPr>
        <w:jc w:val="both"/>
        <w:rPr>
          <w:rFonts w:ascii="Times New Roman" w:eastAsia="Times New Roman" w:hAnsi="Times New Roman" w:cs="Times New Roman"/>
          <w:sz w:val="24"/>
          <w:szCs w:val="24"/>
        </w:rPr>
      </w:pPr>
    </w:p>
    <w:p w14:paraId="1C1A867E" w14:textId="77777777" w:rsidR="000C12C6" w:rsidRDefault="000C12C6">
      <w:pPr>
        <w:jc w:val="both"/>
        <w:rPr>
          <w:rFonts w:ascii="Times New Roman" w:eastAsia="Times New Roman" w:hAnsi="Times New Roman" w:cs="Times New Roman"/>
          <w:sz w:val="24"/>
          <w:szCs w:val="24"/>
        </w:rPr>
      </w:pPr>
    </w:p>
    <w:p w14:paraId="46DBCF7F" w14:textId="77777777" w:rsidR="000C12C6" w:rsidRDefault="000C12C6">
      <w:pPr>
        <w:jc w:val="both"/>
        <w:rPr>
          <w:rFonts w:ascii="Times New Roman" w:eastAsia="Times New Roman" w:hAnsi="Times New Roman" w:cs="Times New Roman"/>
          <w:sz w:val="24"/>
          <w:szCs w:val="24"/>
        </w:rPr>
      </w:pPr>
    </w:p>
    <w:p w14:paraId="3A9D792C" w14:textId="77777777" w:rsidR="00131FEE" w:rsidRPr="000C12C6" w:rsidRDefault="00EE65C7">
      <w:pPr>
        <w:jc w:val="center"/>
        <w:rPr>
          <w:rFonts w:ascii="Times New Roman" w:eastAsia="Times New Roman" w:hAnsi="Times New Roman" w:cs="Times New Roman"/>
          <w:i/>
          <w:iCs/>
          <w:sz w:val="24"/>
          <w:szCs w:val="24"/>
        </w:rPr>
      </w:pPr>
      <w:r w:rsidRPr="000C12C6">
        <w:rPr>
          <w:rFonts w:ascii="Times New Roman" w:eastAsia="Times New Roman" w:hAnsi="Times New Roman" w:cs="Times New Roman"/>
          <w:i/>
          <w:iCs/>
          <w:sz w:val="24"/>
          <w:szCs w:val="24"/>
        </w:rPr>
        <w:t>N á v r h</w:t>
      </w:r>
    </w:p>
    <w:p w14:paraId="463E7030" w14:textId="77777777" w:rsidR="00131FEE" w:rsidRDefault="00131FEE">
      <w:pPr>
        <w:jc w:val="center"/>
        <w:rPr>
          <w:rFonts w:ascii="Times New Roman" w:eastAsia="Times New Roman" w:hAnsi="Times New Roman" w:cs="Times New Roman"/>
          <w:sz w:val="24"/>
          <w:szCs w:val="24"/>
        </w:rPr>
      </w:pPr>
    </w:p>
    <w:p w14:paraId="0E92559B" w14:textId="77777777" w:rsidR="000C12C6" w:rsidRDefault="000C12C6">
      <w:pPr>
        <w:jc w:val="center"/>
        <w:rPr>
          <w:rFonts w:ascii="Times New Roman" w:eastAsia="Times New Roman" w:hAnsi="Times New Roman" w:cs="Times New Roman"/>
          <w:sz w:val="24"/>
          <w:szCs w:val="24"/>
        </w:rPr>
      </w:pPr>
    </w:p>
    <w:p w14:paraId="6462CE28" w14:textId="77777777" w:rsidR="00131FEE" w:rsidRDefault="00EE65C7">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ZÁKON</w:t>
      </w:r>
    </w:p>
    <w:p w14:paraId="3D8BC3E0" w14:textId="77777777" w:rsidR="00131FEE" w:rsidRDefault="00131FEE">
      <w:pPr>
        <w:jc w:val="center"/>
        <w:rPr>
          <w:rFonts w:ascii="Times New Roman" w:eastAsia="Times New Roman" w:hAnsi="Times New Roman" w:cs="Times New Roman"/>
          <w:b/>
          <w:bCs/>
          <w:sz w:val="24"/>
          <w:szCs w:val="24"/>
        </w:rPr>
      </w:pPr>
    </w:p>
    <w:p w14:paraId="30E9483F" w14:textId="77777777" w:rsidR="000C12C6" w:rsidRDefault="000C12C6">
      <w:pPr>
        <w:jc w:val="center"/>
        <w:rPr>
          <w:rFonts w:ascii="Times New Roman" w:eastAsia="Times New Roman" w:hAnsi="Times New Roman" w:cs="Times New Roman"/>
          <w:b/>
          <w:bCs/>
          <w:sz w:val="24"/>
          <w:szCs w:val="24"/>
        </w:rPr>
      </w:pPr>
    </w:p>
    <w:p w14:paraId="35E63F11" w14:textId="77777777" w:rsidR="00131FEE" w:rsidRDefault="00EE65C7">
      <w:pPr>
        <w:jc w:val="center"/>
        <w:rPr>
          <w:rFonts w:ascii="Times New Roman" w:eastAsia="Times New Roman" w:hAnsi="Times New Roman" w:cs="Times New Roman"/>
          <w:sz w:val="24"/>
          <w:szCs w:val="24"/>
        </w:rPr>
      </w:pPr>
      <w:r>
        <w:rPr>
          <w:rFonts w:ascii="Times New Roman" w:eastAsia="Times New Roman" w:hAnsi="Times New Roman" w:cs="Times New Roman"/>
          <w:i/>
          <w:iCs/>
          <w:sz w:val="24"/>
          <w:szCs w:val="24"/>
        </w:rPr>
        <w:t>z ... 2026</w:t>
      </w:r>
      <w:r>
        <w:rPr>
          <w:rFonts w:ascii="Times New Roman" w:eastAsia="Times New Roman" w:hAnsi="Times New Roman" w:cs="Times New Roman"/>
          <w:sz w:val="24"/>
          <w:szCs w:val="24"/>
        </w:rPr>
        <w:t>,</w:t>
      </w:r>
    </w:p>
    <w:p w14:paraId="5D0E4F15" w14:textId="77777777" w:rsidR="00131FEE" w:rsidRDefault="00131FEE">
      <w:pPr>
        <w:jc w:val="center"/>
        <w:rPr>
          <w:rFonts w:ascii="Times New Roman" w:eastAsia="Times New Roman" w:hAnsi="Times New Roman" w:cs="Times New Roman"/>
          <w:sz w:val="24"/>
          <w:szCs w:val="24"/>
        </w:rPr>
      </w:pPr>
    </w:p>
    <w:p w14:paraId="16678B18" w14:textId="77777777" w:rsidR="000C12C6" w:rsidRDefault="000C12C6">
      <w:pPr>
        <w:jc w:val="center"/>
        <w:rPr>
          <w:rFonts w:ascii="Times New Roman" w:eastAsia="Times New Roman" w:hAnsi="Times New Roman" w:cs="Times New Roman"/>
          <w:sz w:val="24"/>
          <w:szCs w:val="24"/>
        </w:rPr>
      </w:pPr>
    </w:p>
    <w:p w14:paraId="08FCC5A7" w14:textId="77777777" w:rsidR="00131FEE" w:rsidRDefault="00EE65C7">
      <w:pPr>
        <w:jc w:val="center"/>
        <w:rPr>
          <w:rFonts w:ascii="Times New Roman" w:eastAsia="Times New Roman" w:hAnsi="Times New Roman" w:cs="Times New Roman"/>
          <w:b/>
          <w:bCs/>
        </w:rPr>
      </w:pPr>
      <w:r>
        <w:rPr>
          <w:rFonts w:ascii="Times New Roman" w:eastAsia="Times New Roman" w:hAnsi="Times New Roman" w:cs="Times New Roman"/>
          <w:b/>
          <w:bCs/>
          <w:sz w:val="24"/>
          <w:szCs w:val="24"/>
        </w:rPr>
        <w:t>ktorým sa mení a dopĺňa zákon č. 35/2019 Z. z. o finančnej správe a o zmene a doplnení niektorých zákonov</w:t>
      </w:r>
    </w:p>
    <w:p w14:paraId="64375628" w14:textId="77777777" w:rsidR="00131FEE" w:rsidRDefault="00EE65C7">
      <w:pPr>
        <w:spacing w:before="240" w:after="24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Národná rada Slovenskej republiky sa uzniesla na tomto zákone:</w:t>
      </w:r>
    </w:p>
    <w:p w14:paraId="39F1291A" w14:textId="77777777" w:rsidR="00131FEE" w:rsidRDefault="00EE65C7">
      <w:pPr>
        <w:spacing w:before="240" w:after="24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Čl. I</w:t>
      </w:r>
    </w:p>
    <w:p w14:paraId="73C2ABD9" w14:textId="77777777" w:rsidR="00131FEE" w:rsidRDefault="00EE65C7">
      <w:pPr>
        <w:spacing w:before="240" w:after="24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Zákon č. 35/2019 Z. z. o finančnej správe a o zmene a doplnení niektorých zákonov v znení zákona č. 319/2019 Z. z., zákona č. 126/2020 Z. z., zákona č. 76/2021 Z. z., zákona č. 186/2021 Z. z., zákona č. 431/2021 Z. z., zákona č. 123/2022 Z. z., zákona č. 125/2022 Z. z., zákona č. 350/2022 Z. z., zákona č. 238/2024 Z. z., zákona č. 299/2024 Z. z., zákona č. 324/2024 Z. z., zákona č. 387/2024 Z. z., zákona č. 150/2025 Z. z., zákona č. 154/2025 Z. z. a zákona č. 292/2025 Z. z. sa mení a dopĺňa takto:</w:t>
      </w:r>
    </w:p>
    <w:p w14:paraId="0E47A922" w14:textId="77777777" w:rsidR="00131FEE" w:rsidRDefault="00EE65C7">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 227 ods. 1 sa slová „na základe právoplatného rozhodnutia príslušného orgánu dieťa do starostlivosti nahrádzajúcej starostlivosť rodičov, ktoré im súd zveril do náhradnej osobnej starostlivosti, pestúnskej starostlivosti, starostlivosti budúcich osvojiteľov alebo do poručníctva, ak sa poručník osobne stará o dieťa podľa osobitného predpisu</w:t>
      </w:r>
      <w:r>
        <w:rPr>
          <w:rFonts w:ascii="Times New Roman" w:eastAsia="Times New Roman" w:hAnsi="Times New Roman" w:cs="Times New Roman"/>
          <w:sz w:val="24"/>
          <w:szCs w:val="24"/>
          <w:vertAlign w:val="superscript"/>
        </w:rPr>
        <w:t>183</w:t>
      </w:r>
      <w:r>
        <w:rPr>
          <w:rFonts w:ascii="Times New Roman" w:eastAsia="Times New Roman" w:hAnsi="Times New Roman" w:cs="Times New Roman"/>
          <w:sz w:val="24"/>
          <w:szCs w:val="24"/>
        </w:rPr>
        <w:t>)" nahrádzajú slovami „na základe rozhodnutia súdu dieťa do starostlivosti nahrádzajúcej starostlivosť rodičov podľa osobitného predpisu</w:t>
      </w:r>
      <w:r>
        <w:rPr>
          <w:rFonts w:ascii="Times New Roman" w:eastAsia="Times New Roman" w:hAnsi="Times New Roman" w:cs="Times New Roman"/>
          <w:sz w:val="24"/>
          <w:szCs w:val="24"/>
          <w:vertAlign w:val="superscript"/>
        </w:rPr>
        <w:t>183</w:t>
      </w:r>
      <w:r>
        <w:rPr>
          <w:rFonts w:ascii="Times New Roman" w:eastAsia="Times New Roman" w:hAnsi="Times New Roman" w:cs="Times New Roman"/>
          <w:sz w:val="24"/>
          <w:szCs w:val="24"/>
        </w:rPr>
        <w:t>)”.</w:t>
      </w:r>
    </w:p>
    <w:p w14:paraId="6E303638" w14:textId="77777777" w:rsidR="00131FEE" w:rsidRDefault="00131FEE">
      <w:pPr>
        <w:jc w:val="both"/>
        <w:rPr>
          <w:rFonts w:ascii="Times New Roman" w:eastAsia="Times New Roman" w:hAnsi="Times New Roman" w:cs="Times New Roman"/>
          <w:sz w:val="24"/>
          <w:szCs w:val="24"/>
        </w:rPr>
      </w:pPr>
    </w:p>
    <w:p w14:paraId="4A9CFD60" w14:textId="77777777" w:rsidR="00131FEE" w:rsidRDefault="00EE65C7">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Poznámka pod čiarou k odkazu 183 znie:</w:t>
      </w:r>
    </w:p>
    <w:p w14:paraId="03B12F9C" w14:textId="77777777" w:rsidR="00131FEE" w:rsidRDefault="00EE65C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t>183</w:t>
      </w:r>
      <w:r>
        <w:rPr>
          <w:rFonts w:ascii="Times New Roman" w:eastAsia="Times New Roman" w:hAnsi="Times New Roman" w:cs="Times New Roman"/>
          <w:sz w:val="24"/>
          <w:szCs w:val="24"/>
        </w:rPr>
        <w:t>) Zákon č. 36/2005 Z. z. o rodine a o zmene a doplnení niektorých zákonov v znení neskorších predpisov”.</w:t>
      </w:r>
    </w:p>
    <w:p w14:paraId="3F7C1E15" w14:textId="77777777" w:rsidR="00131FEE" w:rsidRDefault="00131FEE">
      <w:pPr>
        <w:ind w:left="720"/>
        <w:jc w:val="both"/>
        <w:rPr>
          <w:rFonts w:ascii="Times New Roman" w:eastAsia="Times New Roman" w:hAnsi="Times New Roman" w:cs="Times New Roman"/>
          <w:sz w:val="24"/>
          <w:szCs w:val="24"/>
        </w:rPr>
      </w:pPr>
    </w:p>
    <w:p w14:paraId="179ADE21" w14:textId="64E93718" w:rsidR="00131FEE" w:rsidRDefault="00EE65C7">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 227 ods. 2 sa druhá veta nahrádza týmito vetami: „Rodičovská dovolenka podľa § 226 ods. 2 sa poskytuje príslušníčke finančnej správy odo dňa skončenia materskej dovolenky a príslušníkovi finančnej správy odo dňa skončenia otcovskej dovolenky alebo odo dňa prevzatia dieťaťa, ktoré dovŕšilo tri roky veku, až do uplynutia troch rokov odo dňa prvého rozhodnutia súdu o zverení dieťaťa do starostlivosti </w:t>
      </w:r>
      <w:r>
        <w:rPr>
          <w:rFonts w:ascii="Times New Roman" w:eastAsia="Times New Roman" w:hAnsi="Times New Roman" w:cs="Times New Roman"/>
          <w:sz w:val="24"/>
          <w:szCs w:val="24"/>
        </w:rPr>
        <w:lastRenderedPageBreak/>
        <w:t>nahrádzajúcej starostlivosť rodičov podľa osobitného predpisu</w:t>
      </w:r>
      <w:r>
        <w:rPr>
          <w:rFonts w:ascii="Times New Roman" w:eastAsia="Times New Roman" w:hAnsi="Times New Roman" w:cs="Times New Roman"/>
          <w:sz w:val="24"/>
          <w:szCs w:val="24"/>
          <w:vertAlign w:val="superscript"/>
        </w:rPr>
        <w:t>183</w:t>
      </w:r>
      <w:r>
        <w:rPr>
          <w:rFonts w:ascii="Times New Roman" w:eastAsia="Times New Roman" w:hAnsi="Times New Roman" w:cs="Times New Roman"/>
          <w:sz w:val="24"/>
          <w:szCs w:val="24"/>
        </w:rPr>
        <w:t>), najdlhšie do dňa, v ktorom dieťa dovŕši šesť rokov veku. Ak ide o dieťa s dlhodobo nepriaznivým zdravotným stavom vyžadujúcim osobitnú starostlivosť, rodičovská dovolenka sa poskytuje do dňa, v ktorom dieťa dovŕši šesť rokov veku."</w:t>
      </w:r>
      <w:r w:rsidR="00ED6A22">
        <w:rPr>
          <w:rFonts w:ascii="Times New Roman" w:eastAsia="Times New Roman" w:hAnsi="Times New Roman" w:cs="Times New Roman"/>
          <w:sz w:val="24"/>
          <w:szCs w:val="24"/>
        </w:rPr>
        <w:t>.</w:t>
      </w:r>
    </w:p>
    <w:p w14:paraId="2B484AF1" w14:textId="77777777" w:rsidR="00131FEE" w:rsidRDefault="00131FEE">
      <w:pPr>
        <w:ind w:left="720"/>
        <w:jc w:val="both"/>
        <w:rPr>
          <w:rFonts w:ascii="Times New Roman" w:eastAsia="Times New Roman" w:hAnsi="Times New Roman" w:cs="Times New Roman"/>
          <w:sz w:val="24"/>
          <w:szCs w:val="24"/>
        </w:rPr>
      </w:pPr>
    </w:p>
    <w:p w14:paraId="0F6FC6D0" w14:textId="77777777" w:rsidR="00131FEE" w:rsidRDefault="00EE65C7">
      <w:pPr>
        <w:spacing w:before="240" w:after="24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Čl. II</w:t>
      </w:r>
    </w:p>
    <w:p w14:paraId="4E2AC312" w14:textId="38C09F72" w:rsidR="00131FEE" w:rsidRDefault="00EE65C7">
      <w:pPr>
        <w:spacing w:before="240" w:after="24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Tento zákon nadobúda účinnosť 1. januára 2027. </w:t>
      </w:r>
    </w:p>
    <w:sectPr w:rsidR="00131FEE">
      <w:headerReference w:type="default" r:id="rId7"/>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8F3B6" w14:textId="77777777" w:rsidR="00F85B17" w:rsidRDefault="00F85B17">
      <w:pPr>
        <w:spacing w:line="240" w:lineRule="auto"/>
      </w:pPr>
      <w:r>
        <w:separator/>
      </w:r>
    </w:p>
  </w:endnote>
  <w:endnote w:type="continuationSeparator" w:id="0">
    <w:p w14:paraId="2F0DC9AC" w14:textId="77777777" w:rsidR="00F85B17" w:rsidRDefault="00F85B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750E78B2-5600-45E9-AF87-5CE2ABDC521D}"/>
  </w:font>
  <w:font w:name="Cambria">
    <w:panose1 w:val="02040503050406030204"/>
    <w:charset w:val="EE"/>
    <w:family w:val="roman"/>
    <w:pitch w:val="variable"/>
    <w:sig w:usb0="E00006FF" w:usb1="420024FF" w:usb2="02000000" w:usb3="00000000" w:csb0="0000019F" w:csb1="00000000"/>
    <w:embedRegular r:id="rId2" w:fontKey="{BACA304D-6B16-4E67-894C-307BD169B7F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E17EC" w14:textId="77777777" w:rsidR="00F85B17" w:rsidRDefault="00F85B17">
      <w:pPr>
        <w:spacing w:line="240" w:lineRule="auto"/>
      </w:pPr>
      <w:r>
        <w:separator/>
      </w:r>
    </w:p>
  </w:footnote>
  <w:footnote w:type="continuationSeparator" w:id="0">
    <w:p w14:paraId="1FE9E102" w14:textId="77777777" w:rsidR="00F85B17" w:rsidRDefault="00F85B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46C99" w14:textId="77777777" w:rsidR="00131FEE" w:rsidRDefault="00131FE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E1F9E"/>
    <w:multiLevelType w:val="multilevel"/>
    <w:tmpl w:val="4078A8F6"/>
    <w:lvl w:ilvl="0">
      <w:start w:val="1"/>
      <w:numFmt w:val="upperLetter"/>
      <w:lvlText w:val="%1."/>
      <w:lvlJc w:val="left"/>
      <w:pPr>
        <w:ind w:left="1068" w:hanging="360"/>
      </w:pPr>
      <w:rPr>
        <w:u w:val="none"/>
      </w:rPr>
    </w:lvl>
    <w:lvl w:ilvl="1">
      <w:start w:val="1"/>
      <w:numFmt w:val="lowerLetter"/>
      <w:lvlText w:val="%2."/>
      <w:lvlJc w:val="left"/>
      <w:pPr>
        <w:ind w:left="1788" w:hanging="360"/>
      </w:pPr>
      <w:rPr>
        <w:u w:val="none"/>
      </w:rPr>
    </w:lvl>
    <w:lvl w:ilvl="2">
      <w:start w:val="1"/>
      <w:numFmt w:val="lowerRoman"/>
      <w:lvlText w:val="%3."/>
      <w:lvlJc w:val="right"/>
      <w:pPr>
        <w:ind w:left="2508" w:hanging="180"/>
      </w:pPr>
      <w:rPr>
        <w:u w:val="none"/>
      </w:rPr>
    </w:lvl>
    <w:lvl w:ilvl="3">
      <w:start w:val="1"/>
      <w:numFmt w:val="decimal"/>
      <w:lvlText w:val="%4."/>
      <w:lvlJc w:val="left"/>
      <w:pPr>
        <w:ind w:left="3228" w:hanging="360"/>
      </w:pPr>
      <w:rPr>
        <w:u w:val="none"/>
      </w:rPr>
    </w:lvl>
    <w:lvl w:ilvl="4">
      <w:start w:val="1"/>
      <w:numFmt w:val="lowerLetter"/>
      <w:lvlText w:val="%5."/>
      <w:lvlJc w:val="left"/>
      <w:pPr>
        <w:ind w:left="3948" w:hanging="360"/>
      </w:pPr>
      <w:rPr>
        <w:u w:val="none"/>
      </w:rPr>
    </w:lvl>
    <w:lvl w:ilvl="5">
      <w:start w:val="1"/>
      <w:numFmt w:val="lowerRoman"/>
      <w:lvlText w:val="%6."/>
      <w:lvlJc w:val="right"/>
      <w:pPr>
        <w:ind w:left="4668" w:hanging="180"/>
      </w:pPr>
      <w:rPr>
        <w:u w:val="none"/>
      </w:rPr>
    </w:lvl>
    <w:lvl w:ilvl="6">
      <w:start w:val="1"/>
      <w:numFmt w:val="decimal"/>
      <w:lvlText w:val="%7."/>
      <w:lvlJc w:val="left"/>
      <w:pPr>
        <w:ind w:left="5388" w:hanging="360"/>
      </w:pPr>
      <w:rPr>
        <w:u w:val="none"/>
      </w:rPr>
    </w:lvl>
    <w:lvl w:ilvl="7">
      <w:start w:val="1"/>
      <w:numFmt w:val="lowerLetter"/>
      <w:lvlText w:val="%8."/>
      <w:lvlJc w:val="left"/>
      <w:pPr>
        <w:ind w:left="6108" w:hanging="360"/>
      </w:pPr>
      <w:rPr>
        <w:u w:val="none"/>
      </w:rPr>
    </w:lvl>
    <w:lvl w:ilvl="8">
      <w:start w:val="1"/>
      <w:numFmt w:val="lowerRoman"/>
      <w:lvlText w:val="%9."/>
      <w:lvlJc w:val="right"/>
      <w:pPr>
        <w:ind w:left="6828" w:hanging="180"/>
      </w:pPr>
      <w:rPr>
        <w:u w:val="none"/>
      </w:rPr>
    </w:lvl>
  </w:abstractNum>
  <w:abstractNum w:abstractNumId="1" w15:restartNumberingAfterBreak="0">
    <w:nsid w:val="6E213FA7"/>
    <w:multiLevelType w:val="multilevel"/>
    <w:tmpl w:val="49DC0FA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7D267BBA"/>
    <w:multiLevelType w:val="multilevel"/>
    <w:tmpl w:val="DB4ED9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50639269">
    <w:abstractNumId w:val="1"/>
  </w:num>
  <w:num w:numId="2" w16cid:durableId="444203368">
    <w:abstractNumId w:val="2"/>
  </w:num>
  <w:num w:numId="3" w16cid:durableId="1036614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FEE"/>
    <w:rsid w:val="000C12C6"/>
    <w:rsid w:val="00131FEE"/>
    <w:rsid w:val="008411C1"/>
    <w:rsid w:val="00A11439"/>
    <w:rsid w:val="00ED6A22"/>
    <w:rsid w:val="00EE65C7"/>
    <w:rsid w:val="00F85B17"/>
    <w:rsid w:val="00FB02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420CB"/>
  <w15:docId w15:val="{8852B48E-9C61-4C98-AC34-886B8D66C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00" w:after="120"/>
      <w:outlineLvl w:val="0"/>
    </w:pPr>
    <w:rPr>
      <w:sz w:val="40"/>
      <w:szCs w:val="40"/>
    </w:rPr>
  </w:style>
  <w:style w:type="paragraph" w:styleId="Nadpis2">
    <w:name w:val="heading 2"/>
    <w:basedOn w:val="Normlny"/>
    <w:next w:val="Normlny"/>
    <w:uiPriority w:val="9"/>
    <w:semiHidden/>
    <w:unhideWhenUsed/>
    <w:qFormat/>
    <w:pPr>
      <w:keepNext/>
      <w:keepLines/>
      <w:spacing w:before="360" w:after="120"/>
      <w:outlineLvl w:val="1"/>
    </w:pPr>
    <w:rPr>
      <w:sz w:val="32"/>
      <w:szCs w:val="32"/>
    </w:rPr>
  </w:style>
  <w:style w:type="paragraph" w:styleId="Nadpis3">
    <w:name w:val="heading 3"/>
    <w:basedOn w:val="Normlny"/>
    <w:next w:val="Normlny"/>
    <w:uiPriority w:val="9"/>
    <w:semiHidden/>
    <w:unhideWhenUsed/>
    <w:qFormat/>
    <w:pPr>
      <w:keepNext/>
      <w:keepLines/>
      <w:spacing w:before="320" w:after="80"/>
      <w:outlineLvl w:val="2"/>
    </w:pPr>
    <w:rPr>
      <w:color w:val="434343"/>
      <w:sz w:val="28"/>
      <w:szCs w:val="28"/>
    </w:rPr>
  </w:style>
  <w:style w:type="paragraph" w:styleId="Nadpis4">
    <w:name w:val="heading 4"/>
    <w:basedOn w:val="Normlny"/>
    <w:next w:val="Normlny"/>
    <w:uiPriority w:val="9"/>
    <w:semiHidden/>
    <w:unhideWhenUsed/>
    <w:qFormat/>
    <w:pPr>
      <w:keepNext/>
      <w:keepLines/>
      <w:spacing w:before="280" w:after="80"/>
      <w:outlineLvl w:val="3"/>
    </w:pPr>
    <w:rPr>
      <w:color w:val="666666"/>
      <w:sz w:val="24"/>
      <w:szCs w:val="24"/>
    </w:rPr>
  </w:style>
  <w:style w:type="paragraph" w:styleId="Nadpis5">
    <w:name w:val="heading 5"/>
    <w:basedOn w:val="Normlny"/>
    <w:next w:val="Normlny"/>
    <w:uiPriority w:val="9"/>
    <w:semiHidden/>
    <w:unhideWhenUsed/>
    <w:qFormat/>
    <w:pPr>
      <w:keepNext/>
      <w:keepLines/>
      <w:spacing w:before="240" w:after="80"/>
      <w:outlineLvl w:val="4"/>
    </w:pPr>
    <w:rPr>
      <w:color w:val="666666"/>
    </w:rPr>
  </w:style>
  <w:style w:type="paragraph" w:styleId="Nadpis6">
    <w:name w:val="heading 6"/>
    <w:basedOn w:val="Normlny"/>
    <w:next w:val="Normlny"/>
    <w:uiPriority w:val="9"/>
    <w:semiHidden/>
    <w:unhideWhenUsed/>
    <w:qFormat/>
    <w:pPr>
      <w:keepNext/>
      <w:keepLines/>
      <w:spacing w:before="240" w:after="80"/>
      <w:outlineLvl w:val="5"/>
    </w:pPr>
    <w:rPr>
      <w:i/>
      <w:iCs/>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ov">
    <w:name w:val="Title"/>
    <w:basedOn w:val="Normlny"/>
    <w:next w:val="Normlny"/>
    <w:uiPriority w:val="10"/>
    <w:qFormat/>
    <w:pPr>
      <w:keepNext/>
      <w:keepLines/>
      <w:spacing w:after="60"/>
    </w:pPr>
    <w:rPr>
      <w:sz w:val="52"/>
      <w:szCs w:val="52"/>
    </w:rPr>
  </w:style>
  <w:style w:type="paragraph" w:styleId="Podtitul">
    <w:name w:val="Subtitle"/>
    <w:basedOn w:val="Normlny"/>
    <w:next w:val="Normlny"/>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57" w:type="dxa"/>
        <w:left w:w="115" w:type="dxa"/>
        <w:bottom w:w="57"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324</Words>
  <Characters>1847</Characters>
  <Application>Microsoft Office Word</Application>
  <DocSecurity>0</DocSecurity>
  <Lines>15</Lines>
  <Paragraphs>4</Paragraphs>
  <ScaleCrop>false</ScaleCrop>
  <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Andrej Pitonak</cp:lastModifiedBy>
  <cp:revision>4</cp:revision>
  <dcterms:created xsi:type="dcterms:W3CDTF">2026-05-08T09:19:00Z</dcterms:created>
  <dcterms:modified xsi:type="dcterms:W3CDTF">2026-05-08T09:27:00Z</dcterms:modified>
</cp:coreProperties>
</file>