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625AF" w14:textId="77777777" w:rsidR="007D318E" w:rsidRPr="00907A9A" w:rsidRDefault="007D318E" w:rsidP="007D318E">
      <w:pPr>
        <w:jc w:val="center"/>
        <w:rPr>
          <w:b/>
          <w:bCs/>
          <w:color w:val="000000"/>
          <w:lang w:eastAsia="sk-SK"/>
        </w:rPr>
      </w:pPr>
      <w:r w:rsidRPr="00907A9A">
        <w:rPr>
          <w:b/>
          <w:bCs/>
          <w:color w:val="000000"/>
          <w:lang w:eastAsia="sk-SK"/>
        </w:rPr>
        <w:t>DOLOŽKA ZLUČITEĽNOSTI</w:t>
      </w:r>
    </w:p>
    <w:p w14:paraId="7C609E56" w14:textId="77777777" w:rsidR="007D318E" w:rsidRPr="00907A9A" w:rsidRDefault="007D318E" w:rsidP="007D318E">
      <w:pPr>
        <w:jc w:val="center"/>
        <w:rPr>
          <w:b/>
          <w:bCs/>
          <w:color w:val="000000"/>
          <w:lang w:eastAsia="sk-SK"/>
        </w:rPr>
      </w:pPr>
      <w:r w:rsidRPr="00907A9A">
        <w:rPr>
          <w:b/>
          <w:bCs/>
          <w:color w:val="000000"/>
          <w:lang w:eastAsia="sk-SK"/>
        </w:rPr>
        <w:t>návrhu zákona</w:t>
      </w:r>
    </w:p>
    <w:p w14:paraId="21A73B83" w14:textId="77777777" w:rsidR="007D318E" w:rsidRPr="00907A9A" w:rsidRDefault="007D318E" w:rsidP="007D318E">
      <w:pPr>
        <w:jc w:val="center"/>
        <w:rPr>
          <w:b/>
          <w:bCs/>
          <w:color w:val="000000"/>
          <w:lang w:eastAsia="sk-SK"/>
        </w:rPr>
      </w:pPr>
      <w:r w:rsidRPr="00907A9A">
        <w:rPr>
          <w:b/>
          <w:bCs/>
          <w:color w:val="000000"/>
          <w:lang w:eastAsia="sk-SK"/>
        </w:rPr>
        <w:t>s právom Európskej únie</w:t>
      </w:r>
    </w:p>
    <w:p w14:paraId="27A2C438" w14:textId="77777777" w:rsidR="007D318E" w:rsidRPr="00907A9A" w:rsidRDefault="007D318E" w:rsidP="007D318E">
      <w:pPr>
        <w:rPr>
          <w:color w:val="000000"/>
          <w:sz w:val="27"/>
          <w:szCs w:val="27"/>
          <w:lang w:eastAsia="sk-SK"/>
        </w:rPr>
      </w:pPr>
    </w:p>
    <w:p w14:paraId="2A4E5197" w14:textId="77777777" w:rsidR="007D318E" w:rsidRPr="00687737" w:rsidRDefault="007D318E" w:rsidP="007D318E">
      <w:pPr>
        <w:pStyle w:val="Odsekzoznamu"/>
        <w:numPr>
          <w:ilvl w:val="0"/>
          <w:numId w:val="1"/>
        </w:numPr>
        <w:ind w:left="426" w:hanging="426"/>
        <w:rPr>
          <w:color w:val="000000"/>
          <w:sz w:val="27"/>
          <w:szCs w:val="27"/>
          <w:lang w:eastAsia="sk-SK"/>
        </w:rPr>
      </w:pPr>
      <w:r w:rsidRPr="00687737">
        <w:rPr>
          <w:b/>
          <w:bCs/>
          <w:color w:val="000000"/>
          <w:lang w:eastAsia="sk-SK"/>
        </w:rPr>
        <w:t>Navrhovateľ zákona:</w:t>
      </w:r>
    </w:p>
    <w:p w14:paraId="199CDF01" w14:textId="77777777" w:rsidR="007D318E" w:rsidRPr="00687737" w:rsidRDefault="007D318E" w:rsidP="007D318E">
      <w:pPr>
        <w:rPr>
          <w:color w:val="000000"/>
          <w:lang w:eastAsia="sk-SK"/>
        </w:rPr>
      </w:pPr>
      <w:r w:rsidRPr="00687737">
        <w:rPr>
          <w:color w:val="000000"/>
          <w:lang w:eastAsia="sk-SK"/>
        </w:rPr>
        <w:t>Vláda Slovenskej republiky.</w:t>
      </w:r>
    </w:p>
    <w:p w14:paraId="3223F857" w14:textId="77777777" w:rsidR="007D318E" w:rsidRPr="00687737" w:rsidRDefault="007D318E" w:rsidP="007D318E">
      <w:pPr>
        <w:rPr>
          <w:color w:val="000000"/>
          <w:sz w:val="27"/>
          <w:szCs w:val="27"/>
          <w:lang w:eastAsia="sk-SK"/>
        </w:rPr>
      </w:pPr>
    </w:p>
    <w:p w14:paraId="28FAE651" w14:textId="77777777" w:rsidR="007D318E" w:rsidRPr="00687737" w:rsidRDefault="007D318E" w:rsidP="007D318E">
      <w:pPr>
        <w:pStyle w:val="Odsekzoznamu"/>
        <w:numPr>
          <w:ilvl w:val="0"/>
          <w:numId w:val="1"/>
        </w:numPr>
        <w:ind w:left="426" w:hanging="426"/>
        <w:rPr>
          <w:color w:val="000000"/>
          <w:sz w:val="27"/>
          <w:szCs w:val="27"/>
          <w:lang w:eastAsia="sk-SK"/>
        </w:rPr>
      </w:pPr>
      <w:r w:rsidRPr="00687737">
        <w:rPr>
          <w:b/>
          <w:bCs/>
          <w:color w:val="000000"/>
          <w:lang w:eastAsia="sk-SK"/>
        </w:rPr>
        <w:t>Názov návrhu zákona:</w:t>
      </w:r>
    </w:p>
    <w:p w14:paraId="3C627A8E" w14:textId="77777777" w:rsidR="007D318E" w:rsidRPr="00687737" w:rsidRDefault="007D318E" w:rsidP="007D318E">
      <w:pPr>
        <w:jc w:val="both"/>
        <w:rPr>
          <w:color w:val="000000"/>
          <w:lang w:eastAsia="sk-SK"/>
        </w:rPr>
      </w:pPr>
      <w:r w:rsidRPr="00687737">
        <w:rPr>
          <w:color w:val="000000"/>
          <w:lang w:eastAsia="sk-SK"/>
        </w:rPr>
        <w:t xml:space="preserve">Návrh zákona, ktorým sa </w:t>
      </w:r>
      <w:r>
        <w:rPr>
          <w:color w:val="000000"/>
          <w:lang w:eastAsia="sk-SK"/>
        </w:rPr>
        <w:t xml:space="preserve">mení a </w:t>
      </w:r>
      <w:r w:rsidRPr="00687737">
        <w:rPr>
          <w:color w:val="000000"/>
          <w:lang w:eastAsia="sk-SK"/>
        </w:rPr>
        <w:t xml:space="preserve">dopĺňa zákon č. </w:t>
      </w:r>
      <w:r>
        <w:rPr>
          <w:color w:val="000000"/>
          <w:lang w:eastAsia="sk-SK"/>
        </w:rPr>
        <w:t>747</w:t>
      </w:r>
      <w:r w:rsidRPr="00687737">
        <w:rPr>
          <w:color w:val="000000"/>
          <w:lang w:eastAsia="sk-SK"/>
        </w:rPr>
        <w:t>/20</w:t>
      </w:r>
      <w:r>
        <w:rPr>
          <w:color w:val="000000"/>
          <w:lang w:eastAsia="sk-SK"/>
        </w:rPr>
        <w:t>0</w:t>
      </w:r>
      <w:r w:rsidRPr="00687737">
        <w:rPr>
          <w:color w:val="000000"/>
          <w:lang w:eastAsia="sk-SK"/>
        </w:rPr>
        <w:t>4 Z. z. o</w:t>
      </w:r>
      <w:r>
        <w:rPr>
          <w:color w:val="000000"/>
          <w:lang w:eastAsia="sk-SK"/>
        </w:rPr>
        <w:t> dohľade nad finančným trhom</w:t>
      </w:r>
      <w:r w:rsidRPr="00687737">
        <w:rPr>
          <w:color w:val="000000"/>
          <w:lang w:eastAsia="sk-SK"/>
        </w:rPr>
        <w:t xml:space="preserve"> a o zmene a doplnení niektorých zákonov v znení neskorších predpisov </w:t>
      </w:r>
      <w:r w:rsidRPr="00687737">
        <w:rPr>
          <w:color w:val="000000"/>
        </w:rPr>
        <w:t xml:space="preserve">a ktorým sa </w:t>
      </w:r>
      <w:r>
        <w:rPr>
          <w:color w:val="000000"/>
        </w:rPr>
        <w:t>mení a dopĺňa zákon č. 371/2014 Z. z. o riešení krízových situácií na finančnom trhu a o zmene a doplnení niektorých zákonov v znení neskorších predpisov.</w:t>
      </w:r>
    </w:p>
    <w:p w14:paraId="29047E37" w14:textId="77777777" w:rsidR="007D318E" w:rsidRPr="00687737" w:rsidRDefault="007D318E" w:rsidP="007D318E">
      <w:pPr>
        <w:rPr>
          <w:color w:val="000000"/>
          <w:sz w:val="27"/>
          <w:szCs w:val="27"/>
          <w:lang w:eastAsia="sk-SK"/>
        </w:rPr>
      </w:pPr>
    </w:p>
    <w:p w14:paraId="2C6ADBA6" w14:textId="77777777" w:rsidR="007D318E" w:rsidRPr="00687737" w:rsidRDefault="007D318E" w:rsidP="007D318E">
      <w:pPr>
        <w:pStyle w:val="Odsekzoznamu"/>
        <w:numPr>
          <w:ilvl w:val="0"/>
          <w:numId w:val="1"/>
        </w:numPr>
        <w:ind w:left="426" w:hanging="426"/>
        <w:rPr>
          <w:color w:val="000000"/>
          <w:sz w:val="27"/>
          <w:szCs w:val="27"/>
          <w:lang w:eastAsia="sk-SK"/>
        </w:rPr>
      </w:pPr>
      <w:r w:rsidRPr="00687737">
        <w:rPr>
          <w:b/>
          <w:bCs/>
          <w:color w:val="000000"/>
          <w:lang w:eastAsia="sk-SK"/>
        </w:rPr>
        <w:t>Predmet návrhu zákona je upravený v práve Európskej únie:</w:t>
      </w:r>
    </w:p>
    <w:p w14:paraId="1A7936B7" w14:textId="77777777" w:rsidR="007D318E" w:rsidRPr="00687737" w:rsidRDefault="007D318E" w:rsidP="007D318E">
      <w:pPr>
        <w:pStyle w:val="Odsekzoznamu"/>
        <w:numPr>
          <w:ilvl w:val="0"/>
          <w:numId w:val="2"/>
        </w:numPr>
        <w:jc w:val="both"/>
        <w:rPr>
          <w:color w:val="000000"/>
          <w:lang w:eastAsia="sk-SK"/>
        </w:rPr>
      </w:pPr>
      <w:r w:rsidRPr="00687737">
        <w:rPr>
          <w:color w:val="000000"/>
          <w:lang w:eastAsia="sk-SK"/>
        </w:rPr>
        <w:t>v primárnom práve</w:t>
      </w:r>
    </w:p>
    <w:p w14:paraId="3734C1EE" w14:textId="77777777" w:rsidR="007D318E" w:rsidRPr="005E418D" w:rsidRDefault="007D318E" w:rsidP="007D318E">
      <w:pPr>
        <w:pStyle w:val="Odsekzoznamu"/>
        <w:jc w:val="both"/>
        <w:rPr>
          <w:color w:val="000000"/>
          <w:lang w:eastAsia="sk-SK"/>
        </w:rPr>
      </w:pPr>
      <w:r>
        <w:rPr>
          <w:color w:val="000000"/>
          <w:lang w:eastAsia="sk-SK"/>
        </w:rPr>
        <w:t xml:space="preserve">- </w:t>
      </w:r>
      <w:r w:rsidRPr="005E418D">
        <w:rPr>
          <w:color w:val="000000"/>
          <w:lang w:eastAsia="sk-SK"/>
        </w:rPr>
        <w:t>čl. 3 ods. 1 písm. b), čl. 4, čl. 26 ods. 2, čl. 49 až 66, čl. 107 až 109, čl. 114 a čl. 127 Zmluvy o fungovaní Európskej únie (</w:t>
      </w:r>
      <w:r w:rsidRPr="005E418D">
        <w:rPr>
          <w:lang w:eastAsia="sk-SK"/>
        </w:rPr>
        <w:t>Ú. v. EÚ C 202, 7.6.2016)</w:t>
      </w:r>
      <w:r w:rsidRPr="005E418D">
        <w:rPr>
          <w:color w:val="000000"/>
          <w:lang w:eastAsia="sk-SK"/>
        </w:rPr>
        <w:t>,</w:t>
      </w:r>
    </w:p>
    <w:p w14:paraId="7E008AD1" w14:textId="77777777" w:rsidR="007D318E" w:rsidRPr="005E418D" w:rsidRDefault="007D318E" w:rsidP="007D318E">
      <w:pPr>
        <w:pStyle w:val="Odsekzoznamu"/>
        <w:jc w:val="both"/>
        <w:rPr>
          <w:color w:val="000000"/>
          <w:lang w:eastAsia="sk-SK"/>
        </w:rPr>
      </w:pPr>
      <w:r w:rsidRPr="005E418D">
        <w:rPr>
          <w:color w:val="000000"/>
          <w:lang w:eastAsia="sk-SK"/>
        </w:rPr>
        <w:t>- čl. 3 Zmluvy o Európskej únii (</w:t>
      </w:r>
      <w:r w:rsidRPr="005E418D">
        <w:rPr>
          <w:lang w:eastAsia="sk-SK"/>
        </w:rPr>
        <w:t>Ú. v. EÚ C 202, 7.6.2016)</w:t>
      </w:r>
      <w:r w:rsidRPr="005E418D">
        <w:rPr>
          <w:color w:val="000000"/>
          <w:lang w:eastAsia="sk-SK"/>
        </w:rPr>
        <w:t>,</w:t>
      </w:r>
    </w:p>
    <w:p w14:paraId="75DA7F70" w14:textId="77777777" w:rsidR="007D318E" w:rsidRPr="005E418D" w:rsidRDefault="007D318E" w:rsidP="007D318E">
      <w:pPr>
        <w:pStyle w:val="Odsekzoznamu"/>
        <w:jc w:val="both"/>
        <w:rPr>
          <w:color w:val="000000"/>
          <w:lang w:eastAsia="sk-SK"/>
        </w:rPr>
      </w:pPr>
      <w:r w:rsidRPr="005E418D">
        <w:rPr>
          <w:color w:val="000000"/>
          <w:lang w:eastAsia="sk-SK"/>
        </w:rPr>
        <w:t xml:space="preserve">- Protokol č. 4 o Štatúte Európskeho systému centrálnych bánk a Európskej centrálnej </w:t>
      </w:r>
      <w:r>
        <w:rPr>
          <w:color w:val="000000"/>
          <w:lang w:eastAsia="sk-SK"/>
        </w:rPr>
        <w:t xml:space="preserve">   </w:t>
      </w:r>
      <w:r w:rsidRPr="005E418D">
        <w:rPr>
          <w:color w:val="000000"/>
          <w:lang w:eastAsia="sk-SK"/>
        </w:rPr>
        <w:t>banky pripojený k Zmluve o fungovaní Európskej únie (Ú. v. EÚ C 202, 7.6.2016).</w:t>
      </w:r>
    </w:p>
    <w:p w14:paraId="5A57F448" w14:textId="77777777" w:rsidR="007D318E" w:rsidRPr="00687737" w:rsidRDefault="007D318E" w:rsidP="007D318E">
      <w:pPr>
        <w:pStyle w:val="Odsekzoznamu"/>
        <w:rPr>
          <w:color w:val="000000"/>
          <w:lang w:eastAsia="sk-SK"/>
        </w:rPr>
      </w:pPr>
    </w:p>
    <w:p w14:paraId="7B434D16" w14:textId="77777777" w:rsidR="007D318E" w:rsidRPr="000B553D" w:rsidRDefault="007D318E" w:rsidP="007D318E">
      <w:pPr>
        <w:pStyle w:val="Odsekzoznamu"/>
        <w:numPr>
          <w:ilvl w:val="0"/>
          <w:numId w:val="2"/>
        </w:numPr>
        <w:rPr>
          <w:color w:val="000000"/>
          <w:lang w:eastAsia="sk-SK"/>
        </w:rPr>
      </w:pPr>
      <w:r w:rsidRPr="00687737">
        <w:rPr>
          <w:color w:val="000000"/>
          <w:lang w:eastAsia="sk-SK"/>
        </w:rPr>
        <w:t>v sekundárnom práve</w:t>
      </w:r>
    </w:p>
    <w:p w14:paraId="5FF14A83" w14:textId="77777777" w:rsidR="007D318E" w:rsidRDefault="007D318E" w:rsidP="007D318E">
      <w:pPr>
        <w:pStyle w:val="Odsekzoznamu"/>
        <w:numPr>
          <w:ilvl w:val="0"/>
          <w:numId w:val="5"/>
        </w:numPr>
        <w:jc w:val="both"/>
        <w:rPr>
          <w:color w:val="000000"/>
          <w:lang w:eastAsia="sk-SK"/>
        </w:rPr>
      </w:pPr>
      <w:r>
        <w:rPr>
          <w:color w:val="000000"/>
          <w:lang w:eastAsia="sk-SK"/>
        </w:rPr>
        <w:t xml:space="preserve">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 v platnom znení, gestor: MF SR, </w:t>
      </w:r>
      <w:proofErr w:type="spellStart"/>
      <w:r>
        <w:rPr>
          <w:color w:val="000000"/>
          <w:lang w:eastAsia="sk-SK"/>
        </w:rPr>
        <w:t>spolugestor</w:t>
      </w:r>
      <w:proofErr w:type="spellEnd"/>
      <w:r>
        <w:rPr>
          <w:color w:val="000000"/>
          <w:lang w:eastAsia="sk-SK"/>
        </w:rPr>
        <w:t>: NBS,</w:t>
      </w:r>
    </w:p>
    <w:p w14:paraId="46C477CE" w14:textId="77777777" w:rsidR="007D318E" w:rsidRDefault="007D318E" w:rsidP="007D318E">
      <w:pPr>
        <w:pStyle w:val="Odsekzoznamu"/>
        <w:numPr>
          <w:ilvl w:val="0"/>
          <w:numId w:val="5"/>
        </w:numPr>
        <w:jc w:val="both"/>
        <w:rPr>
          <w:color w:val="000000"/>
          <w:lang w:eastAsia="sk-SK"/>
        </w:rPr>
      </w:pPr>
      <w:r w:rsidRPr="000218C1">
        <w:rPr>
          <w:color w:val="000000"/>
          <w:lang w:eastAsia="sk-SK"/>
        </w:rPr>
        <w:t xml:space="preserve">nariadenie Európskeho parlamentu a Rady (EÚ) 2022/2036 z 19. októbra 2022, ktorým sa mení nariadenie (EÚ) č. 575/2013 a smernica 2014/59/EÚ, pokiaľ ide o </w:t>
      </w:r>
      <w:proofErr w:type="spellStart"/>
      <w:r w:rsidRPr="000218C1">
        <w:rPr>
          <w:color w:val="000000"/>
          <w:lang w:eastAsia="sk-SK"/>
        </w:rPr>
        <w:t>prudenciálne</w:t>
      </w:r>
      <w:proofErr w:type="spellEnd"/>
      <w:r w:rsidRPr="000218C1">
        <w:rPr>
          <w:color w:val="000000"/>
          <w:lang w:eastAsia="sk-SK"/>
        </w:rPr>
        <w:t xml:space="preserve"> zaobchádzanie s globálnymi systémovo významnými inštitúciami so stratégiou riešenia krízových situácií vo viacerých okamihoch a metódy nepriameho upisovania nástrojov oprávnených na splnenie minimálnej požiadavky na vlastné zdroje a oprávnené záväzky (Ú. v. EÚ L 275, 25.10.2022), gestori: MF SR, NBS,</w:t>
      </w:r>
    </w:p>
    <w:p w14:paraId="7A34E91B" w14:textId="77777777" w:rsidR="007D318E" w:rsidRPr="000218C1" w:rsidRDefault="007D318E" w:rsidP="007D318E">
      <w:pPr>
        <w:pStyle w:val="Odsekzoznamu"/>
        <w:numPr>
          <w:ilvl w:val="0"/>
          <w:numId w:val="5"/>
        </w:numPr>
        <w:jc w:val="both"/>
        <w:rPr>
          <w:color w:val="000000"/>
          <w:lang w:eastAsia="sk-SK"/>
        </w:rPr>
      </w:pPr>
      <w:r>
        <w:rPr>
          <w:color w:val="000000"/>
          <w:lang w:eastAsia="sk-SK"/>
        </w:rPr>
        <w:t>smernica Európskeho parlamentu a Rady (EÚ) 2019/879 z 20. mája 2019, ktorou sa mení smernica 2014/59/EÚ, pokiaľ ide o kapacitu úverových inštitúcií a investičných spoločností na absorpciu strát a </w:t>
      </w:r>
      <w:proofErr w:type="spellStart"/>
      <w:r>
        <w:rPr>
          <w:color w:val="000000"/>
          <w:lang w:eastAsia="sk-SK"/>
        </w:rPr>
        <w:t>rekapitalizáciu</w:t>
      </w:r>
      <w:proofErr w:type="spellEnd"/>
      <w:r>
        <w:rPr>
          <w:color w:val="000000"/>
          <w:lang w:eastAsia="sk-SK"/>
        </w:rPr>
        <w:t xml:space="preserve">, a smernica 98/26/ES (Ú. v. EÚ L 150, 7.6.2019), gestor: MF SR, </w:t>
      </w:r>
      <w:proofErr w:type="spellStart"/>
      <w:r>
        <w:rPr>
          <w:color w:val="000000"/>
          <w:lang w:eastAsia="sk-SK"/>
        </w:rPr>
        <w:t>spolugestori</w:t>
      </w:r>
      <w:proofErr w:type="spellEnd"/>
      <w:r>
        <w:rPr>
          <w:color w:val="000000"/>
          <w:lang w:eastAsia="sk-SK"/>
        </w:rPr>
        <w:t>: MS SR, NBS</w:t>
      </w:r>
    </w:p>
    <w:p w14:paraId="5ADFB7C1" w14:textId="77777777" w:rsidR="007D318E" w:rsidRPr="000218C1" w:rsidRDefault="007D318E" w:rsidP="007D318E">
      <w:pPr>
        <w:pStyle w:val="Odsekzoznamu"/>
        <w:numPr>
          <w:ilvl w:val="0"/>
          <w:numId w:val="5"/>
        </w:numPr>
        <w:jc w:val="both"/>
        <w:rPr>
          <w:color w:val="000000"/>
          <w:lang w:eastAsia="sk-SK"/>
        </w:rPr>
      </w:pPr>
      <w:r w:rsidRPr="000218C1">
        <w:rPr>
          <w:color w:val="000000"/>
          <w:lang w:eastAsia="sk-SK"/>
        </w:rPr>
        <w:t>nariadenie Európskeho parlamentu a Rady (EÚ) 2024/3005 z 27. novembra 2024 o transparentnosti a integrite činností týkajúcich sa environmentálnych ratingov, sociálnych ratingov a ratingov v oblasti správy a riadenia (ratingov ESG) a o zmene nariadení (EÚ) 2019/2088 a (EÚ) 2023/2859 (Ú v. EÚ L, 2024/3005, 12.12.2024), gestori: MF SR, NBS.</w:t>
      </w:r>
    </w:p>
    <w:p w14:paraId="53994632" w14:textId="77777777" w:rsidR="007D318E" w:rsidRDefault="007D318E" w:rsidP="007D318E">
      <w:pPr>
        <w:pStyle w:val="Odsekzoznamu"/>
        <w:numPr>
          <w:ilvl w:val="0"/>
          <w:numId w:val="2"/>
        </w:numPr>
        <w:jc w:val="both"/>
        <w:rPr>
          <w:color w:val="000000"/>
          <w:lang w:eastAsia="sk-SK"/>
        </w:rPr>
      </w:pPr>
      <w:r w:rsidRPr="000B553D">
        <w:rPr>
          <w:color w:val="000000"/>
          <w:lang w:eastAsia="sk-SK"/>
        </w:rPr>
        <w:t>v judikatúre Súdneho dvora Európskej únie</w:t>
      </w:r>
    </w:p>
    <w:p w14:paraId="3A26D943" w14:textId="77777777" w:rsidR="007D318E" w:rsidRDefault="007D318E" w:rsidP="007D318E">
      <w:pPr>
        <w:pStyle w:val="Odsekzoznamu"/>
        <w:numPr>
          <w:ilvl w:val="0"/>
          <w:numId w:val="5"/>
        </w:numPr>
        <w:jc w:val="both"/>
        <w:rPr>
          <w:color w:val="000000"/>
          <w:lang w:eastAsia="sk-SK"/>
        </w:rPr>
      </w:pPr>
      <w:r>
        <w:rPr>
          <w:color w:val="000000"/>
          <w:lang w:eastAsia="sk-SK"/>
        </w:rPr>
        <w:t xml:space="preserve">rozsudok Súdneho dvora vo veci C-414/18, </w:t>
      </w:r>
      <w:proofErr w:type="spellStart"/>
      <w:r>
        <w:rPr>
          <w:color w:val="000000"/>
          <w:lang w:eastAsia="sk-SK"/>
        </w:rPr>
        <w:t>Iccrea</w:t>
      </w:r>
      <w:proofErr w:type="spellEnd"/>
      <w:r>
        <w:rPr>
          <w:color w:val="000000"/>
          <w:lang w:eastAsia="sk-SK"/>
        </w:rPr>
        <w:t xml:space="preserve"> </w:t>
      </w:r>
      <w:proofErr w:type="spellStart"/>
      <w:r>
        <w:rPr>
          <w:color w:val="000000"/>
          <w:lang w:eastAsia="sk-SK"/>
        </w:rPr>
        <w:t>Banca</w:t>
      </w:r>
      <w:proofErr w:type="spellEnd"/>
      <w:r>
        <w:rPr>
          <w:color w:val="000000"/>
          <w:lang w:eastAsia="sk-SK"/>
        </w:rPr>
        <w:t xml:space="preserve"> </w:t>
      </w:r>
      <w:proofErr w:type="spellStart"/>
      <w:r>
        <w:rPr>
          <w:color w:val="000000"/>
          <w:lang w:eastAsia="sk-SK"/>
        </w:rPr>
        <w:t>SpA</w:t>
      </w:r>
      <w:proofErr w:type="spellEnd"/>
      <w:r>
        <w:rPr>
          <w:color w:val="000000"/>
          <w:lang w:eastAsia="sk-SK"/>
        </w:rPr>
        <w:t xml:space="preserve"> </w:t>
      </w:r>
      <w:proofErr w:type="spellStart"/>
      <w:r>
        <w:rPr>
          <w:color w:val="000000"/>
          <w:lang w:eastAsia="sk-SK"/>
        </w:rPr>
        <w:t>Istituto</w:t>
      </w:r>
      <w:proofErr w:type="spellEnd"/>
      <w:r>
        <w:rPr>
          <w:color w:val="000000"/>
          <w:lang w:eastAsia="sk-SK"/>
        </w:rPr>
        <w:t xml:space="preserve"> </w:t>
      </w:r>
      <w:proofErr w:type="spellStart"/>
      <w:r>
        <w:rPr>
          <w:color w:val="000000"/>
          <w:lang w:eastAsia="sk-SK"/>
        </w:rPr>
        <w:t>Centrale</w:t>
      </w:r>
      <w:proofErr w:type="spellEnd"/>
      <w:r>
        <w:rPr>
          <w:color w:val="000000"/>
          <w:lang w:eastAsia="sk-SK"/>
        </w:rPr>
        <w:t xml:space="preserve"> del </w:t>
      </w:r>
      <w:proofErr w:type="spellStart"/>
      <w:r>
        <w:rPr>
          <w:color w:val="000000"/>
          <w:lang w:eastAsia="sk-SK"/>
        </w:rPr>
        <w:t>Credito</w:t>
      </w:r>
      <w:proofErr w:type="spellEnd"/>
      <w:r>
        <w:rPr>
          <w:color w:val="000000"/>
          <w:lang w:eastAsia="sk-SK"/>
        </w:rPr>
        <w:t xml:space="preserve"> </w:t>
      </w:r>
      <w:proofErr w:type="spellStart"/>
      <w:r>
        <w:rPr>
          <w:color w:val="000000"/>
          <w:lang w:eastAsia="sk-SK"/>
        </w:rPr>
        <w:t>Cooperativo</w:t>
      </w:r>
      <w:proofErr w:type="spellEnd"/>
      <w:r>
        <w:rPr>
          <w:color w:val="000000"/>
          <w:lang w:eastAsia="sk-SK"/>
        </w:rPr>
        <w:t xml:space="preserve"> proti </w:t>
      </w:r>
      <w:proofErr w:type="spellStart"/>
      <w:r>
        <w:rPr>
          <w:color w:val="000000"/>
          <w:lang w:eastAsia="sk-SK"/>
        </w:rPr>
        <w:t>Banca</w:t>
      </w:r>
      <w:proofErr w:type="spellEnd"/>
      <w:r>
        <w:rPr>
          <w:color w:val="000000"/>
          <w:lang w:eastAsia="sk-SK"/>
        </w:rPr>
        <w:t xml:space="preserve"> </w:t>
      </w:r>
      <w:proofErr w:type="spellStart"/>
      <w:r>
        <w:rPr>
          <w:color w:val="000000"/>
          <w:lang w:eastAsia="sk-SK"/>
        </w:rPr>
        <w:t>d´Italia</w:t>
      </w:r>
      <w:proofErr w:type="spellEnd"/>
      <w:r>
        <w:rPr>
          <w:color w:val="000000"/>
          <w:lang w:eastAsia="sk-SK"/>
        </w:rPr>
        <w:t xml:space="preserve">, </w:t>
      </w:r>
      <w:r w:rsidRPr="00594039">
        <w:rPr>
          <w:color w:val="000000"/>
          <w:lang w:eastAsia="sk-SK"/>
        </w:rPr>
        <w:t>[2019].</w:t>
      </w:r>
    </w:p>
    <w:p w14:paraId="7F69A4CB" w14:textId="77777777" w:rsidR="007D318E" w:rsidRDefault="007D318E" w:rsidP="007D318E">
      <w:pPr>
        <w:pStyle w:val="Odsekzoznamu"/>
        <w:ind w:left="1080"/>
        <w:rPr>
          <w:color w:val="000000"/>
          <w:lang w:eastAsia="sk-SK"/>
        </w:rPr>
      </w:pPr>
    </w:p>
    <w:p w14:paraId="12E40E90" w14:textId="77777777" w:rsidR="007D318E" w:rsidRPr="00FA0766" w:rsidRDefault="007D318E" w:rsidP="007D318E">
      <w:pPr>
        <w:pStyle w:val="Odsekzoznamu"/>
        <w:ind w:left="1080"/>
        <w:rPr>
          <w:b/>
          <w:bCs/>
          <w:color w:val="000000"/>
          <w:lang w:eastAsia="sk-SK"/>
        </w:rPr>
      </w:pPr>
      <w:r w:rsidRPr="00FA0766">
        <w:rPr>
          <w:b/>
          <w:bCs/>
          <w:color w:val="000000"/>
          <w:lang w:eastAsia="sk-SK"/>
        </w:rPr>
        <w:t>Výrok rozhodnutia</w:t>
      </w:r>
    </w:p>
    <w:p w14:paraId="520F65E1" w14:textId="77777777" w:rsidR="007D318E" w:rsidRDefault="007D318E" w:rsidP="007D318E">
      <w:pPr>
        <w:pStyle w:val="Odsekzoznamu"/>
        <w:ind w:left="1080"/>
        <w:jc w:val="both"/>
        <w:rPr>
          <w:color w:val="000000"/>
          <w:lang w:eastAsia="sk-SK"/>
        </w:rPr>
      </w:pPr>
      <w:r>
        <w:rPr>
          <w:color w:val="000000"/>
          <w:lang w:eastAsia="sk-SK"/>
        </w:rPr>
        <w:lastRenderedPageBreak/>
        <w:t xml:space="preserve">Článok 103 ods. 2 smernice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a článok 5 ods. 1 písm. a) a f) delegovaného nariadenia Komisie (EÚ) 2015/63 z 21. októbra 2014, ktorým sa dopĺňa smernica Európskeho parlamentu a Rady 2014/59/EÚ, pokiaľ ide o príspevky ex </w:t>
      </w:r>
      <w:proofErr w:type="spellStart"/>
      <w:r>
        <w:rPr>
          <w:color w:val="000000"/>
          <w:lang w:eastAsia="sk-SK"/>
        </w:rPr>
        <w:t>ante</w:t>
      </w:r>
      <w:proofErr w:type="spellEnd"/>
      <w:r>
        <w:rPr>
          <w:color w:val="000000"/>
          <w:lang w:eastAsia="sk-SK"/>
        </w:rPr>
        <w:t xml:space="preserve"> do mechanizmov financovania riešenia krízových situácií, sa majú vykladať v tom zmysle, že záväzky, ktoré sú výsledkom transakcií medzi bankou druhého stupňa a členmi skupiny, ktorú tvorí s družstevnými bankami, ktorým poskytuje rôzne služby bez toho, aby ich kontrolovala, a nepokrývajúce úvery poskytnuté na nesúťažnom a neziskovom základe s cieľom podporiť ciele verejnej politiky ústrednej alebo regionálnej štátnej správy členského štátu, nie sú vylúčené z výpočtu príspevkov do vnútroštátneho fondu na riešenie krízových situácií uvedených v tomto článku 103 ods. 2.</w:t>
      </w:r>
    </w:p>
    <w:p w14:paraId="33C45217" w14:textId="77777777" w:rsidR="007D318E" w:rsidRDefault="007D318E" w:rsidP="007D318E">
      <w:pPr>
        <w:pStyle w:val="Odsekzoznamu"/>
        <w:ind w:left="1080"/>
        <w:rPr>
          <w:color w:val="000000"/>
          <w:lang w:eastAsia="sk-SK"/>
        </w:rPr>
      </w:pPr>
    </w:p>
    <w:p w14:paraId="0D8DFEAC" w14:textId="77777777" w:rsidR="007D318E" w:rsidRDefault="007D318E" w:rsidP="007D318E">
      <w:pPr>
        <w:pStyle w:val="Odsekzoznamu"/>
        <w:numPr>
          <w:ilvl w:val="0"/>
          <w:numId w:val="5"/>
        </w:numPr>
        <w:jc w:val="both"/>
        <w:rPr>
          <w:color w:val="000000"/>
          <w:lang w:eastAsia="sk-SK"/>
        </w:rPr>
      </w:pPr>
      <w:r>
        <w:rPr>
          <w:color w:val="000000"/>
          <w:lang w:eastAsia="sk-SK"/>
        </w:rPr>
        <w:t xml:space="preserve">rozsudok Súdneho dvora vo veci C-410/20, </w:t>
      </w:r>
      <w:proofErr w:type="spellStart"/>
      <w:r>
        <w:rPr>
          <w:color w:val="000000"/>
          <w:lang w:eastAsia="sk-SK"/>
        </w:rPr>
        <w:t>Banco</w:t>
      </w:r>
      <w:proofErr w:type="spellEnd"/>
      <w:r>
        <w:rPr>
          <w:color w:val="000000"/>
          <w:lang w:eastAsia="sk-SK"/>
        </w:rPr>
        <w:t xml:space="preserve"> </w:t>
      </w:r>
      <w:proofErr w:type="spellStart"/>
      <w:r>
        <w:rPr>
          <w:color w:val="000000"/>
          <w:lang w:eastAsia="sk-SK"/>
        </w:rPr>
        <w:t>Santander</w:t>
      </w:r>
      <w:proofErr w:type="spellEnd"/>
      <w:r>
        <w:rPr>
          <w:color w:val="000000"/>
          <w:lang w:eastAsia="sk-SK"/>
        </w:rPr>
        <w:t xml:space="preserve"> SA proti J.A.C a M.C.P.R, </w:t>
      </w:r>
      <w:r w:rsidRPr="000B553D">
        <w:rPr>
          <w:color w:val="000000"/>
          <w:lang w:eastAsia="sk-SK"/>
        </w:rPr>
        <w:t>[2022].</w:t>
      </w:r>
    </w:p>
    <w:p w14:paraId="1B6FB672" w14:textId="77777777" w:rsidR="007D318E" w:rsidRDefault="007D318E" w:rsidP="007D318E">
      <w:pPr>
        <w:pStyle w:val="Odsekzoznamu"/>
        <w:ind w:left="1080"/>
        <w:rPr>
          <w:color w:val="000000"/>
          <w:lang w:eastAsia="sk-SK"/>
        </w:rPr>
      </w:pPr>
    </w:p>
    <w:p w14:paraId="27B70277" w14:textId="77777777" w:rsidR="007D318E" w:rsidRPr="00FA0766" w:rsidRDefault="007D318E" w:rsidP="007D318E">
      <w:pPr>
        <w:pStyle w:val="Odsekzoznamu"/>
        <w:ind w:left="1080"/>
        <w:rPr>
          <w:b/>
          <w:bCs/>
          <w:color w:val="000000"/>
          <w:lang w:eastAsia="sk-SK"/>
        </w:rPr>
      </w:pPr>
      <w:r w:rsidRPr="00FA0766">
        <w:rPr>
          <w:b/>
          <w:bCs/>
          <w:color w:val="000000"/>
          <w:lang w:eastAsia="sk-SK"/>
        </w:rPr>
        <w:t>Výrok rozhodnutia</w:t>
      </w:r>
    </w:p>
    <w:p w14:paraId="32E65AE9" w14:textId="77777777" w:rsidR="007D318E" w:rsidRDefault="007D318E" w:rsidP="007D318E">
      <w:pPr>
        <w:pStyle w:val="Odsekzoznamu"/>
        <w:ind w:left="1080"/>
        <w:rPr>
          <w:color w:val="000000"/>
          <w:lang w:eastAsia="sk-SK"/>
        </w:rPr>
      </w:pPr>
    </w:p>
    <w:p w14:paraId="4A3A61A7" w14:textId="77777777" w:rsidR="007D318E" w:rsidRDefault="007D318E" w:rsidP="007D318E">
      <w:pPr>
        <w:pStyle w:val="Odsekzoznamu"/>
        <w:ind w:left="1080"/>
        <w:jc w:val="both"/>
        <w:rPr>
          <w:color w:val="000000"/>
          <w:lang w:eastAsia="sk-SK"/>
        </w:rPr>
      </w:pPr>
      <w:r>
        <w:rPr>
          <w:color w:val="000000"/>
          <w:lang w:eastAsia="sk-SK"/>
        </w:rPr>
        <w:t xml:space="preserve">Ustanovenie článku 34 ods. 1 písm. a), článku 53 ods. 1 a 3 a článku 60 ods. 2 prvého </w:t>
      </w:r>
      <w:proofErr w:type="spellStart"/>
      <w:r>
        <w:rPr>
          <w:color w:val="000000"/>
          <w:lang w:eastAsia="sk-SK"/>
        </w:rPr>
        <w:t>pododseku</w:t>
      </w:r>
      <w:proofErr w:type="spellEnd"/>
      <w:r>
        <w:rPr>
          <w:color w:val="000000"/>
          <w:lang w:eastAsia="sk-SK"/>
        </w:rPr>
        <w:t xml:space="preserve"> písm. b) a c) smernice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sa majú spoločne vykladať v tom zmysle, že bránia tomu, aby po úplnom odpísaní akcií tvoriacich základné imanie úverovej inštitúcie alebo investičnej spoločnosti, podliehajúcej postupu riešenia krízovej situácie, podali osoby, ktoré nadobudli akcie v rámci verejnej výzvy na upisovanie akcií vydanej touto inštitúciou alebo spoločnosťou pred začatím takéhoto postupu riešenia krízovej situácie, proti uvedenej inštitúcii alebo spoločnosti alebo proti subjektu, ktorý je jej právnym nástupcom, žalobu o náhradu škody spôsobenej informáciami poskytnutými v prospekte podľa článku 6 smernice 2003/71/ES Európskeho parlamentu a Rady zo 4. novembra 2003 o prospekte, ktorý sa zverejňuje pri verejnej ponuke cenných papierov alebo ich prijatí na obchodovanie, a o zmene a doplnení smernice 2001/34/ES, zmenenej  smernicou Európskeho parlamentu a Rady 2008/11/ES z 11. marca 2008, alebo žalobu o neplatnosť zmluvy o upísaní týchto akcií, ktorá vzhľadom na svoj retroaktívny účinok vedie k vráteniu protihodnoty uvedených akcií spolu s úrokmi od dátumu uzavretia tejto zmluvy.</w:t>
      </w:r>
    </w:p>
    <w:p w14:paraId="3CC128AC" w14:textId="77777777" w:rsidR="007D318E" w:rsidRDefault="007D318E" w:rsidP="007D318E">
      <w:pPr>
        <w:pStyle w:val="Odsekzoznamu"/>
        <w:ind w:left="1080"/>
        <w:jc w:val="both"/>
        <w:rPr>
          <w:color w:val="000000"/>
          <w:lang w:eastAsia="sk-SK"/>
        </w:rPr>
      </w:pPr>
    </w:p>
    <w:p w14:paraId="594222A1" w14:textId="77777777" w:rsidR="007D318E" w:rsidRDefault="007D318E" w:rsidP="007D318E">
      <w:pPr>
        <w:pStyle w:val="Odsekzoznamu"/>
        <w:numPr>
          <w:ilvl w:val="0"/>
          <w:numId w:val="5"/>
        </w:numPr>
        <w:jc w:val="both"/>
        <w:rPr>
          <w:color w:val="000000"/>
          <w:lang w:eastAsia="sk-SK"/>
        </w:rPr>
      </w:pPr>
      <w:r>
        <w:rPr>
          <w:color w:val="000000"/>
          <w:lang w:eastAsia="sk-SK"/>
        </w:rPr>
        <w:t xml:space="preserve">rozsudok Súdneho dvora v spojených veciach C-755/22, C-779/22 a C-794/22, M.S.G, N.G.S, A.G.S (C-775/22), M.C.S. (C-779/22), FSC (C-794/22) proti </w:t>
      </w:r>
      <w:proofErr w:type="spellStart"/>
      <w:r>
        <w:rPr>
          <w:color w:val="000000"/>
          <w:lang w:eastAsia="sk-SK"/>
        </w:rPr>
        <w:t>Banco</w:t>
      </w:r>
      <w:proofErr w:type="spellEnd"/>
      <w:r>
        <w:rPr>
          <w:color w:val="000000"/>
          <w:lang w:eastAsia="sk-SK"/>
        </w:rPr>
        <w:t xml:space="preserve"> </w:t>
      </w:r>
      <w:proofErr w:type="spellStart"/>
      <w:r>
        <w:rPr>
          <w:color w:val="000000"/>
          <w:lang w:eastAsia="sk-SK"/>
        </w:rPr>
        <w:t>Santander</w:t>
      </w:r>
      <w:proofErr w:type="spellEnd"/>
      <w:r>
        <w:rPr>
          <w:color w:val="000000"/>
          <w:lang w:eastAsia="sk-SK"/>
        </w:rPr>
        <w:t xml:space="preserve"> SA, </w:t>
      </w:r>
      <w:r w:rsidRPr="000B553D">
        <w:rPr>
          <w:color w:val="000000"/>
          <w:lang w:eastAsia="sk-SK"/>
        </w:rPr>
        <w:t>[2024].</w:t>
      </w:r>
      <w:r>
        <w:rPr>
          <w:color w:val="000000"/>
          <w:lang w:eastAsia="sk-SK"/>
        </w:rPr>
        <w:t xml:space="preserve">  </w:t>
      </w:r>
    </w:p>
    <w:p w14:paraId="593753A7" w14:textId="77777777" w:rsidR="007D318E" w:rsidRDefault="007D318E" w:rsidP="007D318E">
      <w:pPr>
        <w:pStyle w:val="Odsekzoznamu"/>
        <w:ind w:left="1080"/>
        <w:rPr>
          <w:color w:val="000000"/>
          <w:lang w:eastAsia="sk-SK"/>
        </w:rPr>
      </w:pPr>
    </w:p>
    <w:p w14:paraId="3A910D5A" w14:textId="77777777" w:rsidR="007D318E" w:rsidRPr="00FA0766" w:rsidRDefault="007D318E" w:rsidP="007D318E">
      <w:pPr>
        <w:pStyle w:val="Odsekzoznamu"/>
        <w:ind w:left="1080"/>
        <w:rPr>
          <w:b/>
          <w:bCs/>
          <w:color w:val="000000"/>
          <w:lang w:eastAsia="sk-SK"/>
        </w:rPr>
      </w:pPr>
      <w:r w:rsidRPr="00FA0766">
        <w:rPr>
          <w:b/>
          <w:bCs/>
          <w:color w:val="000000"/>
          <w:lang w:eastAsia="sk-SK"/>
        </w:rPr>
        <w:t>Výrok rozhodnutia</w:t>
      </w:r>
    </w:p>
    <w:p w14:paraId="69BA0DCF" w14:textId="77777777" w:rsidR="007D318E" w:rsidRPr="00FA0766" w:rsidRDefault="007D318E" w:rsidP="007D318E">
      <w:pPr>
        <w:rPr>
          <w:color w:val="000000"/>
          <w:lang w:eastAsia="sk-SK"/>
        </w:rPr>
      </w:pPr>
    </w:p>
    <w:p w14:paraId="21B0AF6B" w14:textId="77777777" w:rsidR="007D318E" w:rsidRDefault="007D318E" w:rsidP="007D318E">
      <w:pPr>
        <w:pStyle w:val="Odsekzoznamu"/>
        <w:numPr>
          <w:ilvl w:val="0"/>
          <w:numId w:val="6"/>
        </w:numPr>
        <w:jc w:val="both"/>
        <w:rPr>
          <w:color w:val="000000"/>
          <w:lang w:eastAsia="sk-SK"/>
        </w:rPr>
      </w:pPr>
      <w:r>
        <w:rPr>
          <w:color w:val="000000"/>
          <w:lang w:eastAsia="sk-SK"/>
        </w:rPr>
        <w:lastRenderedPageBreak/>
        <w:t xml:space="preserve">Ustanovenie článku 34 ods. 1 písm. a) a b) v spojení s článkom 53 ods. 1 a 3, ako aj článkom 60 ods. 2 prvým </w:t>
      </w:r>
      <w:proofErr w:type="spellStart"/>
      <w:r>
        <w:rPr>
          <w:color w:val="000000"/>
          <w:lang w:eastAsia="sk-SK"/>
        </w:rPr>
        <w:t>pododsekom</w:t>
      </w:r>
      <w:proofErr w:type="spellEnd"/>
      <w:r>
        <w:rPr>
          <w:color w:val="000000"/>
          <w:lang w:eastAsia="sk-SK"/>
        </w:rPr>
        <w:t xml:space="preserve"> písm. b) a c) smernice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sa majú vykladať v tom zmysle, že:</w:t>
      </w:r>
    </w:p>
    <w:p w14:paraId="124660F5" w14:textId="77777777" w:rsidR="007D318E" w:rsidRDefault="007D318E" w:rsidP="007D318E">
      <w:pPr>
        <w:pStyle w:val="Odsekzoznamu"/>
        <w:ind w:left="1488"/>
        <w:jc w:val="both"/>
        <w:rPr>
          <w:color w:val="000000"/>
          <w:lang w:eastAsia="sk-SK"/>
        </w:rPr>
      </w:pPr>
    </w:p>
    <w:p w14:paraId="31025C9D" w14:textId="77777777" w:rsidR="007D318E" w:rsidRDefault="007D318E" w:rsidP="007D318E">
      <w:pPr>
        <w:pStyle w:val="Odsekzoznamu"/>
        <w:ind w:left="1488"/>
        <w:jc w:val="both"/>
        <w:rPr>
          <w:color w:val="000000"/>
          <w:lang w:eastAsia="sk-SK"/>
        </w:rPr>
      </w:pPr>
      <w:r>
        <w:rPr>
          <w:color w:val="000000"/>
          <w:lang w:eastAsia="sk-SK"/>
        </w:rPr>
        <w:t>bránia tomu, aby po úplnom odpísaní akcií tvoriacich základné imanie úverovej inštitúcie podliehajúcej postupu riešenia krízovej situácie podali osoby, ktoré nadobudli kapitálové nástroje, ktoré boli konvertované na akcie tejto úverovej inštitúcie, pred prijatím opatrení na riešenie krízovej situácie, proti uvedenej inštitúcii alebo proti subjektu, ktorý je jej právnym nástupcom, žalobu o náhradu škody spôsobenej chybnými a nesprávnymi informáciami poskytnutými v prospekte podľa článku 6 smernice 2003/71/ES Európskeho parlamentu a Rady zo 4. novembra 2003 o prospekte, ktorý sa zverejňuje pri verejnej ponuke cenných papierov alebo ich prijatí na obchodovanie, a o zmene a doplnení smernice 2001/34/ES, zmenenej smernicou Európskeho parlamentu a Rady 2008/11/ES z 11. marca 2008, alebo žalobu o neplatnosť zmluvy o upísaní týchto kapitálových nástrojov podľa vnútroštátneho práva, ktorá vzhľadom na svoj retroaktívny účinok by viedla k vráteniu protihodnoty pôvodne nadobudnutých kapitálových nástrojov a neskôr konvertovaných na akcie, spolu s úrokmi od dátumu uzavretia tejto zmluvy.</w:t>
      </w:r>
    </w:p>
    <w:p w14:paraId="42A7C30F" w14:textId="77777777" w:rsidR="007D318E" w:rsidRDefault="007D318E" w:rsidP="007D318E">
      <w:pPr>
        <w:pStyle w:val="Odsekzoznamu"/>
        <w:ind w:left="1488"/>
        <w:rPr>
          <w:color w:val="000000"/>
          <w:lang w:eastAsia="sk-SK"/>
        </w:rPr>
      </w:pPr>
    </w:p>
    <w:p w14:paraId="38F2EFFD" w14:textId="77777777" w:rsidR="007D318E" w:rsidRDefault="007D318E" w:rsidP="007D318E">
      <w:pPr>
        <w:pStyle w:val="Odsekzoznamu"/>
        <w:numPr>
          <w:ilvl w:val="0"/>
          <w:numId w:val="6"/>
        </w:numPr>
        <w:jc w:val="both"/>
        <w:rPr>
          <w:color w:val="000000"/>
          <w:lang w:eastAsia="sk-SK"/>
        </w:rPr>
      </w:pPr>
      <w:r w:rsidRPr="00813F7C">
        <w:rPr>
          <w:color w:val="000000"/>
          <w:lang w:eastAsia="sk-SK"/>
        </w:rPr>
        <w:t xml:space="preserve">Ustanovenie smernice 2014/59, najmä jej článok 34 ods. 1 písm. a) a b), ako aj jej článok 38 sa majú vykladať v tom zmysle, že: </w:t>
      </w:r>
    </w:p>
    <w:p w14:paraId="5AED9912" w14:textId="77777777" w:rsidR="007D318E" w:rsidRDefault="007D318E" w:rsidP="007D318E">
      <w:pPr>
        <w:pStyle w:val="Odsekzoznamu"/>
        <w:ind w:left="1488"/>
        <w:jc w:val="both"/>
        <w:rPr>
          <w:color w:val="000000"/>
          <w:lang w:eastAsia="sk-SK"/>
        </w:rPr>
      </w:pPr>
    </w:p>
    <w:p w14:paraId="68163169" w14:textId="77777777" w:rsidR="007D318E" w:rsidRPr="000B553D" w:rsidRDefault="007D318E" w:rsidP="007D318E">
      <w:pPr>
        <w:pStyle w:val="Odsekzoznamu"/>
        <w:ind w:left="1488"/>
        <w:jc w:val="both"/>
        <w:rPr>
          <w:color w:val="000000"/>
          <w:lang w:eastAsia="sk-SK"/>
        </w:rPr>
      </w:pPr>
      <w:r>
        <w:rPr>
          <w:color w:val="000000"/>
          <w:lang w:eastAsia="sk-SK"/>
        </w:rPr>
        <w:t>bránia tomu, aby po úplnom odpísaní akcií tvoriacich základné imanie úverovej inštitúcie podliehajúcej postupu riešenia krízovej situácie podali osoby, ktoré nadobudli kapitálové nástroje, ktoré boli v rámci tohto postupu konvertované na akcie tejto úverovej inštitúcie, ktoré boli následne prevedené na inú úverovú inštitúciu, proti tejto inej úverovej inštitúcii žalobu o neplatnosť zmluvy o upísaní týchto kapitálových nástrojov podľa vnútroštátneho práva, ktorá by vzhľadom na svoj retroaktívny účinok viedla k vráteniu protihodnoty uvedených kapitálových nástrojov, spolu s úrokmi od dátumu uzavretia tejto zmluvy.</w:t>
      </w:r>
    </w:p>
    <w:p w14:paraId="36727C3C" w14:textId="77777777" w:rsidR="007D318E" w:rsidRPr="00687737" w:rsidRDefault="007D318E" w:rsidP="007D318E">
      <w:pPr>
        <w:pStyle w:val="Odsekzoznamu"/>
        <w:ind w:left="1080"/>
        <w:rPr>
          <w:b/>
          <w:bCs/>
          <w:color w:val="000000"/>
          <w:lang w:eastAsia="sk-SK"/>
        </w:rPr>
      </w:pPr>
    </w:p>
    <w:p w14:paraId="6114E3A2" w14:textId="77777777" w:rsidR="007D318E" w:rsidRPr="00687737" w:rsidRDefault="007D318E" w:rsidP="007D318E">
      <w:pPr>
        <w:pStyle w:val="Odsekzoznamu"/>
        <w:numPr>
          <w:ilvl w:val="0"/>
          <w:numId w:val="1"/>
        </w:numPr>
        <w:spacing w:after="240"/>
        <w:ind w:left="425" w:hanging="425"/>
        <w:rPr>
          <w:color w:val="000000"/>
          <w:sz w:val="27"/>
          <w:szCs w:val="27"/>
          <w:lang w:eastAsia="sk-SK"/>
        </w:rPr>
      </w:pPr>
      <w:r w:rsidRPr="00687737">
        <w:rPr>
          <w:b/>
          <w:bCs/>
          <w:color w:val="000000"/>
          <w:lang w:eastAsia="sk-SK"/>
        </w:rPr>
        <w:t>Záväzky Slovenskej republiky vo vzťahu k Európskej únii:</w:t>
      </w:r>
    </w:p>
    <w:p w14:paraId="796DB5E2" w14:textId="77777777" w:rsidR="007D318E" w:rsidRPr="000B553D" w:rsidRDefault="007D318E" w:rsidP="007D318E">
      <w:pPr>
        <w:pStyle w:val="Odsekzoznamu"/>
        <w:numPr>
          <w:ilvl w:val="0"/>
          <w:numId w:val="3"/>
        </w:numPr>
        <w:ind w:left="709" w:hanging="283"/>
        <w:jc w:val="both"/>
        <w:rPr>
          <w:color w:val="000000"/>
          <w:lang w:eastAsia="sk-SK"/>
        </w:rPr>
      </w:pPr>
      <w:r w:rsidRPr="00ED2420">
        <w:rPr>
          <w:color w:val="000000"/>
          <w:lang w:eastAsia="sk-SK"/>
        </w:rPr>
        <w:t>Lehota</w:t>
      </w:r>
      <w:r w:rsidRPr="00ED2420">
        <w:rPr>
          <w:color w:val="000000"/>
          <w:spacing w:val="82"/>
          <w:lang w:eastAsia="sk-SK"/>
        </w:rPr>
        <w:t xml:space="preserve"> </w:t>
      </w:r>
      <w:r w:rsidRPr="00ED2420">
        <w:rPr>
          <w:color w:val="000000"/>
          <w:lang w:eastAsia="sk-SK"/>
        </w:rPr>
        <w:t>na</w:t>
      </w:r>
      <w:r w:rsidRPr="00ED2420">
        <w:rPr>
          <w:color w:val="000000"/>
          <w:spacing w:val="82"/>
          <w:lang w:eastAsia="sk-SK"/>
        </w:rPr>
        <w:t xml:space="preserve"> </w:t>
      </w:r>
      <w:r w:rsidRPr="00ED2420">
        <w:t xml:space="preserve">prebratie čl. </w:t>
      </w:r>
      <w:r>
        <w:t>2 nariadenia (EÚ) 2022/2036 (čl. 2 novelizuje smernicu 2014/59/EÚ) bola stanovená do 15. novembra 2023.</w:t>
      </w:r>
    </w:p>
    <w:p w14:paraId="00E79EDC" w14:textId="77777777" w:rsidR="007D318E" w:rsidRPr="000B553D" w:rsidRDefault="007D318E" w:rsidP="007D318E">
      <w:pPr>
        <w:pStyle w:val="Odsekzoznamu"/>
        <w:ind w:left="709"/>
        <w:jc w:val="both"/>
        <w:rPr>
          <w:color w:val="000000"/>
          <w:lang w:eastAsia="sk-SK"/>
        </w:rPr>
      </w:pPr>
      <w:r>
        <w:t>Lehota na prebratie smernice 2014/59/EÚ v platnom znení bola stanovená do 31. decembra 2014.</w:t>
      </w:r>
    </w:p>
    <w:p w14:paraId="50C605DC" w14:textId="77777777" w:rsidR="007D318E" w:rsidRDefault="007D318E" w:rsidP="007D318E">
      <w:pPr>
        <w:pStyle w:val="Odsekzoznamu"/>
        <w:ind w:left="709"/>
        <w:jc w:val="both"/>
      </w:pPr>
      <w:r>
        <w:t>Lehota účinnosti bola ustanovená od 1. januára 2015. Ustanovenia prijaté s cieľom riadiť sa požiadavkami hlavy IV kapitoly IV oddielu 5 sa uplatňujú najneskôr od 1. januára 2016.</w:t>
      </w:r>
    </w:p>
    <w:p w14:paraId="57DB9BA5" w14:textId="77777777" w:rsidR="007D318E" w:rsidRDefault="007D318E" w:rsidP="007D318E">
      <w:pPr>
        <w:pStyle w:val="Odsekzoznamu"/>
        <w:ind w:left="709"/>
        <w:jc w:val="both"/>
      </w:pPr>
      <w:r>
        <w:t>Lehota na prebratie smernice (EÚ) 2019/879 bola stanovená do 28. decembra 2020.</w:t>
      </w:r>
    </w:p>
    <w:p w14:paraId="1EEEDC44" w14:textId="77777777" w:rsidR="007D318E" w:rsidRDefault="007D318E" w:rsidP="007D318E">
      <w:pPr>
        <w:pStyle w:val="Odsekzoznamu"/>
        <w:numPr>
          <w:ilvl w:val="0"/>
          <w:numId w:val="3"/>
        </w:numPr>
        <w:jc w:val="both"/>
        <w:rPr>
          <w:color w:val="000000"/>
          <w:lang w:eastAsia="sk-SK"/>
        </w:rPr>
      </w:pPr>
      <w:r>
        <w:rPr>
          <w:color w:val="000000"/>
          <w:lang w:eastAsia="sk-SK"/>
        </w:rPr>
        <w:lastRenderedPageBreak/>
        <w:t>Proti Slovenskej republike nebolo začaté konanie v rámci „EÚ pilot“, ani nebol začatý postup Európskej komisie a ani nebolo začaté konanie Súdneho dvora Európskej únie proti Slovenskej republike podľa čl. 258 až 260 Zmluvy o fungovaní Európskej únie.</w:t>
      </w:r>
    </w:p>
    <w:p w14:paraId="4C84CF94" w14:textId="77777777" w:rsidR="007D318E" w:rsidRDefault="007D318E" w:rsidP="007D318E">
      <w:pPr>
        <w:pStyle w:val="Odsekzoznamu"/>
        <w:numPr>
          <w:ilvl w:val="0"/>
          <w:numId w:val="3"/>
        </w:numPr>
        <w:jc w:val="both"/>
        <w:rPr>
          <w:color w:val="000000"/>
          <w:lang w:eastAsia="sk-SK"/>
        </w:rPr>
      </w:pPr>
      <w:r>
        <w:rPr>
          <w:color w:val="000000"/>
          <w:lang w:eastAsia="sk-SK"/>
        </w:rPr>
        <w:t>Smernica 2014/59/EÚ v platnom znení bola prebratá do zákona č. 371/2014 Z. z. o riešení krízových situácií na finančnom trhu a o zmene a doplnení niektorých zákonov v znení neskorších predpisov, do zákona č. 483/2001 Z. z. o bankách a o zmene a doplnení niektorých zákonov v znení neskorších predpisov, do zákona č. 566/2001 Z. z. o cenných papieroch a investičných službách a o zmene a doplnení niektorých zákonov (zákon o cenných papieroch) v znení neskorších predpisov, do zákona Národnej rady Slovenskej republiky č. 118/1996 Z. z. o ochrane vkladov a o zmene a doplnení niektorých zákonov v znení neskorších predpisov, do zákona č. 747/2004 Z. z. o dohľade nad finančným trhom a o zmene a doplnení niektorých zákonov v znení neskorších predpisov a do zákona č. 7/2005 Z. z. o konkurze a reštrukturalizácii a o zmene a doplnení niektorých zákonov v znení neskorších predpisov.</w:t>
      </w:r>
    </w:p>
    <w:p w14:paraId="1E1C476B" w14:textId="77777777" w:rsidR="007D318E" w:rsidRDefault="007D318E" w:rsidP="007D318E">
      <w:pPr>
        <w:jc w:val="both"/>
        <w:rPr>
          <w:color w:val="000000"/>
          <w:lang w:eastAsia="sk-SK"/>
        </w:rPr>
      </w:pPr>
    </w:p>
    <w:p w14:paraId="3DECA7DE" w14:textId="77777777" w:rsidR="007D318E" w:rsidRPr="000218C1" w:rsidRDefault="007D318E" w:rsidP="007D318E">
      <w:pPr>
        <w:ind w:left="720"/>
        <w:jc w:val="both"/>
        <w:rPr>
          <w:color w:val="000000"/>
          <w:lang w:eastAsia="sk-SK"/>
        </w:rPr>
      </w:pPr>
      <w:r>
        <w:rPr>
          <w:color w:val="000000"/>
          <w:lang w:eastAsia="sk-SK"/>
        </w:rPr>
        <w:t>Smernica (EÚ) 2019/879 bola prebratá do zákona č. 371/2014 Z. z. o riešení krízových situácií na finančnom trhu a o zmene a doplnení niektorých zákonov v znení neskorších predpisov, do zákona č. 483/2001 Z. z. o bankách a o zmene a doplnení niektorých zákonov v znení neskorších predpisov, do zákona č. 566/2001 Z. z. o cenných papieroch a investičných službách a o zmene a doplnení niektorých zákonov (zákon o cenných papieroch) v znení neskorších predpisov a do zákona č. 7/2005 Z. z. o konkurze a reštrukturalizácii a o zmene a doplnení niektorých zákonov v znení neskorších predpisov.</w:t>
      </w:r>
    </w:p>
    <w:p w14:paraId="3AF0BAE1" w14:textId="77777777" w:rsidR="007D318E" w:rsidRPr="00687737" w:rsidRDefault="007D318E" w:rsidP="007D318E">
      <w:pPr>
        <w:jc w:val="both"/>
        <w:rPr>
          <w:color w:val="000000"/>
          <w:lang w:eastAsia="sk-SK"/>
        </w:rPr>
      </w:pPr>
    </w:p>
    <w:p w14:paraId="403E0B4D" w14:textId="77777777" w:rsidR="007D318E" w:rsidRPr="00687737" w:rsidRDefault="007D318E" w:rsidP="007D318E">
      <w:pPr>
        <w:jc w:val="both"/>
        <w:rPr>
          <w:color w:val="000000"/>
          <w:lang w:eastAsia="sk-SK"/>
        </w:rPr>
      </w:pPr>
    </w:p>
    <w:p w14:paraId="27446057" w14:textId="77777777" w:rsidR="007D318E" w:rsidRPr="00687737" w:rsidRDefault="007D318E" w:rsidP="007D318E">
      <w:pPr>
        <w:pStyle w:val="Odsekzoznamu"/>
        <w:numPr>
          <w:ilvl w:val="0"/>
          <w:numId w:val="1"/>
        </w:numPr>
        <w:ind w:left="426" w:hanging="426"/>
        <w:rPr>
          <w:color w:val="000000"/>
          <w:sz w:val="27"/>
          <w:szCs w:val="27"/>
          <w:lang w:eastAsia="sk-SK"/>
        </w:rPr>
      </w:pPr>
      <w:r w:rsidRPr="00687737">
        <w:rPr>
          <w:b/>
          <w:bCs/>
          <w:color w:val="000000"/>
          <w:lang w:eastAsia="sk-SK"/>
        </w:rPr>
        <w:t>Návrh zákona je zlučiteľný s právom Európskej únie:</w:t>
      </w:r>
    </w:p>
    <w:p w14:paraId="0530BB82" w14:textId="77777777" w:rsidR="007D318E" w:rsidRPr="00687737" w:rsidRDefault="007D318E" w:rsidP="007D318E">
      <w:pPr>
        <w:pStyle w:val="Odsekzoznamu"/>
        <w:numPr>
          <w:ilvl w:val="0"/>
          <w:numId w:val="4"/>
        </w:numPr>
        <w:jc w:val="both"/>
      </w:pPr>
      <w:r w:rsidRPr="00687737">
        <w:rPr>
          <w:color w:val="000000"/>
          <w:lang w:eastAsia="sk-SK"/>
        </w:rPr>
        <w:t>úplne.</w:t>
      </w:r>
    </w:p>
    <w:p w14:paraId="39960BCC" w14:textId="77777777" w:rsidR="007D318E" w:rsidRDefault="007D318E" w:rsidP="007D318E">
      <w:pPr>
        <w:jc w:val="both"/>
      </w:pPr>
    </w:p>
    <w:p w14:paraId="4C4F52F9" w14:textId="77777777" w:rsidR="007D318E" w:rsidRDefault="007D318E" w:rsidP="007D318E">
      <w:pPr>
        <w:jc w:val="both"/>
      </w:pPr>
    </w:p>
    <w:p w14:paraId="1A2EE756" w14:textId="77777777" w:rsidR="007D318E" w:rsidRDefault="007D318E" w:rsidP="007D318E">
      <w:pPr>
        <w:jc w:val="both"/>
      </w:pPr>
    </w:p>
    <w:p w14:paraId="70B8A520" w14:textId="77777777" w:rsidR="007876F7" w:rsidRDefault="007876F7"/>
    <w:sectPr w:rsidR="007876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636CC"/>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1604CF"/>
    <w:multiLevelType w:val="hybridMultilevel"/>
    <w:tmpl w:val="6BAE524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7047495"/>
    <w:multiLevelType w:val="hybridMultilevel"/>
    <w:tmpl w:val="8C923D42"/>
    <w:lvl w:ilvl="0" w:tplc="F39C2EE0">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44A33DD"/>
    <w:multiLevelType w:val="hybridMultilevel"/>
    <w:tmpl w:val="62EC6772"/>
    <w:lvl w:ilvl="0" w:tplc="29F40392">
      <w:start w:val="1"/>
      <w:numFmt w:val="decimal"/>
      <w:lvlText w:val="%1."/>
      <w:lvlJc w:val="left"/>
      <w:pPr>
        <w:ind w:left="1488" w:hanging="408"/>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B515B8A"/>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1BD57DC"/>
    <w:multiLevelType w:val="hybridMultilevel"/>
    <w:tmpl w:val="D8D8660E"/>
    <w:lvl w:ilvl="0" w:tplc="FC92F0CE">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33969328">
    <w:abstractNumId w:val="2"/>
  </w:num>
  <w:num w:numId="2" w16cid:durableId="1146892628">
    <w:abstractNumId w:val="1"/>
  </w:num>
  <w:num w:numId="3" w16cid:durableId="491609153">
    <w:abstractNumId w:val="4"/>
  </w:num>
  <w:num w:numId="4" w16cid:durableId="1672633646">
    <w:abstractNumId w:val="0"/>
  </w:num>
  <w:num w:numId="5" w16cid:durableId="1329020407">
    <w:abstractNumId w:val="5"/>
  </w:num>
  <w:num w:numId="6" w16cid:durableId="1274479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8E"/>
    <w:rsid w:val="001A02B4"/>
    <w:rsid w:val="007876F7"/>
    <w:rsid w:val="007D318E"/>
    <w:rsid w:val="00BA29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BA681"/>
  <w15:chartTrackingRefBased/>
  <w15:docId w15:val="{E77AB6C7-5F2D-46C6-BF0E-340DCD80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318E"/>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y"/>
    <w:next w:val="Normlny"/>
    <w:link w:val="Nadpis1Char"/>
    <w:uiPriority w:val="9"/>
    <w:qFormat/>
    <w:rsid w:val="007D31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D31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7D318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D318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D318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7D318E"/>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D318E"/>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D318E"/>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D318E"/>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D318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7D318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7D318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D318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D318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7D318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D318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D318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D318E"/>
    <w:rPr>
      <w:rFonts w:eastAsiaTheme="majorEastAsia" w:cstheme="majorBidi"/>
      <w:color w:val="272727" w:themeColor="text1" w:themeTint="D8"/>
    </w:rPr>
  </w:style>
  <w:style w:type="paragraph" w:styleId="Nzov">
    <w:name w:val="Title"/>
    <w:basedOn w:val="Normlny"/>
    <w:next w:val="Normlny"/>
    <w:link w:val="NzovChar"/>
    <w:uiPriority w:val="10"/>
    <w:qFormat/>
    <w:rsid w:val="007D318E"/>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318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D318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D318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D318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D318E"/>
    <w:rPr>
      <w:i/>
      <w:iCs/>
      <w:color w:val="404040" w:themeColor="text1" w:themeTint="BF"/>
    </w:rPr>
  </w:style>
  <w:style w:type="paragraph" w:styleId="Odsekzoznamu">
    <w:name w:val="List Paragraph"/>
    <w:aliases w:val="Odstavec cíl se seznamem,Odstavec se seznamem1,body,Odsek zoznamu2"/>
    <w:basedOn w:val="Normlny"/>
    <w:link w:val="OdsekzoznamuChar"/>
    <w:uiPriority w:val="99"/>
    <w:qFormat/>
    <w:rsid w:val="007D318E"/>
    <w:pPr>
      <w:ind w:left="720"/>
      <w:contextualSpacing/>
    </w:pPr>
  </w:style>
  <w:style w:type="character" w:styleId="Intenzvnezvraznenie">
    <w:name w:val="Intense Emphasis"/>
    <w:basedOn w:val="Predvolenpsmoodseku"/>
    <w:uiPriority w:val="21"/>
    <w:qFormat/>
    <w:rsid w:val="007D318E"/>
    <w:rPr>
      <w:i/>
      <w:iCs/>
      <w:color w:val="0F4761" w:themeColor="accent1" w:themeShade="BF"/>
    </w:rPr>
  </w:style>
  <w:style w:type="paragraph" w:styleId="Zvraznencitcia">
    <w:name w:val="Intense Quote"/>
    <w:basedOn w:val="Normlny"/>
    <w:next w:val="Normlny"/>
    <w:link w:val="ZvraznencitciaChar"/>
    <w:uiPriority w:val="30"/>
    <w:qFormat/>
    <w:rsid w:val="007D31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D318E"/>
    <w:rPr>
      <w:i/>
      <w:iCs/>
      <w:color w:val="0F4761" w:themeColor="accent1" w:themeShade="BF"/>
    </w:rPr>
  </w:style>
  <w:style w:type="character" w:styleId="Zvraznenodkaz">
    <w:name w:val="Intense Reference"/>
    <w:basedOn w:val="Predvolenpsmoodseku"/>
    <w:uiPriority w:val="32"/>
    <w:qFormat/>
    <w:rsid w:val="007D318E"/>
    <w:rPr>
      <w:b/>
      <w:bCs/>
      <w:smallCaps/>
      <w:color w:val="0F4761" w:themeColor="accent1" w:themeShade="BF"/>
      <w:spacing w:val="5"/>
    </w:rPr>
  </w:style>
  <w:style w:type="character" w:customStyle="1" w:styleId="OdsekzoznamuChar">
    <w:name w:val="Odsek zoznamu Char"/>
    <w:aliases w:val="Odstavec cíl se seznamem Char,Odstavec se seznamem1 Char,body Char,Odsek zoznamu2 Char"/>
    <w:basedOn w:val="Predvolenpsmoodseku"/>
    <w:link w:val="Odsekzoznamu"/>
    <w:uiPriority w:val="99"/>
    <w:locked/>
    <w:rsid w:val="007D3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1597</Words>
  <Characters>9107</Characters>
  <Application>Microsoft Office Word</Application>
  <DocSecurity>0</DocSecurity>
  <Lines>75</Lines>
  <Paragraphs>21</Paragraphs>
  <ScaleCrop>false</ScaleCrop>
  <Company>Kancelaria Narodnej rady Slovenskej republiky</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Klenovská, Petra</dc:creator>
  <cp:keywords/>
  <dc:description/>
  <cp:lastModifiedBy>Klenovská, Petra</cp:lastModifiedBy>
  <cp:revision>1</cp:revision>
  <dcterms:created xsi:type="dcterms:W3CDTF">2026-05-08T09:13:00Z</dcterms:created>
  <dcterms:modified xsi:type="dcterms:W3CDTF">2026-05-08T09:14:00Z</dcterms:modified>
</cp:coreProperties>
</file>