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601619" w14:textId="77777777" w:rsidR="00BB7C53" w:rsidRPr="006D6442" w:rsidRDefault="00BB7C53" w:rsidP="00924F73">
      <w:pPr>
        <w:spacing w:before="120" w:after="120" w:line="276" w:lineRule="auto"/>
        <w:jc w:val="center"/>
        <w:rPr>
          <w:rFonts w:ascii="Book Antiqua" w:hAnsi="Book Antiqua"/>
          <w:b/>
          <w:bCs/>
          <w:color w:val="000000" w:themeColor="text1"/>
        </w:rPr>
      </w:pPr>
      <w:r w:rsidRPr="006D6442">
        <w:rPr>
          <w:rFonts w:ascii="Book Antiqua" w:hAnsi="Book Antiqua"/>
          <w:b/>
          <w:bCs/>
          <w:color w:val="000000" w:themeColor="text1"/>
        </w:rPr>
        <w:t>NÁRODNÁ RADA SLOVENSKEJ REPUBLIKY</w:t>
      </w:r>
    </w:p>
    <w:p w14:paraId="293C99B2" w14:textId="77777777" w:rsidR="00BB7C53" w:rsidRPr="006D6442" w:rsidRDefault="00BB7C53" w:rsidP="00924F73">
      <w:pPr>
        <w:pBdr>
          <w:bottom w:val="single" w:sz="12" w:space="1" w:color="auto"/>
        </w:pBdr>
        <w:spacing w:before="120" w:after="120" w:line="276" w:lineRule="auto"/>
        <w:jc w:val="center"/>
        <w:rPr>
          <w:rFonts w:ascii="Book Antiqua" w:hAnsi="Book Antiqua"/>
          <w:b/>
          <w:bCs/>
          <w:color w:val="000000" w:themeColor="text1"/>
        </w:rPr>
      </w:pPr>
      <w:r>
        <w:rPr>
          <w:rFonts w:ascii="Book Antiqua" w:hAnsi="Book Antiqua"/>
          <w:b/>
          <w:bCs/>
          <w:color w:val="000000" w:themeColor="text1"/>
        </w:rPr>
        <w:t>IX</w:t>
      </w:r>
      <w:r w:rsidRPr="006D6442">
        <w:rPr>
          <w:rFonts w:ascii="Book Antiqua" w:hAnsi="Book Antiqua"/>
          <w:b/>
          <w:bCs/>
          <w:color w:val="000000" w:themeColor="text1"/>
        </w:rPr>
        <w:t>. volebné obdobie</w:t>
      </w:r>
    </w:p>
    <w:p w14:paraId="2B8AE55D" w14:textId="77777777" w:rsidR="003C120B" w:rsidRDefault="003C120B" w:rsidP="00924F73">
      <w:pPr>
        <w:pStyle w:val="Nadpis2"/>
        <w:spacing w:before="120" w:beforeAutospacing="0" w:after="120" w:afterAutospacing="0" w:line="276" w:lineRule="auto"/>
        <w:jc w:val="center"/>
        <w:rPr>
          <w:rFonts w:ascii="Book Antiqua" w:hAnsi="Book Antiqua"/>
          <w:b w:val="0"/>
          <w:i/>
          <w:color w:val="000000" w:themeColor="text1"/>
          <w:sz w:val="22"/>
          <w:szCs w:val="22"/>
        </w:rPr>
      </w:pPr>
    </w:p>
    <w:p w14:paraId="68D025B6" w14:textId="3C873F0F" w:rsidR="00BB7C53" w:rsidRDefault="00BB7C53" w:rsidP="00924F73">
      <w:pPr>
        <w:pStyle w:val="Nadpis2"/>
        <w:spacing w:before="120" w:beforeAutospacing="0" w:after="120" w:afterAutospacing="0" w:line="276" w:lineRule="auto"/>
        <w:jc w:val="center"/>
        <w:rPr>
          <w:rFonts w:ascii="Book Antiqua" w:hAnsi="Book Antiqua"/>
          <w:b w:val="0"/>
          <w:i/>
          <w:color w:val="000000" w:themeColor="text1"/>
          <w:sz w:val="22"/>
          <w:szCs w:val="22"/>
        </w:rPr>
      </w:pPr>
      <w:r w:rsidRPr="006D6442">
        <w:rPr>
          <w:rFonts w:ascii="Book Antiqua" w:hAnsi="Book Antiqua"/>
          <w:b w:val="0"/>
          <w:i/>
          <w:color w:val="000000" w:themeColor="text1"/>
          <w:sz w:val="22"/>
          <w:szCs w:val="22"/>
        </w:rPr>
        <w:t>Návrh</w:t>
      </w:r>
    </w:p>
    <w:p w14:paraId="14439A07" w14:textId="77777777" w:rsidR="00BB7C53" w:rsidRPr="006D6442" w:rsidRDefault="00BB7C53" w:rsidP="00924F73">
      <w:pPr>
        <w:pStyle w:val="Nadpis2"/>
        <w:spacing w:before="120" w:beforeAutospacing="0" w:after="120" w:afterAutospacing="0" w:line="276" w:lineRule="auto"/>
        <w:jc w:val="center"/>
        <w:rPr>
          <w:rFonts w:ascii="Book Antiqua" w:hAnsi="Book Antiqua"/>
          <w:b w:val="0"/>
          <w:i/>
          <w:color w:val="000000" w:themeColor="text1"/>
          <w:sz w:val="22"/>
          <w:szCs w:val="22"/>
        </w:rPr>
      </w:pPr>
    </w:p>
    <w:p w14:paraId="0078A908" w14:textId="77777777" w:rsidR="00BB7C53" w:rsidRPr="006D6442" w:rsidRDefault="00BB7C53" w:rsidP="00924F73">
      <w:pPr>
        <w:pStyle w:val="Nadpis2"/>
        <w:spacing w:before="120" w:beforeAutospacing="0" w:after="120" w:afterAutospacing="0" w:line="276" w:lineRule="auto"/>
        <w:jc w:val="center"/>
        <w:rPr>
          <w:rFonts w:ascii="Book Antiqua" w:hAnsi="Book Antiqua"/>
          <w:color w:val="000000" w:themeColor="text1"/>
          <w:sz w:val="22"/>
          <w:szCs w:val="22"/>
        </w:rPr>
      </w:pPr>
      <w:r w:rsidRPr="006D6442">
        <w:rPr>
          <w:rFonts w:ascii="Book Antiqua" w:hAnsi="Book Antiqua"/>
          <w:color w:val="000000" w:themeColor="text1"/>
          <w:sz w:val="22"/>
          <w:szCs w:val="22"/>
        </w:rPr>
        <w:t>Zákon</w:t>
      </w:r>
    </w:p>
    <w:p w14:paraId="2FF94B02" w14:textId="77777777" w:rsidR="00BB7C53" w:rsidRPr="006D6442" w:rsidRDefault="00BB7C53" w:rsidP="00924F73">
      <w:pPr>
        <w:spacing w:before="120" w:after="120" w:line="276" w:lineRule="auto"/>
        <w:jc w:val="center"/>
        <w:rPr>
          <w:rFonts w:ascii="Book Antiqua" w:hAnsi="Book Antiqua"/>
          <w:color w:val="000000" w:themeColor="text1"/>
        </w:rPr>
      </w:pPr>
    </w:p>
    <w:p w14:paraId="09BF60ED" w14:textId="77777777" w:rsidR="00BB7C53" w:rsidRPr="006D6442" w:rsidRDefault="00BB7C53" w:rsidP="00924F73">
      <w:pPr>
        <w:spacing w:before="120" w:after="120" w:line="276" w:lineRule="auto"/>
        <w:jc w:val="center"/>
        <w:rPr>
          <w:rFonts w:ascii="Book Antiqua" w:hAnsi="Book Antiqua"/>
          <w:color w:val="000000" w:themeColor="text1"/>
        </w:rPr>
      </w:pPr>
      <w:r w:rsidRPr="006D6442">
        <w:rPr>
          <w:rFonts w:ascii="Book Antiqua" w:hAnsi="Book Antiqua"/>
          <w:color w:val="000000" w:themeColor="text1"/>
        </w:rPr>
        <w:t>z ....202</w:t>
      </w:r>
      <w:r>
        <w:rPr>
          <w:rFonts w:ascii="Book Antiqua" w:hAnsi="Book Antiqua"/>
          <w:color w:val="000000" w:themeColor="text1"/>
        </w:rPr>
        <w:t>6</w:t>
      </w:r>
      <w:r w:rsidRPr="006D6442">
        <w:rPr>
          <w:rFonts w:ascii="Book Antiqua" w:hAnsi="Book Antiqua"/>
          <w:color w:val="000000" w:themeColor="text1"/>
        </w:rPr>
        <w:t>,</w:t>
      </w:r>
    </w:p>
    <w:p w14:paraId="33F1EFA6" w14:textId="333DFE38" w:rsidR="00BB7C53" w:rsidRDefault="00BB7C53" w:rsidP="00924F73">
      <w:pPr>
        <w:pStyle w:val="Nadpis1"/>
        <w:spacing w:before="120" w:beforeAutospacing="0" w:after="120" w:afterAutospacing="0" w:line="276" w:lineRule="auto"/>
        <w:ind w:left="388" w:right="185"/>
        <w:jc w:val="center"/>
        <w:rPr>
          <w:rFonts w:ascii="Book Antiqua" w:hAnsi="Book Antiqua"/>
          <w:color w:val="000000" w:themeColor="text1"/>
          <w:sz w:val="22"/>
          <w:szCs w:val="22"/>
        </w:rPr>
      </w:pPr>
      <w:bookmarkStart w:id="0" w:name="_Hlk521782063"/>
      <w:r w:rsidRPr="006B32F9">
        <w:rPr>
          <w:rFonts w:ascii="Book Antiqua" w:hAnsi="Book Antiqua"/>
          <w:color w:val="000000" w:themeColor="text1"/>
          <w:sz w:val="22"/>
          <w:szCs w:val="22"/>
        </w:rPr>
        <w:t>ktorým sa</w:t>
      </w:r>
      <w:r w:rsidR="00E945F1">
        <w:rPr>
          <w:rFonts w:ascii="Book Antiqua" w:hAnsi="Book Antiqua"/>
          <w:color w:val="000000" w:themeColor="text1"/>
          <w:sz w:val="22"/>
          <w:szCs w:val="22"/>
        </w:rPr>
        <w:t xml:space="preserve"> mení a</w:t>
      </w:r>
      <w:r w:rsidR="002D35CA">
        <w:rPr>
          <w:rFonts w:ascii="Book Antiqua" w:hAnsi="Book Antiqua"/>
          <w:color w:val="000000" w:themeColor="text1"/>
          <w:sz w:val="22"/>
          <w:szCs w:val="22"/>
        </w:rPr>
        <w:t xml:space="preserve"> </w:t>
      </w:r>
      <w:r w:rsidR="001F1A8D">
        <w:rPr>
          <w:rFonts w:ascii="Book Antiqua" w:hAnsi="Book Antiqua"/>
          <w:color w:val="000000" w:themeColor="text1"/>
          <w:sz w:val="22"/>
          <w:szCs w:val="22"/>
        </w:rPr>
        <w:t xml:space="preserve">dopĺňa zákon </w:t>
      </w:r>
      <w:r w:rsidR="001F1A8D" w:rsidRPr="001F1A8D">
        <w:rPr>
          <w:rStyle w:val="awspan"/>
          <w:rFonts w:ascii="Book Antiqua" w:hAnsi="Book Antiqua"/>
          <w:bCs w:val="0"/>
          <w:color w:val="000000"/>
          <w:sz w:val="22"/>
          <w:szCs w:val="22"/>
        </w:rPr>
        <w:t>Národnej rady Slovenskej republiky č. 566/1992 Zb. o Národnej banke Slovenska v znení neskorších predpisov</w:t>
      </w:r>
      <w:r w:rsidR="00777609">
        <w:rPr>
          <w:rStyle w:val="awspan"/>
          <w:rFonts w:ascii="Book Antiqua" w:hAnsi="Book Antiqua"/>
          <w:bCs w:val="0"/>
          <w:color w:val="000000"/>
          <w:sz w:val="22"/>
          <w:szCs w:val="22"/>
        </w:rPr>
        <w:t xml:space="preserve"> </w:t>
      </w:r>
    </w:p>
    <w:p w14:paraId="63839113" w14:textId="77777777" w:rsidR="00BB7C53" w:rsidRPr="006D6442" w:rsidRDefault="00BB7C53" w:rsidP="00924F73">
      <w:pPr>
        <w:pStyle w:val="Nadpis1"/>
        <w:spacing w:before="120" w:beforeAutospacing="0" w:after="120" w:afterAutospacing="0" w:line="276" w:lineRule="auto"/>
        <w:ind w:left="388" w:right="185"/>
        <w:jc w:val="center"/>
        <w:rPr>
          <w:rFonts w:ascii="Book Antiqua" w:hAnsi="Book Antiqua"/>
          <w:color w:val="000000" w:themeColor="text1"/>
          <w:sz w:val="22"/>
          <w:szCs w:val="22"/>
        </w:rPr>
      </w:pPr>
    </w:p>
    <w:bookmarkEnd w:id="0"/>
    <w:p w14:paraId="49617F53" w14:textId="77777777" w:rsidR="00BB7C53" w:rsidRPr="006D6442" w:rsidRDefault="00BB7C53" w:rsidP="00924F73">
      <w:pPr>
        <w:spacing w:before="120" w:after="120" w:line="276" w:lineRule="auto"/>
        <w:ind w:left="360"/>
        <w:rPr>
          <w:rFonts w:ascii="Book Antiqua" w:hAnsi="Book Antiqua"/>
          <w:color w:val="000000" w:themeColor="text1"/>
        </w:rPr>
      </w:pPr>
      <w:r w:rsidRPr="006D6442">
        <w:rPr>
          <w:rFonts w:ascii="Book Antiqua" w:hAnsi="Book Antiqua"/>
          <w:color w:val="000000" w:themeColor="text1"/>
        </w:rPr>
        <w:t xml:space="preserve"> </w:t>
      </w:r>
      <w:r w:rsidRPr="006D6442">
        <w:rPr>
          <w:rFonts w:ascii="Book Antiqua" w:hAnsi="Book Antiqua"/>
          <w:color w:val="000000" w:themeColor="text1"/>
        </w:rPr>
        <w:tab/>
        <w:t xml:space="preserve">Národná rada Slovenskej republiky sa uzniesla na tomto zákone:  </w:t>
      </w:r>
    </w:p>
    <w:p w14:paraId="3C5E6739" w14:textId="77777777" w:rsidR="00BB7C53" w:rsidRPr="006D6442" w:rsidRDefault="00BB7C53" w:rsidP="00924F73">
      <w:pPr>
        <w:spacing w:before="120" w:after="120" w:line="276" w:lineRule="auto"/>
        <w:ind w:left="360"/>
        <w:rPr>
          <w:rFonts w:ascii="Book Antiqua" w:hAnsi="Book Antiqua"/>
          <w:color w:val="000000" w:themeColor="text1"/>
        </w:rPr>
      </w:pPr>
      <w:r w:rsidRPr="006D6442">
        <w:rPr>
          <w:rFonts w:ascii="Book Antiqua" w:hAnsi="Book Antiqua"/>
          <w:color w:val="000000" w:themeColor="text1"/>
        </w:rPr>
        <w:t xml:space="preserve"> </w:t>
      </w:r>
    </w:p>
    <w:p w14:paraId="0CAAC7E8" w14:textId="77777777" w:rsidR="00BB7C53" w:rsidRPr="00272DFF" w:rsidRDefault="00BB7C53" w:rsidP="00924F73">
      <w:pPr>
        <w:spacing w:before="120" w:after="120" w:line="276" w:lineRule="auto"/>
        <w:jc w:val="center"/>
        <w:rPr>
          <w:rFonts w:ascii="Book Antiqua" w:hAnsi="Book Antiqua"/>
          <w:b/>
          <w:color w:val="000000" w:themeColor="text1"/>
        </w:rPr>
      </w:pPr>
      <w:r w:rsidRPr="00272DFF">
        <w:rPr>
          <w:rFonts w:ascii="Book Antiqua" w:hAnsi="Book Antiqua"/>
          <w:b/>
          <w:color w:val="000000" w:themeColor="text1"/>
        </w:rPr>
        <w:t>Čl. I</w:t>
      </w:r>
    </w:p>
    <w:p w14:paraId="2D826004" w14:textId="21EA4EF3" w:rsidR="00A724FD" w:rsidRPr="00272DFF" w:rsidRDefault="001F1A8D" w:rsidP="00924F73">
      <w:pPr>
        <w:spacing w:before="120" w:after="120" w:line="276" w:lineRule="auto"/>
        <w:ind w:firstLine="708"/>
        <w:jc w:val="both"/>
        <w:rPr>
          <w:rFonts w:ascii="Book Antiqua" w:hAnsi="Book Antiqua" w:cs="Times New Roman"/>
        </w:rPr>
      </w:pPr>
      <w:r w:rsidRPr="00272DFF">
        <w:rPr>
          <w:rFonts w:ascii="Book Antiqua" w:hAnsi="Book Antiqua" w:cs="Times New Roman"/>
        </w:rPr>
        <w:t xml:space="preserve">Zákon </w:t>
      </w:r>
      <w:bookmarkStart w:id="1" w:name="_Hlk185251517"/>
      <w:bookmarkEnd w:id="1"/>
      <w:r w:rsidRPr="00272DFF">
        <w:rPr>
          <w:rFonts w:ascii="Book Antiqua" w:hAnsi="Book Antiqua" w:cs="Times New Roman"/>
        </w:rPr>
        <w:t>Národnej rady Slovenskej republiky č. 566/1992 Zb. o Národnej banke Slovenska v znení zákona Národnej rady Slovenskej republiky č. 26/1993 Z. z., zákona Národnej rady Slovenskej republiky č. 159/1993 Z. z., zákona Národnej rady Slovenskej republiky č. 249/1994 Z. z., zákona Národnej rady Slovenskej republiky č. 374/1994 Z. z., zákona Národnej rady Slovenskej republiky č. 202/1995 Z. z., zákona Národnej rady Slovenskej republiky č. 118/1996 Z. z., zákona Národnej rady Slovenskej republiky č. 386/1996 Z. z., zákona č. 348/1999 Z. z., zákona č. 149/2001 Z. z., zákona č. 602/2003 Z. z., zákona č. 747/2004 Z. z., zákona č. 519/2005 Z. z., zákona č. 659/2007 Z. z., zákona č. 492/2009 Z. z., zákona č. 403/2010 Z. z., zákona č. 373/2014 Z. z., zákona č. 91/2016 Z. z., zákona č. 125/2016 Z. z., zákona č. 177/2018 Z. z., zákona č. 95/2019 Z. z</w:t>
      </w:r>
      <w:r w:rsidR="00777609">
        <w:rPr>
          <w:rFonts w:ascii="Book Antiqua" w:hAnsi="Book Antiqua" w:cs="Times New Roman"/>
        </w:rPr>
        <w:t>. a zákona č. 221/2019 Z. z. sa</w:t>
      </w:r>
      <w:r w:rsidRPr="00272DFF">
        <w:rPr>
          <w:rFonts w:ascii="Book Antiqua" w:hAnsi="Book Antiqua" w:cs="Times New Roman"/>
        </w:rPr>
        <w:t> </w:t>
      </w:r>
      <w:r w:rsidR="00E945F1">
        <w:rPr>
          <w:rFonts w:ascii="Book Antiqua" w:hAnsi="Book Antiqua" w:cs="Times New Roman"/>
        </w:rPr>
        <w:t xml:space="preserve">mení a </w:t>
      </w:r>
      <w:r w:rsidRPr="00272DFF">
        <w:rPr>
          <w:rFonts w:ascii="Book Antiqua" w:hAnsi="Book Antiqua" w:cs="Times New Roman"/>
        </w:rPr>
        <w:t>dopĺňa takto</w:t>
      </w:r>
      <w:r w:rsidR="00BB7C53" w:rsidRPr="00272DFF">
        <w:rPr>
          <w:rFonts w:ascii="Book Antiqua" w:hAnsi="Book Antiqua" w:cs="Times New Roman"/>
        </w:rPr>
        <w:t>:</w:t>
      </w:r>
    </w:p>
    <w:p w14:paraId="584638EF" w14:textId="5D980A84" w:rsidR="00272DFF" w:rsidRDefault="001F1A8D" w:rsidP="00924F73">
      <w:pPr>
        <w:spacing w:before="120" w:after="120" w:line="276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 xml:space="preserve">V § 6 ods. 2 písm. f) sa </w:t>
      </w:r>
      <w:r w:rsidR="00DF5196">
        <w:rPr>
          <w:rFonts w:ascii="Book Antiqua" w:hAnsi="Book Antiqua" w:cs="Times New Roman"/>
        </w:rPr>
        <w:t>bodka nahrádza</w:t>
      </w:r>
      <w:bookmarkStart w:id="2" w:name="_GoBack"/>
      <w:bookmarkEnd w:id="2"/>
      <w:r w:rsidR="00DF5196">
        <w:rPr>
          <w:rFonts w:ascii="Book Antiqua" w:hAnsi="Book Antiqua" w:cs="Times New Roman"/>
        </w:rPr>
        <w:t xml:space="preserve"> bodkočiarkou a pripájajú sa tieto slová: „</w:t>
      </w:r>
      <w:r w:rsidR="00275070">
        <w:rPr>
          <w:rFonts w:ascii="Book Antiqua" w:hAnsi="Book Antiqua" w:cs="Times New Roman"/>
        </w:rPr>
        <w:t>ich výška nesmie</w:t>
      </w:r>
      <w:r>
        <w:rPr>
          <w:rFonts w:ascii="Book Antiqua" w:hAnsi="Book Antiqua" w:cs="Times New Roman"/>
        </w:rPr>
        <w:t xml:space="preserve"> presiahnuť výšku platu predsedu vlády</w:t>
      </w:r>
      <w:r w:rsidR="00DF5196">
        <w:rPr>
          <w:rFonts w:ascii="Book Antiqua" w:hAnsi="Book Antiqua" w:cs="Times New Roman"/>
        </w:rPr>
        <w:t xml:space="preserve"> vrátane funkčného príplatku</w:t>
      </w:r>
      <w:r>
        <w:rPr>
          <w:rFonts w:ascii="Book Antiqua" w:hAnsi="Book Antiqua" w:cs="Times New Roman"/>
        </w:rPr>
        <w:t xml:space="preserve"> </w:t>
      </w:r>
      <w:r w:rsidR="00275070">
        <w:rPr>
          <w:rFonts w:ascii="Book Antiqua" w:hAnsi="Book Antiqua" w:cs="Times New Roman"/>
        </w:rPr>
        <w:t>podľa osobitného predpisu</w:t>
      </w:r>
      <w:r w:rsidR="00DF5196" w:rsidRPr="005C3A67">
        <w:rPr>
          <w:rFonts w:ascii="Book Antiqua" w:hAnsi="Book Antiqua" w:cs="Times New Roman"/>
          <w:vertAlign w:val="superscript"/>
        </w:rPr>
        <w:t>1ea)</w:t>
      </w:r>
      <w:r>
        <w:rPr>
          <w:rFonts w:ascii="Book Antiqua" w:hAnsi="Book Antiqua" w:cs="Times New Roman"/>
        </w:rPr>
        <w:t>“.</w:t>
      </w:r>
    </w:p>
    <w:p w14:paraId="737EC397" w14:textId="6D0B3FD8" w:rsidR="00DF5196" w:rsidRDefault="00DF5196" w:rsidP="00924F73">
      <w:pPr>
        <w:spacing w:before="120" w:after="120" w:line="276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Poznámka pod čiarou k odkazu 1ea znie:</w:t>
      </w:r>
    </w:p>
    <w:p w14:paraId="639D22E0" w14:textId="60606769" w:rsidR="00DF5196" w:rsidRDefault="00DF5196" w:rsidP="00924F73">
      <w:pPr>
        <w:spacing w:before="120" w:after="120" w:line="276" w:lineRule="auto"/>
        <w:jc w:val="both"/>
        <w:rPr>
          <w:rFonts w:ascii="Book Antiqua" w:hAnsi="Book Antiqua" w:cs="Times New Roman"/>
        </w:rPr>
      </w:pPr>
      <w:r>
        <w:rPr>
          <w:rFonts w:ascii="Book Antiqua" w:hAnsi="Book Antiqua" w:cs="Times New Roman"/>
        </w:rPr>
        <w:t>„</w:t>
      </w:r>
      <w:r w:rsidRPr="005C3A67">
        <w:rPr>
          <w:rFonts w:ascii="Book Antiqua" w:hAnsi="Book Antiqua" w:cs="Times New Roman"/>
          <w:vertAlign w:val="superscript"/>
        </w:rPr>
        <w:t>1ea)</w:t>
      </w:r>
      <w:r>
        <w:rPr>
          <w:rFonts w:ascii="Book Antiqua" w:hAnsi="Book Antiqua" w:cs="Times New Roman"/>
        </w:rPr>
        <w:t xml:space="preserve"> § 12 a 13 ods. 2 zákona Národnej rady Slovenskej republiky č. 120/1993 Z. z. o platových pomeroch niektorých ústavných činiteľov Slovenskej republiky v znení neskorších predpisov.“.</w:t>
      </w:r>
    </w:p>
    <w:p w14:paraId="4C524128" w14:textId="45B78F94" w:rsidR="00BB7C53" w:rsidRPr="003F0398" w:rsidRDefault="00BB7C53" w:rsidP="00924F73">
      <w:pPr>
        <w:spacing w:before="120" w:after="120" w:line="276" w:lineRule="auto"/>
        <w:jc w:val="both"/>
        <w:rPr>
          <w:rFonts w:ascii="Book Antiqua" w:hAnsi="Book Antiqua"/>
          <w:b/>
          <w:color w:val="000000" w:themeColor="text1"/>
        </w:rPr>
      </w:pPr>
    </w:p>
    <w:p w14:paraId="0A9A7D2B" w14:textId="0C12D8A3" w:rsidR="00BB7C53" w:rsidRPr="006D6442" w:rsidRDefault="0051281F" w:rsidP="00924F73">
      <w:pPr>
        <w:spacing w:before="120" w:after="120" w:line="276" w:lineRule="auto"/>
        <w:jc w:val="center"/>
        <w:rPr>
          <w:rFonts w:ascii="Book Antiqua" w:hAnsi="Book Antiqua"/>
          <w:b/>
          <w:color w:val="000000" w:themeColor="text1"/>
        </w:rPr>
      </w:pPr>
      <w:r>
        <w:rPr>
          <w:rFonts w:ascii="Book Antiqua" w:hAnsi="Book Antiqua"/>
          <w:b/>
          <w:color w:val="000000" w:themeColor="text1"/>
        </w:rPr>
        <w:t>Čl. II</w:t>
      </w:r>
    </w:p>
    <w:p w14:paraId="63C081BB" w14:textId="163C64B1" w:rsidR="00BB7C53" w:rsidRPr="006D6442" w:rsidRDefault="00BB7C53" w:rsidP="00924F73">
      <w:pPr>
        <w:spacing w:before="120" w:after="120" w:line="276" w:lineRule="auto"/>
        <w:jc w:val="both"/>
        <w:rPr>
          <w:rFonts w:ascii="Book Antiqua" w:hAnsi="Book Antiqua"/>
          <w:color w:val="000000" w:themeColor="text1"/>
        </w:rPr>
      </w:pPr>
      <w:r w:rsidRPr="006D6442">
        <w:rPr>
          <w:rFonts w:ascii="Book Antiqua" w:hAnsi="Book Antiqua"/>
          <w:color w:val="000000" w:themeColor="text1"/>
        </w:rPr>
        <w:t xml:space="preserve">Tento zákon nadobúda účinnosť 1. </w:t>
      </w:r>
      <w:r w:rsidR="00413F9C">
        <w:rPr>
          <w:rFonts w:ascii="Book Antiqua" w:hAnsi="Book Antiqua"/>
          <w:color w:val="000000" w:themeColor="text1"/>
        </w:rPr>
        <w:t>novembra</w:t>
      </w:r>
      <w:r>
        <w:rPr>
          <w:rFonts w:ascii="Book Antiqua" w:hAnsi="Book Antiqua"/>
          <w:color w:val="000000" w:themeColor="text1"/>
        </w:rPr>
        <w:t xml:space="preserve"> </w:t>
      </w:r>
      <w:r w:rsidRPr="006D6442">
        <w:rPr>
          <w:rFonts w:ascii="Book Antiqua" w:hAnsi="Book Antiqua"/>
          <w:color w:val="000000" w:themeColor="text1"/>
        </w:rPr>
        <w:t>202</w:t>
      </w:r>
      <w:r>
        <w:rPr>
          <w:rFonts w:ascii="Book Antiqua" w:hAnsi="Book Antiqua"/>
          <w:color w:val="000000" w:themeColor="text1"/>
        </w:rPr>
        <w:t>6</w:t>
      </w:r>
      <w:r w:rsidRPr="006D6442">
        <w:rPr>
          <w:rFonts w:ascii="Book Antiqua" w:hAnsi="Book Antiqua"/>
          <w:color w:val="000000" w:themeColor="text1"/>
        </w:rPr>
        <w:t>.</w:t>
      </w:r>
    </w:p>
    <w:p w14:paraId="625ED8A1" w14:textId="77777777" w:rsidR="002D35CA" w:rsidRPr="002D35CA" w:rsidRDefault="002D35CA" w:rsidP="00924F73">
      <w:pPr>
        <w:spacing w:before="120" w:after="120" w:line="276" w:lineRule="auto"/>
        <w:rPr>
          <w:b/>
        </w:rPr>
      </w:pPr>
    </w:p>
    <w:sectPr w:rsidR="002D35CA" w:rsidRPr="002D35C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4EA9B5" w14:textId="77777777" w:rsidR="00C01800" w:rsidRDefault="00C01800">
      <w:r>
        <w:separator/>
      </w:r>
    </w:p>
  </w:endnote>
  <w:endnote w:type="continuationSeparator" w:id="0">
    <w:p w14:paraId="0B76E441" w14:textId="77777777" w:rsidR="00C01800" w:rsidRDefault="00C01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9411087"/>
      <w:docPartObj>
        <w:docPartGallery w:val="Page Numbers (Bottom of Page)"/>
        <w:docPartUnique/>
      </w:docPartObj>
    </w:sdtPr>
    <w:sdtEndPr/>
    <w:sdtContent>
      <w:p w14:paraId="118A5794" w14:textId="349FCB9A" w:rsidR="00E95E5B" w:rsidRDefault="00E95E5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120B">
          <w:rPr>
            <w:noProof/>
          </w:rPr>
          <w:t>1</w:t>
        </w:r>
        <w:r>
          <w:fldChar w:fldCharType="end"/>
        </w:r>
      </w:p>
    </w:sdtContent>
  </w:sdt>
  <w:p w14:paraId="034E8948" w14:textId="77777777" w:rsidR="00E95E5B" w:rsidRDefault="00E95E5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2EB25B" w14:textId="77777777" w:rsidR="00C01800" w:rsidRDefault="00C01800">
      <w:r>
        <w:separator/>
      </w:r>
    </w:p>
  </w:footnote>
  <w:footnote w:type="continuationSeparator" w:id="0">
    <w:p w14:paraId="0CECEAF3" w14:textId="77777777" w:rsidR="00C01800" w:rsidRDefault="00C018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FC664D" w14:textId="77777777" w:rsidR="00E95E5B" w:rsidRDefault="00E95E5B">
    <w:pPr>
      <w:pStyle w:val="Hlavika"/>
    </w:pPr>
  </w:p>
  <w:p w14:paraId="7BED8A89" w14:textId="77777777" w:rsidR="00E95E5B" w:rsidRDefault="00E95E5B">
    <w:pPr>
      <w:pStyle w:val="Hlavika"/>
    </w:pPr>
  </w:p>
  <w:p w14:paraId="62E89F8E" w14:textId="77777777" w:rsidR="00E95E5B" w:rsidRDefault="00E95E5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06CDB"/>
    <w:multiLevelType w:val="hybridMultilevel"/>
    <w:tmpl w:val="C93A367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C53"/>
    <w:rsid w:val="00052EEB"/>
    <w:rsid w:val="000646B4"/>
    <w:rsid w:val="000B2B0E"/>
    <w:rsid w:val="00103EA9"/>
    <w:rsid w:val="00154B9E"/>
    <w:rsid w:val="001951AC"/>
    <w:rsid w:val="001C7C71"/>
    <w:rsid w:val="001F1A8D"/>
    <w:rsid w:val="00272DFF"/>
    <w:rsid w:val="00275070"/>
    <w:rsid w:val="002D1523"/>
    <w:rsid w:val="002D35CA"/>
    <w:rsid w:val="002D46A7"/>
    <w:rsid w:val="002D78F9"/>
    <w:rsid w:val="003C120B"/>
    <w:rsid w:val="003F0398"/>
    <w:rsid w:val="00413F9C"/>
    <w:rsid w:val="004240DC"/>
    <w:rsid w:val="0047456F"/>
    <w:rsid w:val="00483A21"/>
    <w:rsid w:val="0051281F"/>
    <w:rsid w:val="00552376"/>
    <w:rsid w:val="00566FFB"/>
    <w:rsid w:val="005900AF"/>
    <w:rsid w:val="005C3A67"/>
    <w:rsid w:val="005C481A"/>
    <w:rsid w:val="005D6C46"/>
    <w:rsid w:val="005E3941"/>
    <w:rsid w:val="00617D8A"/>
    <w:rsid w:val="0066129E"/>
    <w:rsid w:val="006B3FCC"/>
    <w:rsid w:val="006C17C4"/>
    <w:rsid w:val="00777609"/>
    <w:rsid w:val="008A059E"/>
    <w:rsid w:val="008F4FCC"/>
    <w:rsid w:val="0090785D"/>
    <w:rsid w:val="0091712C"/>
    <w:rsid w:val="00924F73"/>
    <w:rsid w:val="0099570D"/>
    <w:rsid w:val="009F3A7F"/>
    <w:rsid w:val="00A139C8"/>
    <w:rsid w:val="00A64A9E"/>
    <w:rsid w:val="00A704B7"/>
    <w:rsid w:val="00A724FD"/>
    <w:rsid w:val="00A87CF3"/>
    <w:rsid w:val="00AB11EC"/>
    <w:rsid w:val="00B279E0"/>
    <w:rsid w:val="00B3389E"/>
    <w:rsid w:val="00B62713"/>
    <w:rsid w:val="00B676BD"/>
    <w:rsid w:val="00B90FD0"/>
    <w:rsid w:val="00BB19B1"/>
    <w:rsid w:val="00BB7C53"/>
    <w:rsid w:val="00C01800"/>
    <w:rsid w:val="00C90B59"/>
    <w:rsid w:val="00CB6D69"/>
    <w:rsid w:val="00CC4ECF"/>
    <w:rsid w:val="00CD6DD9"/>
    <w:rsid w:val="00D5602E"/>
    <w:rsid w:val="00DF39BC"/>
    <w:rsid w:val="00DF5196"/>
    <w:rsid w:val="00E338A7"/>
    <w:rsid w:val="00E945F1"/>
    <w:rsid w:val="00E95E5B"/>
    <w:rsid w:val="00EC60AD"/>
    <w:rsid w:val="00EE7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E989D1"/>
  <w15:chartTrackingRefBased/>
  <w15:docId w15:val="{70897747-03AB-4D3E-8FE0-102CB40D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7C53"/>
    <w:pPr>
      <w:spacing w:after="0" w:line="240" w:lineRule="auto"/>
    </w:pPr>
    <w:rPr>
      <w:rFonts w:eastAsia="Times New Roman" w:cstheme="minorHAnsi"/>
    </w:rPr>
  </w:style>
  <w:style w:type="paragraph" w:styleId="Nadpis1">
    <w:name w:val="heading 1"/>
    <w:basedOn w:val="Normlny"/>
    <w:link w:val="Nadpis1Char"/>
    <w:uiPriority w:val="9"/>
    <w:qFormat/>
    <w:rsid w:val="00BB7C53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BB7C53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B7C53"/>
    <w:rPr>
      <w:rFonts w:ascii="Times New Roman" w:eastAsia="Times New Roman" w:hAnsi="Times New Roman" w:cstheme="minorHAnsi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BB7C53"/>
    <w:rPr>
      <w:rFonts w:ascii="Times New Roman" w:eastAsia="Times New Roman" w:hAnsi="Times New Roman" w:cstheme="minorHAnsi"/>
      <w:b/>
      <w:bCs/>
      <w:sz w:val="36"/>
      <w:szCs w:val="3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B7C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B7C53"/>
    <w:rPr>
      <w:rFonts w:eastAsia="Times New Roman" w:cstheme="minorHAnsi"/>
    </w:rPr>
  </w:style>
  <w:style w:type="paragraph" w:styleId="Pta">
    <w:name w:val="footer"/>
    <w:basedOn w:val="Normlny"/>
    <w:link w:val="PtaChar"/>
    <w:uiPriority w:val="99"/>
    <w:unhideWhenUsed/>
    <w:rsid w:val="00BB7C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B7C53"/>
    <w:rPr>
      <w:rFonts w:eastAsia="Times New Roman" w:cstheme="minorHAnsi"/>
    </w:rPr>
  </w:style>
  <w:style w:type="paragraph" w:styleId="Odsekzoznamu">
    <w:name w:val="List Paragraph"/>
    <w:basedOn w:val="Normlny"/>
    <w:uiPriority w:val="34"/>
    <w:qFormat/>
    <w:rsid w:val="005900AF"/>
    <w:pPr>
      <w:ind w:left="720"/>
      <w:contextualSpacing/>
    </w:pPr>
  </w:style>
  <w:style w:type="character" w:customStyle="1" w:styleId="awspan">
    <w:name w:val="awspan"/>
    <w:basedOn w:val="Predvolenpsmoodseku"/>
    <w:rsid w:val="001F1A8D"/>
  </w:style>
  <w:style w:type="character" w:styleId="Hypertextovprepojenie">
    <w:name w:val="Hyperlink"/>
    <w:basedOn w:val="Predvolenpsmoodseku"/>
    <w:uiPriority w:val="99"/>
    <w:semiHidden/>
    <w:unhideWhenUsed/>
    <w:rsid w:val="00CD6DD9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3F039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95E5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95E5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9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650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83565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3792911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5497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16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3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4309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8519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6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09413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7597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7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9865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93290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7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01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166936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75343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0CCF40-06CF-4613-82CB-714D5B600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Klub SLOVENSKO, ZA ĽUDÍ, KÚ</cp:lastModifiedBy>
  <cp:revision>17</cp:revision>
  <dcterms:created xsi:type="dcterms:W3CDTF">2026-03-25T14:25:00Z</dcterms:created>
  <dcterms:modified xsi:type="dcterms:W3CDTF">2026-05-07T09:04:00Z</dcterms:modified>
</cp:coreProperties>
</file>