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8BA9" w14:textId="77777777" w:rsidR="0066095A" w:rsidRPr="00193D1D" w:rsidRDefault="0066095A" w:rsidP="0066095A">
      <w:pPr>
        <w:pStyle w:val="Nzov"/>
        <w:rPr>
          <w:rFonts w:ascii="Book Antiqua" w:hAnsi="Book Antiqua" w:cs="Times New Roman"/>
          <w:caps/>
          <w:spacing w:val="30"/>
          <w:sz w:val="22"/>
          <w:szCs w:val="22"/>
        </w:rPr>
      </w:pPr>
      <w:r w:rsidRPr="00193D1D">
        <w:rPr>
          <w:rFonts w:ascii="Book Antiqua" w:hAnsi="Book Antiqua" w:cs="Times New Roman"/>
          <w:caps/>
          <w:spacing w:val="30"/>
          <w:sz w:val="22"/>
          <w:szCs w:val="22"/>
        </w:rPr>
        <w:t>Dôvodová správa</w:t>
      </w:r>
    </w:p>
    <w:p w14:paraId="6E59AFE7" w14:textId="77777777" w:rsidR="0066095A" w:rsidRPr="00193D1D" w:rsidRDefault="0066095A" w:rsidP="0066095A">
      <w:pPr>
        <w:pStyle w:val="Nadpis1"/>
        <w:spacing w:before="0"/>
        <w:rPr>
          <w:rFonts w:ascii="Book Antiqua" w:hAnsi="Book Antiqua"/>
          <w:b/>
          <w:bCs/>
          <w:sz w:val="22"/>
          <w:szCs w:val="22"/>
        </w:rPr>
      </w:pPr>
    </w:p>
    <w:p w14:paraId="01BE2523" w14:textId="77777777" w:rsidR="0066095A" w:rsidRPr="00193D1D" w:rsidRDefault="0066095A" w:rsidP="0066095A">
      <w:pPr>
        <w:pStyle w:val="Nadpis1"/>
        <w:spacing w:before="0"/>
        <w:rPr>
          <w:rFonts w:ascii="Book Antiqua" w:hAnsi="Book Antiqua"/>
          <w:sz w:val="22"/>
          <w:szCs w:val="22"/>
        </w:rPr>
      </w:pPr>
      <w:r w:rsidRPr="00193D1D">
        <w:rPr>
          <w:rFonts w:ascii="Book Antiqua" w:hAnsi="Book Antiqua"/>
          <w:sz w:val="22"/>
          <w:szCs w:val="22"/>
        </w:rPr>
        <w:t>A. Všeobecná časť</w:t>
      </w:r>
    </w:p>
    <w:p w14:paraId="76A358B3" w14:textId="77777777" w:rsidR="0066095A" w:rsidRPr="00193D1D" w:rsidRDefault="0066095A" w:rsidP="0066095A">
      <w:pPr>
        <w:jc w:val="both"/>
        <w:rPr>
          <w:rFonts w:ascii="Book Antiqua" w:hAnsi="Book Antiqua"/>
          <w:b/>
          <w:bCs/>
          <w:sz w:val="22"/>
          <w:szCs w:val="22"/>
        </w:rPr>
      </w:pPr>
    </w:p>
    <w:p w14:paraId="738EB294" w14:textId="77777777" w:rsidR="0066095A" w:rsidRPr="00193D1D" w:rsidRDefault="0066095A" w:rsidP="0066095A">
      <w:pPr>
        <w:spacing w:before="120" w:after="120"/>
        <w:ind w:firstLine="709"/>
        <w:jc w:val="both"/>
        <w:rPr>
          <w:rFonts w:ascii="Book Antiqua" w:hAnsi="Book Antiqua"/>
          <w:sz w:val="22"/>
          <w:szCs w:val="22"/>
        </w:rPr>
      </w:pPr>
      <w:r w:rsidRPr="00193D1D">
        <w:rPr>
          <w:rFonts w:ascii="Book Antiqua" w:hAnsi="Book Antiqua"/>
          <w:sz w:val="22"/>
          <w:szCs w:val="22"/>
        </w:rPr>
        <w:t xml:space="preserve">Návrh zákona, </w:t>
      </w:r>
      <w:r w:rsidRPr="00193D1D">
        <w:rPr>
          <w:rFonts w:ascii="Book Antiqua" w:hAnsi="Book Antiqua"/>
          <w:iCs/>
          <w:sz w:val="22"/>
          <w:szCs w:val="22"/>
        </w:rPr>
        <w:t xml:space="preserve">ktorým sa mení a dopĺňa zákon č. 595/2003 Z. z. o dani z príjmov v znení neskorších predpisov </w:t>
      </w:r>
      <w:r w:rsidRPr="00193D1D">
        <w:rPr>
          <w:rFonts w:ascii="Book Antiqua" w:hAnsi="Book Antiqua"/>
          <w:sz w:val="22"/>
          <w:szCs w:val="22"/>
        </w:rPr>
        <w:t xml:space="preserve">predkladá skupina poslancov Národnej rady Slovenskej republiky za </w:t>
      </w:r>
      <w:r>
        <w:rPr>
          <w:rFonts w:ascii="Book Antiqua" w:hAnsi="Book Antiqua"/>
          <w:sz w:val="22"/>
          <w:szCs w:val="22"/>
        </w:rPr>
        <w:t>H</w:t>
      </w:r>
      <w:r w:rsidRPr="00193D1D">
        <w:rPr>
          <w:rFonts w:ascii="Book Antiqua" w:hAnsi="Book Antiqua"/>
          <w:sz w:val="22"/>
          <w:szCs w:val="22"/>
        </w:rPr>
        <w:t xml:space="preserve">nutie SLOVENSKO. </w:t>
      </w:r>
    </w:p>
    <w:p w14:paraId="4465C9BB" w14:textId="77777777" w:rsidR="0066095A" w:rsidRPr="00193D1D" w:rsidRDefault="0066095A" w:rsidP="0066095A">
      <w:pPr>
        <w:pStyle w:val="Zkladntext"/>
        <w:spacing w:before="120" w:after="120"/>
        <w:ind w:firstLine="709"/>
        <w:rPr>
          <w:rFonts w:ascii="Book Antiqua" w:hAnsi="Book Antiqua"/>
          <w:sz w:val="22"/>
          <w:szCs w:val="22"/>
        </w:rPr>
      </w:pPr>
      <w:r w:rsidRPr="00193D1D">
        <w:rPr>
          <w:rFonts w:ascii="Book Antiqua" w:hAnsi="Book Antiqua"/>
          <w:sz w:val="22"/>
          <w:szCs w:val="22"/>
        </w:rPr>
        <w:t>Navrhovaná právna úprava predstavuje reakciu na problém, ktorý vznikol po nahradení rodičovského dôchodku mechanizmom poukazovania podielu zaplatenej dane vo výške 2 % pre každého rodiča. Táto zmena bola prezentovaná ako spravodlivejšia a adresnejšia forma podpory rodičov zo strany ich ekonomicky aktívnych detí. Realita však ukazuje, že nový systém v sebe obsahuje vážnu nespravodlivosť, ktorá dopadá najmä na dôchodcov, ktorí sú zároveň starými rodičmi.</w:t>
      </w:r>
    </w:p>
    <w:p w14:paraId="0FF8EF6A" w14:textId="77777777" w:rsidR="0066095A" w:rsidRPr="00193D1D" w:rsidRDefault="0066095A" w:rsidP="0066095A">
      <w:pPr>
        <w:pStyle w:val="Zkladntext"/>
        <w:spacing w:before="120" w:after="120"/>
        <w:ind w:firstLine="709"/>
        <w:rPr>
          <w:rFonts w:ascii="Book Antiqua" w:hAnsi="Book Antiqua"/>
          <w:sz w:val="22"/>
          <w:szCs w:val="22"/>
        </w:rPr>
      </w:pPr>
      <w:r w:rsidRPr="00193D1D">
        <w:rPr>
          <w:rFonts w:ascii="Book Antiqua" w:hAnsi="Book Antiqua"/>
          <w:sz w:val="22"/>
          <w:szCs w:val="22"/>
        </w:rPr>
        <w:t>Pôvodný rodičovský dôchodok</w:t>
      </w:r>
      <w:r>
        <w:rPr>
          <w:rFonts w:ascii="Book Antiqua" w:hAnsi="Book Antiqua"/>
          <w:sz w:val="22"/>
          <w:szCs w:val="22"/>
        </w:rPr>
        <w:t xml:space="preserve"> (2023-2024)</w:t>
      </w:r>
      <w:r w:rsidRPr="00193D1D">
        <w:rPr>
          <w:rFonts w:ascii="Book Antiqua" w:hAnsi="Book Antiqua"/>
          <w:sz w:val="22"/>
          <w:szCs w:val="22"/>
        </w:rPr>
        <w:t xml:space="preserve"> predstavoval stabilný a predvídateľný príjem pre dôchodcov, pričom jeho výška sa odvíjala od výšky vymeriavacieho základu detí. V praxi sa jeho suma pohybovala v rozmedzí aj niekoľko sto eur ročne, čo znamenalo citeľnú pomoc najmä pre matky, ktorým vznikol nárok na nižší dôchodok z dôvodu, že porodili viac detí</w:t>
      </w:r>
      <w:r>
        <w:rPr>
          <w:rFonts w:ascii="Book Antiqua" w:hAnsi="Book Antiqua"/>
          <w:sz w:val="22"/>
          <w:szCs w:val="22"/>
        </w:rPr>
        <w:t>,</w:t>
      </w:r>
      <w:r w:rsidRPr="00193D1D">
        <w:rPr>
          <w:rFonts w:ascii="Book Antiqua" w:hAnsi="Book Antiqua"/>
          <w:sz w:val="22"/>
          <w:szCs w:val="22"/>
        </w:rPr>
        <w:t xml:space="preserve"> a tým pádom boli dlhšie na materskej dovolenke. Naproti tomu nový systém poukazovania 2 % zo zaplatenej dane</w:t>
      </w:r>
      <w:r>
        <w:rPr>
          <w:rFonts w:ascii="Book Antiqua" w:hAnsi="Book Antiqua"/>
          <w:sz w:val="22"/>
          <w:szCs w:val="22"/>
        </w:rPr>
        <w:t xml:space="preserve"> (2025-2026)</w:t>
      </w:r>
      <w:r w:rsidRPr="00193D1D">
        <w:rPr>
          <w:rFonts w:ascii="Book Antiqua" w:hAnsi="Book Antiqua"/>
          <w:sz w:val="22"/>
          <w:szCs w:val="22"/>
        </w:rPr>
        <w:t xml:space="preserve"> priniesol výrazne nižšie sumy – v mnohých prípadoch ide len o niekoľko desiatok eur ročne, teda násobne menej ako pri pôvodnom nastavení. Už samotná zmena tak znamenala zníženie podpory pre rodičov.</w:t>
      </w:r>
    </w:p>
    <w:p w14:paraId="5C057F3C" w14:textId="77777777" w:rsidR="0066095A" w:rsidRPr="00193D1D" w:rsidRDefault="0066095A" w:rsidP="0066095A">
      <w:pPr>
        <w:pStyle w:val="Zkladntext"/>
        <w:spacing w:before="120" w:after="120"/>
        <w:ind w:firstLine="709"/>
        <w:rPr>
          <w:rFonts w:ascii="Book Antiqua" w:hAnsi="Book Antiqua"/>
          <w:sz w:val="22"/>
          <w:szCs w:val="22"/>
        </w:rPr>
      </w:pPr>
      <w:r w:rsidRPr="00193D1D">
        <w:rPr>
          <w:rFonts w:ascii="Book Antiqua" w:hAnsi="Book Antiqua"/>
          <w:sz w:val="22"/>
          <w:szCs w:val="22"/>
        </w:rPr>
        <w:t>Zásadným problémom však je aj spôsob, akým sa určuje tzv. zaplatená daň. Podľa súčasnej právnej úpravy sa zaplatená daň znižuje o uplatnený daňový bonus na dieťa (§ 33) a o daňový bonus na zaplatené úroky (§ 33a). To v praxi znamená, že čím viac štát podporí rodinu prostredníctvom daňového bonusu na deti, tým menej dostanú rodičia tejto osoby prostredníctvom 2 % z dane. Inými slovami, štát dnes nepriamo „trestá“ starých rodičov za to, že ich deti vychovávajú ďalšiu generáciu.</w:t>
      </w:r>
    </w:p>
    <w:p w14:paraId="59EF16CF" w14:textId="77777777" w:rsidR="0066095A" w:rsidRPr="00193D1D" w:rsidRDefault="0066095A" w:rsidP="0066095A">
      <w:pPr>
        <w:pStyle w:val="Zkladntext"/>
        <w:spacing w:before="120" w:after="120"/>
        <w:ind w:firstLine="709"/>
        <w:rPr>
          <w:rFonts w:ascii="Book Antiqua" w:hAnsi="Book Antiqua"/>
          <w:sz w:val="22"/>
          <w:szCs w:val="22"/>
        </w:rPr>
      </w:pPr>
      <w:r w:rsidRPr="00193D1D">
        <w:rPr>
          <w:rFonts w:ascii="Book Antiqua" w:hAnsi="Book Antiqua"/>
          <w:sz w:val="22"/>
          <w:szCs w:val="22"/>
        </w:rPr>
        <w:t>Takéto nastavenie je v rozpore so základnou logikou rodinnej politiky. Daňový bonus na dieťa je legitímnym nástrojom podpory rodín a nemal by mať negatívny dopad na inú formu podpory – najmä nie na podporu staršej generácie. Súčasný stav vytvára situáciu, v ktorej sú rodiny postavené pred nelogickú dilemu: využívať zákonom priznané daňové zvýhodnenia na deti, alebo nepriamo zvýšiť príjem svojich rodičov.</w:t>
      </w:r>
    </w:p>
    <w:p w14:paraId="444AE043" w14:textId="77777777" w:rsidR="0066095A" w:rsidRDefault="0066095A" w:rsidP="0066095A">
      <w:pPr>
        <w:pStyle w:val="Zkladntext"/>
        <w:spacing w:before="120" w:after="120"/>
        <w:ind w:firstLine="709"/>
        <w:rPr>
          <w:rFonts w:ascii="Book Antiqua" w:hAnsi="Book Antiqua"/>
          <w:sz w:val="22"/>
          <w:szCs w:val="22"/>
        </w:rPr>
      </w:pPr>
      <w:r w:rsidRPr="00193D1D">
        <w:rPr>
          <w:rFonts w:ascii="Book Antiqua" w:hAnsi="Book Antiqua"/>
          <w:sz w:val="22"/>
          <w:szCs w:val="22"/>
        </w:rPr>
        <w:t xml:space="preserve">Ešte vypuklejšie sa táto nespravodlivosť prejavuje v rámci jednej rodiny. V praxi je bežné, že si daňový bonus na dieťa uplatňuje len jeden z rodičov. Ten si tým zníži svoju daňovú povinnosť, zatiaľ čo druhý rodič má vyššiu zaplatenú daň. Výsledkom je paradoxná situácia, že rodičia toho partnera, ktorý si daňový bonus neuplatňuje, dostanú vyšší podiel zo zaplatenej dane ako rodičia toho partnera, ktorý si </w:t>
      </w:r>
      <w:r>
        <w:rPr>
          <w:rFonts w:ascii="Book Antiqua" w:hAnsi="Book Antiqua"/>
          <w:sz w:val="22"/>
          <w:szCs w:val="22"/>
        </w:rPr>
        <w:t xml:space="preserve">daňový </w:t>
      </w:r>
      <w:r w:rsidRPr="00193D1D">
        <w:rPr>
          <w:rFonts w:ascii="Book Antiqua" w:hAnsi="Book Antiqua"/>
          <w:sz w:val="22"/>
          <w:szCs w:val="22"/>
        </w:rPr>
        <w:t>bonus uplatňuje. Štát tak vytvára nerovnosť medzi starými rodičmi v rámci tej istej rodiny, a to bez akéhokoľvek racionálneho dôvodu.</w:t>
      </w:r>
    </w:p>
    <w:p w14:paraId="078A34BF" w14:textId="77777777" w:rsidR="0066095A" w:rsidRDefault="0066095A" w:rsidP="0066095A">
      <w:pPr>
        <w:pStyle w:val="Zkladntext"/>
        <w:spacing w:before="120" w:after="120"/>
        <w:ind w:firstLine="709"/>
        <w:rPr>
          <w:rFonts w:ascii="Book Antiqua" w:hAnsi="Book Antiqua"/>
          <w:sz w:val="22"/>
          <w:szCs w:val="22"/>
        </w:rPr>
      </w:pPr>
      <w:r w:rsidRPr="00BF1071">
        <w:rPr>
          <w:rFonts w:ascii="Book Antiqua" w:hAnsi="Book Antiqua"/>
          <w:sz w:val="22"/>
          <w:szCs w:val="22"/>
        </w:rPr>
        <w:t xml:space="preserve">Daňový bonus na vyživované dieťa do 15 rokov veku predstavuje sumu 100 eur mesačne, t. j. 1 200 eur ročne, o ktorú sa v súčasnosti znižuje daň z príjmov daňovníka. V nadväznosti na mechanizmus poukazovania podielu zaplatenej dane pre rodiča to znamená, že suma poukazovaná rodičom sa znižuje o 2 % z tejto čiastky, teda o 24 eur ročne za každé dieťa, a to pre každého z rodičov daňovníka. Pri uplatnení daňového bonusu na dve deti tak dochádza k zníženiu o 48 eur ročne pre každého z rodičov daňovníka a pri troch deťoch o 72 eur ročne pre každého z rodičov daňovníka. V prípade domácnosti dôchodcov, teda oboch rodičov daňovníka, môže ísť pri troch vnúčatách až o sumu 144 eur ročne, čo už predstavuje </w:t>
      </w:r>
      <w:r w:rsidRPr="00BF1071">
        <w:rPr>
          <w:rFonts w:ascii="Book Antiqua" w:hAnsi="Book Antiqua"/>
          <w:sz w:val="22"/>
          <w:szCs w:val="22"/>
        </w:rPr>
        <w:lastRenderedPageBreak/>
        <w:t>významný a citeľný zásah do ich celkového príjmu, a to výlučne v dôsledku nespravodlivo nastaveného systému.</w:t>
      </w:r>
    </w:p>
    <w:p w14:paraId="5C164506" w14:textId="77777777" w:rsidR="0066095A" w:rsidRPr="00193D1D" w:rsidRDefault="0066095A" w:rsidP="0066095A">
      <w:pPr>
        <w:pStyle w:val="Zkladntext"/>
        <w:spacing w:before="120" w:after="120"/>
        <w:ind w:firstLine="709"/>
        <w:rPr>
          <w:rFonts w:ascii="Book Antiqua" w:hAnsi="Book Antiqua"/>
          <w:sz w:val="22"/>
          <w:szCs w:val="22"/>
        </w:rPr>
      </w:pPr>
      <w:r w:rsidRPr="00193D1D">
        <w:rPr>
          <w:rFonts w:ascii="Book Antiqua" w:hAnsi="Book Antiqua"/>
          <w:sz w:val="22"/>
          <w:szCs w:val="22"/>
        </w:rPr>
        <w:t>Predkladaný návrh zákona preto sleduje jednoduchý, ale zásadný cieľ – odstrániť túto nespravodlivosť. Navrhuje sa, aby sa pre účely výpočtu podielu zaplatenej dane pre rodičov vychádzalo z dane, ktorá by bola zaplatená pred uplatnením daňového bonusu na dieťa, resp. aby sa zaplatená daň neznižovala o tento bonus. Zároveň sa zachová zohľadnenie daňového bonusu na zaplatené úroky v primeranom rozsahu.</w:t>
      </w:r>
    </w:p>
    <w:p w14:paraId="5D62D583" w14:textId="77777777" w:rsidR="0066095A" w:rsidRPr="00193D1D" w:rsidRDefault="0066095A" w:rsidP="0066095A">
      <w:pPr>
        <w:pStyle w:val="Zkladntext"/>
        <w:spacing w:before="120" w:after="120"/>
        <w:ind w:firstLine="709"/>
        <w:rPr>
          <w:rFonts w:ascii="Book Antiqua" w:hAnsi="Book Antiqua"/>
          <w:sz w:val="22"/>
          <w:szCs w:val="22"/>
        </w:rPr>
      </w:pPr>
      <w:r w:rsidRPr="00193D1D">
        <w:rPr>
          <w:rFonts w:ascii="Book Antiqua" w:hAnsi="Book Antiqua"/>
          <w:sz w:val="22"/>
          <w:szCs w:val="22"/>
        </w:rPr>
        <w:t>Cieľom právnej úpravy je zabezpečiť, aby systém podpory rodičov bol spravodlivý, predvídateľný a aby nepenalizoval rodiny za to, že vychovávajú deti. Návrh odstraňuje deformáciu, pri ktorej je výška podpory rodičov závislá od technického nastavenia daňových bonusov, a vracia systému jeho pôvodnú logiku – podporu rodičov prostredníctvom ekonomickej aktivity ich detí, bez nežiaducich vedľajších efektov.</w:t>
      </w:r>
    </w:p>
    <w:p w14:paraId="33A5F6BB" w14:textId="77777777" w:rsidR="0066095A" w:rsidRPr="00193D1D" w:rsidRDefault="0066095A" w:rsidP="0066095A">
      <w:pPr>
        <w:pStyle w:val="Zkladntext"/>
        <w:spacing w:before="120" w:after="120"/>
        <w:ind w:firstLine="709"/>
        <w:rPr>
          <w:rFonts w:ascii="Book Antiqua" w:hAnsi="Book Antiqua" w:cs="Times New Roman"/>
          <w:sz w:val="22"/>
          <w:szCs w:val="22"/>
        </w:rPr>
      </w:pPr>
      <w:r w:rsidRPr="00193D1D">
        <w:rPr>
          <w:rFonts w:ascii="Book Antiqua" w:hAnsi="Book Antiqua" w:cs="Times New Roman"/>
          <w:sz w:val="22"/>
          <w:szCs w:val="22"/>
        </w:rPr>
        <w:t>Návrh zákona je v súlade s Ústavou Slovenskej republiky, ústavnými zákonmi, nálezmi Ústavného súdu Slovenskej republiky, medzinárodnými zmluvami, ktorými je Slovenská republika viazaná a súčasne je v súlade s právom Európskej únie.</w:t>
      </w:r>
    </w:p>
    <w:p w14:paraId="00F72C3E" w14:textId="77777777" w:rsidR="0066095A" w:rsidRPr="00193D1D" w:rsidRDefault="0066095A" w:rsidP="0066095A">
      <w:pPr>
        <w:pStyle w:val="Zkladntext"/>
        <w:spacing w:before="120" w:after="120"/>
        <w:ind w:firstLine="709"/>
        <w:rPr>
          <w:rFonts w:ascii="Book Antiqua" w:hAnsi="Book Antiqua" w:cs="Times New Roman"/>
          <w:sz w:val="22"/>
          <w:szCs w:val="22"/>
        </w:rPr>
      </w:pPr>
      <w:r w:rsidRPr="00193D1D">
        <w:rPr>
          <w:rFonts w:ascii="Book Antiqua" w:hAnsi="Book Antiqua" w:cs="Times New Roman"/>
          <w:sz w:val="22"/>
          <w:szCs w:val="22"/>
        </w:rPr>
        <w:t>Návrh zákona má pozitívne sociálne vplyvy a pozitívne vplyvy na manželstvo, rodičovstvo a rodinu,  má negatívny vplyv na rozpočet verejnej správy, nemá žiadne vplyvy na podnikateľské prostredie,  žiadne vplyvy na životné prostredie, na informatizáciu spoločnosti a ani žiaden vplyv na služby verejnej správy pre občana.</w:t>
      </w:r>
    </w:p>
    <w:p w14:paraId="256904DE" w14:textId="77777777" w:rsidR="0066095A" w:rsidRPr="00216828" w:rsidRDefault="0066095A" w:rsidP="0066095A">
      <w:pPr>
        <w:pStyle w:val="Zkladntext"/>
        <w:jc w:val="center"/>
        <w:rPr>
          <w:rFonts w:ascii="Times New Roman" w:hAnsi="Times New Roman" w:cs="Times New Roman"/>
        </w:rPr>
      </w:pPr>
      <w:r w:rsidRPr="00216828">
        <w:rPr>
          <w:rFonts w:ascii="Times New Roman" w:hAnsi="Times New Roman" w:cs="Times New Roman"/>
          <w:b/>
          <w:bCs/>
          <w:caps/>
          <w:spacing w:val="30"/>
        </w:rPr>
        <w:br w:type="page"/>
      </w:r>
    </w:p>
    <w:p w14:paraId="48EC70EC" w14:textId="77777777" w:rsidR="0066095A" w:rsidRPr="00A064DA" w:rsidRDefault="0066095A" w:rsidP="0066095A">
      <w:pPr>
        <w:spacing w:before="120" w:after="120"/>
        <w:jc w:val="both"/>
        <w:rPr>
          <w:rFonts w:ascii="Book Antiqua" w:hAnsi="Book Antiqua"/>
          <w:b/>
          <w:sz w:val="22"/>
          <w:szCs w:val="22"/>
        </w:rPr>
      </w:pPr>
      <w:r w:rsidRPr="00A064DA">
        <w:rPr>
          <w:rFonts w:ascii="Book Antiqua" w:hAnsi="Book Antiqua"/>
          <w:b/>
          <w:bCs/>
          <w:sz w:val="22"/>
          <w:szCs w:val="22"/>
        </w:rPr>
        <w:lastRenderedPageBreak/>
        <w:t>B. Osobitná časť</w:t>
      </w:r>
    </w:p>
    <w:p w14:paraId="31B4DC86" w14:textId="77777777" w:rsidR="0066095A" w:rsidRPr="00A064DA" w:rsidRDefault="0066095A" w:rsidP="0066095A">
      <w:pPr>
        <w:spacing w:before="120" w:after="120"/>
        <w:jc w:val="both"/>
        <w:rPr>
          <w:rFonts w:ascii="Book Antiqua" w:hAnsi="Book Antiqua"/>
          <w:sz w:val="22"/>
          <w:szCs w:val="22"/>
        </w:rPr>
      </w:pPr>
    </w:p>
    <w:p w14:paraId="027CC71E" w14:textId="77777777" w:rsidR="0066095A" w:rsidRPr="00A064DA" w:rsidRDefault="0066095A" w:rsidP="0066095A">
      <w:pPr>
        <w:spacing w:before="120" w:after="120"/>
        <w:jc w:val="both"/>
        <w:rPr>
          <w:rFonts w:ascii="Book Antiqua" w:hAnsi="Book Antiqua"/>
          <w:b/>
          <w:bCs/>
          <w:sz w:val="22"/>
          <w:szCs w:val="22"/>
        </w:rPr>
      </w:pPr>
      <w:r w:rsidRPr="00A064DA">
        <w:rPr>
          <w:rFonts w:ascii="Book Antiqua" w:hAnsi="Book Antiqua"/>
          <w:b/>
          <w:bCs/>
          <w:sz w:val="22"/>
          <w:szCs w:val="22"/>
        </w:rPr>
        <w:t>K čl. I</w:t>
      </w:r>
    </w:p>
    <w:p w14:paraId="07EF737D" w14:textId="77777777" w:rsidR="0066095A" w:rsidRPr="00A064DA" w:rsidRDefault="0066095A" w:rsidP="0066095A">
      <w:pPr>
        <w:spacing w:before="120" w:after="120"/>
        <w:jc w:val="both"/>
        <w:rPr>
          <w:rFonts w:ascii="Book Antiqua" w:hAnsi="Book Antiqua"/>
          <w:bCs/>
          <w:sz w:val="22"/>
          <w:szCs w:val="22"/>
          <w:u w:val="single"/>
        </w:rPr>
      </w:pPr>
      <w:r w:rsidRPr="00A064DA">
        <w:rPr>
          <w:rFonts w:ascii="Book Antiqua" w:hAnsi="Book Antiqua"/>
          <w:bCs/>
          <w:sz w:val="22"/>
          <w:szCs w:val="22"/>
          <w:u w:val="single"/>
        </w:rPr>
        <w:t xml:space="preserve">K bodu 1 </w:t>
      </w:r>
    </w:p>
    <w:p w14:paraId="082E2EA0" w14:textId="77777777" w:rsidR="0066095A" w:rsidRDefault="0066095A" w:rsidP="0066095A">
      <w:pPr>
        <w:spacing w:before="120" w:after="120"/>
        <w:jc w:val="both"/>
        <w:rPr>
          <w:rFonts w:ascii="Book Antiqua" w:hAnsi="Book Antiqua"/>
          <w:bCs/>
          <w:sz w:val="22"/>
          <w:szCs w:val="22"/>
        </w:rPr>
      </w:pPr>
      <w:r w:rsidRPr="00A064DA">
        <w:rPr>
          <w:rFonts w:ascii="Book Antiqua" w:hAnsi="Book Antiqua"/>
          <w:bCs/>
          <w:sz w:val="22"/>
          <w:szCs w:val="22"/>
        </w:rPr>
        <w:t xml:space="preserve">Navrhuje sa úprava definície zaplatenej dane na účely poukazovania podielu zaplatenej dane rodičom tak, aby sa eliminoval negatívny vplyv uplatnenia daňového bonusu na dieťa na výšku tohto podielu. </w:t>
      </w:r>
    </w:p>
    <w:p w14:paraId="6EBF5AAC" w14:textId="77777777" w:rsidR="0066095A" w:rsidRDefault="0066095A" w:rsidP="0066095A">
      <w:pPr>
        <w:spacing w:before="120" w:after="120"/>
        <w:jc w:val="both"/>
        <w:rPr>
          <w:rFonts w:ascii="Book Antiqua" w:hAnsi="Book Antiqua"/>
          <w:bCs/>
          <w:sz w:val="22"/>
          <w:szCs w:val="22"/>
        </w:rPr>
      </w:pPr>
      <w:r>
        <w:rPr>
          <w:rFonts w:ascii="Book Antiqua" w:hAnsi="Book Antiqua"/>
          <w:bCs/>
          <w:sz w:val="22"/>
          <w:szCs w:val="22"/>
        </w:rPr>
        <w:t>Podľa súčasne právnej úpravy § 50aa ods. 1 zákona č. 595/2003 Z. z. o dani z príjmov v znení neskorších predpisov sa pri poukazovaní podielu zaplatenej dane pre rodiča vo výške 2% za zaplatenú daň považuje:</w:t>
      </w:r>
    </w:p>
    <w:p w14:paraId="3E067006" w14:textId="77777777" w:rsidR="0066095A" w:rsidRDefault="0066095A" w:rsidP="0066095A">
      <w:pPr>
        <w:pStyle w:val="Odsekzoznamu"/>
        <w:widowControl w:val="0"/>
        <w:numPr>
          <w:ilvl w:val="0"/>
          <w:numId w:val="1"/>
        </w:numPr>
        <w:suppressAutoHyphens/>
        <w:spacing w:before="120" w:after="120"/>
        <w:contextualSpacing w:val="0"/>
        <w:jc w:val="both"/>
        <w:rPr>
          <w:rFonts w:ascii="Book Antiqua" w:hAnsi="Book Antiqua"/>
          <w:bCs/>
          <w:sz w:val="22"/>
          <w:szCs w:val="22"/>
        </w:rPr>
      </w:pPr>
      <w:r>
        <w:rPr>
          <w:rFonts w:ascii="Book Antiqua" w:hAnsi="Book Antiqua"/>
          <w:bCs/>
          <w:sz w:val="22"/>
          <w:szCs w:val="22"/>
        </w:rPr>
        <w:t>zaplatená daň znížená o d</w:t>
      </w:r>
      <w:r w:rsidRPr="006175E0">
        <w:rPr>
          <w:rFonts w:ascii="Book Antiqua" w:hAnsi="Book Antiqua"/>
          <w:bCs/>
          <w:sz w:val="22"/>
          <w:szCs w:val="22"/>
        </w:rPr>
        <w:t>aňový bonus podľa § 33</w:t>
      </w:r>
      <w:r>
        <w:rPr>
          <w:rFonts w:ascii="Book Antiqua" w:hAnsi="Book Antiqua"/>
          <w:bCs/>
          <w:sz w:val="22"/>
          <w:szCs w:val="22"/>
        </w:rPr>
        <w:t>, alebo</w:t>
      </w:r>
    </w:p>
    <w:p w14:paraId="18046C93" w14:textId="77777777" w:rsidR="0066095A" w:rsidRDefault="0066095A" w:rsidP="0066095A">
      <w:pPr>
        <w:pStyle w:val="Odsekzoznamu"/>
        <w:widowControl w:val="0"/>
        <w:numPr>
          <w:ilvl w:val="0"/>
          <w:numId w:val="1"/>
        </w:numPr>
        <w:suppressAutoHyphens/>
        <w:spacing w:before="120" w:after="120"/>
        <w:contextualSpacing w:val="0"/>
        <w:jc w:val="both"/>
        <w:rPr>
          <w:rFonts w:ascii="Book Antiqua" w:hAnsi="Book Antiqua"/>
          <w:bCs/>
          <w:sz w:val="22"/>
          <w:szCs w:val="22"/>
        </w:rPr>
      </w:pPr>
      <w:r>
        <w:rPr>
          <w:rFonts w:ascii="Book Antiqua" w:hAnsi="Book Antiqua"/>
          <w:bCs/>
          <w:sz w:val="22"/>
          <w:szCs w:val="22"/>
        </w:rPr>
        <w:t xml:space="preserve">zaplatená daň znížená o daňový bonus na zaplatené úroky podľa § 33a, alebo </w:t>
      </w:r>
    </w:p>
    <w:p w14:paraId="7CC6076F" w14:textId="77777777" w:rsidR="0066095A" w:rsidRPr="006175E0" w:rsidRDefault="0066095A" w:rsidP="0066095A">
      <w:pPr>
        <w:pStyle w:val="Odsekzoznamu"/>
        <w:widowControl w:val="0"/>
        <w:numPr>
          <w:ilvl w:val="0"/>
          <w:numId w:val="1"/>
        </w:numPr>
        <w:suppressAutoHyphens/>
        <w:spacing w:before="120" w:after="120"/>
        <w:contextualSpacing w:val="0"/>
        <w:jc w:val="both"/>
        <w:rPr>
          <w:rFonts w:ascii="Book Antiqua" w:hAnsi="Book Antiqua"/>
          <w:bCs/>
          <w:sz w:val="22"/>
          <w:szCs w:val="22"/>
        </w:rPr>
      </w:pPr>
      <w:r>
        <w:rPr>
          <w:rFonts w:ascii="Book Antiqua" w:hAnsi="Book Antiqua"/>
          <w:bCs/>
          <w:sz w:val="22"/>
          <w:szCs w:val="22"/>
        </w:rPr>
        <w:t>zaplatená daň znížená o d</w:t>
      </w:r>
      <w:r w:rsidRPr="006175E0">
        <w:rPr>
          <w:rFonts w:ascii="Book Antiqua" w:hAnsi="Book Antiqua"/>
          <w:bCs/>
          <w:sz w:val="22"/>
          <w:szCs w:val="22"/>
        </w:rPr>
        <w:t>aňový bonus podľa § 33</w:t>
      </w:r>
      <w:r>
        <w:rPr>
          <w:rFonts w:ascii="Book Antiqua" w:hAnsi="Book Antiqua"/>
          <w:bCs/>
          <w:sz w:val="22"/>
          <w:szCs w:val="22"/>
        </w:rPr>
        <w:t xml:space="preserve"> a o daňový bonus na zaplatené úroky podľa § 33a.</w:t>
      </w:r>
    </w:p>
    <w:p w14:paraId="54182AD4" w14:textId="77777777" w:rsidR="0066095A" w:rsidRPr="00193D1D" w:rsidRDefault="0066095A" w:rsidP="0066095A">
      <w:pPr>
        <w:spacing w:before="120" w:after="120"/>
        <w:jc w:val="both"/>
        <w:rPr>
          <w:rFonts w:ascii="Book Antiqua" w:hAnsi="Book Antiqua"/>
          <w:sz w:val="22"/>
          <w:szCs w:val="22"/>
        </w:rPr>
      </w:pPr>
      <w:r>
        <w:rPr>
          <w:rFonts w:ascii="Book Antiqua" w:hAnsi="Book Antiqua"/>
          <w:bCs/>
          <w:sz w:val="22"/>
          <w:szCs w:val="22"/>
        </w:rPr>
        <w:t>Podľa navrhovanej právnej úpravy</w:t>
      </w:r>
      <w:r w:rsidRPr="00A064DA">
        <w:rPr>
          <w:rFonts w:ascii="Book Antiqua" w:hAnsi="Book Antiqua"/>
          <w:bCs/>
          <w:sz w:val="22"/>
          <w:szCs w:val="22"/>
        </w:rPr>
        <w:t xml:space="preserve"> sa bude za zaplatenú daň považovať daň, </w:t>
      </w:r>
      <w:r w:rsidRPr="00193D1D">
        <w:rPr>
          <w:rFonts w:ascii="Book Antiqua" w:hAnsi="Book Antiqua"/>
          <w:sz w:val="22"/>
          <w:szCs w:val="22"/>
        </w:rPr>
        <w:t>ktorá by bola zaplatená pred uplatnením daňového bonusu na dieťa, resp. aby sa zaplatená daň neznižovala o tento bonus</w:t>
      </w:r>
      <w:r>
        <w:rPr>
          <w:rFonts w:ascii="Book Antiqua" w:hAnsi="Book Antiqua"/>
          <w:sz w:val="22"/>
          <w:szCs w:val="22"/>
        </w:rPr>
        <w:t xml:space="preserve"> (t. j. daňový bonus na dieťa podľa § 33)</w:t>
      </w:r>
      <w:r w:rsidRPr="00193D1D">
        <w:rPr>
          <w:rFonts w:ascii="Book Antiqua" w:hAnsi="Book Antiqua"/>
          <w:sz w:val="22"/>
          <w:szCs w:val="22"/>
        </w:rPr>
        <w:t xml:space="preserve">. </w:t>
      </w:r>
      <w:r>
        <w:rPr>
          <w:rFonts w:ascii="Book Antiqua" w:hAnsi="Book Antiqua"/>
          <w:sz w:val="22"/>
          <w:szCs w:val="22"/>
        </w:rPr>
        <w:t xml:space="preserve">Navrhovaná právna úprava nemení </w:t>
      </w:r>
      <w:r w:rsidRPr="00193D1D">
        <w:rPr>
          <w:rFonts w:ascii="Book Antiqua" w:hAnsi="Book Antiqua"/>
          <w:sz w:val="22"/>
          <w:szCs w:val="22"/>
        </w:rPr>
        <w:t>zohľadnenie daňového bonusu na zapla</w:t>
      </w:r>
      <w:r>
        <w:rPr>
          <w:rFonts w:ascii="Book Antiqua" w:hAnsi="Book Antiqua"/>
          <w:sz w:val="22"/>
          <w:szCs w:val="22"/>
        </w:rPr>
        <w:t xml:space="preserve">tené úroky. </w:t>
      </w:r>
    </w:p>
    <w:p w14:paraId="3E2FEA72" w14:textId="77777777" w:rsidR="0066095A" w:rsidRDefault="0066095A" w:rsidP="0066095A">
      <w:pPr>
        <w:spacing w:before="120" w:after="120"/>
        <w:jc w:val="both"/>
        <w:rPr>
          <w:rFonts w:ascii="Book Antiqua" w:hAnsi="Book Antiqua"/>
          <w:bCs/>
          <w:sz w:val="22"/>
          <w:szCs w:val="22"/>
        </w:rPr>
      </w:pPr>
      <w:r>
        <w:rPr>
          <w:rFonts w:ascii="Book Antiqua" w:hAnsi="Book Antiqua"/>
          <w:bCs/>
          <w:sz w:val="22"/>
          <w:szCs w:val="22"/>
        </w:rPr>
        <w:t>Po novom sa za pri poukazovaní podielu zaplatenej dane pre rodiča vo výške 2% za zaplatenú daň považuje:</w:t>
      </w:r>
    </w:p>
    <w:p w14:paraId="4F41F2AD" w14:textId="77777777" w:rsidR="0066095A" w:rsidRDefault="0066095A" w:rsidP="0066095A">
      <w:pPr>
        <w:pStyle w:val="Odsekzoznamu"/>
        <w:widowControl w:val="0"/>
        <w:numPr>
          <w:ilvl w:val="0"/>
          <w:numId w:val="2"/>
        </w:numPr>
        <w:suppressAutoHyphens/>
        <w:spacing w:before="120" w:after="120"/>
        <w:contextualSpacing w:val="0"/>
        <w:jc w:val="both"/>
        <w:rPr>
          <w:rFonts w:ascii="Book Antiqua" w:hAnsi="Book Antiqua"/>
          <w:bCs/>
          <w:sz w:val="22"/>
          <w:szCs w:val="22"/>
        </w:rPr>
      </w:pPr>
      <w:r>
        <w:rPr>
          <w:rFonts w:ascii="Book Antiqua" w:hAnsi="Book Antiqua"/>
          <w:bCs/>
          <w:sz w:val="22"/>
          <w:szCs w:val="22"/>
        </w:rPr>
        <w:t>zaplatená daň, ktorá by mala byť zaplatená, ak by si daňovník neuplatnil d</w:t>
      </w:r>
      <w:r w:rsidRPr="006175E0">
        <w:rPr>
          <w:rFonts w:ascii="Book Antiqua" w:hAnsi="Book Antiqua"/>
          <w:bCs/>
          <w:sz w:val="22"/>
          <w:szCs w:val="22"/>
        </w:rPr>
        <w:t>aňový bonus podľa § 33</w:t>
      </w:r>
      <w:r>
        <w:rPr>
          <w:rFonts w:ascii="Book Antiqua" w:hAnsi="Book Antiqua"/>
          <w:bCs/>
          <w:sz w:val="22"/>
          <w:szCs w:val="22"/>
        </w:rPr>
        <w:t>, alebo</w:t>
      </w:r>
    </w:p>
    <w:p w14:paraId="3007B9D4" w14:textId="77777777" w:rsidR="0066095A" w:rsidRDefault="0066095A" w:rsidP="0066095A">
      <w:pPr>
        <w:pStyle w:val="Odsekzoznamu"/>
        <w:widowControl w:val="0"/>
        <w:numPr>
          <w:ilvl w:val="0"/>
          <w:numId w:val="2"/>
        </w:numPr>
        <w:suppressAutoHyphens/>
        <w:spacing w:before="120" w:after="120"/>
        <w:contextualSpacing w:val="0"/>
        <w:jc w:val="both"/>
        <w:rPr>
          <w:rFonts w:ascii="Book Antiqua" w:hAnsi="Book Antiqua"/>
          <w:bCs/>
          <w:sz w:val="22"/>
          <w:szCs w:val="22"/>
        </w:rPr>
      </w:pPr>
      <w:r>
        <w:rPr>
          <w:rFonts w:ascii="Book Antiqua" w:hAnsi="Book Antiqua"/>
          <w:bCs/>
          <w:sz w:val="22"/>
          <w:szCs w:val="22"/>
        </w:rPr>
        <w:t xml:space="preserve">zaplatená daň znížená o daňový bonus na zaplatené úroky podľa § 33a, alebo </w:t>
      </w:r>
    </w:p>
    <w:p w14:paraId="3370D1D5" w14:textId="77777777" w:rsidR="0066095A" w:rsidRPr="006175E0" w:rsidRDefault="0066095A" w:rsidP="0066095A">
      <w:pPr>
        <w:pStyle w:val="Odsekzoznamu"/>
        <w:widowControl w:val="0"/>
        <w:numPr>
          <w:ilvl w:val="0"/>
          <w:numId w:val="2"/>
        </w:numPr>
        <w:suppressAutoHyphens/>
        <w:spacing w:before="120" w:after="120"/>
        <w:contextualSpacing w:val="0"/>
        <w:jc w:val="both"/>
        <w:rPr>
          <w:rFonts w:ascii="Book Antiqua" w:hAnsi="Book Antiqua"/>
          <w:bCs/>
          <w:sz w:val="22"/>
          <w:szCs w:val="22"/>
        </w:rPr>
      </w:pPr>
      <w:r>
        <w:rPr>
          <w:rFonts w:ascii="Book Antiqua" w:hAnsi="Book Antiqua"/>
          <w:bCs/>
          <w:sz w:val="22"/>
          <w:szCs w:val="22"/>
        </w:rPr>
        <w:t>zaplatená daň, ktorá by mala byť zaplatená, ak by si daňovník neuplatnil d</w:t>
      </w:r>
      <w:r w:rsidRPr="006175E0">
        <w:rPr>
          <w:rFonts w:ascii="Book Antiqua" w:hAnsi="Book Antiqua"/>
          <w:bCs/>
          <w:sz w:val="22"/>
          <w:szCs w:val="22"/>
        </w:rPr>
        <w:t>aňový bonus podľa § 33</w:t>
      </w:r>
      <w:r>
        <w:rPr>
          <w:rFonts w:ascii="Book Antiqua" w:hAnsi="Book Antiqua"/>
          <w:bCs/>
          <w:sz w:val="22"/>
          <w:szCs w:val="22"/>
        </w:rPr>
        <w:t xml:space="preserve"> a znížená o daňový bonus na zaplatené úroky podľa § 33a.</w:t>
      </w:r>
    </w:p>
    <w:p w14:paraId="0A2EADBA" w14:textId="77777777" w:rsidR="0066095A" w:rsidRPr="00A064DA" w:rsidRDefault="0066095A" w:rsidP="0066095A">
      <w:pPr>
        <w:spacing w:before="120" w:after="120"/>
        <w:jc w:val="both"/>
        <w:rPr>
          <w:rFonts w:ascii="Book Antiqua" w:hAnsi="Book Antiqua"/>
          <w:bCs/>
          <w:sz w:val="22"/>
          <w:szCs w:val="22"/>
        </w:rPr>
      </w:pPr>
      <w:r w:rsidRPr="00A064DA">
        <w:rPr>
          <w:rFonts w:ascii="Book Antiqua" w:hAnsi="Book Antiqua"/>
          <w:bCs/>
          <w:sz w:val="22"/>
          <w:szCs w:val="22"/>
        </w:rPr>
        <w:t>Cieľom je zabezpečiť, aby uplatnenie daňového bonusu na dieťa neznižovalo podporu pre rodičov daňovníka.</w:t>
      </w:r>
    </w:p>
    <w:p w14:paraId="3BCB67C7" w14:textId="77777777" w:rsidR="0066095A" w:rsidRPr="00A064DA" w:rsidRDefault="0066095A" w:rsidP="0066095A">
      <w:pPr>
        <w:spacing w:before="120" w:after="120"/>
        <w:jc w:val="both"/>
        <w:rPr>
          <w:rFonts w:ascii="Book Antiqua" w:hAnsi="Book Antiqua"/>
          <w:bCs/>
          <w:sz w:val="22"/>
          <w:szCs w:val="22"/>
          <w:u w:val="single"/>
        </w:rPr>
      </w:pPr>
      <w:r w:rsidRPr="00A064DA">
        <w:rPr>
          <w:rFonts w:ascii="Book Antiqua" w:hAnsi="Book Antiqua"/>
          <w:bCs/>
          <w:sz w:val="22"/>
          <w:szCs w:val="22"/>
          <w:u w:val="single"/>
        </w:rPr>
        <w:t>K bodu 2</w:t>
      </w:r>
    </w:p>
    <w:p w14:paraId="05590168" w14:textId="77777777" w:rsidR="0066095A" w:rsidRPr="00A064DA" w:rsidRDefault="0066095A" w:rsidP="0066095A">
      <w:pPr>
        <w:spacing w:before="120" w:after="120"/>
        <w:jc w:val="both"/>
        <w:rPr>
          <w:rFonts w:ascii="Book Antiqua" w:hAnsi="Book Antiqua"/>
          <w:bCs/>
          <w:sz w:val="22"/>
          <w:szCs w:val="22"/>
        </w:rPr>
      </w:pPr>
      <w:r w:rsidRPr="00A064DA">
        <w:rPr>
          <w:rFonts w:ascii="Book Antiqua" w:hAnsi="Book Antiqua"/>
          <w:bCs/>
          <w:sz w:val="22"/>
          <w:szCs w:val="22"/>
        </w:rPr>
        <w:t>Navrhuje sa prechodné ustanovenie, ktorým sa zabezpečí prvé uplatnenie novej právnej úpravy pri poukazovaní podielu zaplatenej dane za zdaňovacie obdobie začínajúce najskôr 1. januára 2026. To znamená, že upravený spôsob určenia sumy zaplatenej dane sa prvýkrát použije pri poukazovaní podielu zaplatenej dane vo výške 2 % z dane z príjmov dosiahnutých od 1. januára 2026. Účelom je zabezpečiť právnu istotu a jednoznačný výklad pri aplikácii novej právnej úpravy v praxi.</w:t>
      </w:r>
    </w:p>
    <w:p w14:paraId="4297AA87" w14:textId="77777777" w:rsidR="0066095A" w:rsidRDefault="0066095A" w:rsidP="0066095A">
      <w:pPr>
        <w:spacing w:before="120" w:after="120"/>
        <w:jc w:val="both"/>
        <w:rPr>
          <w:rFonts w:ascii="Book Antiqua" w:hAnsi="Book Antiqua"/>
          <w:b/>
          <w:bCs/>
          <w:sz w:val="22"/>
          <w:szCs w:val="22"/>
        </w:rPr>
      </w:pPr>
    </w:p>
    <w:p w14:paraId="4F75DC47" w14:textId="77777777" w:rsidR="0066095A" w:rsidRPr="00A064DA" w:rsidRDefault="0066095A" w:rsidP="0066095A">
      <w:pPr>
        <w:spacing w:before="120" w:after="120"/>
        <w:jc w:val="both"/>
        <w:rPr>
          <w:rFonts w:ascii="Book Antiqua" w:hAnsi="Book Antiqua"/>
          <w:bCs/>
          <w:sz w:val="22"/>
          <w:szCs w:val="22"/>
          <w:u w:val="single"/>
        </w:rPr>
      </w:pPr>
      <w:r w:rsidRPr="00A064DA">
        <w:rPr>
          <w:rFonts w:ascii="Book Antiqua" w:hAnsi="Book Antiqua"/>
          <w:b/>
          <w:bCs/>
          <w:sz w:val="22"/>
          <w:szCs w:val="22"/>
        </w:rPr>
        <w:t>K čl. II</w:t>
      </w:r>
    </w:p>
    <w:p w14:paraId="77906475" w14:textId="77777777" w:rsidR="0066095A" w:rsidRPr="00A064DA" w:rsidRDefault="0066095A" w:rsidP="0066095A">
      <w:pPr>
        <w:spacing w:before="120" w:after="120"/>
        <w:rPr>
          <w:rFonts w:ascii="Book Antiqua" w:hAnsi="Book Antiqua"/>
          <w:sz w:val="22"/>
          <w:szCs w:val="22"/>
        </w:rPr>
      </w:pPr>
      <w:r w:rsidRPr="00A064DA">
        <w:rPr>
          <w:rFonts w:ascii="Book Antiqua" w:hAnsi="Book Antiqua"/>
          <w:sz w:val="22"/>
          <w:szCs w:val="22"/>
        </w:rPr>
        <w:t>Navrhuje sa účinnosť predkladaného zákona od 1. januára 2027.</w:t>
      </w:r>
    </w:p>
    <w:p w14:paraId="796AE672" w14:textId="77777777" w:rsidR="0066095A" w:rsidRPr="00A064DA" w:rsidRDefault="0066095A" w:rsidP="0066095A">
      <w:pPr>
        <w:rPr>
          <w:rFonts w:ascii="Book Antiqua" w:hAnsi="Book Antiqua"/>
          <w:sz w:val="22"/>
          <w:szCs w:val="22"/>
        </w:rPr>
      </w:pPr>
    </w:p>
    <w:p w14:paraId="15178CB1" w14:textId="77777777" w:rsidR="0066095A" w:rsidRPr="00216828" w:rsidRDefault="0066095A" w:rsidP="0066095A"/>
    <w:p w14:paraId="437D1DB8" w14:textId="77777777" w:rsidR="0066095A" w:rsidRDefault="0066095A" w:rsidP="0066095A">
      <w:pPr>
        <w:pStyle w:val="Zkladntext"/>
        <w:jc w:val="center"/>
        <w:rPr>
          <w:rFonts w:ascii="Times New Roman" w:hAnsi="Times New Roman" w:cs="Times New Roman"/>
          <w:b/>
          <w:bCs/>
          <w:caps/>
          <w:spacing w:val="30"/>
        </w:rPr>
      </w:pPr>
      <w:r>
        <w:rPr>
          <w:rFonts w:ascii="Times New Roman" w:hAnsi="Times New Roman" w:cs="Times New Roman"/>
          <w:b/>
          <w:bCs/>
          <w:caps/>
          <w:spacing w:val="30"/>
        </w:rPr>
        <w:br w:type="page"/>
      </w:r>
    </w:p>
    <w:p w14:paraId="38B35071" w14:textId="77777777" w:rsidR="007876F7" w:rsidRDefault="007876F7"/>
    <w:sectPr w:rsidR="00787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3884"/>
    <w:multiLevelType w:val="hybridMultilevel"/>
    <w:tmpl w:val="845E93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FCD35A7"/>
    <w:multiLevelType w:val="hybridMultilevel"/>
    <w:tmpl w:val="845E93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99216080">
    <w:abstractNumId w:val="0"/>
  </w:num>
  <w:num w:numId="2" w16cid:durableId="38285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5A"/>
    <w:rsid w:val="0066095A"/>
    <w:rsid w:val="007876F7"/>
    <w:rsid w:val="00872422"/>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B968B"/>
  <w15:chartTrackingRefBased/>
  <w15:docId w15:val="{EE686241-32B3-4869-8171-C2F924DB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6095A"/>
    <w:pPr>
      <w:spacing w:after="0" w:line="240" w:lineRule="auto"/>
    </w:pPr>
    <w:rPr>
      <w:rFonts w:ascii="Times New Roman" w:eastAsia="Times New Roman" w:hAnsi="Times New Roman" w:cs="Times New Roman"/>
      <w:kern w:val="0"/>
      <w:lang w:eastAsia="sk-SK"/>
      <w14:ligatures w14:val="none"/>
    </w:rPr>
  </w:style>
  <w:style w:type="paragraph" w:styleId="Nadpis1">
    <w:name w:val="heading 1"/>
    <w:aliases w:val="Čo robí (časť)"/>
    <w:basedOn w:val="Normlny"/>
    <w:next w:val="Normlny"/>
    <w:link w:val="Nadpis1Char"/>
    <w:uiPriority w:val="99"/>
    <w:qFormat/>
    <w:rsid w:val="00660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Úloha"/>
    <w:basedOn w:val="Normlny"/>
    <w:next w:val="Normlny"/>
    <w:link w:val="Nadpis2Char"/>
    <w:uiPriority w:val="99"/>
    <w:unhideWhenUsed/>
    <w:qFormat/>
    <w:rsid w:val="00660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Podúloha"/>
    <w:basedOn w:val="Normlny"/>
    <w:next w:val="Normlny"/>
    <w:link w:val="Nadpis3Char"/>
    <w:uiPriority w:val="99"/>
    <w:unhideWhenUsed/>
    <w:qFormat/>
    <w:rsid w:val="0066095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aliases w:val="Termín"/>
    <w:basedOn w:val="Normlny"/>
    <w:next w:val="Normlny"/>
    <w:link w:val="Nadpis4Char"/>
    <w:uiPriority w:val="99"/>
    <w:unhideWhenUsed/>
    <w:qFormat/>
    <w:rsid w:val="0066095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66095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66095A"/>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66095A"/>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66095A"/>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66095A"/>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uiPriority w:val="99"/>
    <w:rsid w:val="0066095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6095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6095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6095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6095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6095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6095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6095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6095A"/>
    <w:rPr>
      <w:rFonts w:eastAsiaTheme="majorEastAsia" w:cstheme="majorBidi"/>
      <w:color w:val="272727" w:themeColor="text1" w:themeTint="D8"/>
    </w:rPr>
  </w:style>
  <w:style w:type="paragraph" w:styleId="Nzov">
    <w:name w:val="Title"/>
    <w:basedOn w:val="Normlny"/>
    <w:next w:val="Normlny"/>
    <w:link w:val="NzovChar"/>
    <w:uiPriority w:val="99"/>
    <w:qFormat/>
    <w:rsid w:val="0066095A"/>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66095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6095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6095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6095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6095A"/>
    <w:rPr>
      <w:i/>
      <w:iCs/>
      <w:color w:val="404040" w:themeColor="text1" w:themeTint="BF"/>
    </w:rPr>
  </w:style>
  <w:style w:type="paragraph" w:styleId="Odsekzoznamu">
    <w:name w:val="List Paragraph"/>
    <w:basedOn w:val="Normlny"/>
    <w:uiPriority w:val="34"/>
    <w:qFormat/>
    <w:rsid w:val="0066095A"/>
    <w:pPr>
      <w:ind w:left="720"/>
      <w:contextualSpacing/>
    </w:pPr>
  </w:style>
  <w:style w:type="character" w:styleId="Intenzvnezvraznenie">
    <w:name w:val="Intense Emphasis"/>
    <w:basedOn w:val="Predvolenpsmoodseku"/>
    <w:uiPriority w:val="21"/>
    <w:qFormat/>
    <w:rsid w:val="0066095A"/>
    <w:rPr>
      <w:i/>
      <w:iCs/>
      <w:color w:val="0F4761" w:themeColor="accent1" w:themeShade="BF"/>
    </w:rPr>
  </w:style>
  <w:style w:type="paragraph" w:styleId="Zvraznencitcia">
    <w:name w:val="Intense Quote"/>
    <w:basedOn w:val="Normlny"/>
    <w:next w:val="Normlny"/>
    <w:link w:val="ZvraznencitciaChar"/>
    <w:uiPriority w:val="30"/>
    <w:qFormat/>
    <w:rsid w:val="00660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6095A"/>
    <w:rPr>
      <w:i/>
      <w:iCs/>
      <w:color w:val="0F4761" w:themeColor="accent1" w:themeShade="BF"/>
    </w:rPr>
  </w:style>
  <w:style w:type="character" w:styleId="Zvraznenodkaz">
    <w:name w:val="Intense Reference"/>
    <w:basedOn w:val="Predvolenpsmoodseku"/>
    <w:uiPriority w:val="32"/>
    <w:qFormat/>
    <w:rsid w:val="0066095A"/>
    <w:rPr>
      <w:b/>
      <w:bCs/>
      <w:smallCaps/>
      <w:color w:val="0F4761" w:themeColor="accent1" w:themeShade="BF"/>
      <w:spacing w:val="5"/>
    </w:rPr>
  </w:style>
  <w:style w:type="paragraph" w:styleId="Zkladntext">
    <w:name w:val="Body Text"/>
    <w:basedOn w:val="Normlny"/>
    <w:link w:val="ZkladntextChar"/>
    <w:uiPriority w:val="99"/>
    <w:rsid w:val="0066095A"/>
    <w:pPr>
      <w:jc w:val="both"/>
    </w:pPr>
    <w:rPr>
      <w:rFonts w:ascii="Verdana" w:hAnsi="Verdana" w:cs="Verdana"/>
    </w:rPr>
  </w:style>
  <w:style w:type="character" w:customStyle="1" w:styleId="ZkladntextChar">
    <w:name w:val="Základný text Char"/>
    <w:basedOn w:val="Predvolenpsmoodseku"/>
    <w:link w:val="Zkladntext"/>
    <w:uiPriority w:val="99"/>
    <w:rsid w:val="0066095A"/>
    <w:rPr>
      <w:rFonts w:ascii="Verdana" w:eastAsia="Times New Roman" w:hAnsi="Verdana" w:cs="Verdana"/>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6008</Characters>
  <DocSecurity>0</DocSecurity>
  <Lines>50</Lines>
  <Paragraphs>14</Paragraphs>
  <ScaleCrop>false</ScaleCrop>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2026-05-07T18:05:00Z</dcterms:created>
  <dcterms:modified xsi:type="dcterms:W3CDTF">2026-05-07T18:05:00Z</dcterms:modified>
</cp:coreProperties>
</file>