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6F64C" w14:textId="77777777" w:rsidR="00A14CB5" w:rsidRPr="00114D70" w:rsidRDefault="00A14CB5" w:rsidP="00A14CB5">
      <w:pPr>
        <w:pBdr>
          <w:top w:val="nil"/>
          <w:left w:val="nil"/>
          <w:bottom w:val="nil"/>
          <w:right w:val="nil"/>
          <w:between w:val="nil"/>
        </w:pBdr>
        <w:tabs>
          <w:tab w:val="center" w:pos="4536"/>
          <w:tab w:val="right" w:pos="9072"/>
          <w:tab w:val="left" w:pos="708"/>
        </w:tabs>
        <w:spacing w:after="0" w:line="240" w:lineRule="auto"/>
        <w:jc w:val="center"/>
        <w:rPr>
          <w:rFonts w:ascii="Book Antiqua" w:eastAsia="Times New Roman" w:hAnsi="Book Antiqua" w:cs="Times New Roman"/>
          <w:b/>
          <w:color w:val="000000"/>
        </w:rPr>
      </w:pPr>
      <w:r w:rsidRPr="00114D70">
        <w:rPr>
          <w:rFonts w:ascii="Book Antiqua" w:eastAsia="Times New Roman" w:hAnsi="Book Antiqua" w:cs="Times New Roman"/>
          <w:b/>
          <w:color w:val="000000"/>
        </w:rPr>
        <w:t>DÔVODOVÁ SPRÁVA</w:t>
      </w:r>
    </w:p>
    <w:p w14:paraId="2CB385A5" w14:textId="77777777" w:rsidR="00A14CB5" w:rsidRPr="00114D70" w:rsidRDefault="00A14CB5" w:rsidP="00A14CB5">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7E1AE214" w14:textId="77777777" w:rsidR="00A14CB5" w:rsidRPr="00114D70" w:rsidRDefault="00A14CB5" w:rsidP="00A14CB5">
      <w:pPr>
        <w:pBdr>
          <w:top w:val="nil"/>
          <w:left w:val="nil"/>
          <w:bottom w:val="nil"/>
          <w:right w:val="nil"/>
          <w:between w:val="nil"/>
        </w:pBdr>
        <w:tabs>
          <w:tab w:val="center" w:pos="4536"/>
          <w:tab w:val="right" w:pos="9072"/>
          <w:tab w:val="left" w:pos="708"/>
        </w:tabs>
        <w:spacing w:after="0" w:line="276" w:lineRule="auto"/>
        <w:jc w:val="both"/>
        <w:rPr>
          <w:rFonts w:ascii="Book Antiqua" w:eastAsia="Times New Roman" w:hAnsi="Book Antiqua" w:cs="Times New Roman"/>
          <w:b/>
          <w:color w:val="000000"/>
        </w:rPr>
      </w:pPr>
      <w:r w:rsidRPr="00114D70">
        <w:rPr>
          <w:rFonts w:ascii="Book Antiqua" w:eastAsia="Times New Roman" w:hAnsi="Book Antiqua" w:cs="Times New Roman"/>
          <w:b/>
          <w:color w:val="000000"/>
        </w:rPr>
        <w:t xml:space="preserve">A. VŠEOBECNÁ ČASŤ </w:t>
      </w:r>
    </w:p>
    <w:p w14:paraId="686022FB" w14:textId="77777777" w:rsidR="00A14CB5" w:rsidRPr="00114D70" w:rsidRDefault="00A14CB5" w:rsidP="00A14CB5">
      <w:pPr>
        <w:pBdr>
          <w:top w:val="nil"/>
          <w:left w:val="nil"/>
          <w:bottom w:val="nil"/>
          <w:right w:val="nil"/>
          <w:between w:val="nil"/>
        </w:pBdr>
        <w:tabs>
          <w:tab w:val="right" w:pos="9072"/>
          <w:tab w:val="left" w:pos="708"/>
        </w:tabs>
        <w:spacing w:after="0" w:line="276" w:lineRule="auto"/>
        <w:jc w:val="both"/>
        <w:rPr>
          <w:rFonts w:ascii="Book Antiqua" w:eastAsia="Times New Roman" w:hAnsi="Book Antiqua" w:cs="Times New Roman"/>
          <w:color w:val="000000"/>
        </w:rPr>
      </w:pPr>
    </w:p>
    <w:p w14:paraId="4B2AF1FE" w14:textId="77777777" w:rsidR="00A14CB5" w:rsidRPr="00114D70" w:rsidRDefault="00A14CB5" w:rsidP="00A14CB5">
      <w:pPr>
        <w:tabs>
          <w:tab w:val="left" w:pos="709"/>
        </w:tabs>
        <w:spacing w:before="120" w:after="0" w:line="276" w:lineRule="auto"/>
        <w:jc w:val="both"/>
        <w:rPr>
          <w:rFonts w:ascii="Book Antiqua" w:hAnsi="Book Antiqua"/>
        </w:rPr>
      </w:pPr>
      <w:bookmarkStart w:id="0" w:name="_Hlk118722197"/>
      <w:r w:rsidRPr="00114D70">
        <w:rPr>
          <w:rFonts w:ascii="Book Antiqua" w:eastAsia="Times New Roman" w:hAnsi="Book Antiqua" w:cs="Times New Roman"/>
          <w:color w:val="000000"/>
        </w:rPr>
        <w:tab/>
      </w:r>
      <w:bookmarkStart w:id="1" w:name="_Hlk177390119"/>
      <w:bookmarkStart w:id="2" w:name="_Hlk206505639"/>
      <w:r w:rsidRPr="00114D70">
        <w:rPr>
          <w:rFonts w:ascii="Book Antiqua" w:hAnsi="Book Antiqua"/>
        </w:rPr>
        <w:t>Návrh ústavného zákona</w:t>
      </w:r>
      <w:bookmarkStart w:id="3" w:name="_Hlk127200235"/>
      <w:bookmarkStart w:id="4" w:name="_Hlk127199157"/>
      <w:r w:rsidRPr="00114D70">
        <w:rPr>
          <w:rFonts w:ascii="Book Antiqua" w:hAnsi="Book Antiqua"/>
        </w:rPr>
        <w:t xml:space="preserve">, </w:t>
      </w:r>
      <w:bookmarkEnd w:id="1"/>
      <w:bookmarkEnd w:id="3"/>
      <w:bookmarkEnd w:id="4"/>
      <w:r w:rsidRPr="00114D70">
        <w:rPr>
          <w:rFonts w:ascii="Book Antiqua" w:hAnsi="Book Antiqua"/>
        </w:rPr>
        <w:t xml:space="preserve">ktorým sa </w:t>
      </w:r>
      <w:r>
        <w:rPr>
          <w:rFonts w:ascii="Book Antiqua" w:hAnsi="Book Antiqua"/>
        </w:rPr>
        <w:t>dopĺňa</w:t>
      </w:r>
      <w:r w:rsidRPr="00114D70">
        <w:rPr>
          <w:rFonts w:ascii="Book Antiqua" w:hAnsi="Book Antiqua"/>
        </w:rPr>
        <w:t xml:space="preserve"> Ústava Slovenskej </w:t>
      </w:r>
      <w:bookmarkStart w:id="5" w:name="_Hlk206502520"/>
      <w:r w:rsidRPr="00114D70">
        <w:rPr>
          <w:rFonts w:ascii="Book Antiqua" w:hAnsi="Book Antiqua"/>
        </w:rPr>
        <w:t>republiky č. 460/1992 Zb. v znení neskorších predpisov</w:t>
      </w:r>
      <w:bookmarkEnd w:id="5"/>
      <w:r w:rsidRPr="00114D70">
        <w:rPr>
          <w:rFonts w:ascii="Book Antiqua" w:hAnsi="Book Antiqua"/>
        </w:rPr>
        <w:t xml:space="preserve"> </w:t>
      </w:r>
      <w:bookmarkEnd w:id="2"/>
      <w:r w:rsidRPr="00114D70">
        <w:rPr>
          <w:rFonts w:ascii="Book Antiqua" w:hAnsi="Book Antiqua"/>
        </w:rPr>
        <w:t xml:space="preserve">(ďalej len „návrh ústavného zákona“) predkladá </w:t>
      </w:r>
      <w:bookmarkStart w:id="6" w:name="_Hlk161931983"/>
      <w:r w:rsidRPr="00114D70">
        <w:rPr>
          <w:rFonts w:ascii="Book Antiqua" w:hAnsi="Book Antiqua"/>
        </w:rPr>
        <w:t>skupina poslancov Národnej rady Slovenskej republiky</w:t>
      </w:r>
      <w:bookmarkEnd w:id="6"/>
      <w:r w:rsidRPr="00114D70">
        <w:rPr>
          <w:rFonts w:ascii="Book Antiqua" w:hAnsi="Book Antiqua"/>
        </w:rPr>
        <w:t xml:space="preserve"> za Hnutie SLOVENSKO.</w:t>
      </w:r>
    </w:p>
    <w:p w14:paraId="49926BF3" w14:textId="77777777" w:rsidR="00A14CB5" w:rsidRPr="00114D70" w:rsidRDefault="00A14CB5" w:rsidP="00A14CB5">
      <w:pPr>
        <w:tabs>
          <w:tab w:val="left" w:pos="709"/>
        </w:tabs>
        <w:spacing w:before="120" w:after="0" w:line="276" w:lineRule="auto"/>
        <w:jc w:val="both"/>
        <w:rPr>
          <w:rFonts w:ascii="Book Antiqua" w:hAnsi="Book Antiqua"/>
        </w:rPr>
      </w:pPr>
      <w:r w:rsidRPr="00114D70">
        <w:rPr>
          <w:rFonts w:ascii="Book Antiqua" w:hAnsi="Book Antiqua"/>
        </w:rPr>
        <w:tab/>
      </w:r>
      <w:r w:rsidRPr="00CD7AB6">
        <w:rPr>
          <w:rFonts w:ascii="Book Antiqua" w:hAnsi="Book Antiqua"/>
        </w:rPr>
        <w:t>Navrhovaná zmena Ústavy Slovenskej republiky reaguje na dlhodobo diskutovaný problém praktickej nefunkčnosti inštitútu referenda v podmienkach Slovenskej republiky. Referendum predstavuje základný nástroj priamej demokracie, prostredníctvom ktorého občania vykonávajú štátnu moc priamo podľa čl. 2 ods. 1 Ústavy Slovenskej republiky.</w:t>
      </w:r>
    </w:p>
    <w:p w14:paraId="1144187B" w14:textId="77777777" w:rsidR="00A14CB5" w:rsidRPr="00114D70" w:rsidRDefault="00A14CB5" w:rsidP="00A14CB5">
      <w:pPr>
        <w:tabs>
          <w:tab w:val="left" w:pos="709"/>
        </w:tabs>
        <w:spacing w:before="120" w:after="0" w:line="276" w:lineRule="auto"/>
        <w:jc w:val="both"/>
        <w:rPr>
          <w:rFonts w:ascii="Book Antiqua" w:hAnsi="Book Antiqua"/>
        </w:rPr>
      </w:pPr>
      <w:r w:rsidRPr="00114D70">
        <w:rPr>
          <w:rFonts w:ascii="Book Antiqua" w:hAnsi="Book Antiqua"/>
        </w:rPr>
        <w:t xml:space="preserve">             V histórii Slovenskej republiky sa doteraz uskutočnilo deväť referend, ale len jediné z nich bolo úspešné. Hlavnou prekážkou je ústavná podmienka, podľa ktorej sa na hlasovaní musí zúčastniť nadpolovičná väčšina všetkých oprávnených voličov.</w:t>
      </w:r>
      <w:r w:rsidRPr="00CD7AB6">
        <w:rPr>
          <w:rFonts w:ascii="Book Antiqua" w:hAnsi="Book Antiqua"/>
        </w:rPr>
        <w:t xml:space="preserve"> Z dôvodu nedosiahnutia požadovaného kvóra účasti p</w:t>
      </w:r>
      <w:r w:rsidRPr="00114D70">
        <w:rPr>
          <w:rFonts w:ascii="Book Antiqua" w:hAnsi="Book Antiqua"/>
        </w:rPr>
        <w:t xml:space="preserve">rax ukázala, že takéto nastavenie je bariérou pre priamu demokraciu a skôr odrádza občanov od účasti na správe vecí verejných. Namiesto toho, aby odporcovia otázok položených v referende prišli a vyjadrili sa počas konania referenda formou odpovede na položené otázky, svojich priaznivcov vyzývajú na neúčasť na referende, čím ho vopred odsúdia na neúspech. </w:t>
      </w:r>
    </w:p>
    <w:p w14:paraId="7C6BD9EE" w14:textId="77777777" w:rsidR="00A14CB5" w:rsidRPr="00114D70" w:rsidRDefault="00A14CB5" w:rsidP="00A14CB5">
      <w:pPr>
        <w:tabs>
          <w:tab w:val="left" w:pos="709"/>
        </w:tabs>
        <w:spacing w:before="120" w:after="0" w:line="276" w:lineRule="auto"/>
        <w:jc w:val="both"/>
        <w:rPr>
          <w:rFonts w:ascii="Book Antiqua" w:hAnsi="Book Antiqua"/>
          <w:b/>
          <w:bCs/>
        </w:rPr>
      </w:pPr>
      <w:r>
        <w:rPr>
          <w:rFonts w:ascii="Book Antiqua" w:hAnsi="Book Antiqua"/>
        </w:rPr>
        <w:tab/>
        <w:t>Predkladaná</w:t>
      </w:r>
      <w:r w:rsidRPr="00CD7AB6">
        <w:rPr>
          <w:rFonts w:ascii="Book Antiqua" w:hAnsi="Book Antiqua"/>
        </w:rPr>
        <w:t xml:space="preserve"> právna úprava vychádza z presvedčenia, že občiansky hlas musí byť nielen deklarovaný, ale aj reálne vykonateľný. Cieľom navrhovanej úpravy je zaviesť realistickejší a spravodlivejší mechanizmus určovania kvóra účasti v</w:t>
      </w:r>
      <w:r w:rsidRPr="00114D70">
        <w:rPr>
          <w:rFonts w:ascii="Book Antiqua" w:hAnsi="Book Antiqua"/>
        </w:rPr>
        <w:t> </w:t>
      </w:r>
      <w:r w:rsidRPr="00CD7AB6">
        <w:rPr>
          <w:rFonts w:ascii="Book Antiqua" w:hAnsi="Book Antiqua"/>
        </w:rPr>
        <w:t>referende</w:t>
      </w:r>
      <w:r w:rsidRPr="00114D70">
        <w:rPr>
          <w:rFonts w:ascii="Book Antiqua" w:hAnsi="Book Antiqua"/>
        </w:rPr>
        <w:t xml:space="preserve"> tak, ako </w:t>
      </w:r>
      <w:r>
        <w:rPr>
          <w:rFonts w:ascii="Book Antiqua" w:hAnsi="Book Antiqua"/>
        </w:rPr>
        <w:t>je uvedené</w:t>
      </w:r>
      <w:r w:rsidRPr="00114D70">
        <w:rPr>
          <w:rFonts w:ascii="Book Antiqua" w:hAnsi="Book Antiqua"/>
        </w:rPr>
        <w:t xml:space="preserve"> v </w:t>
      </w:r>
      <w:r>
        <w:rPr>
          <w:rFonts w:ascii="Book Antiqua" w:hAnsi="Book Antiqua"/>
        </w:rPr>
        <w:t>našom</w:t>
      </w:r>
      <w:r w:rsidRPr="00114D70">
        <w:rPr>
          <w:rFonts w:ascii="Book Antiqua" w:hAnsi="Book Antiqua"/>
        </w:rPr>
        <w:t xml:space="preserve"> volebnom programe.</w:t>
      </w:r>
      <w:r>
        <w:rPr>
          <w:rFonts w:ascii="Book Antiqua" w:hAnsi="Book Antiqua"/>
          <w:b/>
          <w:bCs/>
        </w:rPr>
        <w:tab/>
      </w:r>
    </w:p>
    <w:p w14:paraId="509488F4" w14:textId="77777777" w:rsidR="00A14CB5" w:rsidRPr="00114D70" w:rsidRDefault="00A14CB5" w:rsidP="00A14CB5">
      <w:pPr>
        <w:tabs>
          <w:tab w:val="left" w:pos="709"/>
        </w:tabs>
        <w:spacing w:before="120" w:after="0" w:line="276" w:lineRule="auto"/>
        <w:jc w:val="both"/>
        <w:rPr>
          <w:rFonts w:ascii="Book Antiqua" w:hAnsi="Book Antiqua" w:cs="Open Sans"/>
          <w:b/>
          <w:bCs/>
          <w:color w:val="000000"/>
          <w:shd w:val="clear" w:color="auto" w:fill="FFFFFF"/>
        </w:rPr>
      </w:pPr>
      <w:r>
        <w:rPr>
          <w:rFonts w:ascii="Book Antiqua" w:hAnsi="Book Antiqua"/>
          <w:b/>
          <w:bCs/>
        </w:rPr>
        <w:tab/>
      </w:r>
      <w:r w:rsidRPr="00114D70">
        <w:rPr>
          <w:rFonts w:ascii="Book Antiqua" w:hAnsi="Book Antiqua"/>
          <w:b/>
          <w:bCs/>
        </w:rPr>
        <w:t xml:space="preserve">Navrhuje sa spresnenie predmetného </w:t>
      </w:r>
      <w:r>
        <w:rPr>
          <w:rFonts w:ascii="Book Antiqua" w:hAnsi="Book Antiqua"/>
          <w:b/>
          <w:bCs/>
        </w:rPr>
        <w:t>ustanovenia Ústavy Slovenskej republiky</w:t>
      </w:r>
      <w:r w:rsidRPr="00114D70">
        <w:rPr>
          <w:rFonts w:ascii="Book Antiqua" w:hAnsi="Book Antiqua"/>
          <w:b/>
          <w:bCs/>
        </w:rPr>
        <w:t xml:space="preserve">, a to takým spôsobom, aby výsledky referenda boli platné v takom prípade, ak sa na ňom zúčastní </w:t>
      </w:r>
      <w:r>
        <w:rPr>
          <w:rFonts w:ascii="Book Antiqua" w:hAnsi="Book Antiqua"/>
          <w:b/>
          <w:bCs/>
        </w:rPr>
        <w:t>nadpolovičná väčšina tých</w:t>
      </w:r>
      <w:r w:rsidRPr="00114D70">
        <w:rPr>
          <w:rFonts w:ascii="Book Antiqua" w:hAnsi="Book Antiqua"/>
          <w:b/>
          <w:bCs/>
        </w:rPr>
        <w:t xml:space="preserve"> oprávnených voličov, ktorí sa zúčastnili volieb do Národnej rady Slovenskej republiky bezprostredne predchádzajúcich vyhláseniu referenda a ak bolo rozhodnutie prijaté nadpolovičnou väčšinou účastníkov referenda.</w:t>
      </w:r>
    </w:p>
    <w:bookmarkEnd w:id="0"/>
    <w:p w14:paraId="6D56DE77" w14:textId="77777777" w:rsidR="00A14CB5" w:rsidRPr="00114D70" w:rsidRDefault="00A14CB5" w:rsidP="00A14CB5">
      <w:pPr>
        <w:pBdr>
          <w:top w:val="nil"/>
          <w:left w:val="nil"/>
          <w:bottom w:val="nil"/>
          <w:right w:val="nil"/>
          <w:between w:val="nil"/>
        </w:pBdr>
        <w:tabs>
          <w:tab w:val="center" w:pos="4536"/>
          <w:tab w:val="right" w:pos="9072"/>
          <w:tab w:val="left" w:pos="708"/>
        </w:tabs>
        <w:spacing w:before="120" w:after="0" w:line="276" w:lineRule="auto"/>
        <w:ind w:firstLine="709"/>
        <w:jc w:val="both"/>
        <w:rPr>
          <w:rFonts w:ascii="Book Antiqua" w:hAnsi="Book Antiqua"/>
        </w:rPr>
      </w:pPr>
      <w:r w:rsidRPr="00114D70">
        <w:rPr>
          <w:rFonts w:ascii="Book Antiqua" w:hAnsi="Book Antiqua"/>
        </w:rPr>
        <w:t xml:space="preserve">Návrh zákona </w:t>
      </w:r>
      <w:r>
        <w:rPr>
          <w:rFonts w:ascii="Book Antiqua" w:hAnsi="Book Antiqua"/>
        </w:rPr>
        <w:t>ne</w:t>
      </w:r>
      <w:r w:rsidRPr="00114D70">
        <w:rPr>
          <w:rFonts w:ascii="Book Antiqua" w:hAnsi="Book Antiqua"/>
        </w:rPr>
        <w:t>má vplyv na rozpočet verejnej správy</w:t>
      </w:r>
      <w:r>
        <w:rPr>
          <w:rFonts w:ascii="Book Antiqua" w:hAnsi="Book Antiqua"/>
        </w:rPr>
        <w:t xml:space="preserve">, má pozitívne </w:t>
      </w:r>
      <w:r w:rsidRPr="00114D70">
        <w:rPr>
          <w:rFonts w:ascii="Book Antiqua" w:hAnsi="Book Antiqua"/>
        </w:rPr>
        <w:t>sociáln</w:t>
      </w:r>
      <w:r>
        <w:rPr>
          <w:rFonts w:ascii="Book Antiqua" w:hAnsi="Book Antiqua"/>
        </w:rPr>
        <w:t>e vplyvy, nemá v</w:t>
      </w:r>
      <w:r w:rsidRPr="00114D70">
        <w:rPr>
          <w:rFonts w:ascii="Book Antiqua" w:hAnsi="Book Antiqua"/>
        </w:rPr>
        <w:t>plyvy na podnikateľské prostredie, na životné prostredie, na informatizáciu spoločnosti, na manželstvo, rodičovstvo a rodinu a</w:t>
      </w:r>
      <w:r>
        <w:rPr>
          <w:rFonts w:ascii="Book Antiqua" w:hAnsi="Book Antiqua"/>
        </w:rPr>
        <w:t> ani vplyvy n</w:t>
      </w:r>
      <w:r w:rsidRPr="00114D70">
        <w:rPr>
          <w:rFonts w:ascii="Book Antiqua" w:hAnsi="Book Antiqua"/>
        </w:rPr>
        <w:t>a služby verejnej správy pre občana.</w:t>
      </w:r>
    </w:p>
    <w:p w14:paraId="38A175AA" w14:textId="77777777" w:rsidR="00A14CB5" w:rsidRPr="00114D70" w:rsidRDefault="00A14CB5" w:rsidP="00A14CB5">
      <w:pPr>
        <w:pBdr>
          <w:top w:val="nil"/>
          <w:left w:val="nil"/>
          <w:bottom w:val="nil"/>
          <w:right w:val="nil"/>
          <w:between w:val="nil"/>
        </w:pBdr>
        <w:tabs>
          <w:tab w:val="center" w:pos="4536"/>
          <w:tab w:val="right" w:pos="9072"/>
          <w:tab w:val="left" w:pos="708"/>
        </w:tabs>
        <w:spacing w:before="120" w:after="0" w:line="276" w:lineRule="auto"/>
        <w:ind w:firstLine="709"/>
        <w:jc w:val="both"/>
        <w:rPr>
          <w:rFonts w:ascii="Book Antiqua" w:hAnsi="Book Antiqua"/>
        </w:rPr>
      </w:pPr>
      <w:r w:rsidRPr="00114D70">
        <w:rPr>
          <w:rFonts w:ascii="Book Antiqua" w:hAnsi="Book Antiqua"/>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14:paraId="252BCD1B" w14:textId="77777777" w:rsidR="00A14CB5" w:rsidRPr="00114D70" w:rsidRDefault="00A14CB5" w:rsidP="00A14CB5">
      <w:pPr>
        <w:pageBreakBefore/>
        <w:pBdr>
          <w:top w:val="nil"/>
          <w:left w:val="nil"/>
          <w:bottom w:val="nil"/>
          <w:right w:val="nil"/>
          <w:between w:val="nil"/>
        </w:pBdr>
        <w:tabs>
          <w:tab w:val="center" w:pos="4536"/>
          <w:tab w:val="right" w:pos="9072"/>
          <w:tab w:val="left" w:pos="708"/>
        </w:tabs>
        <w:spacing w:before="120" w:after="0" w:line="276" w:lineRule="auto"/>
        <w:jc w:val="both"/>
        <w:rPr>
          <w:rFonts w:ascii="Book Antiqua" w:hAnsi="Book Antiqua"/>
          <w:b/>
        </w:rPr>
      </w:pPr>
      <w:r w:rsidRPr="00114D70">
        <w:rPr>
          <w:rFonts w:ascii="Book Antiqua" w:hAnsi="Book Antiqua"/>
          <w:b/>
        </w:rPr>
        <w:lastRenderedPageBreak/>
        <w:t>B. OSOBITNÁ ČASŤ</w:t>
      </w:r>
    </w:p>
    <w:p w14:paraId="1C685030" w14:textId="77777777" w:rsidR="00A14CB5" w:rsidRPr="00114D70" w:rsidRDefault="00A14CB5" w:rsidP="00A14CB5">
      <w:pPr>
        <w:pBdr>
          <w:top w:val="nil"/>
          <w:left w:val="nil"/>
          <w:bottom w:val="nil"/>
          <w:right w:val="nil"/>
          <w:between w:val="nil"/>
        </w:pBdr>
        <w:tabs>
          <w:tab w:val="center" w:pos="4536"/>
          <w:tab w:val="right" w:pos="9072"/>
          <w:tab w:val="left" w:pos="708"/>
        </w:tabs>
        <w:spacing w:before="120" w:after="0" w:line="276" w:lineRule="auto"/>
        <w:jc w:val="both"/>
        <w:rPr>
          <w:rFonts w:ascii="Book Antiqua" w:hAnsi="Book Antiqua"/>
        </w:rPr>
      </w:pPr>
    </w:p>
    <w:p w14:paraId="68D910EF" w14:textId="77777777" w:rsidR="00A14CB5" w:rsidRPr="00114D70" w:rsidRDefault="00A14CB5" w:rsidP="00A14CB5">
      <w:pPr>
        <w:pBdr>
          <w:top w:val="nil"/>
          <w:left w:val="nil"/>
          <w:bottom w:val="nil"/>
          <w:right w:val="nil"/>
          <w:between w:val="nil"/>
        </w:pBdr>
        <w:tabs>
          <w:tab w:val="center" w:pos="4536"/>
          <w:tab w:val="right" w:pos="9072"/>
          <w:tab w:val="left" w:pos="708"/>
        </w:tabs>
        <w:spacing w:before="120" w:after="0" w:line="276" w:lineRule="auto"/>
        <w:jc w:val="both"/>
        <w:rPr>
          <w:rFonts w:ascii="Book Antiqua" w:hAnsi="Book Antiqua"/>
          <w:b/>
        </w:rPr>
      </w:pPr>
      <w:r w:rsidRPr="00114D70">
        <w:rPr>
          <w:rFonts w:ascii="Book Antiqua" w:hAnsi="Book Antiqua"/>
          <w:b/>
        </w:rPr>
        <w:t>K Čl. I</w:t>
      </w:r>
    </w:p>
    <w:p w14:paraId="6A6B964F" w14:textId="77777777" w:rsidR="00A14CB5" w:rsidRDefault="00A14CB5" w:rsidP="00A14CB5">
      <w:pPr>
        <w:tabs>
          <w:tab w:val="left" w:pos="709"/>
        </w:tabs>
        <w:spacing w:before="120" w:after="0" w:line="276" w:lineRule="auto"/>
        <w:jc w:val="both"/>
        <w:rPr>
          <w:rFonts w:ascii="Book Antiqua" w:hAnsi="Book Antiqua"/>
        </w:rPr>
      </w:pPr>
      <w:r>
        <w:rPr>
          <w:rFonts w:ascii="Book Antiqua" w:hAnsi="Book Antiqua"/>
        </w:rPr>
        <w:tab/>
      </w:r>
      <w:r w:rsidRPr="00114D70">
        <w:rPr>
          <w:rFonts w:ascii="Book Antiqua" w:hAnsi="Book Antiqua"/>
        </w:rPr>
        <w:t xml:space="preserve">Navrhuje sa, aby boli výsledky referenda platné v takom prípade, ak sa ňom zúčastnilo aspoň 50% počtu oprávnených voličov, ktorí sa zúčastnili volieb do Národnej rady Slovenskej republiky bezprostredne predchádzajúcich vyhláseniu referenda a ak bolo rozhodnutie prijaté nadpolovičnou väčšinou účastníkov referenda. Obdobný spôsob, </w:t>
      </w:r>
      <w:proofErr w:type="spellStart"/>
      <w:r w:rsidRPr="00114D70">
        <w:rPr>
          <w:rFonts w:ascii="Book Antiqua" w:hAnsi="Book Antiqua"/>
        </w:rPr>
        <w:t>t.j</w:t>
      </w:r>
      <w:proofErr w:type="spellEnd"/>
      <w:r w:rsidRPr="00114D70">
        <w:rPr>
          <w:rFonts w:ascii="Book Antiqua" w:hAnsi="Book Antiqua"/>
        </w:rPr>
        <w:t xml:space="preserve">. spôsob určovania platnosti hlasov v referende, pri ktorom nie je potrebná fixná účasť určitého percenta všetkých voličov, ale kvórum sa prispôsobuje, „pláva“ podľa účasti v predchádzajúcich voľbách, sa v podmienkach Slovenskej republiky používa pre miestne referendum v mestách Košice a Bratislava. </w:t>
      </w:r>
    </w:p>
    <w:p w14:paraId="3C724DB5" w14:textId="77777777" w:rsidR="00A14CB5" w:rsidRPr="00CD7AB6" w:rsidRDefault="00A14CB5" w:rsidP="00A14CB5">
      <w:pPr>
        <w:tabs>
          <w:tab w:val="left" w:pos="709"/>
        </w:tabs>
        <w:spacing w:before="120" w:after="0" w:line="276" w:lineRule="auto"/>
        <w:jc w:val="both"/>
        <w:rPr>
          <w:rFonts w:ascii="Book Antiqua" w:hAnsi="Book Antiqua"/>
        </w:rPr>
      </w:pPr>
      <w:r>
        <w:rPr>
          <w:rFonts w:ascii="Book Antiqua" w:hAnsi="Book Antiqua"/>
        </w:rPr>
        <w:tab/>
      </w:r>
      <w:r w:rsidRPr="00CD7AB6">
        <w:rPr>
          <w:rFonts w:ascii="Book Antiqua" w:eastAsia="Times New Roman" w:hAnsi="Book Antiqua" w:cs="Times New Roman"/>
        </w:rPr>
        <w:t>Cieľom navrhovanej zmeny je zosúladiť požiadavku účasti na referende s reálnou mierou volebnej účasti, čím sa zabezpečí, že referendum bude dosiahnuteľným, no zároveň reprezentatívnym nástrojom priamej demokracie. Zachováva sa podmienka, že rozhodnutie musí byť prijaté nadpolovičnou väčšinou účastníkov referenda, čím sa garantuje jeho demokratická legitimita.</w:t>
      </w:r>
    </w:p>
    <w:p w14:paraId="081C0002" w14:textId="77777777" w:rsidR="00A14CB5" w:rsidRPr="00114D70" w:rsidRDefault="00A14CB5" w:rsidP="00A14CB5">
      <w:pPr>
        <w:pBdr>
          <w:top w:val="nil"/>
          <w:left w:val="nil"/>
          <w:bottom w:val="nil"/>
          <w:right w:val="nil"/>
          <w:between w:val="nil"/>
        </w:pBdr>
        <w:tabs>
          <w:tab w:val="center" w:pos="4536"/>
          <w:tab w:val="right" w:pos="9072"/>
          <w:tab w:val="left" w:pos="708"/>
        </w:tabs>
        <w:spacing w:before="120" w:after="0" w:line="276" w:lineRule="auto"/>
        <w:ind w:firstLine="709"/>
        <w:jc w:val="both"/>
        <w:rPr>
          <w:rFonts w:ascii="Book Antiqua" w:hAnsi="Book Antiqua"/>
        </w:rPr>
      </w:pPr>
    </w:p>
    <w:p w14:paraId="35390BBE" w14:textId="77777777" w:rsidR="00A14CB5" w:rsidRPr="00114D70" w:rsidRDefault="00A14CB5" w:rsidP="00A14CB5">
      <w:pPr>
        <w:tabs>
          <w:tab w:val="left" w:pos="708"/>
        </w:tabs>
        <w:spacing w:before="120" w:after="0" w:line="276" w:lineRule="auto"/>
        <w:jc w:val="both"/>
        <w:rPr>
          <w:rFonts w:ascii="Book Antiqua" w:hAnsi="Book Antiqua"/>
          <w:b/>
          <w:sz w:val="24"/>
          <w:szCs w:val="24"/>
        </w:rPr>
      </w:pPr>
      <w:r w:rsidRPr="00114D70">
        <w:rPr>
          <w:rFonts w:ascii="Book Antiqua" w:hAnsi="Book Antiqua"/>
          <w:b/>
          <w:sz w:val="24"/>
          <w:szCs w:val="24"/>
        </w:rPr>
        <w:t>K Čl. II</w:t>
      </w:r>
    </w:p>
    <w:p w14:paraId="688448A5" w14:textId="77777777" w:rsidR="00A14CB5" w:rsidRPr="00114D70" w:rsidRDefault="00A14CB5" w:rsidP="00A14CB5">
      <w:pPr>
        <w:pBdr>
          <w:top w:val="nil"/>
          <w:left w:val="nil"/>
          <w:bottom w:val="nil"/>
          <w:right w:val="nil"/>
          <w:between w:val="nil"/>
        </w:pBdr>
        <w:tabs>
          <w:tab w:val="center" w:pos="4536"/>
          <w:tab w:val="right" w:pos="9072"/>
          <w:tab w:val="left" w:pos="708"/>
        </w:tabs>
        <w:spacing w:before="120" w:after="0" w:line="276" w:lineRule="auto"/>
        <w:jc w:val="both"/>
        <w:rPr>
          <w:rFonts w:ascii="Book Antiqua" w:hAnsi="Book Antiqua"/>
        </w:rPr>
      </w:pPr>
      <w:r w:rsidRPr="00114D70">
        <w:rPr>
          <w:rFonts w:ascii="Book Antiqua" w:hAnsi="Book Antiqua"/>
        </w:rPr>
        <w:t xml:space="preserve">            Navrhuje sa účinnosť návrhu zákona na 1. januára 2027. </w:t>
      </w:r>
    </w:p>
    <w:p w14:paraId="35E3CCDD" w14:textId="77777777" w:rsidR="00A14CB5" w:rsidRPr="00114D70" w:rsidRDefault="00A14CB5" w:rsidP="00A14CB5">
      <w:pPr>
        <w:pBdr>
          <w:top w:val="nil"/>
          <w:left w:val="nil"/>
          <w:bottom w:val="nil"/>
          <w:right w:val="nil"/>
          <w:between w:val="nil"/>
        </w:pBdr>
        <w:tabs>
          <w:tab w:val="center" w:pos="4536"/>
          <w:tab w:val="right" w:pos="9072"/>
          <w:tab w:val="left" w:pos="708"/>
        </w:tabs>
        <w:spacing w:after="0" w:line="276" w:lineRule="auto"/>
        <w:jc w:val="both"/>
        <w:rPr>
          <w:rFonts w:ascii="Book Antiqua" w:hAnsi="Book Antiqua"/>
        </w:rPr>
      </w:pPr>
    </w:p>
    <w:p w14:paraId="7F371BD7" w14:textId="77777777" w:rsidR="00A14CB5" w:rsidRPr="00114D70" w:rsidRDefault="00A14CB5" w:rsidP="00A14CB5">
      <w:pPr>
        <w:tabs>
          <w:tab w:val="left" w:pos="6015"/>
        </w:tabs>
        <w:spacing w:line="276" w:lineRule="auto"/>
        <w:jc w:val="center"/>
        <w:rPr>
          <w:rFonts w:ascii="Book Antiqua" w:hAnsi="Book Antiqua"/>
        </w:rPr>
      </w:pPr>
    </w:p>
    <w:p w14:paraId="0033F3FB" w14:textId="77777777" w:rsidR="00A14CB5" w:rsidRPr="00114D70" w:rsidRDefault="00A14CB5" w:rsidP="00A14CB5">
      <w:pPr>
        <w:tabs>
          <w:tab w:val="left" w:pos="6015"/>
        </w:tabs>
        <w:jc w:val="center"/>
        <w:rPr>
          <w:rFonts w:ascii="Book Antiqua" w:hAnsi="Book Antiqua" w:cs="Book Antiqua"/>
          <w:b/>
          <w:bCs/>
          <w:caps/>
          <w:spacing w:val="30"/>
        </w:rPr>
      </w:pPr>
    </w:p>
    <w:p w14:paraId="642394CF" w14:textId="77777777" w:rsidR="00A14CB5" w:rsidRPr="00114D70" w:rsidRDefault="00A14CB5" w:rsidP="00A14CB5">
      <w:pPr>
        <w:tabs>
          <w:tab w:val="left" w:pos="6015"/>
        </w:tabs>
        <w:jc w:val="center"/>
        <w:rPr>
          <w:rFonts w:ascii="Book Antiqua" w:hAnsi="Book Antiqua" w:cs="Book Antiqua"/>
          <w:b/>
          <w:bCs/>
          <w:caps/>
          <w:spacing w:val="30"/>
        </w:rPr>
      </w:pPr>
    </w:p>
    <w:p w14:paraId="4410C4FB" w14:textId="77777777" w:rsidR="00A14CB5" w:rsidRPr="00114D70" w:rsidRDefault="00A14CB5" w:rsidP="00A14CB5">
      <w:pPr>
        <w:tabs>
          <w:tab w:val="left" w:pos="6015"/>
        </w:tabs>
        <w:jc w:val="center"/>
        <w:rPr>
          <w:rFonts w:ascii="Book Antiqua" w:hAnsi="Book Antiqua" w:cs="Book Antiqua"/>
          <w:b/>
          <w:bCs/>
          <w:caps/>
          <w:spacing w:val="30"/>
        </w:rPr>
      </w:pPr>
    </w:p>
    <w:p w14:paraId="5261BC1B" w14:textId="77777777" w:rsidR="00A14CB5" w:rsidRPr="00114D70" w:rsidRDefault="00A14CB5" w:rsidP="00A14CB5">
      <w:pPr>
        <w:tabs>
          <w:tab w:val="left" w:pos="6015"/>
        </w:tabs>
        <w:jc w:val="center"/>
        <w:rPr>
          <w:rFonts w:ascii="Book Antiqua" w:hAnsi="Book Antiqua" w:cs="Book Antiqua"/>
          <w:b/>
          <w:bCs/>
          <w:caps/>
          <w:spacing w:val="30"/>
        </w:rPr>
      </w:pPr>
    </w:p>
    <w:p w14:paraId="20648936" w14:textId="77777777" w:rsidR="007876F7" w:rsidRDefault="007876F7"/>
    <w:sectPr w:rsidR="007876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CB5"/>
    <w:rsid w:val="007876F7"/>
    <w:rsid w:val="00A14CB5"/>
    <w:rsid w:val="00BA293F"/>
    <w:rsid w:val="00D519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84286"/>
  <w15:chartTrackingRefBased/>
  <w15:docId w15:val="{D460B0C9-7A8A-4455-8AB7-739D888F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14CB5"/>
    <w:pPr>
      <w:spacing w:line="259" w:lineRule="auto"/>
    </w:pPr>
    <w:rPr>
      <w:rFonts w:ascii="Calibri" w:eastAsia="Calibri" w:hAnsi="Calibri" w:cs="Calibri"/>
      <w:kern w:val="0"/>
      <w:sz w:val="22"/>
      <w:szCs w:val="22"/>
      <w:lang w:eastAsia="sk-SK"/>
      <w14:ligatures w14:val="none"/>
    </w:rPr>
  </w:style>
  <w:style w:type="paragraph" w:styleId="Nadpis1">
    <w:name w:val="heading 1"/>
    <w:basedOn w:val="Normlny"/>
    <w:next w:val="Normlny"/>
    <w:link w:val="Nadpis1Char"/>
    <w:uiPriority w:val="9"/>
    <w:qFormat/>
    <w:rsid w:val="00A14CB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A14CB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A14CB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A14CB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Nadpis5">
    <w:name w:val="heading 5"/>
    <w:basedOn w:val="Normlny"/>
    <w:next w:val="Normlny"/>
    <w:link w:val="Nadpis5Char"/>
    <w:uiPriority w:val="9"/>
    <w:semiHidden/>
    <w:unhideWhenUsed/>
    <w:qFormat/>
    <w:rsid w:val="00A14CB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Nadpis6">
    <w:name w:val="heading 6"/>
    <w:basedOn w:val="Normlny"/>
    <w:next w:val="Normlny"/>
    <w:link w:val="Nadpis6Char"/>
    <w:uiPriority w:val="9"/>
    <w:semiHidden/>
    <w:unhideWhenUsed/>
    <w:qFormat/>
    <w:rsid w:val="00A14CB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Nadpis7">
    <w:name w:val="heading 7"/>
    <w:basedOn w:val="Normlny"/>
    <w:next w:val="Normlny"/>
    <w:link w:val="Nadpis7Char"/>
    <w:uiPriority w:val="9"/>
    <w:semiHidden/>
    <w:unhideWhenUsed/>
    <w:qFormat/>
    <w:rsid w:val="00A14CB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Nadpis8">
    <w:name w:val="heading 8"/>
    <w:basedOn w:val="Normlny"/>
    <w:next w:val="Normlny"/>
    <w:link w:val="Nadpis8Char"/>
    <w:uiPriority w:val="9"/>
    <w:semiHidden/>
    <w:unhideWhenUsed/>
    <w:qFormat/>
    <w:rsid w:val="00A14CB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Nadpis9">
    <w:name w:val="heading 9"/>
    <w:basedOn w:val="Normlny"/>
    <w:next w:val="Normlny"/>
    <w:link w:val="Nadpis9Char"/>
    <w:uiPriority w:val="9"/>
    <w:semiHidden/>
    <w:unhideWhenUsed/>
    <w:qFormat/>
    <w:rsid w:val="00A14CB5"/>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14CB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A14CB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A14CB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A14CB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A14CB5"/>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A14CB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14CB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14CB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14CB5"/>
    <w:rPr>
      <w:rFonts w:eastAsiaTheme="majorEastAsia" w:cstheme="majorBidi"/>
      <w:color w:val="272727" w:themeColor="text1" w:themeTint="D8"/>
    </w:rPr>
  </w:style>
  <w:style w:type="paragraph" w:styleId="Nzov">
    <w:name w:val="Title"/>
    <w:basedOn w:val="Normlny"/>
    <w:next w:val="Normlny"/>
    <w:link w:val="NzovChar"/>
    <w:uiPriority w:val="10"/>
    <w:qFormat/>
    <w:rsid w:val="00A14CB5"/>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A14CB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14CB5"/>
    <w:pPr>
      <w:numPr>
        <w:ilvl w:val="1"/>
      </w:numPr>
      <w:spacing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A14CB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14CB5"/>
    <w:pPr>
      <w:spacing w:before="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ciaChar">
    <w:name w:val="Citácia Char"/>
    <w:basedOn w:val="Predvolenpsmoodseku"/>
    <w:link w:val="Citcia"/>
    <w:uiPriority w:val="29"/>
    <w:rsid w:val="00A14CB5"/>
    <w:rPr>
      <w:i/>
      <w:iCs/>
      <w:color w:val="404040" w:themeColor="text1" w:themeTint="BF"/>
    </w:rPr>
  </w:style>
  <w:style w:type="paragraph" w:styleId="Odsekzoznamu">
    <w:name w:val="List Paragraph"/>
    <w:basedOn w:val="Normlny"/>
    <w:uiPriority w:val="34"/>
    <w:qFormat/>
    <w:rsid w:val="00A14CB5"/>
    <w:pPr>
      <w:spacing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zvnezvraznenie">
    <w:name w:val="Intense Emphasis"/>
    <w:basedOn w:val="Predvolenpsmoodseku"/>
    <w:uiPriority w:val="21"/>
    <w:qFormat/>
    <w:rsid w:val="00A14CB5"/>
    <w:rPr>
      <w:i/>
      <w:iCs/>
      <w:color w:val="0F4761" w:themeColor="accent1" w:themeShade="BF"/>
    </w:rPr>
  </w:style>
  <w:style w:type="paragraph" w:styleId="Zvraznencitcia">
    <w:name w:val="Intense Quote"/>
    <w:basedOn w:val="Normlny"/>
    <w:next w:val="Normlny"/>
    <w:link w:val="ZvraznencitciaChar"/>
    <w:uiPriority w:val="30"/>
    <w:qFormat/>
    <w:rsid w:val="00A14CB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ZvraznencitciaChar">
    <w:name w:val="Zvýraznená citácia Char"/>
    <w:basedOn w:val="Predvolenpsmoodseku"/>
    <w:link w:val="Zvraznencitcia"/>
    <w:uiPriority w:val="30"/>
    <w:rsid w:val="00A14CB5"/>
    <w:rPr>
      <w:i/>
      <w:iCs/>
      <w:color w:val="0F4761" w:themeColor="accent1" w:themeShade="BF"/>
    </w:rPr>
  </w:style>
  <w:style w:type="character" w:styleId="Zvraznenodkaz">
    <w:name w:val="Intense Reference"/>
    <w:basedOn w:val="Predvolenpsmoodseku"/>
    <w:uiPriority w:val="32"/>
    <w:qFormat/>
    <w:rsid w:val="00A14C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3087</Characters>
  <DocSecurity>0</DocSecurity>
  <Lines>25</Lines>
  <Paragraphs>7</Paragraphs>
  <ScaleCrop>false</ScaleCrop>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2026-05-07T17:56:00Z</dcterms:created>
  <dcterms:modified xsi:type="dcterms:W3CDTF">2026-05-07T17:56:00Z</dcterms:modified>
</cp:coreProperties>
</file>