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CD788" w14:textId="77777777" w:rsidR="00145777" w:rsidRPr="00216828" w:rsidRDefault="00145777" w:rsidP="00145777">
      <w:pPr>
        <w:pStyle w:val="Nzov"/>
        <w:rPr>
          <w:rFonts w:ascii="Times New Roman" w:hAnsi="Times New Roman" w:cs="Times New Roman"/>
          <w:caps/>
          <w:spacing w:val="30"/>
        </w:rPr>
      </w:pPr>
      <w:r>
        <w:rPr>
          <w:rFonts w:ascii="Times New Roman" w:hAnsi="Times New Roman" w:cs="Times New Roman"/>
          <w:caps/>
          <w:spacing w:val="30"/>
        </w:rPr>
        <w:t>Dô</w:t>
      </w:r>
      <w:r w:rsidRPr="00216828">
        <w:rPr>
          <w:rFonts w:ascii="Times New Roman" w:hAnsi="Times New Roman" w:cs="Times New Roman"/>
          <w:caps/>
          <w:spacing w:val="30"/>
        </w:rPr>
        <w:t>vodová správa</w:t>
      </w:r>
    </w:p>
    <w:p w14:paraId="17055C9E" w14:textId="77777777" w:rsidR="00145777" w:rsidRPr="00216828" w:rsidRDefault="00145777" w:rsidP="00145777">
      <w:pPr>
        <w:pStyle w:val="Nadpis1"/>
        <w:spacing w:before="0"/>
        <w:rPr>
          <w:b/>
          <w:bCs/>
          <w:sz w:val="24"/>
          <w:szCs w:val="24"/>
        </w:rPr>
      </w:pPr>
    </w:p>
    <w:p w14:paraId="43BED591" w14:textId="77777777" w:rsidR="00145777" w:rsidRPr="00216828" w:rsidRDefault="00145777" w:rsidP="00145777">
      <w:pPr>
        <w:pStyle w:val="Nadpis1"/>
        <w:spacing w:before="0"/>
        <w:rPr>
          <w:sz w:val="24"/>
          <w:szCs w:val="24"/>
        </w:rPr>
      </w:pPr>
      <w:r w:rsidRPr="00216828">
        <w:rPr>
          <w:sz w:val="24"/>
          <w:szCs w:val="24"/>
        </w:rPr>
        <w:t>A. Všeobecná časť</w:t>
      </w:r>
    </w:p>
    <w:p w14:paraId="0B13F00C" w14:textId="77777777" w:rsidR="00145777" w:rsidRPr="00216828" w:rsidRDefault="00145777" w:rsidP="00145777">
      <w:pPr>
        <w:jc w:val="both"/>
        <w:rPr>
          <w:b/>
          <w:bCs/>
        </w:rPr>
      </w:pPr>
    </w:p>
    <w:p w14:paraId="16ECC412" w14:textId="77777777" w:rsidR="00145777" w:rsidRPr="006A19A3" w:rsidRDefault="00145777" w:rsidP="00145777">
      <w:pPr>
        <w:spacing w:before="120" w:after="120"/>
        <w:ind w:firstLine="709"/>
        <w:jc w:val="both"/>
        <w:rPr>
          <w:rFonts w:ascii="Book Antiqua" w:hAnsi="Book Antiqua"/>
          <w:sz w:val="22"/>
          <w:szCs w:val="22"/>
        </w:rPr>
      </w:pPr>
      <w:r w:rsidRPr="006A19A3">
        <w:rPr>
          <w:rFonts w:ascii="Book Antiqua" w:hAnsi="Book Antiqua"/>
          <w:sz w:val="22"/>
          <w:szCs w:val="22"/>
        </w:rPr>
        <w:t xml:space="preserve">Návrh zákona, </w:t>
      </w:r>
      <w:r w:rsidRPr="00894BF7">
        <w:rPr>
          <w:rFonts w:ascii="Book Antiqua" w:hAnsi="Book Antiqua"/>
          <w:iCs/>
          <w:sz w:val="22"/>
          <w:szCs w:val="22"/>
        </w:rPr>
        <w:t xml:space="preserve">ktorým sa mení a dopĺňa zákon č. 73/1998 Z. z. o štátnej službe príslušníkov Policajného zboru, Slovenskej informačnej služby, Zboru väzenskej a justičnej stráže Slovenskej republiky a Železničnej polície v znení neskorších predpisov a ktorým sa menia a dopĺňajú niektoré </w:t>
      </w:r>
      <w:r>
        <w:rPr>
          <w:rFonts w:ascii="Book Antiqua" w:hAnsi="Book Antiqua"/>
          <w:iCs/>
          <w:sz w:val="22"/>
          <w:szCs w:val="22"/>
        </w:rPr>
        <w:t xml:space="preserve">zákony </w:t>
      </w:r>
      <w:r w:rsidRPr="006A19A3">
        <w:rPr>
          <w:rFonts w:ascii="Book Antiqua" w:hAnsi="Book Antiqua"/>
          <w:sz w:val="22"/>
          <w:szCs w:val="22"/>
        </w:rPr>
        <w:t xml:space="preserve">predkladá skupina poslancov Národnej rady Slovenskej republiky </w:t>
      </w:r>
      <w:r>
        <w:rPr>
          <w:rFonts w:ascii="Book Antiqua" w:hAnsi="Book Antiqua"/>
          <w:sz w:val="22"/>
          <w:szCs w:val="22"/>
        </w:rPr>
        <w:t>za H</w:t>
      </w:r>
      <w:r w:rsidRPr="006A19A3">
        <w:rPr>
          <w:rFonts w:ascii="Book Antiqua" w:hAnsi="Book Antiqua"/>
          <w:sz w:val="22"/>
          <w:szCs w:val="22"/>
        </w:rPr>
        <w:t xml:space="preserve">nutie SLOVENSKO. </w:t>
      </w:r>
    </w:p>
    <w:p w14:paraId="142A9380"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 xml:space="preserve">Predkladaný návrh zákona reaguje na aplikačné problémy pri uplatňovaní niektorých inštitútov služobného pomeru príslušníkov ozbrojených bezpečnostných zborov a profesionálnych vojakov, ako aj </w:t>
      </w:r>
      <w:r>
        <w:rPr>
          <w:rFonts w:ascii="Book Antiqua" w:hAnsi="Book Antiqua"/>
          <w:sz w:val="22"/>
          <w:szCs w:val="22"/>
        </w:rPr>
        <w:t xml:space="preserve">ďalších </w:t>
      </w:r>
      <w:r w:rsidRPr="00894BF7">
        <w:rPr>
          <w:rFonts w:ascii="Book Antiqua" w:hAnsi="Book Antiqua"/>
          <w:sz w:val="22"/>
          <w:szCs w:val="22"/>
        </w:rPr>
        <w:t xml:space="preserve">štátnych zamestnancov. V poslednom období sa v aplikačnej praxi opakovane objavujú situácie, v ktorých dochádza k rozhodnutiam o dočasnom pozbavení výkonu štátnej služby bez dostatočne presvedčivého, individualizovaného a preskúmateľného odôvodnenia. </w:t>
      </w:r>
      <w:r w:rsidRPr="00693F90">
        <w:rPr>
          <w:rFonts w:ascii="Book Antiqua" w:hAnsi="Book Antiqua"/>
          <w:sz w:val="22"/>
          <w:szCs w:val="22"/>
        </w:rPr>
        <w:t>V súčasnej právnej úprave nie je dostatočne presne vymedzený obsah pojmu „dôležitý záujem štátnej služby“ ani minimálne obsahové náležitosti odôvodnenia rozhodnutí, ktoré naň odkazujú</w:t>
      </w:r>
      <w:r>
        <w:rPr>
          <w:rFonts w:ascii="Book Antiqua" w:hAnsi="Book Antiqua"/>
          <w:sz w:val="22"/>
          <w:szCs w:val="22"/>
        </w:rPr>
        <w:t>, čo konštatujú aj súdy vo svojich rozhodnutiach</w:t>
      </w:r>
      <w:r w:rsidRPr="00693F90">
        <w:rPr>
          <w:rFonts w:ascii="Book Antiqua" w:hAnsi="Book Antiqua"/>
          <w:sz w:val="22"/>
          <w:szCs w:val="22"/>
        </w:rPr>
        <w:t>.</w:t>
      </w:r>
      <w:r>
        <w:rPr>
          <w:rFonts w:ascii="Book Antiqua" w:hAnsi="Book Antiqua"/>
          <w:sz w:val="22"/>
          <w:szCs w:val="22"/>
        </w:rPr>
        <w:t xml:space="preserve"> </w:t>
      </w:r>
      <w:r w:rsidRPr="005D2FC7">
        <w:rPr>
          <w:rFonts w:ascii="Book Antiqua" w:hAnsi="Book Antiqua"/>
          <w:sz w:val="22"/>
          <w:szCs w:val="22"/>
        </w:rPr>
        <w:t xml:space="preserve">Tieto rozhodnutia v súčasnej aplikačnej praxi </w:t>
      </w:r>
      <w:r>
        <w:rPr>
          <w:rFonts w:ascii="Book Antiqua" w:hAnsi="Book Antiqua"/>
          <w:sz w:val="22"/>
          <w:szCs w:val="22"/>
        </w:rPr>
        <w:t xml:space="preserve">nemusia </w:t>
      </w:r>
      <w:r w:rsidRPr="005D2FC7">
        <w:rPr>
          <w:rFonts w:ascii="Book Antiqua" w:hAnsi="Book Antiqua"/>
          <w:sz w:val="22"/>
          <w:szCs w:val="22"/>
        </w:rPr>
        <w:t>obsah</w:t>
      </w:r>
      <w:r>
        <w:rPr>
          <w:rFonts w:ascii="Book Antiqua" w:hAnsi="Book Antiqua"/>
          <w:sz w:val="22"/>
          <w:szCs w:val="22"/>
        </w:rPr>
        <w:t>ovať</w:t>
      </w:r>
      <w:r w:rsidRPr="005D2FC7">
        <w:rPr>
          <w:rFonts w:ascii="Book Antiqua" w:hAnsi="Book Antiqua"/>
          <w:sz w:val="22"/>
          <w:szCs w:val="22"/>
        </w:rPr>
        <w:t xml:space="preserve"> konkrétne skutkové okolnosti, z ktorých by bolo možné presvedčivo vyvodiť existenciu „dôležitého záujmu štátnej služby“ alebo „obavy z jeho ohrozenia“, a zásah do základného právneho postavenia príslušníka tak nie je dostatočne skutkovo individualizovaný ani vecne odôvodnený.</w:t>
      </w:r>
      <w:r w:rsidRPr="00693F90">
        <w:t xml:space="preserve"> </w:t>
      </w:r>
    </w:p>
    <w:p w14:paraId="40694860"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 xml:space="preserve">Cieľom návrhu zákona je preto posilniť princíp právnej istoty a požiadavku materiálnej </w:t>
      </w:r>
      <w:proofErr w:type="spellStart"/>
      <w:r w:rsidRPr="00894BF7">
        <w:rPr>
          <w:rFonts w:ascii="Book Antiqua" w:hAnsi="Book Antiqua"/>
          <w:sz w:val="22"/>
          <w:szCs w:val="22"/>
        </w:rPr>
        <w:t>preskúmateľnosti</w:t>
      </w:r>
      <w:proofErr w:type="spellEnd"/>
      <w:r w:rsidRPr="00894BF7">
        <w:rPr>
          <w:rFonts w:ascii="Book Antiqua" w:hAnsi="Book Antiqua"/>
          <w:sz w:val="22"/>
          <w:szCs w:val="22"/>
        </w:rPr>
        <w:t xml:space="preserve"> rozhodnutí orgánov verejnej moci</w:t>
      </w:r>
      <w:r>
        <w:rPr>
          <w:rFonts w:ascii="Book Antiqua" w:hAnsi="Book Antiqua"/>
          <w:sz w:val="22"/>
          <w:szCs w:val="22"/>
        </w:rPr>
        <w:t xml:space="preserve"> aj</w:t>
      </w:r>
      <w:r w:rsidRPr="00894BF7">
        <w:rPr>
          <w:rFonts w:ascii="Book Antiqua" w:hAnsi="Book Antiqua"/>
          <w:sz w:val="22"/>
          <w:szCs w:val="22"/>
        </w:rPr>
        <w:t xml:space="preserve"> v </w:t>
      </w:r>
      <w:proofErr w:type="spellStart"/>
      <w:r w:rsidRPr="00894BF7">
        <w:rPr>
          <w:rFonts w:ascii="Book Antiqua" w:hAnsi="Book Antiqua"/>
          <w:sz w:val="22"/>
          <w:szCs w:val="22"/>
        </w:rPr>
        <w:t>služobnoprávnych</w:t>
      </w:r>
      <w:proofErr w:type="spellEnd"/>
      <w:r w:rsidRPr="00894BF7">
        <w:rPr>
          <w:rFonts w:ascii="Book Antiqua" w:hAnsi="Book Antiqua"/>
          <w:sz w:val="22"/>
          <w:szCs w:val="22"/>
        </w:rPr>
        <w:t xml:space="preserve"> vzťahoch. Navrhované zmeny smerujú k tomu, aby rozhodnutie, ktorým dochádza k zásadnému zásahu do výkonu služby alebo samotnej existencie služobného pomeru, bolo povinne odôvodnené spôsobom, ktorý umožní nielen formálnu, ale najmä </w:t>
      </w:r>
      <w:r>
        <w:rPr>
          <w:rFonts w:ascii="Book Antiqua" w:hAnsi="Book Antiqua"/>
          <w:sz w:val="22"/>
          <w:szCs w:val="22"/>
        </w:rPr>
        <w:t>materiálnu</w:t>
      </w:r>
      <w:r w:rsidRPr="00894BF7">
        <w:rPr>
          <w:rFonts w:ascii="Book Antiqua" w:hAnsi="Book Antiqua"/>
          <w:sz w:val="22"/>
          <w:szCs w:val="22"/>
        </w:rPr>
        <w:t xml:space="preserve"> kontrolu zákonnosti, proporcionality a nevyhnutnosti takéhoto zásahu.</w:t>
      </w:r>
    </w:p>
    <w:p w14:paraId="220A7187"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V právnom štáte je jednou zo základných požiadaviek, aby akékoľvek obmedzenie práv jednotlivca zo strany štátu bolo nielen zákonné, ale aj riadne odôvodnené, preskúmateľné a založené na konkrétnych skutkových zisteniach. Zvlášť prísne sa tento štandard uplatňuje v oblasti služobného pomeru príslušníkov bezpečnostných zborov, kde síce existuje zvýšená miera lojality a osobitného režimu výkonu služby, avšak aj v tomto prostredí musí byť zachovaná ochrana pred svojvôľou, arbitrárnosťou a neprimeranými zásahmi do právnej istoty dotknutých osôb.</w:t>
      </w:r>
    </w:p>
    <w:p w14:paraId="05B21C0B"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Navrhovaná právna úprava preto explicitne vyžaduje, aby rozhodnutia obsahovali konkrétny opis skutkových okolností, ktoré zakladajú dôvodnú obavu z ohrozenia dôležitého záujmu štátnej služby, alebo z marenia objasňovania konania príslušníka. Zároveň sa zavádza povinnosť uvádzať logickú väzbu medzi týmito skutkovými okolnosťami a samotným záverom o potrebe dočasného pozbavenia výkonu služby, zaradenia mimo činnej služby alebo prepustenia.</w:t>
      </w:r>
    </w:p>
    <w:p w14:paraId="1CEA76DD"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 xml:space="preserve">Takto formulovaná požiadavka smeruje k eliminácii čisto deklaratórnych a formálnych odôvodnení, ktoré v praxi znemožňujú účinnú súdnu alebo vnútornú kontrolu rozhodnutí. Zároveň sa posilňuje zásada, že zásah do služobného pomeru musí byť vždy </w:t>
      </w:r>
      <w:proofErr w:type="spellStart"/>
      <w:r w:rsidRPr="00894BF7">
        <w:rPr>
          <w:rFonts w:ascii="Book Antiqua" w:hAnsi="Book Antiqua"/>
          <w:sz w:val="22"/>
          <w:szCs w:val="22"/>
        </w:rPr>
        <w:t>ultima</w:t>
      </w:r>
      <w:proofErr w:type="spellEnd"/>
      <w:r w:rsidRPr="00894BF7">
        <w:rPr>
          <w:rFonts w:ascii="Book Antiqua" w:hAnsi="Book Antiqua"/>
          <w:sz w:val="22"/>
          <w:szCs w:val="22"/>
        </w:rPr>
        <w:t xml:space="preserve"> </w:t>
      </w:r>
      <w:proofErr w:type="spellStart"/>
      <w:r w:rsidRPr="00894BF7">
        <w:rPr>
          <w:rFonts w:ascii="Book Antiqua" w:hAnsi="Book Antiqua"/>
          <w:sz w:val="22"/>
          <w:szCs w:val="22"/>
        </w:rPr>
        <w:t>ratio</w:t>
      </w:r>
      <w:proofErr w:type="spellEnd"/>
      <w:r w:rsidRPr="00894BF7">
        <w:rPr>
          <w:rFonts w:ascii="Book Antiqua" w:hAnsi="Book Antiqua"/>
          <w:sz w:val="22"/>
          <w:szCs w:val="22"/>
        </w:rPr>
        <w:t>, teda krajným prostriedkom, ktorý možno použiť len vtedy, ak neexistujú miernejšie a rovnako účinné opatrenia na ochranu verejného záujmu.</w:t>
      </w:r>
    </w:p>
    <w:p w14:paraId="69DEBDD8" w14:textId="77777777" w:rsidR="00145777" w:rsidRPr="00894BF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lastRenderedPageBreak/>
        <w:t>Osobitný dôraz sa kladie aj na posilnenie požiadavky kontinuálneho preskúmavania trvania dôvodov, na základe ktorých bolo rozhodnutie vydané. Zavádza sa tým povinnosť priebežného hodnotenia, či dôvody zásahu do služobného pomeru naďalej pretrvávajú, čím sa zabraňuje situáciám, v ktorých by opatrenia s pôvodne dočasným charakterom pretrvávali bez aktuálneho skutkového a právneho opodstatnenia.</w:t>
      </w:r>
    </w:p>
    <w:p w14:paraId="21260533" w14:textId="77777777" w:rsidR="00145777" w:rsidRDefault="00145777" w:rsidP="00145777">
      <w:pPr>
        <w:pStyle w:val="Zkladntext"/>
        <w:spacing w:before="120" w:after="120"/>
        <w:ind w:firstLine="709"/>
        <w:rPr>
          <w:rFonts w:ascii="Book Antiqua" w:hAnsi="Book Antiqua"/>
          <w:sz w:val="22"/>
          <w:szCs w:val="22"/>
        </w:rPr>
      </w:pPr>
      <w:r w:rsidRPr="00894BF7">
        <w:rPr>
          <w:rFonts w:ascii="Book Antiqua" w:hAnsi="Book Antiqua"/>
          <w:sz w:val="22"/>
          <w:szCs w:val="22"/>
        </w:rPr>
        <w:t>Predkladaný návrh zákona preto neprináša rozšírenie oprávnení orgánov verejnej moci, ale naopak, zavádza presnejšie a prísnejšie požiadavky na kvalitu ich rozhodovania. Tým sa posilňuje právna istota dotknutých osôb, zvyšuje transparentnosť rozhodovacích procesov a zároveň sa vytvára predpoklad pre efektívnejšiu kontrolu zákonnosti rozhodnutí v rámci vnútorných aj externých kontrolných mechanizmov.</w:t>
      </w:r>
    </w:p>
    <w:p w14:paraId="4AA2476C" w14:textId="77777777" w:rsidR="00145777" w:rsidRDefault="00145777" w:rsidP="00145777">
      <w:pPr>
        <w:pStyle w:val="Zkladntext"/>
        <w:spacing w:before="120" w:after="120"/>
        <w:ind w:firstLine="709"/>
        <w:rPr>
          <w:rFonts w:ascii="Book Antiqua" w:hAnsi="Book Antiqua"/>
          <w:sz w:val="22"/>
          <w:szCs w:val="22"/>
        </w:rPr>
      </w:pPr>
      <w:r>
        <w:rPr>
          <w:rFonts w:ascii="Book Antiqua" w:hAnsi="Book Antiqua"/>
          <w:sz w:val="22"/>
          <w:szCs w:val="22"/>
        </w:rPr>
        <w:t>Právna úprava</w:t>
      </w:r>
      <w:r w:rsidRPr="005D2FC7">
        <w:rPr>
          <w:rFonts w:ascii="Book Antiqua" w:hAnsi="Book Antiqua"/>
          <w:sz w:val="22"/>
          <w:szCs w:val="22"/>
        </w:rPr>
        <w:t xml:space="preserve"> posil</w:t>
      </w:r>
      <w:r>
        <w:rPr>
          <w:rFonts w:ascii="Book Antiqua" w:hAnsi="Book Antiqua"/>
          <w:sz w:val="22"/>
          <w:szCs w:val="22"/>
        </w:rPr>
        <w:t>ňuje</w:t>
      </w:r>
      <w:r w:rsidRPr="005D2FC7">
        <w:rPr>
          <w:rFonts w:ascii="Book Antiqua" w:hAnsi="Book Antiqua"/>
          <w:sz w:val="22"/>
          <w:szCs w:val="22"/>
        </w:rPr>
        <w:t xml:space="preserve"> právne postavenie štátnych zamestnancov a príslušníkov bezpečnostných zborov prostredníctvom zvýšenia požiadaviek na kvalitu a </w:t>
      </w:r>
      <w:proofErr w:type="spellStart"/>
      <w:r w:rsidRPr="005D2FC7">
        <w:rPr>
          <w:rFonts w:ascii="Book Antiqua" w:hAnsi="Book Antiqua"/>
          <w:sz w:val="22"/>
          <w:szCs w:val="22"/>
        </w:rPr>
        <w:t>preskúmateľnosť</w:t>
      </w:r>
      <w:proofErr w:type="spellEnd"/>
      <w:r w:rsidRPr="005D2FC7">
        <w:rPr>
          <w:rFonts w:ascii="Book Antiqua" w:hAnsi="Book Antiqua"/>
          <w:sz w:val="22"/>
          <w:szCs w:val="22"/>
        </w:rPr>
        <w:t xml:space="preserve"> odôvodnení rozhodnutí zasahujúcich do ich služobného pomeru. Zároveň sa sleduje zníženie priestoru pre svojvôľu, subjektívne hodnotenie a prípadnú zaujatosť rozhodujúcich orgánov tým, že sa zavádza povinnosť opierať rozhodnutia o konkrétne a verifikovateľné skutkové okolnosti. V dôsledku toho sa posilňuje princíp právnej istoty, transparentnosti a dôvery v nestranný výkon verejnej moci.</w:t>
      </w:r>
      <w:r>
        <w:rPr>
          <w:rFonts w:ascii="Book Antiqua" w:hAnsi="Book Antiqua"/>
          <w:sz w:val="22"/>
          <w:szCs w:val="22"/>
        </w:rPr>
        <w:t xml:space="preserve"> </w:t>
      </w:r>
    </w:p>
    <w:p w14:paraId="4E9AE887" w14:textId="77777777" w:rsidR="00145777" w:rsidRPr="006A19A3" w:rsidRDefault="00145777" w:rsidP="00145777">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Návrh zákona je v súlade s Ústavou Slovenskej republiky, ústavnými zákonmi, nálezmi Ústavného súdu Slovenskej republiky, medzinárodnými zmluvami, ktorými je Slovenská republika viazaná a súčasne je v súlade s právom Európskej únie.</w:t>
      </w:r>
    </w:p>
    <w:p w14:paraId="27D76B45" w14:textId="77777777" w:rsidR="00145777" w:rsidRPr="006A19A3" w:rsidRDefault="00145777" w:rsidP="00145777">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 xml:space="preserve">Návrh zákona </w:t>
      </w:r>
      <w:r w:rsidRPr="00F71939">
        <w:rPr>
          <w:rFonts w:ascii="Book Antiqua" w:hAnsi="Book Antiqua" w:cs="Times New Roman"/>
          <w:sz w:val="22"/>
          <w:szCs w:val="22"/>
        </w:rPr>
        <w:t xml:space="preserve">má </w:t>
      </w:r>
      <w:r>
        <w:rPr>
          <w:rFonts w:ascii="Book Antiqua" w:hAnsi="Book Antiqua" w:cs="Times New Roman"/>
          <w:sz w:val="22"/>
          <w:szCs w:val="22"/>
        </w:rPr>
        <w:t>pozitív</w:t>
      </w:r>
      <w:r w:rsidRPr="00F71939">
        <w:rPr>
          <w:rFonts w:ascii="Book Antiqua" w:hAnsi="Book Antiqua" w:cs="Times New Roman"/>
          <w:sz w:val="22"/>
          <w:szCs w:val="22"/>
        </w:rPr>
        <w:t>ne sociálne vplyvy</w:t>
      </w:r>
      <w:r>
        <w:rPr>
          <w:rFonts w:ascii="Book Antiqua" w:hAnsi="Book Antiqua" w:cs="Times New Roman"/>
          <w:sz w:val="22"/>
          <w:szCs w:val="22"/>
        </w:rPr>
        <w:t>,</w:t>
      </w:r>
      <w:r w:rsidRPr="00F71939">
        <w:rPr>
          <w:rFonts w:ascii="Book Antiqua" w:hAnsi="Book Antiqua" w:cs="Times New Roman"/>
          <w:sz w:val="22"/>
          <w:szCs w:val="22"/>
        </w:rPr>
        <w:t xml:space="preserve"> </w:t>
      </w:r>
      <w:r w:rsidRPr="006A19A3">
        <w:rPr>
          <w:rFonts w:ascii="Book Antiqua" w:hAnsi="Book Antiqua" w:cs="Times New Roman"/>
          <w:sz w:val="22"/>
          <w:szCs w:val="22"/>
        </w:rPr>
        <w:t>nemá vplyv na rozpočet verejnej správy, na podnikateľské prostredie, nemá žiadny vplyv na manželstvo, rodičovstvo a rodinu,  na životné prostredie, nemá vplyv na informatizáciu spoločnosti a</w:t>
      </w:r>
      <w:r>
        <w:rPr>
          <w:rFonts w:ascii="Book Antiqua" w:hAnsi="Book Antiqua" w:cs="Times New Roman"/>
          <w:sz w:val="22"/>
          <w:szCs w:val="22"/>
        </w:rPr>
        <w:t>ni</w:t>
      </w:r>
      <w:r w:rsidRPr="006A19A3">
        <w:rPr>
          <w:rFonts w:ascii="Book Antiqua" w:hAnsi="Book Antiqua" w:cs="Times New Roman"/>
          <w:sz w:val="22"/>
          <w:szCs w:val="22"/>
        </w:rPr>
        <w:t xml:space="preserve"> vplyv na služby </w:t>
      </w:r>
      <w:r>
        <w:rPr>
          <w:rFonts w:ascii="Book Antiqua" w:hAnsi="Book Antiqua" w:cs="Times New Roman"/>
          <w:sz w:val="22"/>
          <w:szCs w:val="22"/>
        </w:rPr>
        <w:t xml:space="preserve">verejnej správy </w:t>
      </w:r>
      <w:r w:rsidRPr="006A19A3">
        <w:rPr>
          <w:rFonts w:ascii="Book Antiqua" w:hAnsi="Book Antiqua" w:cs="Times New Roman"/>
          <w:sz w:val="22"/>
          <w:szCs w:val="22"/>
        </w:rPr>
        <w:t>pre občana</w:t>
      </w:r>
      <w:r>
        <w:rPr>
          <w:rFonts w:ascii="Book Antiqua" w:hAnsi="Book Antiqua" w:cs="Times New Roman"/>
          <w:sz w:val="22"/>
          <w:szCs w:val="22"/>
        </w:rPr>
        <w:t>.</w:t>
      </w:r>
    </w:p>
    <w:p w14:paraId="0E3B02F2" w14:textId="77777777" w:rsidR="00145777" w:rsidRPr="00216828" w:rsidRDefault="00145777" w:rsidP="00145777">
      <w:pPr>
        <w:pStyle w:val="Zkladntext"/>
        <w:jc w:val="center"/>
        <w:rPr>
          <w:rFonts w:ascii="Times New Roman" w:hAnsi="Times New Roman" w:cs="Times New Roman"/>
        </w:rPr>
      </w:pPr>
      <w:r w:rsidRPr="00216828">
        <w:rPr>
          <w:rFonts w:ascii="Times New Roman" w:hAnsi="Times New Roman" w:cs="Times New Roman"/>
          <w:b/>
          <w:bCs/>
          <w:caps/>
          <w:spacing w:val="30"/>
        </w:rPr>
        <w:br w:type="page"/>
      </w:r>
    </w:p>
    <w:p w14:paraId="08ECBF55" w14:textId="77777777" w:rsidR="00145777" w:rsidRPr="002C3AFD" w:rsidRDefault="00145777" w:rsidP="00145777">
      <w:pPr>
        <w:spacing w:before="120" w:after="120"/>
        <w:jc w:val="both"/>
        <w:rPr>
          <w:rFonts w:ascii="Book Antiqua" w:hAnsi="Book Antiqua"/>
          <w:b/>
          <w:sz w:val="22"/>
          <w:szCs w:val="22"/>
        </w:rPr>
      </w:pPr>
      <w:r w:rsidRPr="002C3AFD">
        <w:rPr>
          <w:rFonts w:ascii="Book Antiqua" w:hAnsi="Book Antiqua"/>
          <w:b/>
          <w:bCs/>
          <w:sz w:val="22"/>
          <w:szCs w:val="22"/>
        </w:rPr>
        <w:lastRenderedPageBreak/>
        <w:t>B. Osobitná časť</w:t>
      </w:r>
    </w:p>
    <w:p w14:paraId="7D74C2F1" w14:textId="77777777" w:rsidR="00145777" w:rsidRPr="002C3AFD" w:rsidRDefault="00145777" w:rsidP="00145777">
      <w:pPr>
        <w:spacing w:before="120" w:after="120"/>
        <w:jc w:val="both"/>
        <w:rPr>
          <w:rFonts w:ascii="Book Antiqua" w:hAnsi="Book Antiqua"/>
          <w:sz w:val="22"/>
          <w:szCs w:val="22"/>
        </w:rPr>
      </w:pPr>
    </w:p>
    <w:p w14:paraId="0367980F" w14:textId="77777777" w:rsidR="00145777" w:rsidRPr="00B02A16" w:rsidRDefault="00145777" w:rsidP="00145777">
      <w:pPr>
        <w:spacing w:before="120" w:after="120"/>
        <w:jc w:val="both"/>
        <w:rPr>
          <w:rFonts w:ascii="Book Antiqua" w:hAnsi="Book Antiqua"/>
          <w:b/>
          <w:bCs/>
          <w:sz w:val="22"/>
          <w:szCs w:val="22"/>
        </w:rPr>
      </w:pPr>
      <w:r w:rsidRPr="00B02A16">
        <w:rPr>
          <w:rFonts w:ascii="Book Antiqua" w:hAnsi="Book Antiqua"/>
          <w:b/>
          <w:bCs/>
          <w:sz w:val="22"/>
          <w:szCs w:val="22"/>
        </w:rPr>
        <w:t xml:space="preserve">K čl. I </w:t>
      </w:r>
    </w:p>
    <w:p w14:paraId="38411858"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1</w:t>
      </w:r>
    </w:p>
    <w:p w14:paraId="344FB7D8"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Legislatívno-technická úprava </w:t>
      </w:r>
      <w:r>
        <w:rPr>
          <w:rFonts w:ascii="Book Antiqua" w:hAnsi="Book Antiqua"/>
          <w:sz w:val="22"/>
          <w:szCs w:val="22"/>
        </w:rPr>
        <w:t xml:space="preserve">bezprostredne </w:t>
      </w:r>
      <w:r w:rsidRPr="002C3AFD">
        <w:rPr>
          <w:rFonts w:ascii="Book Antiqua" w:hAnsi="Book Antiqua"/>
          <w:sz w:val="22"/>
          <w:szCs w:val="22"/>
        </w:rPr>
        <w:t xml:space="preserve">súvisiaca </w:t>
      </w:r>
      <w:r>
        <w:rPr>
          <w:rFonts w:ascii="Book Antiqua" w:hAnsi="Book Antiqua"/>
          <w:sz w:val="22"/>
          <w:szCs w:val="22"/>
        </w:rPr>
        <w:t>s bodom 2 (§ 46).</w:t>
      </w:r>
    </w:p>
    <w:p w14:paraId="714CA512"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2</w:t>
      </w:r>
    </w:p>
    <w:p w14:paraId="246587F2"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Navrhované ustanovenie zavádza podstatné sprísnenie požiadaviek na odôvodnenie rozhodnutia o dočasnom pozbavení výkonu štátnej služby</w:t>
      </w:r>
      <w:r>
        <w:rPr>
          <w:rFonts w:ascii="Book Antiqua" w:hAnsi="Book Antiqua"/>
          <w:sz w:val="22"/>
          <w:szCs w:val="22"/>
        </w:rPr>
        <w:t xml:space="preserve"> policajta</w:t>
      </w:r>
      <w:r w:rsidRPr="002C3AFD">
        <w:rPr>
          <w:rFonts w:ascii="Book Antiqua" w:hAnsi="Book Antiqua"/>
          <w:sz w:val="22"/>
          <w:szCs w:val="22"/>
        </w:rPr>
        <w:t>. Po novom sa vyžaduje, aby rozhodnutie obsahovalo konkrétne skutkové okolnosti, ktoré zakladajú dôvodnú obavu z ohrozenia dôležitého záujmu štátnej služby alebo z marenia objasnenia konania policajta. Zároveň sa vyžaduje presné skutkové a právne vymedzenie porušenia služobnej povinnosti alebo uvedenie relevantného trestnoprávneho procesného štádia.</w:t>
      </w:r>
    </w:p>
    <w:p w14:paraId="661D11AC"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Cieľom je odstrániť aplikačnú prax, v ktorej sú rozhodnutia odôvodňované prevažne všeobecnými formuláciami bez individualizácie skutkového stavu, čo negatívne ovplyvňuje ich </w:t>
      </w:r>
      <w:proofErr w:type="spellStart"/>
      <w:r w:rsidRPr="002C3AFD">
        <w:rPr>
          <w:rFonts w:ascii="Book Antiqua" w:hAnsi="Book Antiqua"/>
          <w:sz w:val="22"/>
          <w:szCs w:val="22"/>
        </w:rPr>
        <w:t>preskúmateľnosť</w:t>
      </w:r>
      <w:proofErr w:type="spellEnd"/>
      <w:r w:rsidRPr="002C3AFD">
        <w:rPr>
          <w:rFonts w:ascii="Book Antiqua" w:hAnsi="Book Antiqua"/>
          <w:sz w:val="22"/>
          <w:szCs w:val="22"/>
        </w:rPr>
        <w:t xml:space="preserve"> a právnu istotu dotknutých osôb.</w:t>
      </w:r>
    </w:p>
    <w:p w14:paraId="043BED9F"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3</w:t>
      </w:r>
    </w:p>
    <w:p w14:paraId="0A17A317"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Navrhované ustanovenie reflektuje systematickú väzbu medzi rozhodovaním súdu v štádiu rozhodovania o väzbe a následnými administratívnymi zásahmi do služobného postavenia štátneho zamestnanca. V konaní o vzatí obvineného do väzby súd najprv posudzuje základné materiálne predpoklady trestného stíhania, najmä či skutok, pre ktorý bolo začaté trestné stíhanie, vykazuje znaky trestného činu a či existuje dôvodné podozrenie, že ho spáchal obvinený. Až následne, ak sú tieto základné predpoklady splnené, skúma existenciu väzobných dôvodov.</w:t>
      </w:r>
    </w:p>
    <w:p w14:paraId="47D850EB"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Ak však súd alebo sudca pre prípravné konanie v právoplatne skončenom rozhodnutí dospeje k záveru, že tieto základné predpoklady nie sú splnené, ide o zásadný skutkový a právny záver o nedostatku intenzity podozrenia voči obvinenému. Takýto záver by mal mať významnú relevanciu aj pre následné rozhodovanie správnych orgánov o trvaní alebo predlžovaní zásahov do služobného pomeru, ktoré sú založené na totožných alebo obdobných skutkových okolnostiach. </w:t>
      </w:r>
    </w:p>
    <w:p w14:paraId="50A51D9D"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Z tohto dôvodu sa zavádza povinnosť </w:t>
      </w:r>
      <w:r>
        <w:rPr>
          <w:rFonts w:ascii="Book Antiqua" w:hAnsi="Book Antiqua"/>
          <w:sz w:val="22"/>
          <w:szCs w:val="22"/>
        </w:rPr>
        <w:t>ministra vnútra</w:t>
      </w:r>
      <w:r w:rsidRPr="002C3AFD">
        <w:rPr>
          <w:rFonts w:ascii="Book Antiqua" w:hAnsi="Book Antiqua"/>
          <w:sz w:val="22"/>
          <w:szCs w:val="22"/>
        </w:rPr>
        <w:t xml:space="preserve"> výslovne sa vysporiadať s takýmto súdnym záverom pri rozhodo</w:t>
      </w:r>
      <w:r>
        <w:rPr>
          <w:rFonts w:ascii="Book Antiqua" w:hAnsi="Book Antiqua"/>
          <w:sz w:val="22"/>
          <w:szCs w:val="22"/>
        </w:rPr>
        <w:t>vaní o predĺžení doby dočasného pozbavenia výkonu štátnej služby policajta</w:t>
      </w:r>
      <w:r w:rsidRPr="002C3AFD">
        <w:rPr>
          <w:rFonts w:ascii="Book Antiqua" w:hAnsi="Book Antiqua"/>
          <w:sz w:val="22"/>
          <w:szCs w:val="22"/>
        </w:rPr>
        <w:t xml:space="preserve">. </w:t>
      </w:r>
    </w:p>
    <w:p w14:paraId="696DEC7F"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Cieľom tejto úpravy je preskúmanie relevantných skutkových zistení z trestného konania </w:t>
      </w:r>
      <w:r>
        <w:rPr>
          <w:rFonts w:ascii="Book Antiqua" w:hAnsi="Book Antiqua"/>
          <w:sz w:val="22"/>
          <w:szCs w:val="22"/>
        </w:rPr>
        <w:t>ministrom</w:t>
      </w:r>
      <w:r w:rsidRPr="002C3AFD">
        <w:rPr>
          <w:rFonts w:ascii="Book Antiqua" w:hAnsi="Book Antiqua"/>
          <w:sz w:val="22"/>
          <w:szCs w:val="22"/>
        </w:rPr>
        <w:t xml:space="preserve">, zvýšenie kvality odôvodňovania rozhodnutí a eliminácia situácií, v ktorých by </w:t>
      </w:r>
      <w:r>
        <w:rPr>
          <w:rFonts w:ascii="Book Antiqua" w:hAnsi="Book Antiqua"/>
          <w:sz w:val="22"/>
          <w:szCs w:val="22"/>
        </w:rPr>
        <w:t>minister pokračoval</w:t>
      </w:r>
      <w:r w:rsidRPr="002C3AFD">
        <w:rPr>
          <w:rFonts w:ascii="Book Antiqua" w:hAnsi="Book Antiqua"/>
          <w:sz w:val="22"/>
          <w:szCs w:val="22"/>
        </w:rPr>
        <w:t xml:space="preserve"> v obmedzujúcich opatreniach bez dostatočného skutkového a právneho základu</w:t>
      </w:r>
      <w:r>
        <w:rPr>
          <w:rFonts w:ascii="Book Antiqua" w:hAnsi="Book Antiqua"/>
          <w:sz w:val="22"/>
          <w:szCs w:val="22"/>
        </w:rPr>
        <w:t xml:space="preserve"> a predlžovalo</w:t>
      </w:r>
      <w:r w:rsidRPr="002C3AFD">
        <w:rPr>
          <w:rFonts w:ascii="Book Antiqua" w:hAnsi="Book Antiqua"/>
          <w:sz w:val="22"/>
          <w:szCs w:val="22"/>
        </w:rPr>
        <w:t xml:space="preserve"> trvanie pozbavenia výkonu štátnej služby. </w:t>
      </w:r>
      <w:r>
        <w:rPr>
          <w:rFonts w:ascii="Book Antiqua" w:hAnsi="Book Antiqua"/>
          <w:sz w:val="22"/>
          <w:szCs w:val="22"/>
        </w:rPr>
        <w:t>Minister</w:t>
      </w:r>
      <w:r w:rsidRPr="002C3AFD">
        <w:rPr>
          <w:rFonts w:ascii="Book Antiqua" w:hAnsi="Book Antiqua"/>
          <w:sz w:val="22"/>
          <w:szCs w:val="22"/>
        </w:rPr>
        <w:t xml:space="preserve"> je preto povinný reflektovať závery súdu a vo svojom rozhodnutí sa s nimi vecne a presvedčivo vysporiadať.</w:t>
      </w:r>
    </w:p>
    <w:p w14:paraId="3916A385"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4</w:t>
      </w:r>
    </w:p>
    <w:p w14:paraId="348C07EC"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Výslovne sa zakotvuje povinnosť priebežného skúmania trvania dôvodov dočasného pozbavenia výkonu štátnej služby. Ak dôvody pominú, opatrenie sa musí bezodkladne ukončiť. Ide o posilnenie zásady, že zásah do služobného pomeru má byť len dočasný a viazaný na trvanie konkrétnych okolností, zásady primeranosti a zásady proporcionality.</w:t>
      </w:r>
    </w:p>
    <w:p w14:paraId="7B18C412"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5</w:t>
      </w:r>
    </w:p>
    <w:p w14:paraId="0026D07E"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Legislatívno-technická úprava nadväzujúca na prečíslovanie odsekov v</w:t>
      </w:r>
      <w:r>
        <w:rPr>
          <w:rFonts w:ascii="Book Antiqua" w:hAnsi="Book Antiqua"/>
          <w:sz w:val="22"/>
          <w:szCs w:val="22"/>
        </w:rPr>
        <w:t> bode 2</w:t>
      </w:r>
      <w:r w:rsidRPr="002C3AFD">
        <w:rPr>
          <w:rFonts w:ascii="Book Antiqua" w:hAnsi="Book Antiqua"/>
          <w:sz w:val="22"/>
          <w:szCs w:val="22"/>
        </w:rPr>
        <w:t xml:space="preserve"> </w:t>
      </w:r>
      <w:r>
        <w:rPr>
          <w:rFonts w:ascii="Book Antiqua" w:hAnsi="Book Antiqua"/>
          <w:sz w:val="22"/>
          <w:szCs w:val="22"/>
        </w:rPr>
        <w:t>(</w:t>
      </w:r>
      <w:r w:rsidRPr="002C3AFD">
        <w:rPr>
          <w:rFonts w:ascii="Book Antiqua" w:hAnsi="Book Antiqua"/>
          <w:sz w:val="22"/>
          <w:szCs w:val="22"/>
        </w:rPr>
        <w:t>§ 46</w:t>
      </w:r>
      <w:r>
        <w:rPr>
          <w:rFonts w:ascii="Book Antiqua" w:hAnsi="Book Antiqua"/>
          <w:sz w:val="22"/>
          <w:szCs w:val="22"/>
        </w:rPr>
        <w:t>)</w:t>
      </w:r>
      <w:r w:rsidRPr="002C3AFD">
        <w:rPr>
          <w:rFonts w:ascii="Book Antiqua" w:hAnsi="Book Antiqua"/>
          <w:sz w:val="22"/>
          <w:szCs w:val="22"/>
        </w:rPr>
        <w:t>.</w:t>
      </w:r>
    </w:p>
    <w:p w14:paraId="6C191F41"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lastRenderedPageBreak/>
        <w:t>K bodu 6</w:t>
      </w:r>
    </w:p>
    <w:p w14:paraId="1AD0E446"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Zavádza sa povinnosť odôvodniť návrh na prepustenie zo služobného pomeru. Po novom musí návrh obsahovať konkrétne skutkové okolnosti preukazujúce porušenie služobnej povinnosti alebo služobnej prísahy bez odôvodnených pochybností, ako aj presné vymedzenie dopadu na dôležité záujmy štátnej služby.</w:t>
      </w:r>
    </w:p>
    <w:p w14:paraId="5AD20341"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Cieľom je posilniť materiálnu stránku rozhodovania o najzávažnejšom zásahu do služobného pomeru, ktorým je jeho skončenie, a zabezpečiť vyššiu mieru právnej istoty a kontrolovateľnosti tohto procesu.</w:t>
      </w:r>
    </w:p>
    <w:p w14:paraId="45D3CCCC"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7</w:t>
      </w:r>
    </w:p>
    <w:p w14:paraId="6964956F"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Rozširuje sa rozsah odôvodnenia rozhodnutia o prepustení zo služobného pomeru tak, aby obsahovalo aj vysporiadanie sa s obhajobou a hodnotenie vykonaných dôkazov. Cieľom je zabezpečiť, aby rozhodnutie nebolo len formálne, ale reflektovalo kompletný skutkový a právny rámec veci.</w:t>
      </w:r>
    </w:p>
    <w:p w14:paraId="52C5AFAB" w14:textId="77777777" w:rsidR="00145777" w:rsidRPr="002C3AFD" w:rsidRDefault="00145777" w:rsidP="00145777">
      <w:pPr>
        <w:spacing w:before="120" w:after="120"/>
        <w:jc w:val="both"/>
        <w:rPr>
          <w:rFonts w:ascii="Book Antiqua" w:hAnsi="Book Antiqua"/>
          <w:b/>
          <w:bCs/>
          <w:sz w:val="22"/>
          <w:szCs w:val="22"/>
        </w:rPr>
      </w:pPr>
      <w:r w:rsidRPr="002C3AFD">
        <w:rPr>
          <w:rFonts w:ascii="Book Antiqua" w:hAnsi="Book Antiqua"/>
          <w:b/>
          <w:bCs/>
          <w:sz w:val="22"/>
          <w:szCs w:val="22"/>
        </w:rPr>
        <w:t>K čl. II</w:t>
      </w:r>
    </w:p>
    <w:p w14:paraId="04F125FD"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1</w:t>
      </w:r>
    </w:p>
    <w:p w14:paraId="324B1FD8"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Navrhuje sa zavedenie povinnosti konkretizovať dôvody zaradenia príslušníka Hasičského a záchranného zboru mimo činnej štátnej služby. Rozhodnutie musí obsahovať presné skutkové okolnosti, ktoré zakladajú dôvodnú obavu z ohrozenia dôležitého záujmu štátnej služby alebo existenciu služobného previnenia.</w:t>
      </w:r>
    </w:p>
    <w:p w14:paraId="07117F82"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Cieľom je odstrániť aplikačnú prax založenú na všeobecných odkazoch bez individualizovaného skutkového základu.</w:t>
      </w:r>
    </w:p>
    <w:p w14:paraId="45555021"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K bodu 2</w:t>
      </w:r>
    </w:p>
    <w:p w14:paraId="74EFDAC7"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Zavádza sa výslovná povinnosť priebežného preskúmavania trvania dôvodov zaradenia mimo činnej štátnej služby. Ide o zosúladenie s princípom proporcionality a dočasnosti zásahov do služobného pomeru.</w:t>
      </w:r>
    </w:p>
    <w:p w14:paraId="30A8E780" w14:textId="77777777" w:rsidR="00145777" w:rsidRPr="002C3AFD" w:rsidRDefault="00145777" w:rsidP="00145777">
      <w:pPr>
        <w:spacing w:before="120" w:after="120"/>
        <w:jc w:val="both"/>
        <w:rPr>
          <w:rFonts w:ascii="Book Antiqua" w:hAnsi="Book Antiqua"/>
          <w:b/>
          <w:bCs/>
          <w:sz w:val="22"/>
          <w:szCs w:val="22"/>
        </w:rPr>
      </w:pPr>
      <w:r w:rsidRPr="002C3AFD">
        <w:rPr>
          <w:rFonts w:ascii="Book Antiqua" w:hAnsi="Book Antiqua"/>
          <w:b/>
          <w:bCs/>
          <w:sz w:val="22"/>
          <w:szCs w:val="22"/>
        </w:rPr>
        <w:t>K čl. III</w:t>
      </w:r>
    </w:p>
    <w:p w14:paraId="5AC5DFDB"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Rozširuje sa obsah odôvodnenia rozhodnutia o prepustení profesionálneho vojaka tak, aby zahŕňal konkrétne skutkové zistenia, ktoré preukazujú porušenie povinností, ako aj presné vymedzenie ohrozenia dôležitých záujmov štátnej služby.</w:t>
      </w:r>
    </w:p>
    <w:p w14:paraId="7429C3E6"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Cieľom je zabezpečiť vyššiu mieru objektivizácie rozhodovania a odstrániť priestor pre paušálne alebo nedostatočne odôvodnené závery.</w:t>
      </w:r>
    </w:p>
    <w:p w14:paraId="014D4B9D" w14:textId="77777777" w:rsidR="00145777" w:rsidRPr="002C3AFD" w:rsidRDefault="00145777" w:rsidP="00145777">
      <w:pPr>
        <w:spacing w:before="120" w:after="120"/>
        <w:jc w:val="both"/>
        <w:rPr>
          <w:rFonts w:ascii="Book Antiqua" w:hAnsi="Book Antiqua"/>
          <w:b/>
          <w:bCs/>
          <w:sz w:val="22"/>
          <w:szCs w:val="22"/>
        </w:rPr>
      </w:pPr>
      <w:r w:rsidRPr="002C3AFD">
        <w:rPr>
          <w:rFonts w:ascii="Book Antiqua" w:hAnsi="Book Antiqua"/>
          <w:b/>
          <w:bCs/>
          <w:sz w:val="22"/>
          <w:szCs w:val="22"/>
        </w:rPr>
        <w:t>K čl. IV</w:t>
      </w:r>
    </w:p>
    <w:p w14:paraId="0D5A7FA9" w14:textId="77777777" w:rsidR="00145777" w:rsidRDefault="00145777" w:rsidP="00145777">
      <w:pPr>
        <w:spacing w:before="120" w:after="120"/>
        <w:jc w:val="both"/>
        <w:rPr>
          <w:rFonts w:ascii="Book Antiqua" w:hAnsi="Book Antiqua"/>
          <w:sz w:val="22"/>
          <w:szCs w:val="22"/>
          <w:u w:val="single"/>
        </w:rPr>
      </w:pPr>
      <w:r>
        <w:rPr>
          <w:rFonts w:ascii="Book Antiqua" w:hAnsi="Book Antiqua"/>
          <w:sz w:val="22"/>
          <w:szCs w:val="22"/>
          <w:u w:val="single"/>
        </w:rPr>
        <w:t>K bodom</w:t>
      </w:r>
      <w:r w:rsidRPr="002C3AFD">
        <w:rPr>
          <w:rFonts w:ascii="Book Antiqua" w:hAnsi="Book Antiqua"/>
          <w:sz w:val="22"/>
          <w:szCs w:val="22"/>
          <w:u w:val="single"/>
        </w:rPr>
        <w:t xml:space="preserve"> 1</w:t>
      </w:r>
      <w:r>
        <w:rPr>
          <w:rFonts w:ascii="Book Antiqua" w:hAnsi="Book Antiqua"/>
          <w:sz w:val="22"/>
          <w:szCs w:val="22"/>
          <w:u w:val="single"/>
        </w:rPr>
        <w:t>, 5, 6 a 7</w:t>
      </w:r>
    </w:p>
    <w:p w14:paraId="63E01DA8" w14:textId="77777777" w:rsidR="00145777" w:rsidRPr="00B02A16" w:rsidRDefault="00145777" w:rsidP="00145777">
      <w:pPr>
        <w:spacing w:before="120" w:after="120"/>
        <w:jc w:val="both"/>
        <w:rPr>
          <w:rFonts w:ascii="Book Antiqua" w:hAnsi="Book Antiqua"/>
          <w:sz w:val="22"/>
          <w:szCs w:val="22"/>
        </w:rPr>
      </w:pPr>
      <w:r w:rsidRPr="00B02A16">
        <w:rPr>
          <w:rFonts w:ascii="Book Antiqua" w:hAnsi="Book Antiqua"/>
          <w:sz w:val="22"/>
          <w:szCs w:val="22"/>
        </w:rPr>
        <w:t>Ide o legislatívno-technické úpravy bezprostredne súvisiace s bodom 2 (prečíslovanie odsekov v § 66).</w:t>
      </w:r>
    </w:p>
    <w:p w14:paraId="27DEA244" w14:textId="77777777" w:rsidR="00145777" w:rsidRPr="00B02A16" w:rsidRDefault="00145777" w:rsidP="00145777">
      <w:pPr>
        <w:spacing w:before="120" w:after="120"/>
        <w:jc w:val="both"/>
        <w:rPr>
          <w:rFonts w:ascii="Book Antiqua" w:hAnsi="Book Antiqua"/>
          <w:sz w:val="22"/>
          <w:szCs w:val="22"/>
          <w:u w:val="single"/>
        </w:rPr>
      </w:pPr>
      <w:r w:rsidRPr="00B02A16">
        <w:rPr>
          <w:rFonts w:ascii="Book Antiqua" w:hAnsi="Book Antiqua"/>
          <w:sz w:val="22"/>
          <w:szCs w:val="22"/>
          <w:u w:val="single"/>
        </w:rPr>
        <w:t>K bodu 2</w:t>
      </w:r>
    </w:p>
    <w:p w14:paraId="2303DFF9"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Navrhované ustanovenie reflektuje </w:t>
      </w:r>
      <w:r>
        <w:rPr>
          <w:rFonts w:ascii="Book Antiqua" w:hAnsi="Book Antiqua"/>
          <w:sz w:val="22"/>
          <w:szCs w:val="22"/>
        </w:rPr>
        <w:t xml:space="preserve">vzťah </w:t>
      </w:r>
      <w:r w:rsidRPr="002C3AFD">
        <w:rPr>
          <w:rFonts w:ascii="Book Antiqua" w:hAnsi="Book Antiqua"/>
          <w:sz w:val="22"/>
          <w:szCs w:val="22"/>
        </w:rPr>
        <w:t>medzi rozhodovaním súdu v štádiu rozhodovania o väzbe a následnými administratívnymi zásahmi do služobného postavenia štátneho zamestnanca. V konaní o vzatí obvineného do väzby súd najprv posudzuje základné materiálne predpoklady trestného stíhania, najmä či skutok, pre ktorý bolo začaté trestné stíhanie, vykazuje znaky trestného činu a či existuje dôvodné podozrenie, že ho spáchal obvinený. Až následne, ak sú tieto základné predpoklady splnené, skúma existenciu väzobných dôvodov.</w:t>
      </w:r>
    </w:p>
    <w:p w14:paraId="66B4220E"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lastRenderedPageBreak/>
        <w:t>Ak však súd alebo sudca pre prípravné konanie v právoplatne skončenom rozhodnutí dospeje k záveru, že tieto základné predpoklady nie sú splnené, ide o zásadný skutkový a právny záver o nedostatku intenzity podozrenia voči obvinenému. Takýto záver by mal mať významnú relevanciu aj pre následné rozhodovanie správnych orgánov o trvaní alebo predlžovaní zásahov do služobného pomeru, ktoré sú založené na totožných alebo obdobných skutkových okolnostiach.</w:t>
      </w:r>
    </w:p>
    <w:p w14:paraId="278B61AF"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Z tohto dôvodu sa zavádza povinnosť generálneho tajomníka výslovne sa vysporiadať s takýmto súdnym záverom pri rozhodovaní o predĺžení doby zaradenia štátneho zamestnanca mimo činnej štátnej služby. Správny orgán nemôže ignorovať právoplatné závery súdu o absencii základných predpokladov trestného stíhania, ale musí ich racionálne reflektovať a odôvodniť, prečo napriek nim považuje pokračovanie zásahu do služobného pomeru za nevyhnutné.</w:t>
      </w:r>
    </w:p>
    <w:p w14:paraId="292F2DF3"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Cieľom tejto úpravy je preskúmanie relevantných skutkových zistení z trestného konania správnym orgánom, zvýšenie kvality odôvodňovania rozhodnutí a eliminácia situácií, v ktorých by správne orgány pokračovali v obmedzujúcich opatreniach bez dostatočného skutkového a právneho základu a predlžovali trvanie pozbavenia výkonu štátnej služby. Správny orgán je preto povinný reflektovať závery súdu a vo svojom rozhodnutí sa s nimi vecne a presvedčivo vysporiadať.</w:t>
      </w:r>
    </w:p>
    <w:p w14:paraId="12027FAC"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 xml:space="preserve">K bodu </w:t>
      </w:r>
      <w:r>
        <w:rPr>
          <w:rFonts w:ascii="Book Antiqua" w:hAnsi="Book Antiqua"/>
          <w:sz w:val="22"/>
          <w:szCs w:val="22"/>
          <w:u w:val="single"/>
        </w:rPr>
        <w:t>3</w:t>
      </w:r>
    </w:p>
    <w:p w14:paraId="04E8AC66"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Zavádza sa povinnosť komplexného odôvodnenia rozhodnutia o zaradení mimo činnej štátnej služby vrátane presného vymedzenia skutkových okolností, spisovej značky trestného konania a identifikácie ohrozeného verejného záujmu.</w:t>
      </w:r>
    </w:p>
    <w:p w14:paraId="6D2A8065"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 xml:space="preserve">Cieľom je zvýšiť transparentnosť a </w:t>
      </w:r>
      <w:proofErr w:type="spellStart"/>
      <w:r w:rsidRPr="002C3AFD">
        <w:rPr>
          <w:rFonts w:ascii="Book Antiqua" w:hAnsi="Book Antiqua"/>
          <w:sz w:val="22"/>
          <w:szCs w:val="22"/>
        </w:rPr>
        <w:t>preskúmateľnosť</w:t>
      </w:r>
      <w:proofErr w:type="spellEnd"/>
      <w:r w:rsidRPr="002C3AFD">
        <w:rPr>
          <w:rFonts w:ascii="Book Antiqua" w:hAnsi="Book Antiqua"/>
          <w:sz w:val="22"/>
          <w:szCs w:val="22"/>
        </w:rPr>
        <w:t xml:space="preserve"> zásahov do statusu štátneho zamestnanca.</w:t>
      </w:r>
    </w:p>
    <w:p w14:paraId="128C9D81" w14:textId="77777777" w:rsidR="00145777" w:rsidRPr="002C3AFD" w:rsidRDefault="00145777" w:rsidP="00145777">
      <w:pPr>
        <w:spacing w:before="120" w:after="120"/>
        <w:jc w:val="both"/>
        <w:rPr>
          <w:rFonts w:ascii="Book Antiqua" w:hAnsi="Book Antiqua"/>
          <w:sz w:val="22"/>
          <w:szCs w:val="22"/>
          <w:u w:val="single"/>
        </w:rPr>
      </w:pPr>
      <w:r w:rsidRPr="002C3AFD">
        <w:rPr>
          <w:rFonts w:ascii="Book Antiqua" w:hAnsi="Book Antiqua"/>
          <w:sz w:val="22"/>
          <w:szCs w:val="22"/>
          <w:u w:val="single"/>
        </w:rPr>
        <w:t xml:space="preserve">K bodu </w:t>
      </w:r>
      <w:r>
        <w:rPr>
          <w:rFonts w:ascii="Book Antiqua" w:hAnsi="Book Antiqua"/>
          <w:sz w:val="22"/>
          <w:szCs w:val="22"/>
          <w:u w:val="single"/>
        </w:rPr>
        <w:t>4</w:t>
      </w:r>
    </w:p>
    <w:p w14:paraId="37830640"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Zakotvuje sa princíp priebežného skúmania trvania dôvodov zaradenia mimo činnej štátnej služby, čím sa posilňuje zásada dočasnosti a nevyhnutnosti takéhoto opatrenia.</w:t>
      </w:r>
    </w:p>
    <w:p w14:paraId="38939B6B" w14:textId="77777777" w:rsidR="00145777" w:rsidRPr="002C3AFD" w:rsidRDefault="00145777" w:rsidP="00145777">
      <w:pPr>
        <w:spacing w:before="120" w:after="120"/>
        <w:jc w:val="both"/>
        <w:rPr>
          <w:rFonts w:ascii="Book Antiqua" w:hAnsi="Book Antiqua"/>
          <w:b/>
          <w:bCs/>
          <w:sz w:val="22"/>
          <w:szCs w:val="22"/>
        </w:rPr>
      </w:pPr>
      <w:r w:rsidRPr="002C3AFD">
        <w:rPr>
          <w:rFonts w:ascii="Book Antiqua" w:hAnsi="Book Antiqua"/>
          <w:b/>
          <w:bCs/>
          <w:sz w:val="22"/>
          <w:szCs w:val="22"/>
        </w:rPr>
        <w:t>K čl. V</w:t>
      </w:r>
    </w:p>
    <w:p w14:paraId="11BE2D5E" w14:textId="77777777" w:rsidR="00145777" w:rsidRPr="002C3AFD" w:rsidRDefault="00145777" w:rsidP="00145777">
      <w:pPr>
        <w:spacing w:before="120" w:after="120"/>
        <w:jc w:val="both"/>
        <w:rPr>
          <w:rFonts w:ascii="Book Antiqua" w:hAnsi="Book Antiqua"/>
          <w:sz w:val="22"/>
          <w:szCs w:val="22"/>
        </w:rPr>
      </w:pPr>
      <w:r w:rsidRPr="002C3AFD">
        <w:rPr>
          <w:rFonts w:ascii="Book Antiqua" w:hAnsi="Book Antiqua"/>
          <w:sz w:val="22"/>
          <w:szCs w:val="22"/>
        </w:rPr>
        <w:t>Navrhuje sa účinnosť predkladaného zákona od 1. novembra 2026.</w:t>
      </w:r>
    </w:p>
    <w:p w14:paraId="47DF2C4A" w14:textId="77777777" w:rsidR="00145777" w:rsidRDefault="00145777" w:rsidP="00145777">
      <w:pPr>
        <w:jc w:val="both"/>
        <w:rPr>
          <w:b/>
          <w:bCs/>
        </w:rPr>
      </w:pPr>
    </w:p>
    <w:p w14:paraId="57B2F51D" w14:textId="77777777" w:rsidR="00145777" w:rsidRPr="00991177" w:rsidRDefault="00145777" w:rsidP="00145777">
      <w:pPr>
        <w:jc w:val="both"/>
      </w:pPr>
    </w:p>
    <w:p w14:paraId="07723866" w14:textId="77777777" w:rsidR="00145777" w:rsidRDefault="00145777" w:rsidP="00145777">
      <w:pPr>
        <w:rPr>
          <w:b/>
          <w:bCs/>
        </w:rPr>
      </w:pPr>
    </w:p>
    <w:p w14:paraId="43EA52E2" w14:textId="77777777" w:rsidR="00145777" w:rsidRPr="00973E89" w:rsidRDefault="00145777" w:rsidP="00145777">
      <w:pPr>
        <w:rPr>
          <w:u w:val="single"/>
        </w:rPr>
      </w:pPr>
    </w:p>
    <w:p w14:paraId="0E1AF80B" w14:textId="41D66DD7" w:rsidR="007876F7" w:rsidRPr="00145777" w:rsidRDefault="007876F7" w:rsidP="00145777">
      <w:pPr>
        <w:pStyle w:val="Zkladntext"/>
        <w:rPr>
          <w:rFonts w:ascii="Times New Roman" w:hAnsi="Times New Roman" w:cs="Times New Roman"/>
          <w:b/>
          <w:bCs/>
          <w:caps/>
          <w:spacing w:val="30"/>
        </w:rPr>
      </w:pPr>
    </w:p>
    <w:sectPr w:rsidR="007876F7" w:rsidRPr="00145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77"/>
    <w:rsid w:val="00145777"/>
    <w:rsid w:val="003D4E01"/>
    <w:rsid w:val="007876F7"/>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5C24"/>
  <w15:chartTrackingRefBased/>
  <w15:docId w15:val="{78107A01-50A0-4F9A-81EF-B8FDFBDF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777"/>
    <w:pPr>
      <w:spacing w:after="0" w:line="240" w:lineRule="auto"/>
    </w:pPr>
    <w:rPr>
      <w:rFonts w:ascii="Times New Roman" w:eastAsia="Times New Roman" w:hAnsi="Times New Roman" w:cs="Times New Roman"/>
      <w:kern w:val="0"/>
      <w:lang w:eastAsia="sk-SK"/>
      <w14:ligatures w14:val="none"/>
    </w:rPr>
  </w:style>
  <w:style w:type="paragraph" w:styleId="Nadpis1">
    <w:name w:val="heading 1"/>
    <w:aliases w:val="Čo robí (časť)"/>
    <w:basedOn w:val="Normlny"/>
    <w:next w:val="Normlny"/>
    <w:link w:val="Nadpis1Char"/>
    <w:uiPriority w:val="99"/>
    <w:qFormat/>
    <w:rsid w:val="00145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Úloha"/>
    <w:basedOn w:val="Normlny"/>
    <w:next w:val="Normlny"/>
    <w:link w:val="Nadpis2Char"/>
    <w:uiPriority w:val="99"/>
    <w:unhideWhenUsed/>
    <w:qFormat/>
    <w:rsid w:val="00145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Podúloha"/>
    <w:basedOn w:val="Normlny"/>
    <w:next w:val="Normlny"/>
    <w:link w:val="Nadpis3Char"/>
    <w:uiPriority w:val="99"/>
    <w:unhideWhenUsed/>
    <w:qFormat/>
    <w:rsid w:val="0014577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Termín"/>
    <w:basedOn w:val="Normlny"/>
    <w:next w:val="Normlny"/>
    <w:link w:val="Nadpis4Char"/>
    <w:uiPriority w:val="99"/>
    <w:unhideWhenUsed/>
    <w:qFormat/>
    <w:rsid w:val="0014577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14577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14577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14577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14577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14577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rsid w:val="0014577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4577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4577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4577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4577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4577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4577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4577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45777"/>
    <w:rPr>
      <w:rFonts w:eastAsiaTheme="majorEastAsia" w:cstheme="majorBidi"/>
      <w:color w:val="272727" w:themeColor="text1" w:themeTint="D8"/>
    </w:rPr>
  </w:style>
  <w:style w:type="paragraph" w:styleId="Nzov">
    <w:name w:val="Title"/>
    <w:basedOn w:val="Normlny"/>
    <w:next w:val="Normlny"/>
    <w:link w:val="NzovChar"/>
    <w:uiPriority w:val="99"/>
    <w:qFormat/>
    <w:rsid w:val="0014577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14577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4577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4577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4577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45777"/>
    <w:rPr>
      <w:i/>
      <w:iCs/>
      <w:color w:val="404040" w:themeColor="text1" w:themeTint="BF"/>
    </w:rPr>
  </w:style>
  <w:style w:type="paragraph" w:styleId="Odsekzoznamu">
    <w:name w:val="List Paragraph"/>
    <w:basedOn w:val="Normlny"/>
    <w:uiPriority w:val="34"/>
    <w:qFormat/>
    <w:rsid w:val="00145777"/>
    <w:pPr>
      <w:ind w:left="720"/>
      <w:contextualSpacing/>
    </w:pPr>
  </w:style>
  <w:style w:type="character" w:styleId="Intenzvnezvraznenie">
    <w:name w:val="Intense Emphasis"/>
    <w:basedOn w:val="Predvolenpsmoodseku"/>
    <w:uiPriority w:val="21"/>
    <w:qFormat/>
    <w:rsid w:val="00145777"/>
    <w:rPr>
      <w:i/>
      <w:iCs/>
      <w:color w:val="0F4761" w:themeColor="accent1" w:themeShade="BF"/>
    </w:rPr>
  </w:style>
  <w:style w:type="paragraph" w:styleId="Zvraznencitcia">
    <w:name w:val="Intense Quote"/>
    <w:basedOn w:val="Normlny"/>
    <w:next w:val="Normlny"/>
    <w:link w:val="ZvraznencitciaChar"/>
    <w:uiPriority w:val="30"/>
    <w:qFormat/>
    <w:rsid w:val="00145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45777"/>
    <w:rPr>
      <w:i/>
      <w:iCs/>
      <w:color w:val="0F4761" w:themeColor="accent1" w:themeShade="BF"/>
    </w:rPr>
  </w:style>
  <w:style w:type="character" w:styleId="Zvraznenodkaz">
    <w:name w:val="Intense Reference"/>
    <w:basedOn w:val="Predvolenpsmoodseku"/>
    <w:uiPriority w:val="32"/>
    <w:qFormat/>
    <w:rsid w:val="00145777"/>
    <w:rPr>
      <w:b/>
      <w:bCs/>
      <w:smallCaps/>
      <w:color w:val="0F4761" w:themeColor="accent1" w:themeShade="BF"/>
      <w:spacing w:val="5"/>
    </w:rPr>
  </w:style>
  <w:style w:type="paragraph" w:styleId="Zkladntext">
    <w:name w:val="Body Text"/>
    <w:basedOn w:val="Normlny"/>
    <w:link w:val="ZkladntextChar"/>
    <w:uiPriority w:val="99"/>
    <w:rsid w:val="00145777"/>
    <w:pPr>
      <w:jc w:val="both"/>
    </w:pPr>
    <w:rPr>
      <w:rFonts w:ascii="Verdana" w:hAnsi="Verdana" w:cs="Verdana"/>
    </w:rPr>
  </w:style>
  <w:style w:type="character" w:customStyle="1" w:styleId="ZkladntextChar">
    <w:name w:val="Základný text Char"/>
    <w:basedOn w:val="Predvolenpsmoodseku"/>
    <w:link w:val="Zkladntext"/>
    <w:uiPriority w:val="99"/>
    <w:rsid w:val="00145777"/>
    <w:rPr>
      <w:rFonts w:ascii="Verdana" w:eastAsia="Times New Roman" w:hAnsi="Verdana" w:cs="Verdana"/>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1863</Words>
  <Characters>10623</Characters>
  <Application>Microsoft Office Word</Application>
  <DocSecurity>0</DocSecurity>
  <Lines>88</Lines>
  <Paragraphs>24</Paragraphs>
  <ScaleCrop>false</ScaleCrop>
  <Company>Kancelaria Narodnej rady Slovenskej republiky</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2026-05-07T17:46:00Z</dcterms:created>
  <dcterms:modified xsi:type="dcterms:W3CDTF">2026-05-07T17:47:00Z</dcterms:modified>
</cp:coreProperties>
</file>