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4A9E5" w14:textId="77777777" w:rsidR="00EC4CCD" w:rsidRPr="00B14A4C" w:rsidRDefault="00EC4CCD" w:rsidP="00EC4CCD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>DÔVODOVÁ SPRÁVA</w:t>
      </w:r>
    </w:p>
    <w:p w14:paraId="6AF68457" w14:textId="77777777" w:rsidR="00EC4CCD" w:rsidRPr="00B14A4C" w:rsidRDefault="00EC4CCD" w:rsidP="00EC4CCD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E3FE8C2" w14:textId="77777777" w:rsidR="00EC4CCD" w:rsidRPr="00B14A4C" w:rsidRDefault="00EC4CCD" w:rsidP="00EC4CCD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 xml:space="preserve">A. VŠEOBECNÁ ČASŤ </w:t>
      </w:r>
    </w:p>
    <w:p w14:paraId="44D1045D" w14:textId="77777777" w:rsidR="00EC4CCD" w:rsidRPr="00B14A4C" w:rsidRDefault="00EC4CCD" w:rsidP="00EC4CCD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21A12BDE" w14:textId="77777777" w:rsidR="00EC4CCD" w:rsidRPr="004C65E1" w:rsidRDefault="00EC4CCD" w:rsidP="00EC4CCD">
      <w:pPr>
        <w:spacing w:before="120" w:line="276" w:lineRule="auto"/>
        <w:jc w:val="both"/>
        <w:rPr>
          <w:rFonts w:ascii="Book Antiqua" w:hAnsi="Book Antiqua" w:cs="Book Antiqua"/>
          <w:bCs/>
        </w:rPr>
      </w:pPr>
      <w:bookmarkStart w:id="0" w:name="_Hlk118722197"/>
      <w:r>
        <w:rPr>
          <w:rFonts w:ascii="Book Antiqua" w:eastAsia="Times New Roman" w:hAnsi="Book Antiqua" w:cs="Times New Roman"/>
          <w:color w:val="000000"/>
        </w:rPr>
        <w:tab/>
      </w:r>
      <w:bookmarkStart w:id="1" w:name="_Hlk177390119"/>
      <w:bookmarkStart w:id="2" w:name="_Hlk209639901"/>
      <w:r w:rsidRPr="00911A32">
        <w:rPr>
          <w:rFonts w:ascii="Book Antiqua" w:hAnsi="Book Antiqua"/>
        </w:rPr>
        <w:t>Návrh zákona</w:t>
      </w:r>
      <w:bookmarkStart w:id="3" w:name="_Hlk127200235"/>
      <w:bookmarkStart w:id="4" w:name="_Hlk127199157"/>
      <w:r>
        <w:rPr>
          <w:rFonts w:ascii="Book Antiqua" w:hAnsi="Book Antiqua"/>
        </w:rPr>
        <w:t xml:space="preserve">, </w:t>
      </w:r>
      <w:bookmarkEnd w:id="1"/>
      <w:bookmarkEnd w:id="3"/>
      <w:bookmarkEnd w:id="4"/>
      <w:r w:rsidRPr="006344A9">
        <w:rPr>
          <w:rFonts w:ascii="Book Antiqua" w:hAnsi="Book Antiqua" w:cs="Book Antiqua"/>
          <w:bCs/>
        </w:rPr>
        <w:t xml:space="preserve">ktorým sa mení </w:t>
      </w:r>
      <w:r>
        <w:rPr>
          <w:rFonts w:ascii="Book Antiqua" w:hAnsi="Book Antiqua" w:cs="Book Antiqua"/>
          <w:bCs/>
        </w:rPr>
        <w:t xml:space="preserve">a dopĺňa </w:t>
      </w:r>
      <w:r w:rsidRPr="006344A9">
        <w:rPr>
          <w:rFonts w:ascii="Book Antiqua" w:hAnsi="Book Antiqua" w:cs="Book Antiqua"/>
          <w:bCs/>
        </w:rPr>
        <w:t>zákon č. 280/2007 Z. z o poskytovaní podpory a</w:t>
      </w:r>
      <w:r>
        <w:rPr>
          <w:rFonts w:ascii="Book Antiqua" w:hAnsi="Book Antiqua" w:cs="Book Antiqua"/>
          <w:bCs/>
        </w:rPr>
        <w:t> </w:t>
      </w:r>
      <w:r w:rsidRPr="006344A9">
        <w:rPr>
          <w:rFonts w:ascii="Book Antiqua" w:hAnsi="Book Antiqua" w:cs="Book Antiqua"/>
          <w:bCs/>
        </w:rPr>
        <w:t>dotácie</w:t>
      </w:r>
      <w:r>
        <w:rPr>
          <w:rFonts w:ascii="Book Antiqua" w:hAnsi="Book Antiqua" w:cs="Book Antiqua"/>
          <w:bCs/>
        </w:rPr>
        <w:t xml:space="preserve"> </w:t>
      </w:r>
      <w:r w:rsidRPr="006344A9">
        <w:rPr>
          <w:rFonts w:ascii="Book Antiqua" w:hAnsi="Book Antiqua" w:cs="Book Antiqua"/>
          <w:bCs/>
        </w:rPr>
        <w:t>v pôdohospodárstve a rozvoji vidieka a o zmene zákona č. 292/2014 Z. z. o príspevku poskytovanom z európskych štrukturálnych a investičných fondov a o zmene a doplnení niektorých zákonov</w:t>
      </w:r>
      <w:r>
        <w:rPr>
          <w:rFonts w:ascii="Book Antiqua" w:hAnsi="Book Antiqua" w:cs="Book Antiqua"/>
          <w:bCs/>
        </w:rPr>
        <w:t xml:space="preserve"> </w:t>
      </w:r>
      <w:r w:rsidRPr="006344A9">
        <w:rPr>
          <w:rFonts w:ascii="Book Antiqua" w:hAnsi="Book Antiqua" w:cs="Book Antiqua"/>
          <w:bCs/>
        </w:rPr>
        <w:t xml:space="preserve">v znení neskorších predpisov </w:t>
      </w:r>
      <w:bookmarkEnd w:id="2"/>
      <w:r>
        <w:rPr>
          <w:rFonts w:ascii="Book Antiqua" w:hAnsi="Book Antiqua" w:cs="Book Antiqua"/>
          <w:bCs/>
        </w:rPr>
        <w:t xml:space="preserve">v znení neskorších predpisov </w:t>
      </w:r>
      <w:r w:rsidRPr="00911A32">
        <w:rPr>
          <w:rFonts w:ascii="Book Antiqua" w:hAnsi="Book Antiqua"/>
        </w:rPr>
        <w:t xml:space="preserve">predkladá </w:t>
      </w:r>
      <w:bookmarkStart w:id="5" w:name="_Hlk161931983"/>
      <w:r>
        <w:rPr>
          <w:rFonts w:ascii="Book Antiqua" w:hAnsi="Book Antiqua"/>
        </w:rPr>
        <w:t xml:space="preserve">skupina </w:t>
      </w:r>
      <w:r w:rsidRPr="00911A32">
        <w:rPr>
          <w:rFonts w:ascii="Book Antiqua" w:hAnsi="Book Antiqua"/>
        </w:rPr>
        <w:t>poslan</w:t>
      </w:r>
      <w:r>
        <w:rPr>
          <w:rFonts w:ascii="Book Antiqua" w:hAnsi="Book Antiqua"/>
        </w:rPr>
        <w:t>cov</w:t>
      </w:r>
      <w:r w:rsidRPr="00911A32">
        <w:rPr>
          <w:rFonts w:ascii="Book Antiqua" w:hAnsi="Book Antiqua"/>
        </w:rPr>
        <w:t xml:space="preserve"> Národnej rady Slovenskej republiky</w:t>
      </w:r>
      <w:bookmarkEnd w:id="5"/>
      <w:r>
        <w:rPr>
          <w:rFonts w:ascii="Book Antiqua" w:hAnsi="Book Antiqua"/>
        </w:rPr>
        <w:t xml:space="preserve"> za Hnutie SLOVENSKO</w:t>
      </w:r>
      <w:r w:rsidRPr="00911A32">
        <w:rPr>
          <w:rFonts w:ascii="Book Antiqua" w:hAnsi="Book Antiqua"/>
        </w:rPr>
        <w:t>.</w:t>
      </w:r>
    </w:p>
    <w:p w14:paraId="3F1CB373" w14:textId="77777777" w:rsidR="00EC4CCD" w:rsidRDefault="00EC4CCD" w:rsidP="00EC4CCD">
      <w:pPr>
        <w:spacing w:before="120" w:after="120" w:line="276" w:lineRule="auto"/>
        <w:ind w:firstLine="708"/>
        <w:jc w:val="both"/>
        <w:rPr>
          <w:rStyle w:val="awspan"/>
          <w:rFonts w:ascii="Book Antiqua" w:hAnsi="Book Antiqua"/>
          <w:color w:val="000000"/>
        </w:rPr>
      </w:pPr>
      <w:r w:rsidRPr="0099481B">
        <w:rPr>
          <w:rStyle w:val="awspan"/>
          <w:rFonts w:ascii="Book Antiqua" w:hAnsi="Book Antiqua"/>
          <w:color w:val="000000"/>
        </w:rPr>
        <w:t>Cieľom</w:t>
      </w:r>
      <w:r w:rsidRPr="0099481B">
        <w:rPr>
          <w:rStyle w:val="awspan"/>
          <w:rFonts w:ascii="Book Antiqua" w:hAnsi="Book Antiqua"/>
          <w:color w:val="000000"/>
          <w:spacing w:val="29"/>
        </w:rPr>
        <w:t xml:space="preserve"> </w:t>
      </w:r>
      <w:r w:rsidRPr="0099481B">
        <w:rPr>
          <w:rStyle w:val="awspan"/>
          <w:rFonts w:ascii="Book Antiqua" w:hAnsi="Book Antiqua"/>
          <w:color w:val="000000"/>
        </w:rPr>
        <w:t>navrhovanej</w:t>
      </w:r>
      <w:r w:rsidRPr="0099481B">
        <w:rPr>
          <w:rStyle w:val="awspan"/>
          <w:rFonts w:ascii="Book Antiqua" w:hAnsi="Book Antiqua"/>
          <w:color w:val="000000"/>
          <w:spacing w:val="29"/>
        </w:rPr>
        <w:t xml:space="preserve"> </w:t>
      </w:r>
      <w:r w:rsidRPr="0099481B">
        <w:rPr>
          <w:rStyle w:val="awspan"/>
          <w:rFonts w:ascii="Book Antiqua" w:hAnsi="Book Antiqua"/>
          <w:color w:val="000000"/>
        </w:rPr>
        <w:t>úprav</w:t>
      </w:r>
      <w:bookmarkEnd w:id="0"/>
      <w:r w:rsidRPr="0099481B">
        <w:rPr>
          <w:rStyle w:val="awspan"/>
          <w:rFonts w:ascii="Book Antiqua" w:hAnsi="Book Antiqua"/>
          <w:color w:val="000000"/>
        </w:rPr>
        <w:t xml:space="preserve">y je vrátiť do zákonnej úpravy </w:t>
      </w:r>
      <w:r w:rsidRPr="0099481B">
        <w:rPr>
          <w:rFonts w:ascii="Book Antiqua" w:hAnsi="Book Antiqua"/>
        </w:rPr>
        <w:t xml:space="preserve">mechanizmus, ktorý predstavuje prekážku čerpania finančných prostriedkov v prípade, ak je voči prijímateľovi podpory alebo osobám konajúcim v jeho mene vznesené obvinenie pre vybrané trestné činy. Táto prekážka bola z právneho poriadku vypustená </w:t>
      </w:r>
      <w:r>
        <w:rPr>
          <w:rFonts w:ascii="Book Antiqua" w:hAnsi="Book Antiqua"/>
        </w:rPr>
        <w:t>zákonom</w:t>
      </w:r>
      <w:r w:rsidRPr="0099481B">
        <w:rPr>
          <w:rFonts w:ascii="Book Antiqua" w:hAnsi="Book Antiqua"/>
        </w:rPr>
        <w:t xml:space="preserve"> č. 316/2025 Z. z. s účinnosťou od 1. januára 2026</w:t>
      </w:r>
      <w:r w:rsidRPr="0099481B">
        <w:rPr>
          <w:rStyle w:val="awspan"/>
          <w:rFonts w:ascii="Book Antiqua" w:hAnsi="Book Antiqua"/>
          <w:color w:val="000000"/>
        </w:rPr>
        <w:t>, čo v praxi spôsobilo, že sa otvorili dvere rôznym špekulantom s </w:t>
      </w:r>
      <w:proofErr w:type="spellStart"/>
      <w:r w:rsidRPr="0099481B">
        <w:rPr>
          <w:rStyle w:val="awspan"/>
          <w:rFonts w:ascii="Book Antiqua" w:hAnsi="Book Antiqua"/>
          <w:color w:val="000000"/>
        </w:rPr>
        <w:t>agrodotáciami</w:t>
      </w:r>
      <w:proofErr w:type="spellEnd"/>
      <w:r w:rsidRPr="0099481B">
        <w:rPr>
          <w:rStyle w:val="awspan"/>
          <w:rFonts w:ascii="Book Antiqua" w:hAnsi="Book Antiqua"/>
          <w:color w:val="000000"/>
        </w:rPr>
        <w:t xml:space="preserve">. </w:t>
      </w:r>
    </w:p>
    <w:p w14:paraId="4B1D0769" w14:textId="77777777" w:rsidR="00EC4CCD" w:rsidRDefault="00EC4CCD" w:rsidP="00EC4CCD">
      <w:pPr>
        <w:spacing w:before="120" w:after="120" w:line="276" w:lineRule="auto"/>
        <w:ind w:firstLine="708"/>
        <w:jc w:val="both"/>
        <w:rPr>
          <w:rFonts w:ascii="Book Antiqua" w:hAnsi="Book Antiqua"/>
          <w:color w:val="000000"/>
        </w:rPr>
      </w:pPr>
      <w:r w:rsidRPr="0099481B">
        <w:rPr>
          <w:rFonts w:ascii="Book Antiqua" w:eastAsia="Times New Roman" w:hAnsi="Book Antiqua" w:cs="Times New Roman"/>
        </w:rPr>
        <w:t>Vypustenie tejto prekážky v aplikačnej praxi významne oslabilo preventívne mechanizmy ochrany verejných zdrojov a zvýšilo riziko ich neoprávneného čerpania. Absencia možnosti reagovať už v štádiu vznesenia obvinenia obmedzuje schopnosť Pôdohospodárskej platobnej agentúry efektívne predchádzať situáciám, v ktorých by mohlo dôjsť k zneužitiu finančných prostriedkov.</w:t>
      </w:r>
    </w:p>
    <w:p w14:paraId="33B22FAC" w14:textId="77777777" w:rsidR="00EC4CCD" w:rsidRDefault="00EC4CCD" w:rsidP="00EC4CCD">
      <w:pPr>
        <w:spacing w:before="120" w:after="120" w:line="276" w:lineRule="auto"/>
        <w:ind w:firstLine="708"/>
        <w:jc w:val="both"/>
        <w:rPr>
          <w:rFonts w:ascii="Book Antiqua" w:eastAsia="Times New Roman" w:hAnsi="Book Antiqua" w:cs="Times New Roman"/>
        </w:rPr>
      </w:pPr>
      <w:r w:rsidRPr="0099481B">
        <w:rPr>
          <w:rFonts w:ascii="Book Antiqua" w:eastAsia="Times New Roman" w:hAnsi="Book Antiqua" w:cs="Times New Roman"/>
        </w:rPr>
        <w:t xml:space="preserve">Navrhovaná právna úprava preto </w:t>
      </w:r>
      <w:r>
        <w:rPr>
          <w:rFonts w:ascii="Book Antiqua" w:eastAsia="Times New Roman" w:hAnsi="Book Antiqua" w:cs="Times New Roman"/>
        </w:rPr>
        <w:t xml:space="preserve">opätovne </w:t>
      </w:r>
      <w:r w:rsidRPr="0099481B">
        <w:rPr>
          <w:rFonts w:ascii="Book Antiqua" w:eastAsia="Times New Roman" w:hAnsi="Book Antiqua" w:cs="Times New Roman"/>
        </w:rPr>
        <w:t>zavádza povinnosť Pôdohospodárskej platobnej agentúry pozastaviť poskyt</w:t>
      </w:r>
      <w:r>
        <w:rPr>
          <w:rFonts w:ascii="Book Antiqua" w:eastAsia="Times New Roman" w:hAnsi="Book Antiqua" w:cs="Times New Roman"/>
        </w:rPr>
        <w:t>ovanie podpory v prípadoch, keď:</w:t>
      </w:r>
    </w:p>
    <w:p w14:paraId="55DB9BDF" w14:textId="77777777" w:rsidR="00EC4CCD" w:rsidRPr="0099481B" w:rsidRDefault="00EC4CCD" w:rsidP="00EC4CCD">
      <w:pPr>
        <w:pStyle w:val="Odsekzoznamu"/>
        <w:numPr>
          <w:ilvl w:val="0"/>
          <w:numId w:val="1"/>
        </w:numPr>
        <w:spacing w:before="120" w:after="120" w:line="276" w:lineRule="auto"/>
        <w:jc w:val="both"/>
        <w:rPr>
          <w:rFonts w:ascii="Book Antiqua" w:hAnsi="Book Antiqua"/>
          <w:color w:val="000000"/>
        </w:rPr>
      </w:pPr>
      <w:r w:rsidRPr="0099481B">
        <w:rPr>
          <w:rFonts w:ascii="Book Antiqua" w:eastAsia="Times New Roman" w:hAnsi="Book Antiqua" w:cs="Times New Roman"/>
        </w:rPr>
        <w:t xml:space="preserve">existuje podozrenie na nezrovnalosti alebo nedostatky v postupe prijímateľa, alebo </w:t>
      </w:r>
    </w:p>
    <w:p w14:paraId="64F7914D" w14:textId="77777777" w:rsidR="00EC4CCD" w:rsidRPr="00CB4F70" w:rsidRDefault="00EC4CCD" w:rsidP="00EC4CCD">
      <w:pPr>
        <w:pStyle w:val="Odsekzoznamu"/>
        <w:numPr>
          <w:ilvl w:val="0"/>
          <w:numId w:val="1"/>
        </w:numPr>
        <w:spacing w:before="120" w:after="120" w:line="276" w:lineRule="auto"/>
        <w:jc w:val="both"/>
        <w:rPr>
          <w:rFonts w:ascii="Book Antiqua" w:hAnsi="Book Antiqua"/>
          <w:color w:val="000000"/>
        </w:rPr>
      </w:pPr>
      <w:r w:rsidRPr="0099481B">
        <w:rPr>
          <w:rFonts w:ascii="Book Antiqua" w:eastAsia="Times New Roman" w:hAnsi="Book Antiqua" w:cs="Times New Roman"/>
        </w:rPr>
        <w:t xml:space="preserve">bolo vznesené obvinenie pre vybrané trestné činy hospodárskeho, majetkového alebo </w:t>
      </w:r>
      <w:r w:rsidRPr="00CB4F70">
        <w:rPr>
          <w:rFonts w:ascii="Book Antiqua" w:eastAsia="Times New Roman" w:hAnsi="Book Antiqua" w:cs="Times New Roman"/>
        </w:rPr>
        <w:t>korupčného charakteru voči prijímateľovi alebo osobám s rozhodovacou právomocou.</w:t>
      </w:r>
    </w:p>
    <w:p w14:paraId="088E2845" w14:textId="77777777" w:rsidR="00EC4CCD" w:rsidRDefault="00EC4CCD" w:rsidP="00EC4CCD">
      <w:pPr>
        <w:tabs>
          <w:tab w:val="left" w:pos="708"/>
        </w:tabs>
        <w:spacing w:before="120" w:after="120" w:line="276" w:lineRule="auto"/>
        <w:ind w:firstLine="708"/>
        <w:jc w:val="both"/>
        <w:rPr>
          <w:rFonts w:ascii="Book Antiqua" w:hAnsi="Book Antiqua"/>
        </w:rPr>
      </w:pPr>
      <w:r>
        <w:rPr>
          <w:rFonts w:ascii="Book Antiqua" w:hAnsi="Book Antiqua"/>
        </w:rPr>
        <w:t>Takéto znenie bolo účinné pred novelou č. 316/2025 Z. z.,</w:t>
      </w:r>
      <w:r w:rsidRPr="00CB4F70">
        <w:rPr>
          <w:rFonts w:ascii="Book Antiqua" w:hAnsi="Book Antiqua"/>
        </w:rPr>
        <w:t xml:space="preserve"> má preventívny charakter a nepredstavuje sankciu, ale dočasné opatrenie na ochranu verejných zdrojov do času objasnenia skutkového stavu. </w:t>
      </w:r>
    </w:p>
    <w:p w14:paraId="50AB84C1" w14:textId="77777777" w:rsidR="00EC4CCD" w:rsidRDefault="00EC4CCD" w:rsidP="00EC4CCD">
      <w:pPr>
        <w:tabs>
          <w:tab w:val="left" w:pos="708"/>
        </w:tabs>
        <w:spacing w:before="120" w:after="120" w:line="276" w:lineRule="auto"/>
        <w:ind w:firstLine="708"/>
        <w:jc w:val="both"/>
        <w:rPr>
          <w:rFonts w:ascii="Book Antiqua" w:hAnsi="Book Antiqua"/>
        </w:rPr>
      </w:pPr>
      <w:r w:rsidRPr="00CB4F70">
        <w:rPr>
          <w:rFonts w:ascii="Book Antiqua" w:eastAsia="Times New Roman" w:hAnsi="Book Antiqua" w:cs="Times New Roman"/>
        </w:rPr>
        <w:t>Potreba prijatia navrhovanej úpravy vyplýva aj zo skúseností z aplikačnej praxe</w:t>
      </w:r>
      <w:r>
        <w:rPr>
          <w:rFonts w:ascii="Book Antiqua" w:eastAsia="Times New Roman" w:hAnsi="Book Antiqua" w:cs="Times New Roman"/>
        </w:rPr>
        <w:t xml:space="preserve">. </w:t>
      </w:r>
      <w:r w:rsidRPr="00CB4F70">
        <w:rPr>
          <w:rFonts w:ascii="Book Antiqua" w:eastAsia="Times New Roman" w:hAnsi="Book Antiqua" w:cs="Times New Roman"/>
        </w:rPr>
        <w:t>Na nedostatky v systéme poskytovania podpôr upozornili aj audity Európskej komisie, ktoré spochybnili schopnosť zabezpečiť riadne finančné riadenie a ochranu finančných záujmov Európskej únie. Posilnenie preventívnych mechanizmov je preto nevyhnutné aj z pohľadu udržania dôveryhodnosti systému a plnenia podmienok akreditácie</w:t>
      </w:r>
      <w:r>
        <w:rPr>
          <w:rFonts w:ascii="Book Antiqua" w:eastAsia="Times New Roman" w:hAnsi="Book Antiqua" w:cs="Times New Roman"/>
        </w:rPr>
        <w:t xml:space="preserve"> Pôdohospodárskej</w:t>
      </w:r>
      <w:r w:rsidRPr="00CB4F70">
        <w:rPr>
          <w:rFonts w:ascii="Book Antiqua" w:eastAsia="Times New Roman" w:hAnsi="Book Antiqua" w:cs="Times New Roman"/>
        </w:rPr>
        <w:t xml:space="preserve"> platobnej agentúry.</w:t>
      </w:r>
    </w:p>
    <w:p w14:paraId="5F10C7F6" w14:textId="77777777" w:rsidR="00EC4CCD" w:rsidRDefault="00EC4CCD" w:rsidP="00EC4CCD">
      <w:pPr>
        <w:tabs>
          <w:tab w:val="left" w:pos="708"/>
        </w:tabs>
        <w:spacing w:before="120" w:after="120" w:line="276" w:lineRule="auto"/>
        <w:ind w:firstLine="708"/>
        <w:jc w:val="both"/>
        <w:rPr>
          <w:rFonts w:ascii="Book Antiqua" w:hAnsi="Book Antiqua"/>
        </w:rPr>
      </w:pPr>
      <w:r w:rsidRPr="0041510A">
        <w:rPr>
          <w:rFonts w:ascii="Book Antiqua" w:hAnsi="Book Antiqua"/>
        </w:rPr>
        <w:t xml:space="preserve">Návrh zákona </w:t>
      </w:r>
      <w:r>
        <w:rPr>
          <w:rFonts w:ascii="Book Antiqua" w:hAnsi="Book Antiqua"/>
        </w:rPr>
        <w:t>predpokladá pozitívny</w:t>
      </w:r>
      <w:r w:rsidRPr="0041510A">
        <w:rPr>
          <w:rFonts w:ascii="Book Antiqua" w:hAnsi="Book Antiqua"/>
        </w:rPr>
        <w:t xml:space="preserve"> vplyv na rozpočet verejnej správy, nemá sociálne vplyvy, nemá žiadne vplyvy na životné prostredie, na informatizáciu spoločnosti, na manželstvo, rodičovstvo a rodinu, nemá žiadne vplyvy na podnikateľské prostredie a žiadne vplyvy  na služby verejnej správy pre občana.</w:t>
      </w:r>
    </w:p>
    <w:p w14:paraId="21D41F21" w14:textId="77777777" w:rsidR="00EC4CCD" w:rsidRPr="00D8092E" w:rsidRDefault="00EC4CCD" w:rsidP="00EC4CCD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ind w:firstLine="709"/>
        <w:jc w:val="both"/>
        <w:rPr>
          <w:rFonts w:ascii="Book Antiqua" w:hAnsi="Book Antiqua"/>
        </w:rPr>
      </w:pPr>
      <w:r w:rsidRPr="000F1924">
        <w:rPr>
          <w:rFonts w:ascii="Book Antiqua" w:hAnsi="Book Antiqua"/>
        </w:rPr>
        <w:t xml:space="preserve">Návrh zákona je v súlade s Ústavou Slovenskej republiky, ústavnými zákonmi a ostatnými všeobecne záväznými právnymi predpismi Slovenskej republiky, medzinárodnými </w:t>
      </w:r>
      <w:r w:rsidRPr="000F1924">
        <w:rPr>
          <w:rFonts w:ascii="Book Antiqua" w:hAnsi="Book Antiqua"/>
        </w:rPr>
        <w:lastRenderedPageBreak/>
        <w:t>zmluvami a inými medzinárodnými dokumentmi, ktorými je Slovenská republika viazaná, ako aj s právom Európskej únie.</w:t>
      </w:r>
    </w:p>
    <w:p w14:paraId="61BB0B01" w14:textId="77777777" w:rsidR="00EC4CCD" w:rsidRPr="00B14A4C" w:rsidRDefault="00EC4CCD" w:rsidP="00EC4CCD">
      <w:pPr>
        <w:pageBreakBefore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lastRenderedPageBreak/>
        <w:t>B. OSOBITNÁ ČASŤ</w:t>
      </w:r>
    </w:p>
    <w:p w14:paraId="5FA21348" w14:textId="77777777" w:rsidR="00EC4CCD" w:rsidRPr="00B14A4C" w:rsidRDefault="00EC4CCD" w:rsidP="00EC4CCD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67CA9CE7" w14:textId="77777777" w:rsidR="00EC4CCD" w:rsidRPr="0010546E" w:rsidRDefault="00EC4CCD" w:rsidP="00EC4CCD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>K Čl. I</w:t>
      </w:r>
    </w:p>
    <w:p w14:paraId="62F22B66" w14:textId="77777777" w:rsidR="00EC4CCD" w:rsidRDefault="00EC4CCD" w:rsidP="00EC4CCD">
      <w:pPr>
        <w:tabs>
          <w:tab w:val="left" w:pos="708"/>
        </w:tabs>
        <w:spacing w:before="120" w:after="120" w:line="276" w:lineRule="auto"/>
        <w:jc w:val="both"/>
        <w:rPr>
          <w:rFonts w:ascii="Book Antiqua" w:eastAsia="Times New Roman" w:hAnsi="Book Antiqua" w:cs="Times New Roman"/>
        </w:rPr>
      </w:pPr>
      <w:r>
        <w:rPr>
          <w:rFonts w:ascii="Book Antiqua" w:eastAsia="Times New Roman" w:hAnsi="Book Antiqua" w:cs="Times New Roman"/>
        </w:rPr>
        <w:tab/>
      </w:r>
      <w:r w:rsidRPr="00CB4F70">
        <w:rPr>
          <w:rFonts w:ascii="Book Antiqua" w:eastAsia="Times New Roman" w:hAnsi="Book Antiqua" w:cs="Times New Roman"/>
        </w:rPr>
        <w:t>Navrhuje sa doplnenie ustanovenia § 13 ods. 11 o novú vetu, ktorá zavádza povinnosť Pôdohospodárskej platobnej agentúry pozastaviť poskytovanie podpory v prípade podozrenia na nezrovnalosti alebo nedostatky v postupe prijímateľa. Zároveň sa ustanovuje povinnosť pozastavenia podpory aj v prípade, ak bolo voči prijímateľovi, štatutárnemu orgánu, členovi štatutárneho orgánu alebo osobe konajúcej v mene alebo na účet prijímateľa vznesené obvinenie pre taxatívne vymedzené trestné činy, ktoré sú svojou povahou spôsobilé ohroziť riadne a zákonné čerpanie verejných prostriedkov.</w:t>
      </w:r>
    </w:p>
    <w:p w14:paraId="7F77CDF4" w14:textId="77777777" w:rsidR="00EC4CCD" w:rsidRPr="00CB4F70" w:rsidRDefault="00EC4CCD" w:rsidP="00EC4CCD">
      <w:pPr>
        <w:tabs>
          <w:tab w:val="left" w:pos="708"/>
        </w:tabs>
        <w:spacing w:before="120" w:after="120" w:line="276" w:lineRule="auto"/>
        <w:jc w:val="both"/>
        <w:rPr>
          <w:rFonts w:ascii="Book Antiqua" w:eastAsia="Times New Roman" w:hAnsi="Book Antiqua" w:cs="Times New Roman"/>
        </w:rPr>
      </w:pPr>
      <w:r>
        <w:rPr>
          <w:rFonts w:ascii="Book Antiqua" w:hAnsi="Book Antiqua"/>
        </w:rPr>
        <w:tab/>
      </w:r>
      <w:r w:rsidRPr="00CB4F70">
        <w:rPr>
          <w:rFonts w:ascii="Book Antiqua" w:hAnsi="Book Antiqua"/>
        </w:rPr>
        <w:t>Pozastavenie podpory má dočasný charakter a trvá do času objasnenia skutkového stavu, pričom nepredstavuje rozhodnutie o vine, ale preventívne opatrenie na ochranu verejných financií.</w:t>
      </w:r>
    </w:p>
    <w:p w14:paraId="32250B0B" w14:textId="77777777" w:rsidR="00EC4CCD" w:rsidRDefault="00EC4CCD" w:rsidP="00EC4CCD">
      <w:pPr>
        <w:tabs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2257325" w14:textId="77777777" w:rsidR="00EC4CCD" w:rsidRDefault="00EC4CCD" w:rsidP="00EC4CCD">
      <w:pPr>
        <w:tabs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>
        <w:rPr>
          <w:rFonts w:ascii="Book Antiqua" w:eastAsia="Times New Roman" w:hAnsi="Book Antiqua" w:cs="Times New Roman"/>
          <w:b/>
          <w:color w:val="000000"/>
        </w:rPr>
        <w:t>K Čl. II</w:t>
      </w:r>
    </w:p>
    <w:p w14:paraId="01BF3D98" w14:textId="77777777" w:rsidR="00EC4CCD" w:rsidRPr="00F5232F" w:rsidRDefault="00EC4CCD" w:rsidP="00EC4CCD">
      <w:pPr>
        <w:tabs>
          <w:tab w:val="left" w:pos="708"/>
        </w:tabs>
        <w:spacing w:before="120" w:after="0" w:line="276" w:lineRule="auto"/>
        <w:jc w:val="both"/>
        <w:rPr>
          <w:rFonts w:ascii="Book Antiqua" w:hAnsi="Book Antiqua"/>
          <w:color w:val="000000"/>
        </w:rPr>
      </w:pPr>
      <w:r w:rsidRPr="00B14A4C">
        <w:rPr>
          <w:rFonts w:ascii="Book Antiqua" w:eastAsia="Times New Roman" w:hAnsi="Book Antiqua" w:cs="Times New Roman"/>
          <w:color w:val="000000"/>
        </w:rPr>
        <w:t>Navrhuje sa účinnosť návrhu zákona</w:t>
      </w:r>
      <w:r w:rsidRPr="00B14A4C">
        <w:rPr>
          <w:rFonts w:ascii="Book Antiqua" w:eastAsia="Times New Roman" w:hAnsi="Book Antiqua" w:cs="Times New Roman"/>
        </w:rPr>
        <w:t xml:space="preserve"> </w:t>
      </w:r>
      <w:r>
        <w:rPr>
          <w:rFonts w:ascii="Book Antiqua" w:eastAsia="Times New Roman" w:hAnsi="Book Antiqua" w:cs="Times New Roman"/>
        </w:rPr>
        <w:t xml:space="preserve">na </w:t>
      </w:r>
      <w:r w:rsidRPr="00B14A4C">
        <w:rPr>
          <w:rFonts w:ascii="Book Antiqua" w:eastAsia="Times New Roman" w:hAnsi="Book Antiqua" w:cs="Times New Roman"/>
        </w:rPr>
        <w:t xml:space="preserve">1. </w:t>
      </w:r>
      <w:r>
        <w:rPr>
          <w:rFonts w:ascii="Book Antiqua" w:eastAsia="Times New Roman" w:hAnsi="Book Antiqua" w:cs="Times New Roman"/>
        </w:rPr>
        <w:t>januára 2027.</w:t>
      </w:r>
      <w:r>
        <w:rPr>
          <w:rFonts w:ascii="Book Antiqua" w:eastAsia="Times New Roman" w:hAnsi="Book Antiqua" w:cs="Times New Roman"/>
          <w:color w:val="000000"/>
        </w:rPr>
        <w:t xml:space="preserve"> </w:t>
      </w:r>
    </w:p>
    <w:p w14:paraId="20AA99F5" w14:textId="77777777" w:rsidR="00EC4CCD" w:rsidRPr="00B14A4C" w:rsidRDefault="00EC4CCD" w:rsidP="00EC4CCD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4BE10626" w14:textId="77777777" w:rsidR="00EC4CCD" w:rsidRPr="00B14A4C" w:rsidRDefault="00EC4CCD" w:rsidP="00EC4CCD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12B5CEDA" w14:textId="77777777" w:rsidR="00EC4CCD" w:rsidRPr="00B14A4C" w:rsidRDefault="00EC4CCD" w:rsidP="00EC4CCD">
      <w:pPr>
        <w:tabs>
          <w:tab w:val="left" w:pos="6015"/>
        </w:tabs>
        <w:rPr>
          <w:rFonts w:ascii="Book Antiqua" w:hAnsi="Book Antiqua" w:cs="Book Antiqua"/>
          <w:b/>
          <w:bCs/>
          <w:caps/>
          <w:spacing w:val="30"/>
        </w:rPr>
      </w:pPr>
    </w:p>
    <w:p w14:paraId="1BFD3160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A7454"/>
    <w:multiLevelType w:val="hybridMultilevel"/>
    <w:tmpl w:val="B51ED624"/>
    <w:lvl w:ilvl="0" w:tplc="F7843CE6">
      <w:start w:val="5"/>
      <w:numFmt w:val="bullet"/>
      <w:lvlText w:val="-"/>
      <w:lvlJc w:val="left"/>
      <w:pPr>
        <w:ind w:left="1068" w:hanging="360"/>
      </w:pPr>
      <w:rPr>
        <w:rFonts w:ascii="Book Antiqua" w:eastAsia="Times New Roman" w:hAnsi="Book Antiqu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39494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CCD"/>
    <w:rsid w:val="00683BF8"/>
    <w:rsid w:val="007876F7"/>
    <w:rsid w:val="00BA293F"/>
    <w:rsid w:val="00EC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7BA5"/>
  <w15:chartTrackingRefBased/>
  <w15:docId w15:val="{F06D1FBD-775C-468A-8DAD-AEE1B334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CCD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C4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C4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C4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C4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C4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4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C4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4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4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C4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C4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C4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C4CC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C4CC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C4C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C4C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4C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4CC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C4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C4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C4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C4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C4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C4CC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C4CC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C4CC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C4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C4CC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C4CCD"/>
    <w:rPr>
      <w:b/>
      <w:bCs/>
      <w:smallCaps/>
      <w:color w:val="0F4761" w:themeColor="accent1" w:themeShade="BF"/>
      <w:spacing w:val="5"/>
    </w:rPr>
  </w:style>
  <w:style w:type="character" w:customStyle="1" w:styleId="awspan">
    <w:name w:val="awspan"/>
    <w:basedOn w:val="Predvolenpsmoodseku"/>
    <w:rsid w:val="00EC4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3185</Characters>
  <DocSecurity>0</DocSecurity>
  <Lines>26</Lines>
  <Paragraphs>7</Paragraphs>
  <ScaleCrop>false</ScaleCrop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2026-05-07T17:27:00Z</dcterms:created>
  <dcterms:modified xsi:type="dcterms:W3CDTF">2026-05-07T17:27:00Z</dcterms:modified>
</cp:coreProperties>
</file>