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45AE" w14:textId="77777777" w:rsidR="00AA41A8" w:rsidRDefault="00AA41A8" w:rsidP="00AA41A8">
      <w:pPr>
        <w:spacing w:before="120"/>
        <w:jc w:val="center"/>
        <w:rPr>
          <w:sz w:val="24"/>
          <w:szCs w:val="24"/>
        </w:rPr>
      </w:pPr>
      <w:r>
        <w:rPr>
          <w:b/>
          <w:smallCaps/>
          <w:sz w:val="24"/>
          <w:szCs w:val="24"/>
        </w:rPr>
        <w:t>DOLOŽKA</w:t>
      </w:r>
    </w:p>
    <w:p w14:paraId="774B0098" w14:textId="77777777" w:rsidR="00AA41A8" w:rsidRDefault="00AA41A8" w:rsidP="00AA41A8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vybraných vplyvov</w:t>
      </w:r>
    </w:p>
    <w:p w14:paraId="1362C600" w14:textId="77777777" w:rsidR="00AA41A8" w:rsidRDefault="00AA41A8" w:rsidP="00AA41A8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F52AE5D" w14:textId="77777777" w:rsidR="00AA41A8" w:rsidRDefault="00AA41A8" w:rsidP="00AA41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A.1. Názov materiálu: </w:t>
      </w:r>
      <w:r>
        <w:rPr>
          <w:sz w:val="24"/>
          <w:szCs w:val="24"/>
        </w:rPr>
        <w:t xml:space="preserve">návrh zákona, </w:t>
      </w:r>
      <w:r w:rsidRPr="009F7DE7">
        <w:rPr>
          <w:sz w:val="24"/>
          <w:szCs w:val="24"/>
        </w:rPr>
        <w:t>ktorým sa dopĺňa zákon č. 355/2007 Z. z. o ochrane, podpore a rozvoji verejného zdravia a o zmene a doplnení niektorých zákonov v znení neskorších predpisov</w:t>
      </w:r>
      <w:r>
        <w:rPr>
          <w:b/>
          <w:sz w:val="24"/>
          <w:szCs w:val="24"/>
        </w:rPr>
        <w:t xml:space="preserve"> </w:t>
      </w:r>
    </w:p>
    <w:p w14:paraId="31F800C0" w14:textId="77777777" w:rsidR="00AA41A8" w:rsidRPr="009F7DE7" w:rsidRDefault="00AA41A8" w:rsidP="00AA41A8">
      <w:pPr>
        <w:jc w:val="both"/>
        <w:rPr>
          <w:b/>
          <w:sz w:val="24"/>
          <w:szCs w:val="24"/>
        </w:rPr>
      </w:pPr>
    </w:p>
    <w:p w14:paraId="12418CDC" w14:textId="77777777" w:rsidR="00AA41A8" w:rsidRDefault="00AA41A8" w:rsidP="00AA41A8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A.2. Vplyvy:</w:t>
      </w:r>
    </w:p>
    <w:tbl>
      <w:tblPr>
        <w:tblW w:w="9185" w:type="dxa"/>
        <w:tblInd w:w="-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0" w:type="dxa"/>
        </w:tblCellMar>
        <w:tblLook w:val="0400" w:firstRow="0" w:lastRow="0" w:firstColumn="0" w:lastColumn="0" w:noHBand="0" w:noVBand="1"/>
      </w:tblPr>
      <w:tblGrid>
        <w:gridCol w:w="5449"/>
        <w:gridCol w:w="1235"/>
        <w:gridCol w:w="1176"/>
        <w:gridCol w:w="1325"/>
      </w:tblGrid>
      <w:tr w:rsidR="00AA41A8" w14:paraId="7F5D8AF2" w14:textId="77777777" w:rsidTr="00F3661A"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7C595DB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212ECC4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B11FEEE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C6DE7AC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Negatívne </w:t>
            </w:r>
          </w:p>
        </w:tc>
      </w:tr>
      <w:tr w:rsidR="00AA41A8" w14:paraId="57FDE684" w14:textId="77777777" w:rsidTr="00F3661A"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2A86179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0B026AA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0C81B15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67C3A781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A41A8" w14:paraId="47E84198" w14:textId="77777777" w:rsidTr="00F3661A"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28129F3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0331A81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38CAEC9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71A52D2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AA41A8" w14:paraId="51AFC025" w14:textId="77777777" w:rsidTr="00F3661A"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34292F13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2AFFB0FD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2E359F85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A358157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A41A8" w14:paraId="2C47CAEB" w14:textId="77777777" w:rsidTr="00F3661A">
        <w:trPr>
          <w:trHeight w:val="441"/>
        </w:trPr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E6B279A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FDB28D1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25B9CD04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63FAEC4A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A41A8" w14:paraId="56480BB8" w14:textId="77777777" w:rsidTr="00F3661A"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94072C2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color w:val="000000"/>
                <w:sz w:val="24"/>
                <w:szCs w:val="24"/>
              </w:rPr>
              <w:t>exklúziu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87F7111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6C2164ED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829CA70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A41A8" w14:paraId="22766101" w14:textId="77777777" w:rsidTr="00F3661A"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24F6744D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rovnosť príležitostí a rodovú rovnosť a vplyvy na zamestnanosť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DD87B60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501DDB5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3A31557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A41A8" w14:paraId="00E2ABCD" w14:textId="77777777" w:rsidTr="00F3661A"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32743842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2F9F0E19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3ECB1EC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2A72603C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A41A8" w14:paraId="5200DE05" w14:textId="77777777" w:rsidTr="00F3661A"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2E58E53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B91B822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051B53F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9A31F9F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A41A8" w14:paraId="7886FAC7" w14:textId="77777777" w:rsidTr="00F3661A"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65235B2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awspan"/>
                <w:rFonts w:eastAsiaTheme="majorEastAsia"/>
                <w:color w:val="000000"/>
                <w:sz w:val="24"/>
                <w:szCs w:val="24"/>
              </w:rPr>
              <w:t>6. Vplyvy na služby verejnej správy pre občana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AE292E8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12A8C53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8560EEA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A41A8" w14:paraId="4619B03B" w14:textId="77777777" w:rsidTr="00F3661A"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6D4F8C71" w14:textId="77777777" w:rsidR="00AA41A8" w:rsidRDefault="00AA41A8" w:rsidP="00F3661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awspan"/>
                <w:rFonts w:eastAsiaTheme="majorEastAsia"/>
                <w:color w:val="000000"/>
                <w:sz w:val="24"/>
                <w:szCs w:val="24"/>
              </w:rPr>
              <w:t>7. Vplyvy na manželstvo, rodičovstvo a rodinu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FCBB779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654A7080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3CACCA4" w14:textId="77777777" w:rsidR="00AA41A8" w:rsidRDefault="00AA41A8" w:rsidP="00F3661A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28A9CA0" w14:textId="77777777" w:rsidR="00AA41A8" w:rsidRDefault="00AA41A8" w:rsidP="00AA41A8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AA7941E" w14:textId="77777777" w:rsidR="00AA41A8" w:rsidRPr="009F7DE7" w:rsidRDefault="00AA41A8" w:rsidP="00AA41A8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A.3. Poznámky</w:t>
      </w:r>
    </w:p>
    <w:p w14:paraId="09EA359E" w14:textId="77777777" w:rsidR="00AA41A8" w:rsidRDefault="00AA41A8" w:rsidP="00AA41A8">
      <w:pPr>
        <w:spacing w:before="120"/>
        <w:jc w:val="both"/>
        <w:rPr>
          <w:i/>
          <w:sz w:val="24"/>
          <w:szCs w:val="24"/>
        </w:rPr>
      </w:pPr>
      <w:r w:rsidRPr="009F7DE7">
        <w:rPr>
          <w:i/>
          <w:sz w:val="24"/>
          <w:szCs w:val="24"/>
        </w:rPr>
        <w:t xml:space="preserve">Predkladaný návrh zákona nemá žiadne vplyvy na životné prostredie, a ani vplyvy na informatizáciu spoločnosti a služby verejnej správy pre občana. </w:t>
      </w:r>
      <w:r>
        <w:rPr>
          <w:i/>
          <w:sz w:val="24"/>
          <w:szCs w:val="24"/>
        </w:rPr>
        <w:t>Má n</w:t>
      </w:r>
      <w:r w:rsidRPr="009F7DE7">
        <w:rPr>
          <w:i/>
          <w:sz w:val="24"/>
          <w:szCs w:val="24"/>
        </w:rPr>
        <w:t xml:space="preserve">egatívny vplyv na podnikateľské prostredie, nakoľko podnikateľské subjekty budú musieť nastaviť procesy tak, aby nedochádzalo k predaju vymedzených nápojov osobám vo veku do </w:t>
      </w:r>
      <w:r>
        <w:rPr>
          <w:i/>
          <w:sz w:val="24"/>
          <w:szCs w:val="24"/>
        </w:rPr>
        <w:t>16</w:t>
      </w:r>
      <w:r w:rsidRPr="009F7DE7">
        <w:rPr>
          <w:i/>
          <w:sz w:val="24"/>
          <w:szCs w:val="24"/>
        </w:rPr>
        <w:t xml:space="preserve"> rokov, pôjde však iba o zanedbateľný vplyv, nakoľko obdobné mechanizmy už musia mať zavedené v súvislosti s predajom alkoholu a tabakových výrobkov. Návrh má</w:t>
      </w:r>
      <w:r>
        <w:rPr>
          <w:i/>
          <w:sz w:val="24"/>
          <w:szCs w:val="24"/>
        </w:rPr>
        <w:t xml:space="preserve"> </w:t>
      </w:r>
      <w:r w:rsidRPr="009F7DE7">
        <w:rPr>
          <w:i/>
          <w:sz w:val="24"/>
          <w:szCs w:val="24"/>
        </w:rPr>
        <w:t xml:space="preserve">pozitívne sociálne vplyvy, ako aj pozitívny vplyv na manželstvo, rodičovstvo a rodinu, keďže prispieva k predchádzaniu závislostiam, zdravšiemu životnému štýlu a predchádzaniu ochoreniam. Očakáva sa tiež pozitívny vplyv na štátny rozpočet vzhľadom na úsporu </w:t>
      </w:r>
      <w:r>
        <w:rPr>
          <w:i/>
          <w:sz w:val="24"/>
          <w:szCs w:val="24"/>
        </w:rPr>
        <w:t>v</w:t>
      </w:r>
      <w:r w:rsidRPr="009F7DE7">
        <w:rPr>
          <w:i/>
          <w:sz w:val="24"/>
          <w:szCs w:val="24"/>
        </w:rPr>
        <w:t xml:space="preserve"> nákladoch na zdravotnú starostlivosť.</w:t>
      </w:r>
    </w:p>
    <w:p w14:paraId="7917A578" w14:textId="77777777" w:rsidR="00AA41A8" w:rsidRPr="000F6CE5" w:rsidRDefault="00AA41A8" w:rsidP="00AA41A8">
      <w:pPr>
        <w:jc w:val="both"/>
        <w:rPr>
          <w:i/>
          <w:sz w:val="24"/>
          <w:szCs w:val="24"/>
        </w:rPr>
      </w:pPr>
    </w:p>
    <w:p w14:paraId="1B33D9D7" w14:textId="77777777" w:rsidR="00AA41A8" w:rsidRDefault="00AA41A8" w:rsidP="00AA41A8">
      <w:pPr>
        <w:spacing w:before="120"/>
        <w:jc w:val="both"/>
        <w:rPr>
          <w:b/>
          <w:color w:val="000000"/>
          <w:sz w:val="24"/>
          <w:szCs w:val="24"/>
        </w:rPr>
      </w:pPr>
      <w:r w:rsidRPr="008F64E5">
        <w:rPr>
          <w:b/>
          <w:color w:val="000000"/>
          <w:sz w:val="24"/>
          <w:szCs w:val="24"/>
        </w:rPr>
        <w:t>A.4. Alternatívne riešenia</w:t>
      </w:r>
    </w:p>
    <w:p w14:paraId="2F38E0A7" w14:textId="77777777" w:rsidR="00AA41A8" w:rsidRDefault="00AA41A8" w:rsidP="00AA41A8">
      <w:pPr>
        <w:spacing w:before="12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bezpredmetné</w:t>
      </w:r>
    </w:p>
    <w:p w14:paraId="340F2E73" w14:textId="77777777" w:rsidR="00AA41A8" w:rsidRDefault="00AA41A8" w:rsidP="00AA41A8">
      <w:pPr>
        <w:spacing w:before="120"/>
        <w:jc w:val="both"/>
        <w:rPr>
          <w:b/>
          <w:color w:val="000000"/>
          <w:sz w:val="24"/>
          <w:szCs w:val="24"/>
        </w:rPr>
      </w:pPr>
    </w:p>
    <w:p w14:paraId="4575CC11" w14:textId="77777777" w:rsidR="00AA41A8" w:rsidRDefault="00AA41A8" w:rsidP="00AA41A8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A.5. Stanovisko gestorov</w:t>
      </w:r>
    </w:p>
    <w:p w14:paraId="53227D4B" w14:textId="77777777" w:rsidR="00AA41A8" w:rsidRPr="009F7DE7" w:rsidRDefault="00AA41A8" w:rsidP="00AA41A8">
      <w:pPr>
        <w:spacing w:before="120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Návrh zákona bol zaslaný na vyjadrenie Ministerstvu financií SR a Ministerstvu hospodárstva SR a stanovisko týchto ministerstiev tvorí súčasť predkladaného materiálu.</w:t>
      </w:r>
    </w:p>
    <w:p w14:paraId="65CFE0FB" w14:textId="77777777" w:rsidR="007876F7" w:rsidRDefault="007876F7"/>
    <w:sectPr w:rsidR="007876F7" w:rsidSect="00AA4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A8"/>
    <w:rsid w:val="00123228"/>
    <w:rsid w:val="007876F7"/>
    <w:rsid w:val="00AA41A8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6AAA1"/>
  <w15:chartTrackingRefBased/>
  <w15:docId w15:val="{742F104B-5B33-4120-8CD2-CD952FB3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A41A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A41A8"/>
    <w:pPr>
      <w:keepNext/>
      <w:keepLines/>
      <w:suppressAutoHyphens w:val="0"/>
      <w:autoSpaceDE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41A8"/>
    <w:pPr>
      <w:keepNext/>
      <w:keepLines/>
      <w:suppressAutoHyphens w:val="0"/>
      <w:autoSpaceDE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A41A8"/>
    <w:pPr>
      <w:keepNext/>
      <w:keepLines/>
      <w:suppressAutoHyphens w:val="0"/>
      <w:autoSpaceDE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A41A8"/>
    <w:pPr>
      <w:keepNext/>
      <w:keepLines/>
      <w:suppressAutoHyphens w:val="0"/>
      <w:autoSpaceDE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A41A8"/>
    <w:pPr>
      <w:keepNext/>
      <w:keepLines/>
      <w:suppressAutoHyphens w:val="0"/>
      <w:autoSpaceDE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A41A8"/>
    <w:pPr>
      <w:keepNext/>
      <w:keepLines/>
      <w:suppressAutoHyphens w:val="0"/>
      <w:autoSpaceDE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A41A8"/>
    <w:pPr>
      <w:keepNext/>
      <w:keepLines/>
      <w:suppressAutoHyphens w:val="0"/>
      <w:autoSpaceDE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A41A8"/>
    <w:pPr>
      <w:keepNext/>
      <w:keepLines/>
      <w:suppressAutoHyphens w:val="0"/>
      <w:autoSpaceDE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A41A8"/>
    <w:pPr>
      <w:keepNext/>
      <w:keepLines/>
      <w:suppressAutoHyphens w:val="0"/>
      <w:autoSpaceDE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A4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4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A4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A41A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A41A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A41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A41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A41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A41A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A41A8"/>
    <w:pPr>
      <w:suppressAutoHyphens w:val="0"/>
      <w:autoSpaceDE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A4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A41A8"/>
    <w:pPr>
      <w:numPr>
        <w:ilvl w:val="1"/>
      </w:numPr>
      <w:suppressAutoHyphens w:val="0"/>
      <w:autoSpaceDE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A4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A41A8"/>
    <w:pPr>
      <w:suppressAutoHyphens w:val="0"/>
      <w:autoSpaceDE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A41A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A41A8"/>
    <w:pPr>
      <w:suppressAutoHyphens w:val="0"/>
      <w:autoSpaceDE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A41A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A4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E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A41A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A41A8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qFormat/>
    <w:rsid w:val="00AA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DocSecurity>0</DocSecurity>
  <Lines>12</Lines>
  <Paragraphs>3</Paragraphs>
  <ScaleCrop>false</ScaleCrop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2026-05-07T16:06:00Z</dcterms:created>
  <dcterms:modified xsi:type="dcterms:W3CDTF">2026-05-07T16:07:00Z</dcterms:modified>
</cp:coreProperties>
</file>