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FA4E"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8"/>
          <w:szCs w:val="28"/>
          <w:lang w:eastAsia="sk-SK"/>
        </w:rPr>
      </w:pPr>
      <w:r w:rsidRPr="00553831">
        <w:rPr>
          <w:rFonts w:ascii="Times New Roman" w:eastAsia="Times New Roman" w:hAnsi="Times New Roman" w:cs="Times New Roman"/>
          <w:b/>
          <w:bCs/>
          <w:color w:val="000000" w:themeColor="text1"/>
          <w:sz w:val="28"/>
          <w:szCs w:val="28"/>
          <w:lang w:eastAsia="sk-SK"/>
        </w:rPr>
        <w:t>Analýza vplyvov na rozpočet verejnej správy,</w:t>
      </w:r>
    </w:p>
    <w:p w14:paraId="2D364699"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8"/>
          <w:szCs w:val="28"/>
          <w:lang w:eastAsia="sk-SK"/>
        </w:rPr>
      </w:pPr>
      <w:r w:rsidRPr="00553831">
        <w:rPr>
          <w:rFonts w:ascii="Times New Roman" w:eastAsia="Times New Roman" w:hAnsi="Times New Roman" w:cs="Times New Roman"/>
          <w:b/>
          <w:bCs/>
          <w:color w:val="000000" w:themeColor="text1"/>
          <w:sz w:val="28"/>
          <w:szCs w:val="28"/>
          <w:lang w:eastAsia="sk-SK"/>
        </w:rPr>
        <w:t>na zamestnanosť vo verejnej správe a financovanie návrhu</w:t>
      </w:r>
    </w:p>
    <w:p w14:paraId="163F2145" w14:textId="77777777" w:rsidR="00ED7612" w:rsidRPr="00553831" w:rsidRDefault="00ED7612" w:rsidP="00ED7612">
      <w:pPr>
        <w:spacing w:after="0" w:line="240" w:lineRule="auto"/>
        <w:jc w:val="right"/>
        <w:rPr>
          <w:rFonts w:ascii="Times New Roman" w:eastAsia="Times New Roman" w:hAnsi="Times New Roman" w:cs="Times New Roman"/>
          <w:b/>
          <w:bCs/>
          <w:color w:val="000000" w:themeColor="text1"/>
          <w:sz w:val="24"/>
          <w:szCs w:val="24"/>
          <w:lang w:eastAsia="sk-SK"/>
        </w:rPr>
      </w:pPr>
    </w:p>
    <w:p w14:paraId="0EEC04B3"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2.1 Zhrnutie vplyvov na rozpočet verejnej správy v návrhu</w:t>
      </w:r>
    </w:p>
    <w:p w14:paraId="0F7CF616" w14:textId="77777777" w:rsidR="00ED7612" w:rsidRPr="00553831" w:rsidRDefault="00ED7612" w:rsidP="00ED7612">
      <w:pPr>
        <w:spacing w:after="0" w:line="240" w:lineRule="auto"/>
        <w:jc w:val="right"/>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Tabuľka č. 1/A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9"/>
        <w:gridCol w:w="1559"/>
        <w:gridCol w:w="1560"/>
        <w:gridCol w:w="1640"/>
        <w:gridCol w:w="1760"/>
      </w:tblGrid>
      <w:tr w:rsidR="00553831" w:rsidRPr="00553831" w14:paraId="090F6C29" w14:textId="77777777" w:rsidTr="00EB3F4F">
        <w:trPr>
          <w:cantSplit/>
          <w:trHeight w:val="194"/>
          <w:jc w:val="center"/>
        </w:trPr>
        <w:tc>
          <w:tcPr>
            <w:tcW w:w="3539" w:type="dxa"/>
            <w:vMerge w:val="restart"/>
            <w:shd w:val="clear" w:color="auto" w:fill="BFBFBF"/>
            <w:vAlign w:val="center"/>
          </w:tcPr>
          <w:p w14:paraId="47F9602A"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bookmarkStart w:id="0" w:name="OLE_LINK1"/>
            <w:r w:rsidRPr="00553831">
              <w:rPr>
                <w:rFonts w:ascii="Times New Roman" w:eastAsia="Times New Roman" w:hAnsi="Times New Roman" w:cs="Times New Roman"/>
                <w:b/>
                <w:bCs/>
                <w:color w:val="000000" w:themeColor="text1"/>
                <w:sz w:val="24"/>
                <w:szCs w:val="24"/>
                <w:lang w:eastAsia="sk-SK"/>
              </w:rPr>
              <w:t>Vplyvy na rozpočet verejnej správy</w:t>
            </w:r>
          </w:p>
        </w:tc>
        <w:tc>
          <w:tcPr>
            <w:tcW w:w="6379" w:type="dxa"/>
            <w:gridSpan w:val="4"/>
            <w:shd w:val="clear" w:color="auto" w:fill="BFBFBF"/>
            <w:vAlign w:val="center"/>
          </w:tcPr>
          <w:p w14:paraId="44EB119C"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rozpočet verejnej správy (v eurách)</w:t>
            </w:r>
          </w:p>
        </w:tc>
      </w:tr>
      <w:tr w:rsidR="00553831" w:rsidRPr="00553831" w14:paraId="0C841D9E" w14:textId="77777777" w:rsidTr="00EB3F4F">
        <w:trPr>
          <w:cantSplit/>
          <w:trHeight w:val="70"/>
          <w:jc w:val="center"/>
        </w:trPr>
        <w:tc>
          <w:tcPr>
            <w:tcW w:w="3539" w:type="dxa"/>
            <w:vMerge/>
            <w:shd w:val="clear" w:color="auto" w:fill="BFBFBF"/>
            <w:vAlign w:val="center"/>
          </w:tcPr>
          <w:p w14:paraId="2FB5163F"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59" w:type="dxa"/>
            <w:shd w:val="clear" w:color="auto" w:fill="BFBFBF"/>
            <w:vAlign w:val="center"/>
          </w:tcPr>
          <w:p w14:paraId="51232EF3" w14:textId="713A53FA" w:rsidR="00ED7612" w:rsidRPr="00553831" w:rsidRDefault="001F179D"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w:t>
            </w:r>
            <w:r w:rsidR="00C60902" w:rsidRPr="00553831">
              <w:rPr>
                <w:rFonts w:ascii="Times New Roman" w:eastAsia="Times New Roman" w:hAnsi="Times New Roman" w:cs="Times New Roman"/>
                <w:b/>
                <w:bCs/>
                <w:color w:val="000000" w:themeColor="text1"/>
                <w:sz w:val="24"/>
                <w:szCs w:val="24"/>
                <w:lang w:eastAsia="sk-SK"/>
              </w:rPr>
              <w:t>6</w:t>
            </w:r>
          </w:p>
        </w:tc>
        <w:tc>
          <w:tcPr>
            <w:tcW w:w="1560" w:type="dxa"/>
            <w:shd w:val="clear" w:color="auto" w:fill="BFBFBF"/>
            <w:vAlign w:val="center"/>
          </w:tcPr>
          <w:p w14:paraId="4DCD05BB" w14:textId="5BF9EB1E" w:rsidR="00ED7612" w:rsidRPr="00553831" w:rsidRDefault="001F179D"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w:t>
            </w:r>
            <w:r w:rsidR="00C60902" w:rsidRPr="00553831">
              <w:rPr>
                <w:rFonts w:ascii="Times New Roman" w:eastAsia="Times New Roman" w:hAnsi="Times New Roman" w:cs="Times New Roman"/>
                <w:b/>
                <w:bCs/>
                <w:color w:val="000000" w:themeColor="text1"/>
                <w:sz w:val="24"/>
                <w:szCs w:val="24"/>
                <w:lang w:eastAsia="sk-SK"/>
              </w:rPr>
              <w:t>7</w:t>
            </w:r>
          </w:p>
        </w:tc>
        <w:tc>
          <w:tcPr>
            <w:tcW w:w="1559" w:type="dxa"/>
            <w:shd w:val="clear" w:color="auto" w:fill="BFBFBF"/>
            <w:vAlign w:val="center"/>
          </w:tcPr>
          <w:p w14:paraId="4D61AE86" w14:textId="12F976EE" w:rsidR="00ED7612" w:rsidRPr="00553831" w:rsidRDefault="001F179D"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w:t>
            </w:r>
            <w:r w:rsidR="00C60902" w:rsidRPr="00553831">
              <w:rPr>
                <w:rFonts w:ascii="Times New Roman" w:eastAsia="Times New Roman" w:hAnsi="Times New Roman" w:cs="Times New Roman"/>
                <w:b/>
                <w:bCs/>
                <w:color w:val="000000" w:themeColor="text1"/>
                <w:sz w:val="24"/>
                <w:szCs w:val="24"/>
                <w:lang w:eastAsia="sk-SK"/>
              </w:rPr>
              <w:t>8</w:t>
            </w:r>
          </w:p>
        </w:tc>
        <w:tc>
          <w:tcPr>
            <w:tcW w:w="1701" w:type="dxa"/>
            <w:shd w:val="clear" w:color="auto" w:fill="BFBFBF"/>
            <w:vAlign w:val="center"/>
          </w:tcPr>
          <w:p w14:paraId="3771317B" w14:textId="4594D779" w:rsidR="00ED7612" w:rsidRPr="00553831" w:rsidRDefault="001F179D"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w:t>
            </w:r>
            <w:r w:rsidR="00C60902" w:rsidRPr="00553831">
              <w:rPr>
                <w:rFonts w:ascii="Times New Roman" w:eastAsia="Times New Roman" w:hAnsi="Times New Roman" w:cs="Times New Roman"/>
                <w:b/>
                <w:bCs/>
                <w:color w:val="000000" w:themeColor="text1"/>
                <w:sz w:val="24"/>
                <w:szCs w:val="24"/>
                <w:lang w:eastAsia="sk-SK"/>
              </w:rPr>
              <w:t>9</w:t>
            </w:r>
          </w:p>
        </w:tc>
      </w:tr>
      <w:tr w:rsidR="00553831" w:rsidRPr="00553831" w14:paraId="19951304" w14:textId="77777777" w:rsidTr="00EB3F4F">
        <w:trPr>
          <w:trHeight w:val="70"/>
          <w:jc w:val="center"/>
        </w:trPr>
        <w:tc>
          <w:tcPr>
            <w:tcW w:w="3539" w:type="dxa"/>
            <w:shd w:val="clear" w:color="auto" w:fill="C0C0C0"/>
            <w:noWrap/>
            <w:vAlign w:val="center"/>
          </w:tcPr>
          <w:p w14:paraId="4370F962" w14:textId="77777777" w:rsidR="00820F75" w:rsidRPr="00553831" w:rsidRDefault="00820F75" w:rsidP="00820F75">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Príjmy verejnej správy celkom</w:t>
            </w:r>
          </w:p>
        </w:tc>
        <w:tc>
          <w:tcPr>
            <w:tcW w:w="1559" w:type="dxa"/>
            <w:shd w:val="clear" w:color="auto" w:fill="C0C0C0"/>
            <w:vAlign w:val="center"/>
          </w:tcPr>
          <w:p w14:paraId="601C0D46" w14:textId="391B5820"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shd w:val="clear" w:color="auto" w:fill="C0C0C0"/>
            <w:vAlign w:val="center"/>
          </w:tcPr>
          <w:p w14:paraId="2F362D1E" w14:textId="3CAB090F" w:rsidR="00820F75" w:rsidRPr="00553831" w:rsidRDefault="00820F75" w:rsidP="00820F75">
            <w:pPr>
              <w:spacing w:after="0" w:line="240" w:lineRule="auto"/>
              <w:jc w:val="right"/>
              <w:rPr>
                <w:rFonts w:ascii="Aptos Narrow" w:hAnsi="Aptos Narrow"/>
                <w:b/>
                <w:bCs/>
                <w:color w:val="000000" w:themeColor="text1"/>
              </w:rPr>
            </w:pPr>
            <w:r w:rsidRPr="00553831">
              <w:rPr>
                <w:rFonts w:ascii="Aptos Narrow" w:hAnsi="Aptos Narrow"/>
                <w:b/>
                <w:bCs/>
                <w:color w:val="000000" w:themeColor="text1"/>
              </w:rPr>
              <w:t>2 400 000€</w:t>
            </w:r>
          </w:p>
        </w:tc>
        <w:tc>
          <w:tcPr>
            <w:tcW w:w="1559" w:type="dxa"/>
            <w:shd w:val="clear" w:color="auto" w:fill="C0C0C0"/>
            <w:vAlign w:val="center"/>
          </w:tcPr>
          <w:p w14:paraId="4C6DA6F3" w14:textId="4A396593" w:rsidR="00820F75" w:rsidRPr="00553831" w:rsidRDefault="00820F75" w:rsidP="00820F75">
            <w:pPr>
              <w:spacing w:after="0" w:line="240" w:lineRule="auto"/>
              <w:jc w:val="right"/>
              <w:rPr>
                <w:rFonts w:ascii="Aptos Narrow" w:hAnsi="Aptos Narrow"/>
                <w:b/>
                <w:bCs/>
                <w:color w:val="000000" w:themeColor="text1"/>
              </w:rPr>
            </w:pPr>
            <w:r w:rsidRPr="00553831">
              <w:rPr>
                <w:rFonts w:ascii="Aptos Narrow" w:hAnsi="Aptos Narrow"/>
                <w:b/>
                <w:bCs/>
                <w:color w:val="000000" w:themeColor="text1"/>
              </w:rPr>
              <w:t>1 200 000€</w:t>
            </w:r>
          </w:p>
        </w:tc>
        <w:tc>
          <w:tcPr>
            <w:tcW w:w="1701" w:type="dxa"/>
            <w:shd w:val="clear" w:color="auto" w:fill="C0C0C0"/>
            <w:vAlign w:val="center"/>
          </w:tcPr>
          <w:p w14:paraId="25AA83F5" w14:textId="266A1EF4" w:rsidR="00820F75" w:rsidRPr="00553831" w:rsidRDefault="00820F75" w:rsidP="00820F75">
            <w:pPr>
              <w:spacing w:after="0" w:line="240" w:lineRule="auto"/>
              <w:jc w:val="right"/>
              <w:rPr>
                <w:rFonts w:ascii="Aptos Narrow" w:hAnsi="Aptos Narrow"/>
                <w:b/>
                <w:bCs/>
                <w:color w:val="000000" w:themeColor="text1"/>
              </w:rPr>
            </w:pPr>
            <w:r w:rsidRPr="00553831">
              <w:rPr>
                <w:rFonts w:ascii="Aptos Narrow" w:hAnsi="Aptos Narrow"/>
                <w:b/>
                <w:bCs/>
                <w:color w:val="000000" w:themeColor="text1"/>
              </w:rPr>
              <w:t>600 000€</w:t>
            </w:r>
          </w:p>
        </w:tc>
      </w:tr>
      <w:tr w:rsidR="00553831" w:rsidRPr="00553831" w14:paraId="0672C167" w14:textId="77777777" w:rsidTr="00EB3F4F">
        <w:trPr>
          <w:trHeight w:val="132"/>
          <w:jc w:val="center"/>
        </w:trPr>
        <w:tc>
          <w:tcPr>
            <w:tcW w:w="3539" w:type="dxa"/>
            <w:noWrap/>
            <w:vAlign w:val="center"/>
          </w:tcPr>
          <w:p w14:paraId="07073F19" w14:textId="77777777" w:rsidR="00820F75" w:rsidRPr="00553831" w:rsidRDefault="00820F75" w:rsidP="00820F75">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 tom: za každý subjekt verejnej správy zvlášť</w:t>
            </w:r>
          </w:p>
        </w:tc>
        <w:tc>
          <w:tcPr>
            <w:tcW w:w="1559" w:type="dxa"/>
            <w:noWrap/>
            <w:vAlign w:val="center"/>
          </w:tcPr>
          <w:p w14:paraId="3C0C4FDD"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3F60AA73"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7A77DD75"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6377CFFB"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07284D11" w14:textId="77777777" w:rsidTr="00EB3F4F">
        <w:trPr>
          <w:trHeight w:val="70"/>
          <w:jc w:val="center"/>
        </w:trPr>
        <w:tc>
          <w:tcPr>
            <w:tcW w:w="3539" w:type="dxa"/>
            <w:noWrap/>
            <w:vAlign w:val="center"/>
          </w:tcPr>
          <w:p w14:paraId="7B725180"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xml:space="preserve">z toho:  </w:t>
            </w:r>
          </w:p>
        </w:tc>
        <w:tc>
          <w:tcPr>
            <w:tcW w:w="1559" w:type="dxa"/>
            <w:noWrap/>
            <w:vAlign w:val="center"/>
          </w:tcPr>
          <w:p w14:paraId="6BAD8778"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560" w:type="dxa"/>
            <w:noWrap/>
            <w:vAlign w:val="center"/>
          </w:tcPr>
          <w:p w14:paraId="7B32FD0D"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559" w:type="dxa"/>
            <w:noWrap/>
            <w:vAlign w:val="center"/>
          </w:tcPr>
          <w:p w14:paraId="6E22E2AB"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701" w:type="dxa"/>
            <w:noWrap/>
            <w:vAlign w:val="center"/>
          </w:tcPr>
          <w:p w14:paraId="4B5E993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r>
      <w:tr w:rsidR="00553831" w:rsidRPr="00553831" w14:paraId="1AB9435C" w14:textId="77777777" w:rsidTr="00EB3F4F">
        <w:trPr>
          <w:trHeight w:val="125"/>
          <w:jc w:val="center"/>
        </w:trPr>
        <w:tc>
          <w:tcPr>
            <w:tcW w:w="3539" w:type="dxa"/>
            <w:noWrap/>
            <w:vAlign w:val="center"/>
          </w:tcPr>
          <w:p w14:paraId="30212B3E"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ŠR</w:t>
            </w:r>
          </w:p>
        </w:tc>
        <w:tc>
          <w:tcPr>
            <w:tcW w:w="1559" w:type="dxa"/>
            <w:noWrap/>
            <w:vAlign w:val="center"/>
          </w:tcPr>
          <w:p w14:paraId="0384A77E"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131A4892" w14:textId="457D1ED3" w:rsidR="00820F75" w:rsidRPr="00553831" w:rsidRDefault="00820F75" w:rsidP="00820F75">
            <w:pPr>
              <w:spacing w:after="0" w:line="240" w:lineRule="auto"/>
              <w:jc w:val="right"/>
              <w:rPr>
                <w:rFonts w:ascii="Aptos Narrow" w:hAnsi="Aptos Narrow"/>
                <w:b/>
                <w:bCs/>
                <w:color w:val="000000" w:themeColor="text1"/>
              </w:rPr>
            </w:pPr>
            <w:r w:rsidRPr="00553831">
              <w:rPr>
                <w:rFonts w:ascii="Aptos Narrow" w:hAnsi="Aptos Narrow"/>
                <w:b/>
                <w:bCs/>
                <w:color w:val="000000" w:themeColor="text1"/>
              </w:rPr>
              <w:t>2 400 000€</w:t>
            </w:r>
          </w:p>
        </w:tc>
        <w:tc>
          <w:tcPr>
            <w:tcW w:w="1559" w:type="dxa"/>
            <w:noWrap/>
            <w:vAlign w:val="center"/>
          </w:tcPr>
          <w:p w14:paraId="725EBA90" w14:textId="30A7BE12" w:rsidR="00820F75" w:rsidRPr="00553831" w:rsidRDefault="00820F75" w:rsidP="00820F75">
            <w:pPr>
              <w:spacing w:after="0" w:line="240" w:lineRule="auto"/>
              <w:jc w:val="right"/>
              <w:rPr>
                <w:rFonts w:ascii="Aptos Narrow" w:hAnsi="Aptos Narrow"/>
                <w:b/>
                <w:bCs/>
                <w:color w:val="000000" w:themeColor="text1"/>
              </w:rPr>
            </w:pPr>
            <w:r w:rsidRPr="00553831">
              <w:rPr>
                <w:rFonts w:ascii="Aptos Narrow" w:hAnsi="Aptos Narrow"/>
                <w:b/>
                <w:bCs/>
                <w:color w:val="000000" w:themeColor="text1"/>
              </w:rPr>
              <w:t>1 200 000€</w:t>
            </w:r>
          </w:p>
        </w:tc>
        <w:tc>
          <w:tcPr>
            <w:tcW w:w="1701" w:type="dxa"/>
            <w:noWrap/>
            <w:vAlign w:val="center"/>
          </w:tcPr>
          <w:p w14:paraId="372828FD" w14:textId="5373F00B" w:rsidR="00820F75" w:rsidRPr="00553831" w:rsidRDefault="00820F75" w:rsidP="00820F75">
            <w:pPr>
              <w:spacing w:after="0" w:line="240" w:lineRule="auto"/>
              <w:jc w:val="right"/>
              <w:rPr>
                <w:rFonts w:ascii="Aptos Narrow" w:hAnsi="Aptos Narrow"/>
                <w:b/>
                <w:bCs/>
                <w:color w:val="000000" w:themeColor="text1"/>
              </w:rPr>
            </w:pPr>
            <w:r w:rsidRPr="00553831">
              <w:rPr>
                <w:rFonts w:ascii="Aptos Narrow" w:hAnsi="Aptos Narrow"/>
                <w:b/>
                <w:bCs/>
                <w:color w:val="000000" w:themeColor="text1"/>
              </w:rPr>
              <w:t>600 000€</w:t>
            </w:r>
          </w:p>
        </w:tc>
      </w:tr>
      <w:tr w:rsidR="00553831" w:rsidRPr="00553831" w14:paraId="57235CD8" w14:textId="77777777" w:rsidTr="00EB3F4F">
        <w:trPr>
          <w:trHeight w:val="125"/>
          <w:jc w:val="center"/>
        </w:trPr>
        <w:tc>
          <w:tcPr>
            <w:tcW w:w="3539" w:type="dxa"/>
            <w:noWrap/>
            <w:vAlign w:val="center"/>
          </w:tcPr>
          <w:p w14:paraId="5059E4E8"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Rozpočtové prostriedky</w:t>
            </w:r>
          </w:p>
        </w:tc>
        <w:tc>
          <w:tcPr>
            <w:tcW w:w="1559" w:type="dxa"/>
            <w:noWrap/>
            <w:vAlign w:val="center"/>
          </w:tcPr>
          <w:p w14:paraId="23AF72DF"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tcPr>
          <w:p w14:paraId="1CD69FA5" w14:textId="2747F626" w:rsidR="00820F75" w:rsidRPr="00553831" w:rsidRDefault="00820F75" w:rsidP="00820F75">
            <w:pPr>
              <w:spacing w:after="0" w:line="240" w:lineRule="auto"/>
              <w:jc w:val="right"/>
              <w:rPr>
                <w:rFonts w:ascii="Times New Roman" w:eastAsia="Calibri" w:hAnsi="Times New Roman" w:cs="Times New Roman"/>
                <w:color w:val="000000" w:themeColor="text1"/>
                <w:sz w:val="24"/>
                <w:szCs w:val="24"/>
              </w:rPr>
            </w:pPr>
          </w:p>
        </w:tc>
        <w:tc>
          <w:tcPr>
            <w:tcW w:w="1559" w:type="dxa"/>
            <w:noWrap/>
          </w:tcPr>
          <w:p w14:paraId="70B72D1E" w14:textId="0EBADB69" w:rsidR="00820F75" w:rsidRPr="00553831" w:rsidRDefault="00820F75" w:rsidP="00820F75">
            <w:pPr>
              <w:spacing w:after="0" w:line="240" w:lineRule="auto"/>
              <w:jc w:val="right"/>
              <w:rPr>
                <w:rFonts w:ascii="Times New Roman" w:eastAsia="Calibri" w:hAnsi="Times New Roman" w:cs="Times New Roman"/>
                <w:color w:val="000000" w:themeColor="text1"/>
                <w:sz w:val="24"/>
                <w:szCs w:val="24"/>
              </w:rPr>
            </w:pPr>
          </w:p>
        </w:tc>
        <w:tc>
          <w:tcPr>
            <w:tcW w:w="1701" w:type="dxa"/>
            <w:noWrap/>
          </w:tcPr>
          <w:p w14:paraId="3E4AD03C" w14:textId="31800930" w:rsidR="00820F75" w:rsidRPr="00553831" w:rsidRDefault="00820F75" w:rsidP="00820F75">
            <w:pPr>
              <w:spacing w:after="0" w:line="240" w:lineRule="auto"/>
              <w:jc w:val="right"/>
              <w:rPr>
                <w:rFonts w:ascii="Times New Roman" w:eastAsia="Calibri" w:hAnsi="Times New Roman" w:cs="Times New Roman"/>
                <w:color w:val="000000" w:themeColor="text1"/>
                <w:sz w:val="24"/>
                <w:szCs w:val="24"/>
              </w:rPr>
            </w:pPr>
          </w:p>
        </w:tc>
      </w:tr>
      <w:tr w:rsidR="00553831" w:rsidRPr="00553831" w14:paraId="30F07D5B" w14:textId="77777777" w:rsidTr="00EB3F4F">
        <w:trPr>
          <w:trHeight w:val="125"/>
          <w:jc w:val="center"/>
        </w:trPr>
        <w:tc>
          <w:tcPr>
            <w:tcW w:w="3539" w:type="dxa"/>
            <w:noWrap/>
            <w:vAlign w:val="center"/>
          </w:tcPr>
          <w:p w14:paraId="02ADBC84" w14:textId="77777777" w:rsidR="00820F75" w:rsidRPr="00553831" w:rsidRDefault="00820F75" w:rsidP="00820F75">
            <w:pPr>
              <w:spacing w:after="0" w:line="240" w:lineRule="auto"/>
              <w:rPr>
                <w:rFonts w:ascii="Times New Roman" w:eastAsia="Times New Roman" w:hAnsi="Times New Roman" w:cs="Times New Roman"/>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EÚ zdroje</w:t>
            </w:r>
          </w:p>
        </w:tc>
        <w:tc>
          <w:tcPr>
            <w:tcW w:w="1559" w:type="dxa"/>
            <w:noWrap/>
            <w:vAlign w:val="center"/>
          </w:tcPr>
          <w:p w14:paraId="5E25B299"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67417C96"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565571A3"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26F570AE"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07646D2F" w14:textId="77777777" w:rsidTr="00EB3F4F">
        <w:trPr>
          <w:trHeight w:val="125"/>
          <w:jc w:val="center"/>
        </w:trPr>
        <w:tc>
          <w:tcPr>
            <w:tcW w:w="3539" w:type="dxa"/>
            <w:noWrap/>
            <w:vAlign w:val="center"/>
          </w:tcPr>
          <w:p w14:paraId="1505E41A"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obce</w:t>
            </w:r>
          </w:p>
        </w:tc>
        <w:tc>
          <w:tcPr>
            <w:tcW w:w="1559" w:type="dxa"/>
            <w:noWrap/>
            <w:vAlign w:val="center"/>
          </w:tcPr>
          <w:p w14:paraId="1E0C7D55"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6030EF15"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5050E43A"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4A50589D"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642D1FFA" w14:textId="77777777" w:rsidTr="00EB3F4F">
        <w:trPr>
          <w:trHeight w:val="125"/>
          <w:jc w:val="center"/>
        </w:trPr>
        <w:tc>
          <w:tcPr>
            <w:tcW w:w="3539" w:type="dxa"/>
            <w:noWrap/>
            <w:vAlign w:val="center"/>
          </w:tcPr>
          <w:p w14:paraId="32BD5800"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vyššie územné celky</w:t>
            </w:r>
          </w:p>
        </w:tc>
        <w:tc>
          <w:tcPr>
            <w:tcW w:w="1559" w:type="dxa"/>
            <w:noWrap/>
            <w:vAlign w:val="center"/>
          </w:tcPr>
          <w:p w14:paraId="24E5CD1F"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1EFADEED"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1946FA93"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53079006"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481A89A2" w14:textId="77777777" w:rsidTr="00EB3F4F">
        <w:trPr>
          <w:trHeight w:val="125"/>
          <w:jc w:val="center"/>
        </w:trPr>
        <w:tc>
          <w:tcPr>
            <w:tcW w:w="3539" w:type="dxa"/>
            <w:noWrap/>
            <w:vAlign w:val="center"/>
          </w:tcPr>
          <w:p w14:paraId="3230A5F1"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ostatné subjekty verejnej správy</w:t>
            </w:r>
          </w:p>
        </w:tc>
        <w:tc>
          <w:tcPr>
            <w:tcW w:w="1559" w:type="dxa"/>
            <w:noWrap/>
            <w:vAlign w:val="center"/>
          </w:tcPr>
          <w:p w14:paraId="0F5AEC8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2E302EE3"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0983976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185320B5"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56EBB2CE" w14:textId="77777777" w:rsidTr="00EB3F4F">
        <w:trPr>
          <w:trHeight w:val="125"/>
          <w:jc w:val="center"/>
        </w:trPr>
        <w:tc>
          <w:tcPr>
            <w:tcW w:w="3539" w:type="dxa"/>
            <w:shd w:val="clear" w:color="auto" w:fill="C0C0C0"/>
            <w:noWrap/>
            <w:vAlign w:val="center"/>
          </w:tcPr>
          <w:p w14:paraId="3D1EE970" w14:textId="77777777" w:rsidR="00820F75" w:rsidRPr="00553831" w:rsidRDefault="00820F75" w:rsidP="00820F75">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Výdavky verejnej správy celkom</w:t>
            </w:r>
          </w:p>
        </w:tc>
        <w:tc>
          <w:tcPr>
            <w:tcW w:w="1559" w:type="dxa"/>
            <w:shd w:val="clear" w:color="auto" w:fill="C0C0C0"/>
            <w:noWrap/>
            <w:vAlign w:val="center"/>
          </w:tcPr>
          <w:p w14:paraId="65EE4281" w14:textId="1BC546F4"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w:t>
            </w:r>
            <w:r w:rsidRPr="00553831">
              <w:rPr>
                <w:rFonts w:ascii="Aptos Narrow" w:hAnsi="Aptos Narrow"/>
                <w:color w:val="000000" w:themeColor="text1"/>
              </w:rPr>
              <w:t>2 237 563,55€</w:t>
            </w:r>
          </w:p>
        </w:tc>
        <w:tc>
          <w:tcPr>
            <w:tcW w:w="1560" w:type="dxa"/>
            <w:shd w:val="clear" w:color="auto" w:fill="C0C0C0"/>
            <w:noWrap/>
            <w:vAlign w:val="center"/>
          </w:tcPr>
          <w:p w14:paraId="007A4062" w14:textId="7C558FE4"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Aptos Narrow" w:hAnsi="Aptos Narrow"/>
                <w:color w:val="000000" w:themeColor="text1"/>
              </w:rPr>
              <w:t>21 518 381,01€</w:t>
            </w:r>
          </w:p>
        </w:tc>
        <w:tc>
          <w:tcPr>
            <w:tcW w:w="1559" w:type="dxa"/>
            <w:shd w:val="clear" w:color="auto" w:fill="C0C0C0"/>
            <w:noWrap/>
            <w:vAlign w:val="center"/>
          </w:tcPr>
          <w:p w14:paraId="6D04AA31" w14:textId="73AC892C"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Aptos Narrow" w:hAnsi="Aptos Narrow"/>
                <w:color w:val="000000" w:themeColor="text1"/>
              </w:rPr>
              <w:t>34 117 385,97€</w:t>
            </w:r>
          </w:p>
        </w:tc>
        <w:tc>
          <w:tcPr>
            <w:tcW w:w="1701" w:type="dxa"/>
            <w:shd w:val="clear" w:color="auto" w:fill="C0C0C0"/>
            <w:noWrap/>
            <w:vAlign w:val="center"/>
          </w:tcPr>
          <w:p w14:paraId="67021BA7" w14:textId="41A16BBD"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Aptos Narrow" w:hAnsi="Aptos Narrow"/>
                <w:color w:val="000000" w:themeColor="text1"/>
              </w:rPr>
              <w:t>182 111 073,11€</w:t>
            </w:r>
          </w:p>
        </w:tc>
      </w:tr>
      <w:tr w:rsidR="00553831" w:rsidRPr="00553831" w14:paraId="158EB2AF" w14:textId="77777777" w:rsidTr="00EB3F4F">
        <w:trPr>
          <w:trHeight w:val="70"/>
          <w:jc w:val="center"/>
        </w:trPr>
        <w:tc>
          <w:tcPr>
            <w:tcW w:w="3539" w:type="dxa"/>
            <w:noWrap/>
            <w:vAlign w:val="center"/>
          </w:tcPr>
          <w:p w14:paraId="2B375A36" w14:textId="77777777" w:rsidR="00820F75" w:rsidRPr="00553831" w:rsidRDefault="00820F75" w:rsidP="00820F75">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 tom: za každý subjekt verejnej správy / program zvlášť</w:t>
            </w:r>
          </w:p>
        </w:tc>
        <w:tc>
          <w:tcPr>
            <w:tcW w:w="1559" w:type="dxa"/>
            <w:noWrap/>
            <w:vAlign w:val="center"/>
          </w:tcPr>
          <w:p w14:paraId="058C8723"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7B29020F"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6F40EA10"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28606851"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37456595" w14:textId="77777777" w:rsidTr="00EB3F4F">
        <w:trPr>
          <w:trHeight w:val="70"/>
          <w:jc w:val="center"/>
        </w:trPr>
        <w:tc>
          <w:tcPr>
            <w:tcW w:w="3539" w:type="dxa"/>
            <w:noWrap/>
            <w:vAlign w:val="center"/>
          </w:tcPr>
          <w:p w14:paraId="1E69B373"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xml:space="preserve">z toho: </w:t>
            </w:r>
          </w:p>
        </w:tc>
        <w:tc>
          <w:tcPr>
            <w:tcW w:w="1559" w:type="dxa"/>
            <w:noWrap/>
            <w:vAlign w:val="center"/>
          </w:tcPr>
          <w:p w14:paraId="58160E6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560" w:type="dxa"/>
            <w:noWrap/>
            <w:vAlign w:val="center"/>
          </w:tcPr>
          <w:p w14:paraId="613283A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559" w:type="dxa"/>
            <w:noWrap/>
            <w:vAlign w:val="center"/>
          </w:tcPr>
          <w:p w14:paraId="69F113B3"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c>
          <w:tcPr>
            <w:tcW w:w="1701" w:type="dxa"/>
            <w:noWrap/>
            <w:vAlign w:val="center"/>
          </w:tcPr>
          <w:p w14:paraId="608DB429"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p>
        </w:tc>
      </w:tr>
      <w:tr w:rsidR="00553831" w:rsidRPr="00553831" w14:paraId="55DF42C0" w14:textId="77777777" w:rsidTr="00EB3F4F">
        <w:trPr>
          <w:trHeight w:val="70"/>
          <w:jc w:val="center"/>
        </w:trPr>
        <w:tc>
          <w:tcPr>
            <w:tcW w:w="3539" w:type="dxa"/>
            <w:noWrap/>
            <w:vAlign w:val="center"/>
          </w:tcPr>
          <w:p w14:paraId="7C56D30D"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ŠR</w:t>
            </w:r>
          </w:p>
        </w:tc>
        <w:tc>
          <w:tcPr>
            <w:tcW w:w="1559" w:type="dxa"/>
            <w:noWrap/>
            <w:vAlign w:val="center"/>
          </w:tcPr>
          <w:p w14:paraId="29EB9655"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4DF2F10D"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7C166612"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0256C56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3FE42711" w14:textId="77777777" w:rsidTr="00EB3F4F">
        <w:trPr>
          <w:trHeight w:val="70"/>
          <w:jc w:val="center"/>
        </w:trPr>
        <w:tc>
          <w:tcPr>
            <w:tcW w:w="3539" w:type="dxa"/>
            <w:noWrap/>
            <w:vAlign w:val="center"/>
          </w:tcPr>
          <w:p w14:paraId="7110AD25"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Rozpočtové prostriedky</w:t>
            </w:r>
          </w:p>
        </w:tc>
        <w:tc>
          <w:tcPr>
            <w:tcW w:w="1559" w:type="dxa"/>
            <w:noWrap/>
            <w:vAlign w:val="center"/>
          </w:tcPr>
          <w:p w14:paraId="27CF5CC7"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59270D57"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4A37B4A5"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561A0950"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6422B2B5" w14:textId="77777777" w:rsidTr="00EB3F4F">
        <w:trPr>
          <w:trHeight w:val="70"/>
          <w:jc w:val="center"/>
        </w:trPr>
        <w:tc>
          <w:tcPr>
            <w:tcW w:w="3539" w:type="dxa"/>
            <w:noWrap/>
            <w:vAlign w:val="center"/>
          </w:tcPr>
          <w:p w14:paraId="2EBB8B52" w14:textId="77777777" w:rsidR="00820F75" w:rsidRPr="00553831" w:rsidRDefault="00820F75" w:rsidP="00820F75">
            <w:pPr>
              <w:spacing w:after="0" w:line="240" w:lineRule="auto"/>
              <w:rPr>
                <w:rFonts w:ascii="Times New Roman" w:eastAsia="Times New Roman" w:hAnsi="Times New Roman" w:cs="Times New Roman"/>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 xml:space="preserve">    EÚ zdroje</w:t>
            </w:r>
          </w:p>
        </w:tc>
        <w:tc>
          <w:tcPr>
            <w:tcW w:w="1559" w:type="dxa"/>
            <w:noWrap/>
            <w:vAlign w:val="center"/>
          </w:tcPr>
          <w:p w14:paraId="6BDCA1F4"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0A3DED54"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04C66159"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49913ECA"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66A7969D" w14:textId="77777777" w:rsidTr="00EB3F4F">
        <w:trPr>
          <w:trHeight w:val="70"/>
          <w:jc w:val="center"/>
        </w:trPr>
        <w:tc>
          <w:tcPr>
            <w:tcW w:w="3539" w:type="dxa"/>
            <w:noWrap/>
            <w:vAlign w:val="center"/>
          </w:tcPr>
          <w:p w14:paraId="222EB61A" w14:textId="77777777" w:rsidR="00820F75" w:rsidRPr="00553831" w:rsidRDefault="00820F75" w:rsidP="00820F75">
            <w:pPr>
              <w:spacing w:after="0" w:line="240" w:lineRule="auto"/>
              <w:rPr>
                <w:rFonts w:ascii="Times New Roman" w:eastAsia="Times New Roman" w:hAnsi="Times New Roman" w:cs="Times New Roman"/>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 xml:space="preserve">    spolufinancovanie</w:t>
            </w:r>
          </w:p>
        </w:tc>
        <w:tc>
          <w:tcPr>
            <w:tcW w:w="1559" w:type="dxa"/>
            <w:noWrap/>
            <w:vAlign w:val="center"/>
          </w:tcPr>
          <w:p w14:paraId="750CCFF2"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07926237"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15CE8FA8"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3069D1EF"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659A75AF" w14:textId="77777777" w:rsidTr="00EB3F4F">
        <w:trPr>
          <w:trHeight w:val="125"/>
          <w:jc w:val="center"/>
        </w:trPr>
        <w:tc>
          <w:tcPr>
            <w:tcW w:w="3539" w:type="dxa"/>
            <w:noWrap/>
            <w:vAlign w:val="center"/>
          </w:tcPr>
          <w:p w14:paraId="4649E83D"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obce</w:t>
            </w:r>
          </w:p>
        </w:tc>
        <w:tc>
          <w:tcPr>
            <w:tcW w:w="1559" w:type="dxa"/>
            <w:noWrap/>
            <w:vAlign w:val="center"/>
          </w:tcPr>
          <w:p w14:paraId="1C5F58E2"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10E19F16"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3AA0BF52"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43D88CB3"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53D0B48B" w14:textId="77777777" w:rsidTr="00EB3F4F">
        <w:trPr>
          <w:trHeight w:val="125"/>
          <w:jc w:val="center"/>
        </w:trPr>
        <w:tc>
          <w:tcPr>
            <w:tcW w:w="3539" w:type="dxa"/>
            <w:noWrap/>
            <w:vAlign w:val="center"/>
          </w:tcPr>
          <w:p w14:paraId="71A19F6D" w14:textId="77777777" w:rsidR="00820F75" w:rsidRPr="00553831" w:rsidRDefault="00820F75" w:rsidP="00820F75">
            <w:pPr>
              <w:spacing w:after="0" w:line="240" w:lineRule="auto"/>
              <w:rPr>
                <w:rFonts w:ascii="Times New Roman" w:eastAsia="Times New Roman" w:hAnsi="Times New Roman" w:cs="Times New Roman"/>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 xml:space="preserve">z toho vplyv nových úloh v zmysle ods. 2 Čl. 6 ústavného zákona č. 493/2011 Z. z. </w:t>
            </w:r>
          </w:p>
          <w:p w14:paraId="606E052B"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o rozpočtovej zodpovednosti</w:t>
            </w:r>
          </w:p>
        </w:tc>
        <w:tc>
          <w:tcPr>
            <w:tcW w:w="1559" w:type="dxa"/>
            <w:noWrap/>
            <w:vAlign w:val="center"/>
          </w:tcPr>
          <w:p w14:paraId="77C9241A"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7A7ADF58"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56D7345E"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1900EEAA"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0DB91CCA" w14:textId="77777777" w:rsidTr="00EB3F4F">
        <w:trPr>
          <w:trHeight w:val="125"/>
          <w:jc w:val="center"/>
        </w:trPr>
        <w:tc>
          <w:tcPr>
            <w:tcW w:w="3539" w:type="dxa"/>
            <w:noWrap/>
            <w:vAlign w:val="center"/>
          </w:tcPr>
          <w:p w14:paraId="08AB0899"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vyššie územné celky</w:t>
            </w:r>
          </w:p>
        </w:tc>
        <w:tc>
          <w:tcPr>
            <w:tcW w:w="1559" w:type="dxa"/>
            <w:noWrap/>
            <w:vAlign w:val="center"/>
          </w:tcPr>
          <w:p w14:paraId="24758FBA"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4D17AA9C"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1FF90CEC"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307182F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348B34A1" w14:textId="77777777" w:rsidTr="00EB3F4F">
        <w:trPr>
          <w:trHeight w:val="125"/>
          <w:jc w:val="center"/>
        </w:trPr>
        <w:tc>
          <w:tcPr>
            <w:tcW w:w="3539" w:type="dxa"/>
            <w:noWrap/>
            <w:vAlign w:val="center"/>
          </w:tcPr>
          <w:p w14:paraId="11921E91" w14:textId="77777777" w:rsidR="00820F75" w:rsidRPr="00553831" w:rsidRDefault="00820F75" w:rsidP="00820F75">
            <w:pPr>
              <w:spacing w:after="0" w:line="240" w:lineRule="auto"/>
              <w:rPr>
                <w:rFonts w:ascii="Times New Roman" w:eastAsia="Times New Roman" w:hAnsi="Times New Roman" w:cs="Times New Roman"/>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 xml:space="preserve">z toho vplyv nových úloh v zmysle ods. 2 Čl. 6 ústavného zákona č. 493/2011 Z. z. </w:t>
            </w:r>
          </w:p>
          <w:p w14:paraId="2DAB6875"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Cs/>
                <w:i/>
                <w:iCs/>
                <w:color w:val="000000" w:themeColor="text1"/>
                <w:sz w:val="24"/>
                <w:szCs w:val="24"/>
                <w:lang w:eastAsia="sk-SK"/>
              </w:rPr>
              <w:t>o rozpočtovej zodpovednosti</w:t>
            </w:r>
          </w:p>
        </w:tc>
        <w:tc>
          <w:tcPr>
            <w:tcW w:w="1559" w:type="dxa"/>
            <w:noWrap/>
            <w:vAlign w:val="center"/>
          </w:tcPr>
          <w:p w14:paraId="23D32ACB"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771D82DD"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42323F50"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1CB3B09D"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5726A041" w14:textId="77777777" w:rsidTr="00EB3F4F">
        <w:trPr>
          <w:trHeight w:val="125"/>
          <w:jc w:val="center"/>
        </w:trPr>
        <w:tc>
          <w:tcPr>
            <w:tcW w:w="3539" w:type="dxa"/>
            <w:noWrap/>
            <w:vAlign w:val="center"/>
          </w:tcPr>
          <w:p w14:paraId="4BE9C53F" w14:textId="3985E170" w:rsidR="00820F75" w:rsidRPr="00553831" w:rsidRDefault="00820F75" w:rsidP="00820F75">
            <w:pPr>
              <w:spacing w:after="0" w:line="240" w:lineRule="auto"/>
              <w:rPr>
                <w:rFonts w:ascii="Times New Roman" w:eastAsia="Times New Roman" w:hAnsi="Times New Roman" w:cs="Times New Roman"/>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-vplyv na ostatné subjekty verejnej správy</w:t>
            </w:r>
          </w:p>
        </w:tc>
        <w:tc>
          <w:tcPr>
            <w:tcW w:w="1559" w:type="dxa"/>
            <w:noWrap/>
            <w:vAlign w:val="center"/>
          </w:tcPr>
          <w:p w14:paraId="6240DAAD" w14:textId="4F26D1CB" w:rsidR="00820F75" w:rsidRPr="00553831" w:rsidRDefault="00820F75" w:rsidP="00820F75">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w:t>
            </w:r>
            <w:r w:rsidRPr="00553831">
              <w:rPr>
                <w:rFonts w:ascii="Aptos Narrow" w:hAnsi="Aptos Narrow"/>
                <w:color w:val="000000" w:themeColor="text1"/>
              </w:rPr>
              <w:t>2 237 563,55€</w:t>
            </w:r>
          </w:p>
        </w:tc>
        <w:tc>
          <w:tcPr>
            <w:tcW w:w="1560" w:type="dxa"/>
            <w:noWrap/>
            <w:vAlign w:val="center"/>
          </w:tcPr>
          <w:p w14:paraId="6D12020D" w14:textId="772EC7CB"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Aptos Narrow" w:hAnsi="Aptos Narrow"/>
                <w:color w:val="000000" w:themeColor="text1"/>
              </w:rPr>
              <w:t>21 518 381,01€</w:t>
            </w:r>
          </w:p>
        </w:tc>
        <w:tc>
          <w:tcPr>
            <w:tcW w:w="1559" w:type="dxa"/>
            <w:noWrap/>
            <w:vAlign w:val="center"/>
          </w:tcPr>
          <w:p w14:paraId="66E59971" w14:textId="143560E2"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Aptos Narrow" w:hAnsi="Aptos Narrow"/>
                <w:color w:val="000000" w:themeColor="text1"/>
              </w:rPr>
              <w:t>34 117 385,97€</w:t>
            </w:r>
          </w:p>
        </w:tc>
        <w:tc>
          <w:tcPr>
            <w:tcW w:w="1701" w:type="dxa"/>
            <w:noWrap/>
            <w:vAlign w:val="center"/>
          </w:tcPr>
          <w:p w14:paraId="113C7379" w14:textId="5D12B451"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Aptos Narrow" w:hAnsi="Aptos Narrow"/>
                <w:color w:val="000000" w:themeColor="text1"/>
              </w:rPr>
              <w:t>182 111 073,11€</w:t>
            </w:r>
          </w:p>
        </w:tc>
      </w:tr>
      <w:tr w:rsidR="00553831" w:rsidRPr="00553831" w14:paraId="4B0C80CA" w14:textId="77777777" w:rsidTr="00EB3F4F">
        <w:trPr>
          <w:trHeight w:val="70"/>
          <w:jc w:val="center"/>
        </w:trPr>
        <w:tc>
          <w:tcPr>
            <w:tcW w:w="3539" w:type="dxa"/>
            <w:tcBorders>
              <w:bottom w:val="single" w:sz="4" w:space="0" w:color="auto"/>
            </w:tcBorders>
            <w:noWrap/>
          </w:tcPr>
          <w:p w14:paraId="0152B389" w14:textId="25B558AA" w:rsidR="00820F75" w:rsidRPr="00553831" w:rsidRDefault="00820F75" w:rsidP="00820F75">
            <w:pPr>
              <w:spacing w:after="0" w:line="240" w:lineRule="auto"/>
              <w:rPr>
                <w:rFonts w:ascii="Times New Roman" w:eastAsia="Calibri" w:hAnsi="Times New Roman" w:cs="Times New Roman"/>
                <w:color w:val="000000" w:themeColor="text1"/>
                <w:sz w:val="24"/>
                <w:szCs w:val="24"/>
              </w:rPr>
            </w:pPr>
            <w:r w:rsidRPr="00553831">
              <w:rPr>
                <w:rFonts w:ascii="Times New Roman" w:eastAsia="Calibri" w:hAnsi="Times New Roman" w:cs="Times New Roman"/>
                <w:color w:val="000000" w:themeColor="text1"/>
                <w:sz w:val="24"/>
                <w:szCs w:val="24"/>
              </w:rPr>
              <w:t xml:space="preserve"> - vplyv na ostatné subjekty verejnej správy –  OCR zrušenie</w:t>
            </w:r>
          </w:p>
        </w:tc>
        <w:tc>
          <w:tcPr>
            <w:tcW w:w="1559" w:type="dxa"/>
            <w:tcBorders>
              <w:bottom w:val="single" w:sz="4" w:space="0" w:color="auto"/>
            </w:tcBorders>
            <w:noWrap/>
          </w:tcPr>
          <w:p w14:paraId="5CBE4B76" w14:textId="4444CCDD" w:rsidR="00820F75" w:rsidRPr="00553831" w:rsidRDefault="00820F75" w:rsidP="00820F75">
            <w:pPr>
              <w:rPr>
                <w:rFonts w:ascii="Times New Roman" w:eastAsia="Times New Roman" w:hAnsi="Times New Roman" w:cs="Times New Roman"/>
                <w:b/>
                <w:bCs/>
                <w:iCs/>
                <w:color w:val="000000" w:themeColor="text1"/>
                <w:sz w:val="24"/>
                <w:szCs w:val="24"/>
                <w:lang w:eastAsia="sk-SK"/>
              </w:rPr>
            </w:pPr>
            <w:r w:rsidRPr="00553831">
              <w:rPr>
                <w:rFonts w:ascii="Aptos Narrow" w:hAnsi="Aptos Narrow"/>
                <w:color w:val="000000" w:themeColor="text1"/>
              </w:rPr>
              <w:t>-2 166 448 €</w:t>
            </w:r>
          </w:p>
        </w:tc>
        <w:tc>
          <w:tcPr>
            <w:tcW w:w="1560" w:type="dxa"/>
            <w:tcBorders>
              <w:bottom w:val="single" w:sz="4" w:space="0" w:color="auto"/>
            </w:tcBorders>
            <w:noWrap/>
          </w:tcPr>
          <w:p w14:paraId="0B61CCA8" w14:textId="762165E4" w:rsidR="00820F75" w:rsidRPr="00553831" w:rsidRDefault="00820F75" w:rsidP="00820F75">
            <w:pPr>
              <w:spacing w:after="0" w:line="240" w:lineRule="auto"/>
              <w:jc w:val="right"/>
              <w:rPr>
                <w:rFonts w:ascii="Aptos Narrow" w:hAnsi="Aptos Narrow"/>
                <w:color w:val="000000" w:themeColor="text1"/>
              </w:rPr>
            </w:pPr>
            <w:r w:rsidRPr="00553831">
              <w:rPr>
                <w:rFonts w:ascii="Aptos Narrow" w:hAnsi="Aptos Narrow"/>
                <w:color w:val="000000" w:themeColor="text1"/>
              </w:rPr>
              <w:t>-8 709 040,00 €</w:t>
            </w:r>
          </w:p>
        </w:tc>
        <w:tc>
          <w:tcPr>
            <w:tcW w:w="1559" w:type="dxa"/>
            <w:tcBorders>
              <w:bottom w:val="single" w:sz="4" w:space="0" w:color="auto"/>
            </w:tcBorders>
            <w:noWrap/>
          </w:tcPr>
          <w:p w14:paraId="41F4FF5B" w14:textId="67ABFD07" w:rsidR="00820F75" w:rsidRPr="00553831" w:rsidRDefault="00820F75" w:rsidP="00820F75">
            <w:pPr>
              <w:spacing w:after="0" w:line="240" w:lineRule="auto"/>
              <w:jc w:val="right"/>
              <w:rPr>
                <w:rFonts w:ascii="Aptos Narrow" w:hAnsi="Aptos Narrow"/>
                <w:color w:val="000000" w:themeColor="text1"/>
              </w:rPr>
            </w:pPr>
            <w:r w:rsidRPr="00553831">
              <w:rPr>
                <w:rFonts w:ascii="Aptos Narrow" w:hAnsi="Aptos Narrow"/>
                <w:color w:val="000000" w:themeColor="text1"/>
              </w:rPr>
              <w:t>-8 732 299,00 €</w:t>
            </w:r>
          </w:p>
        </w:tc>
        <w:tc>
          <w:tcPr>
            <w:tcW w:w="1701" w:type="dxa"/>
            <w:tcBorders>
              <w:bottom w:val="single" w:sz="4" w:space="0" w:color="auto"/>
            </w:tcBorders>
            <w:noWrap/>
          </w:tcPr>
          <w:p w14:paraId="6EF513FB" w14:textId="4C6A3DF9" w:rsidR="00820F75" w:rsidRPr="00553831" w:rsidRDefault="00820F75" w:rsidP="00820F75">
            <w:pPr>
              <w:spacing w:after="0" w:line="240" w:lineRule="auto"/>
              <w:jc w:val="right"/>
              <w:rPr>
                <w:rFonts w:ascii="Aptos Narrow" w:hAnsi="Aptos Narrow"/>
                <w:color w:val="000000" w:themeColor="text1"/>
              </w:rPr>
            </w:pPr>
            <w:r w:rsidRPr="00553831">
              <w:rPr>
                <w:rFonts w:ascii="Aptos Narrow" w:hAnsi="Aptos Narrow"/>
                <w:color w:val="000000" w:themeColor="text1"/>
              </w:rPr>
              <w:t>-8 732 299,00 €</w:t>
            </w:r>
          </w:p>
        </w:tc>
      </w:tr>
      <w:tr w:rsidR="00553831" w:rsidRPr="00553831" w14:paraId="6DAD2550" w14:textId="77777777" w:rsidTr="00EB3F4F">
        <w:trPr>
          <w:trHeight w:val="70"/>
          <w:jc w:val="center"/>
        </w:trPr>
        <w:tc>
          <w:tcPr>
            <w:tcW w:w="3539" w:type="dxa"/>
            <w:noWrap/>
          </w:tcPr>
          <w:p w14:paraId="266989B2" w14:textId="5FB6B702" w:rsidR="00820F75" w:rsidRPr="00553831" w:rsidRDefault="00820F75" w:rsidP="00820F75">
            <w:pPr>
              <w:spacing w:after="0" w:line="240" w:lineRule="auto"/>
              <w:rPr>
                <w:rFonts w:ascii="Times New Roman" w:eastAsia="Calibri" w:hAnsi="Times New Roman" w:cs="Times New Roman"/>
                <w:color w:val="000000" w:themeColor="text1"/>
                <w:sz w:val="24"/>
                <w:szCs w:val="24"/>
              </w:rPr>
            </w:pPr>
            <w:r w:rsidRPr="00553831">
              <w:rPr>
                <w:rFonts w:ascii="Times New Roman" w:eastAsia="Calibri" w:hAnsi="Times New Roman" w:cs="Times New Roman"/>
                <w:color w:val="000000" w:themeColor="text1"/>
                <w:sz w:val="24"/>
                <w:szCs w:val="24"/>
              </w:rPr>
              <w:t xml:space="preserve"> - vplyv na ostatné subjekty verejnej správy – zvýšenie výdavkov na nové lieky a lieky na výnimku</w:t>
            </w:r>
          </w:p>
        </w:tc>
        <w:tc>
          <w:tcPr>
            <w:tcW w:w="1559" w:type="dxa"/>
            <w:noWrap/>
          </w:tcPr>
          <w:p w14:paraId="29183027" w14:textId="77777777" w:rsidR="00820F75" w:rsidRPr="00553831" w:rsidRDefault="00820F75" w:rsidP="00820F75">
            <w:pPr>
              <w:rPr>
                <w:rFonts w:ascii="Aptos Narrow" w:hAnsi="Aptos Narrow"/>
                <w:color w:val="000000" w:themeColor="text1"/>
              </w:rPr>
            </w:pPr>
            <w:r w:rsidRPr="00553831">
              <w:rPr>
                <w:rFonts w:ascii="Aptos Narrow" w:hAnsi="Aptos Narrow"/>
                <w:color w:val="000000" w:themeColor="text1"/>
              </w:rPr>
              <w:t xml:space="preserve">-71 115,55 € </w:t>
            </w:r>
          </w:p>
          <w:p w14:paraId="39D42704" w14:textId="25C00344" w:rsidR="00820F75" w:rsidRPr="00553831" w:rsidRDefault="00820F75" w:rsidP="00820F75">
            <w:pPr>
              <w:spacing w:after="0" w:line="240" w:lineRule="auto"/>
              <w:jc w:val="right"/>
              <w:rPr>
                <w:rFonts w:ascii="Times New Roman" w:eastAsia="Times New Roman" w:hAnsi="Times New Roman" w:cs="Times New Roman"/>
                <w:b/>
                <w:bCs/>
                <w:i/>
                <w:iCs/>
                <w:color w:val="000000" w:themeColor="text1"/>
                <w:sz w:val="24"/>
                <w:szCs w:val="24"/>
                <w:lang w:eastAsia="sk-SK"/>
              </w:rPr>
            </w:pPr>
          </w:p>
        </w:tc>
        <w:tc>
          <w:tcPr>
            <w:tcW w:w="1560" w:type="dxa"/>
            <w:noWrap/>
          </w:tcPr>
          <w:p w14:paraId="1619A550" w14:textId="014872E2" w:rsidR="00820F75" w:rsidRPr="00553831" w:rsidRDefault="00820F75" w:rsidP="00820F75">
            <w:pPr>
              <w:rPr>
                <w:rFonts w:ascii="Aptos Narrow" w:hAnsi="Aptos Narrow"/>
                <w:color w:val="000000" w:themeColor="text1"/>
              </w:rPr>
            </w:pPr>
            <w:r w:rsidRPr="00553831">
              <w:rPr>
                <w:rFonts w:ascii="Aptos Narrow" w:hAnsi="Aptos Narrow"/>
                <w:color w:val="000000" w:themeColor="text1"/>
              </w:rPr>
              <w:t>30 227 421,01 €</w:t>
            </w:r>
          </w:p>
          <w:p w14:paraId="1AE98485" w14:textId="63A2DE73" w:rsidR="00820F75" w:rsidRPr="00553831" w:rsidRDefault="00820F75" w:rsidP="00820F75">
            <w:pPr>
              <w:spacing w:after="0" w:line="240" w:lineRule="auto"/>
              <w:jc w:val="right"/>
              <w:rPr>
                <w:rFonts w:ascii="Times New Roman" w:eastAsia="Times New Roman" w:hAnsi="Times New Roman" w:cs="Times New Roman"/>
                <w:b/>
                <w:bCs/>
                <w:i/>
                <w:iCs/>
                <w:color w:val="000000" w:themeColor="text1"/>
                <w:sz w:val="24"/>
                <w:szCs w:val="24"/>
                <w:lang w:eastAsia="sk-SK"/>
              </w:rPr>
            </w:pPr>
          </w:p>
        </w:tc>
        <w:tc>
          <w:tcPr>
            <w:tcW w:w="1559" w:type="dxa"/>
            <w:noWrap/>
          </w:tcPr>
          <w:p w14:paraId="4BFD9793" w14:textId="034F0CEC" w:rsidR="00820F75" w:rsidRPr="00553831" w:rsidRDefault="00820F75" w:rsidP="00820F75">
            <w:pPr>
              <w:jc w:val="both"/>
              <w:rPr>
                <w:rFonts w:ascii="Aptos Narrow" w:hAnsi="Aptos Narrow"/>
                <w:color w:val="000000" w:themeColor="text1"/>
              </w:rPr>
            </w:pPr>
            <w:r w:rsidRPr="00553831">
              <w:rPr>
                <w:rFonts w:ascii="Aptos Narrow" w:hAnsi="Aptos Narrow"/>
                <w:color w:val="000000" w:themeColor="text1"/>
              </w:rPr>
              <w:t xml:space="preserve">42 849 684,97 € </w:t>
            </w:r>
          </w:p>
          <w:p w14:paraId="0B8DA169" w14:textId="7A3CD9F6" w:rsidR="00820F75" w:rsidRPr="00553831" w:rsidRDefault="00820F75" w:rsidP="00820F75">
            <w:pPr>
              <w:spacing w:after="0" w:line="240" w:lineRule="auto"/>
              <w:jc w:val="right"/>
              <w:rPr>
                <w:rFonts w:ascii="Times New Roman" w:eastAsia="Times New Roman" w:hAnsi="Times New Roman" w:cs="Times New Roman"/>
                <w:b/>
                <w:bCs/>
                <w:i/>
                <w:iCs/>
                <w:color w:val="000000" w:themeColor="text1"/>
                <w:sz w:val="24"/>
                <w:szCs w:val="24"/>
                <w:lang w:eastAsia="sk-SK"/>
              </w:rPr>
            </w:pPr>
          </w:p>
        </w:tc>
        <w:tc>
          <w:tcPr>
            <w:tcW w:w="1701" w:type="dxa"/>
            <w:noWrap/>
          </w:tcPr>
          <w:p w14:paraId="36E702D9" w14:textId="75CE6218" w:rsidR="00820F75" w:rsidRPr="00553831" w:rsidRDefault="00820F75" w:rsidP="00820F75">
            <w:pPr>
              <w:rPr>
                <w:rFonts w:ascii="Aptos Narrow" w:hAnsi="Aptos Narrow"/>
                <w:color w:val="000000" w:themeColor="text1"/>
              </w:rPr>
            </w:pPr>
            <w:r w:rsidRPr="00553831">
              <w:rPr>
                <w:rFonts w:ascii="Aptos Narrow" w:hAnsi="Aptos Narrow"/>
                <w:color w:val="000000" w:themeColor="text1"/>
              </w:rPr>
              <w:t xml:space="preserve">190 843 372,11 € </w:t>
            </w:r>
          </w:p>
          <w:p w14:paraId="5375EA5F" w14:textId="0B8299B2" w:rsidR="00820F75" w:rsidRPr="00553831" w:rsidRDefault="00820F75" w:rsidP="00820F75">
            <w:pPr>
              <w:spacing w:after="0" w:line="240" w:lineRule="auto"/>
              <w:jc w:val="right"/>
              <w:rPr>
                <w:rFonts w:ascii="Times New Roman" w:eastAsia="Times New Roman" w:hAnsi="Times New Roman" w:cs="Times New Roman"/>
                <w:b/>
                <w:bCs/>
                <w:i/>
                <w:iCs/>
                <w:color w:val="000000" w:themeColor="text1"/>
                <w:sz w:val="24"/>
                <w:szCs w:val="24"/>
                <w:lang w:eastAsia="sk-SK"/>
              </w:rPr>
            </w:pPr>
          </w:p>
        </w:tc>
      </w:tr>
      <w:tr w:rsidR="00553831" w:rsidRPr="00553831" w14:paraId="17EC3B21" w14:textId="77777777" w:rsidTr="00EB3F4F">
        <w:trPr>
          <w:trHeight w:val="70"/>
          <w:jc w:val="center"/>
        </w:trPr>
        <w:tc>
          <w:tcPr>
            <w:tcW w:w="3539" w:type="dxa"/>
            <w:shd w:val="clear" w:color="auto" w:fill="BFBFBF"/>
            <w:noWrap/>
            <w:vAlign w:val="center"/>
          </w:tcPr>
          <w:p w14:paraId="267D4FFF" w14:textId="77777777" w:rsidR="00820F75" w:rsidRPr="00553831" w:rsidRDefault="00820F75" w:rsidP="00820F75">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xml:space="preserve">Vplyv na počet zamestnancov </w:t>
            </w:r>
          </w:p>
        </w:tc>
        <w:tc>
          <w:tcPr>
            <w:tcW w:w="1559" w:type="dxa"/>
            <w:shd w:val="clear" w:color="auto" w:fill="BFBFBF"/>
            <w:noWrap/>
            <w:vAlign w:val="center"/>
          </w:tcPr>
          <w:p w14:paraId="3072ACB3" w14:textId="7C004996"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w:t>
            </w:r>
          </w:p>
        </w:tc>
        <w:tc>
          <w:tcPr>
            <w:tcW w:w="1560" w:type="dxa"/>
            <w:shd w:val="clear" w:color="auto" w:fill="BFBFBF"/>
            <w:noWrap/>
            <w:vAlign w:val="center"/>
          </w:tcPr>
          <w:p w14:paraId="3A58184F" w14:textId="0C37B732"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5</w:t>
            </w:r>
          </w:p>
        </w:tc>
        <w:tc>
          <w:tcPr>
            <w:tcW w:w="1559" w:type="dxa"/>
            <w:shd w:val="clear" w:color="auto" w:fill="BFBFBF"/>
            <w:noWrap/>
            <w:vAlign w:val="center"/>
          </w:tcPr>
          <w:p w14:paraId="60A95AE6" w14:textId="3604E572"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5</w:t>
            </w:r>
          </w:p>
        </w:tc>
        <w:tc>
          <w:tcPr>
            <w:tcW w:w="1701" w:type="dxa"/>
            <w:shd w:val="clear" w:color="auto" w:fill="BFBFBF"/>
            <w:noWrap/>
            <w:vAlign w:val="center"/>
          </w:tcPr>
          <w:p w14:paraId="5C111F57" w14:textId="47BB1666"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5</w:t>
            </w:r>
          </w:p>
        </w:tc>
      </w:tr>
      <w:tr w:rsidR="00553831" w:rsidRPr="00553831" w14:paraId="64B89402" w14:textId="77777777" w:rsidTr="00EB3F4F">
        <w:trPr>
          <w:trHeight w:val="70"/>
          <w:jc w:val="center"/>
        </w:trPr>
        <w:tc>
          <w:tcPr>
            <w:tcW w:w="3539" w:type="dxa"/>
            <w:noWrap/>
            <w:vAlign w:val="center"/>
          </w:tcPr>
          <w:p w14:paraId="5CA51164"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ŠR</w:t>
            </w:r>
          </w:p>
        </w:tc>
        <w:tc>
          <w:tcPr>
            <w:tcW w:w="1559" w:type="dxa"/>
            <w:noWrap/>
            <w:vAlign w:val="center"/>
          </w:tcPr>
          <w:p w14:paraId="43991034" w14:textId="41D83D58"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w:t>
            </w:r>
          </w:p>
        </w:tc>
        <w:tc>
          <w:tcPr>
            <w:tcW w:w="1560" w:type="dxa"/>
            <w:noWrap/>
            <w:vAlign w:val="center"/>
          </w:tcPr>
          <w:p w14:paraId="620F83CA" w14:textId="2DED082C"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5</w:t>
            </w:r>
          </w:p>
        </w:tc>
        <w:tc>
          <w:tcPr>
            <w:tcW w:w="1559" w:type="dxa"/>
            <w:noWrap/>
            <w:vAlign w:val="center"/>
          </w:tcPr>
          <w:p w14:paraId="083FC19D" w14:textId="56FAC85F"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5</w:t>
            </w:r>
          </w:p>
        </w:tc>
        <w:tc>
          <w:tcPr>
            <w:tcW w:w="1701" w:type="dxa"/>
            <w:noWrap/>
            <w:vAlign w:val="center"/>
          </w:tcPr>
          <w:p w14:paraId="10F366B9" w14:textId="40144DA5"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5</w:t>
            </w:r>
          </w:p>
        </w:tc>
      </w:tr>
      <w:tr w:rsidR="00553831" w:rsidRPr="00553831" w14:paraId="17D5E78B" w14:textId="77777777" w:rsidTr="00EB3F4F">
        <w:trPr>
          <w:trHeight w:val="70"/>
          <w:jc w:val="center"/>
        </w:trPr>
        <w:tc>
          <w:tcPr>
            <w:tcW w:w="3539" w:type="dxa"/>
            <w:noWrap/>
            <w:vAlign w:val="center"/>
          </w:tcPr>
          <w:p w14:paraId="1812F189"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obce</w:t>
            </w:r>
          </w:p>
        </w:tc>
        <w:tc>
          <w:tcPr>
            <w:tcW w:w="1559" w:type="dxa"/>
            <w:noWrap/>
            <w:vAlign w:val="center"/>
          </w:tcPr>
          <w:p w14:paraId="29C8E252"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1A9F3D8E"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6A093B4A"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7F34636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04F5C48F" w14:textId="77777777" w:rsidTr="00EB3F4F">
        <w:trPr>
          <w:trHeight w:val="70"/>
          <w:jc w:val="center"/>
        </w:trPr>
        <w:tc>
          <w:tcPr>
            <w:tcW w:w="3539" w:type="dxa"/>
            <w:noWrap/>
            <w:vAlign w:val="center"/>
          </w:tcPr>
          <w:p w14:paraId="04208ED9"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vyššie územné celky</w:t>
            </w:r>
          </w:p>
        </w:tc>
        <w:tc>
          <w:tcPr>
            <w:tcW w:w="1559" w:type="dxa"/>
            <w:noWrap/>
            <w:vAlign w:val="center"/>
          </w:tcPr>
          <w:p w14:paraId="7014DC0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6B4986B4"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7EC18DF7"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6270303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711ED93C" w14:textId="77777777" w:rsidTr="00EB3F4F">
        <w:trPr>
          <w:trHeight w:val="70"/>
          <w:jc w:val="center"/>
        </w:trPr>
        <w:tc>
          <w:tcPr>
            <w:tcW w:w="3539" w:type="dxa"/>
            <w:noWrap/>
            <w:vAlign w:val="center"/>
          </w:tcPr>
          <w:p w14:paraId="638265FB"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ostatné subjekty verejnej správy</w:t>
            </w:r>
          </w:p>
        </w:tc>
        <w:tc>
          <w:tcPr>
            <w:tcW w:w="1559" w:type="dxa"/>
            <w:noWrap/>
            <w:vAlign w:val="center"/>
          </w:tcPr>
          <w:p w14:paraId="1C8F4BB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4057824B"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782E4B8A"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2314D43C"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74A394F5" w14:textId="77777777" w:rsidTr="00EB3F4F">
        <w:trPr>
          <w:trHeight w:val="70"/>
          <w:jc w:val="center"/>
        </w:trPr>
        <w:tc>
          <w:tcPr>
            <w:tcW w:w="3539" w:type="dxa"/>
            <w:shd w:val="clear" w:color="auto" w:fill="BFBFBF"/>
            <w:noWrap/>
            <w:vAlign w:val="center"/>
          </w:tcPr>
          <w:p w14:paraId="4780D206" w14:textId="77777777" w:rsidR="00820F75" w:rsidRPr="00553831" w:rsidRDefault="00820F75" w:rsidP="00820F75">
            <w:pPr>
              <w:spacing w:after="0" w:line="240" w:lineRule="auto"/>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Vplyv na mzdové výdavky</w:t>
            </w:r>
          </w:p>
        </w:tc>
        <w:tc>
          <w:tcPr>
            <w:tcW w:w="1559" w:type="dxa"/>
            <w:shd w:val="clear" w:color="auto" w:fill="BFBFBF"/>
            <w:noWrap/>
            <w:vAlign w:val="center"/>
          </w:tcPr>
          <w:p w14:paraId="34061A81" w14:textId="7B738FA9" w:rsidR="00820F75" w:rsidRPr="00553831" w:rsidRDefault="00820F75" w:rsidP="00820F75">
            <w:pPr>
              <w:spacing w:after="0" w:line="240" w:lineRule="auto"/>
              <w:jc w:val="right"/>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84 000</w:t>
            </w:r>
          </w:p>
        </w:tc>
        <w:tc>
          <w:tcPr>
            <w:tcW w:w="1560" w:type="dxa"/>
            <w:shd w:val="clear" w:color="auto" w:fill="BFBFBF"/>
            <w:noWrap/>
            <w:vAlign w:val="center"/>
          </w:tcPr>
          <w:p w14:paraId="69339709" w14:textId="1700D54C" w:rsidR="00820F75" w:rsidRPr="00553831" w:rsidRDefault="00820F75" w:rsidP="00820F75">
            <w:pPr>
              <w:spacing w:after="0" w:line="240" w:lineRule="auto"/>
              <w:jc w:val="right"/>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210 000</w:t>
            </w:r>
          </w:p>
        </w:tc>
        <w:tc>
          <w:tcPr>
            <w:tcW w:w="1559" w:type="dxa"/>
            <w:shd w:val="clear" w:color="auto" w:fill="BFBFBF"/>
            <w:noWrap/>
            <w:vAlign w:val="center"/>
          </w:tcPr>
          <w:p w14:paraId="7B361BBE" w14:textId="1D95DC01" w:rsidR="00820F75" w:rsidRPr="00553831" w:rsidRDefault="00820F75" w:rsidP="00820F75">
            <w:pPr>
              <w:spacing w:after="0" w:line="240" w:lineRule="auto"/>
              <w:jc w:val="right"/>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210 000</w:t>
            </w:r>
          </w:p>
        </w:tc>
        <w:tc>
          <w:tcPr>
            <w:tcW w:w="1701" w:type="dxa"/>
            <w:shd w:val="clear" w:color="auto" w:fill="BFBFBF"/>
            <w:noWrap/>
            <w:vAlign w:val="center"/>
          </w:tcPr>
          <w:p w14:paraId="65D3424E" w14:textId="5A966A18" w:rsidR="00820F75" w:rsidRPr="00553831" w:rsidRDefault="00820F75" w:rsidP="00820F75">
            <w:pPr>
              <w:spacing w:after="0" w:line="240" w:lineRule="auto"/>
              <w:jc w:val="right"/>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210 000</w:t>
            </w:r>
          </w:p>
        </w:tc>
      </w:tr>
      <w:tr w:rsidR="00553831" w:rsidRPr="00553831" w14:paraId="31FA51FA" w14:textId="77777777" w:rsidTr="00EB3F4F">
        <w:trPr>
          <w:trHeight w:val="70"/>
          <w:jc w:val="center"/>
        </w:trPr>
        <w:tc>
          <w:tcPr>
            <w:tcW w:w="3539" w:type="dxa"/>
            <w:noWrap/>
            <w:vAlign w:val="center"/>
          </w:tcPr>
          <w:p w14:paraId="4296670D"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ŠR</w:t>
            </w:r>
          </w:p>
        </w:tc>
        <w:tc>
          <w:tcPr>
            <w:tcW w:w="1559" w:type="dxa"/>
            <w:noWrap/>
            <w:vAlign w:val="center"/>
          </w:tcPr>
          <w:p w14:paraId="1EFC34DE" w14:textId="24D8A0F4"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84 000</w:t>
            </w:r>
          </w:p>
        </w:tc>
        <w:tc>
          <w:tcPr>
            <w:tcW w:w="1560" w:type="dxa"/>
            <w:noWrap/>
            <w:vAlign w:val="center"/>
          </w:tcPr>
          <w:p w14:paraId="4C84E5A4" w14:textId="39A25D0D"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210 000</w:t>
            </w:r>
          </w:p>
        </w:tc>
        <w:tc>
          <w:tcPr>
            <w:tcW w:w="1559" w:type="dxa"/>
            <w:noWrap/>
            <w:vAlign w:val="center"/>
          </w:tcPr>
          <w:p w14:paraId="216A98E0" w14:textId="3C4BE519"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210 000</w:t>
            </w:r>
          </w:p>
        </w:tc>
        <w:tc>
          <w:tcPr>
            <w:tcW w:w="1701" w:type="dxa"/>
            <w:noWrap/>
            <w:vAlign w:val="center"/>
          </w:tcPr>
          <w:p w14:paraId="11778A1E" w14:textId="1F2A8E88"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210 000</w:t>
            </w:r>
          </w:p>
        </w:tc>
      </w:tr>
      <w:tr w:rsidR="00553831" w:rsidRPr="00553831" w14:paraId="56ADFAC5" w14:textId="77777777" w:rsidTr="00EB3F4F">
        <w:trPr>
          <w:trHeight w:val="70"/>
          <w:jc w:val="center"/>
        </w:trPr>
        <w:tc>
          <w:tcPr>
            <w:tcW w:w="3539" w:type="dxa"/>
            <w:noWrap/>
            <w:vAlign w:val="center"/>
          </w:tcPr>
          <w:p w14:paraId="6B27BCAF"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obce</w:t>
            </w:r>
          </w:p>
        </w:tc>
        <w:tc>
          <w:tcPr>
            <w:tcW w:w="1559" w:type="dxa"/>
            <w:noWrap/>
            <w:vAlign w:val="center"/>
          </w:tcPr>
          <w:p w14:paraId="6E7E6FBF"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0391DB1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0D8DC537"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12D37EA3"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3138D921" w14:textId="77777777" w:rsidTr="00EB3F4F">
        <w:trPr>
          <w:trHeight w:val="70"/>
          <w:jc w:val="center"/>
        </w:trPr>
        <w:tc>
          <w:tcPr>
            <w:tcW w:w="3539" w:type="dxa"/>
            <w:noWrap/>
            <w:vAlign w:val="center"/>
          </w:tcPr>
          <w:p w14:paraId="6B7A4350" w14:textId="77777777" w:rsidR="00820F75" w:rsidRPr="00553831" w:rsidRDefault="00820F75" w:rsidP="00820F75">
            <w:pPr>
              <w:spacing w:after="0" w:line="240" w:lineRule="auto"/>
              <w:rPr>
                <w:rFonts w:ascii="Times New Roman" w:eastAsia="Times New Roman" w:hAnsi="Times New Roman" w:cs="Times New Roman"/>
                <w:b/>
                <w:bCs/>
                <w:i/>
                <w:i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vyššie územné celky</w:t>
            </w:r>
          </w:p>
        </w:tc>
        <w:tc>
          <w:tcPr>
            <w:tcW w:w="1559" w:type="dxa"/>
            <w:noWrap/>
            <w:vAlign w:val="center"/>
          </w:tcPr>
          <w:p w14:paraId="4C75358B"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4793FB79"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132332F7"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4866F7AF"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17BEA6B0" w14:textId="77777777" w:rsidTr="00EB3F4F">
        <w:trPr>
          <w:trHeight w:val="70"/>
          <w:jc w:val="center"/>
        </w:trPr>
        <w:tc>
          <w:tcPr>
            <w:tcW w:w="3539" w:type="dxa"/>
            <w:noWrap/>
            <w:vAlign w:val="center"/>
          </w:tcPr>
          <w:p w14:paraId="6CEE97AF" w14:textId="77777777" w:rsidR="00820F75" w:rsidRPr="00553831" w:rsidRDefault="00820F75" w:rsidP="00820F75">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i/>
                <w:iCs/>
                <w:color w:val="000000" w:themeColor="text1"/>
                <w:sz w:val="24"/>
                <w:szCs w:val="24"/>
                <w:lang w:eastAsia="sk-SK"/>
              </w:rPr>
              <w:t>- vplyv na ostatné subjekty verejnej správy</w:t>
            </w:r>
          </w:p>
        </w:tc>
        <w:tc>
          <w:tcPr>
            <w:tcW w:w="1559" w:type="dxa"/>
            <w:noWrap/>
            <w:vAlign w:val="center"/>
          </w:tcPr>
          <w:p w14:paraId="183E0678"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60" w:type="dxa"/>
            <w:noWrap/>
            <w:vAlign w:val="center"/>
          </w:tcPr>
          <w:p w14:paraId="1E8AE0AB"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559" w:type="dxa"/>
            <w:noWrap/>
            <w:vAlign w:val="center"/>
          </w:tcPr>
          <w:p w14:paraId="50D9C701"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c>
          <w:tcPr>
            <w:tcW w:w="1701" w:type="dxa"/>
            <w:noWrap/>
            <w:vAlign w:val="center"/>
          </w:tcPr>
          <w:p w14:paraId="4DB444C2" w14:textId="77777777" w:rsidR="00820F75" w:rsidRPr="00553831" w:rsidRDefault="00820F75" w:rsidP="00820F75">
            <w:pPr>
              <w:spacing w:after="0" w:line="240" w:lineRule="auto"/>
              <w:jc w:val="right"/>
              <w:rPr>
                <w:rFonts w:ascii="Times New Roman" w:eastAsia="Times New Roman" w:hAnsi="Times New Roman" w:cs="Times New Roman"/>
                <w:b/>
                <w:bCs/>
                <w:iCs/>
                <w:color w:val="000000" w:themeColor="text1"/>
                <w:sz w:val="24"/>
                <w:szCs w:val="24"/>
                <w:lang w:eastAsia="sk-SK"/>
              </w:rPr>
            </w:pPr>
            <w:r w:rsidRPr="00553831">
              <w:rPr>
                <w:rFonts w:ascii="Times New Roman" w:eastAsia="Times New Roman" w:hAnsi="Times New Roman" w:cs="Times New Roman"/>
                <w:b/>
                <w:bCs/>
                <w:iCs/>
                <w:color w:val="000000" w:themeColor="text1"/>
                <w:sz w:val="24"/>
                <w:szCs w:val="24"/>
                <w:lang w:eastAsia="sk-SK"/>
              </w:rPr>
              <w:t>0</w:t>
            </w:r>
          </w:p>
        </w:tc>
      </w:tr>
      <w:tr w:rsidR="00553831" w:rsidRPr="00553831" w14:paraId="13AB4D4A" w14:textId="77777777" w:rsidTr="00EB3F4F">
        <w:trPr>
          <w:trHeight w:val="70"/>
          <w:jc w:val="center"/>
        </w:trPr>
        <w:tc>
          <w:tcPr>
            <w:tcW w:w="3539" w:type="dxa"/>
            <w:shd w:val="clear" w:color="auto" w:fill="C0C0C0"/>
            <w:noWrap/>
            <w:vAlign w:val="center"/>
          </w:tcPr>
          <w:p w14:paraId="080D6A1C" w14:textId="77777777" w:rsidR="00820F75" w:rsidRPr="00553831" w:rsidRDefault="00820F75" w:rsidP="00820F75">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Financovanie zabezpečené v rozpočte</w:t>
            </w:r>
          </w:p>
        </w:tc>
        <w:tc>
          <w:tcPr>
            <w:tcW w:w="1559" w:type="dxa"/>
            <w:shd w:val="clear" w:color="auto" w:fill="C0C0C0"/>
            <w:noWrap/>
            <w:vAlign w:val="center"/>
          </w:tcPr>
          <w:p w14:paraId="05AC622F"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60" w:type="dxa"/>
            <w:shd w:val="clear" w:color="auto" w:fill="C0C0C0"/>
            <w:noWrap/>
            <w:vAlign w:val="center"/>
          </w:tcPr>
          <w:p w14:paraId="413F466B"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59" w:type="dxa"/>
            <w:shd w:val="clear" w:color="auto" w:fill="C0C0C0"/>
            <w:noWrap/>
            <w:vAlign w:val="center"/>
          </w:tcPr>
          <w:p w14:paraId="337D4A31"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701" w:type="dxa"/>
            <w:shd w:val="clear" w:color="auto" w:fill="C0C0C0"/>
            <w:noWrap/>
            <w:vAlign w:val="center"/>
          </w:tcPr>
          <w:p w14:paraId="6894130A"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r>
      <w:tr w:rsidR="00553831" w:rsidRPr="00553831" w14:paraId="5DA7FE79" w14:textId="77777777" w:rsidTr="00EB3F4F">
        <w:trPr>
          <w:trHeight w:val="70"/>
          <w:jc w:val="center"/>
        </w:trPr>
        <w:tc>
          <w:tcPr>
            <w:tcW w:w="3539" w:type="dxa"/>
            <w:noWrap/>
            <w:vAlign w:val="center"/>
          </w:tcPr>
          <w:p w14:paraId="2DC0BD84" w14:textId="77777777" w:rsidR="00820F75" w:rsidRPr="00553831" w:rsidRDefault="00820F75" w:rsidP="00820F75">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 tom: za každý subjekt verejnej správy / program zvlášť</w:t>
            </w:r>
          </w:p>
        </w:tc>
        <w:tc>
          <w:tcPr>
            <w:tcW w:w="1559" w:type="dxa"/>
            <w:noWrap/>
            <w:vAlign w:val="center"/>
          </w:tcPr>
          <w:p w14:paraId="56333C2E"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60" w:type="dxa"/>
            <w:noWrap/>
            <w:vAlign w:val="center"/>
          </w:tcPr>
          <w:p w14:paraId="069898A4"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noWrap/>
            <w:vAlign w:val="center"/>
          </w:tcPr>
          <w:p w14:paraId="27247C95"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noWrap/>
            <w:vAlign w:val="center"/>
          </w:tcPr>
          <w:p w14:paraId="3DCC3207" w14:textId="77777777" w:rsidR="00820F75" w:rsidRPr="00553831" w:rsidRDefault="00820F75" w:rsidP="00820F75">
            <w:pPr>
              <w:spacing w:after="0" w:line="240" w:lineRule="auto"/>
              <w:jc w:val="right"/>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1116DCFB" w14:textId="77777777" w:rsidTr="00EB3F4F">
        <w:trPr>
          <w:trHeight w:val="70"/>
          <w:jc w:val="center"/>
        </w:trPr>
        <w:tc>
          <w:tcPr>
            <w:tcW w:w="3539" w:type="dxa"/>
            <w:shd w:val="clear" w:color="auto" w:fill="BFBFBF"/>
            <w:noWrap/>
            <w:vAlign w:val="center"/>
          </w:tcPr>
          <w:p w14:paraId="10DA502F" w14:textId="77777777" w:rsidR="00820F75" w:rsidRPr="00553831" w:rsidRDefault="00820F75" w:rsidP="00820F75">
            <w:pPr>
              <w:spacing w:after="0" w:line="240" w:lineRule="auto"/>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Iné ako rozpočtové zdroje</w:t>
            </w:r>
          </w:p>
        </w:tc>
        <w:tc>
          <w:tcPr>
            <w:tcW w:w="1559" w:type="dxa"/>
            <w:shd w:val="clear" w:color="auto" w:fill="BFBFBF"/>
            <w:noWrap/>
            <w:vAlign w:val="center"/>
          </w:tcPr>
          <w:p w14:paraId="2242E7F4"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60" w:type="dxa"/>
            <w:shd w:val="clear" w:color="auto" w:fill="BFBFBF"/>
            <w:noWrap/>
            <w:vAlign w:val="center"/>
          </w:tcPr>
          <w:p w14:paraId="7BC93D0D"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59" w:type="dxa"/>
            <w:shd w:val="clear" w:color="auto" w:fill="BFBFBF"/>
            <w:noWrap/>
            <w:vAlign w:val="center"/>
          </w:tcPr>
          <w:p w14:paraId="72380B83"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701" w:type="dxa"/>
            <w:shd w:val="clear" w:color="auto" w:fill="BFBFBF"/>
            <w:noWrap/>
            <w:vAlign w:val="center"/>
          </w:tcPr>
          <w:p w14:paraId="6B1EA117" w14:textId="77777777" w:rsidR="00820F75" w:rsidRPr="00553831" w:rsidRDefault="00820F75"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r>
      <w:tr w:rsidR="00820F75" w:rsidRPr="00553831" w14:paraId="6F4BB9CF" w14:textId="77777777" w:rsidTr="00EB3F4F">
        <w:trPr>
          <w:trHeight w:val="70"/>
          <w:jc w:val="center"/>
        </w:trPr>
        <w:tc>
          <w:tcPr>
            <w:tcW w:w="3539" w:type="dxa"/>
            <w:shd w:val="clear" w:color="auto" w:fill="A6A6A6"/>
            <w:noWrap/>
            <w:vAlign w:val="center"/>
          </w:tcPr>
          <w:p w14:paraId="352832C5" w14:textId="77777777" w:rsidR="00820F75" w:rsidRPr="00553831" w:rsidRDefault="00820F75" w:rsidP="00820F75">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Rozpočtovo nekrytý vplyv / úspora</w:t>
            </w:r>
          </w:p>
        </w:tc>
        <w:tc>
          <w:tcPr>
            <w:tcW w:w="1559" w:type="dxa"/>
            <w:shd w:val="clear" w:color="auto" w:fill="A6A6A6"/>
            <w:noWrap/>
            <w:vAlign w:val="center"/>
          </w:tcPr>
          <w:p w14:paraId="62308223" w14:textId="3CFA10A6" w:rsidR="00820F75" w:rsidRPr="00553831" w:rsidRDefault="00D35E45" w:rsidP="00D35E45">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153563,55€</w:t>
            </w:r>
          </w:p>
        </w:tc>
        <w:tc>
          <w:tcPr>
            <w:tcW w:w="1560" w:type="dxa"/>
            <w:shd w:val="clear" w:color="auto" w:fill="A6A6A6"/>
            <w:noWrap/>
            <w:vAlign w:val="center"/>
          </w:tcPr>
          <w:p w14:paraId="79FD58FF" w14:textId="7DF1F355" w:rsidR="00820F75" w:rsidRPr="00553831" w:rsidRDefault="00523CCB"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19 328 381,01</w:t>
            </w:r>
          </w:p>
        </w:tc>
        <w:tc>
          <w:tcPr>
            <w:tcW w:w="1559" w:type="dxa"/>
            <w:shd w:val="clear" w:color="auto" w:fill="A6A6A6"/>
            <w:noWrap/>
            <w:vAlign w:val="center"/>
          </w:tcPr>
          <w:p w14:paraId="074C1824" w14:textId="7853B637" w:rsidR="00820F75" w:rsidRPr="00553831" w:rsidRDefault="00102C3F"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33 127 385,97€</w:t>
            </w:r>
          </w:p>
        </w:tc>
        <w:tc>
          <w:tcPr>
            <w:tcW w:w="1701" w:type="dxa"/>
            <w:shd w:val="clear" w:color="auto" w:fill="A6A6A6"/>
            <w:noWrap/>
            <w:vAlign w:val="center"/>
          </w:tcPr>
          <w:p w14:paraId="0D46C6F7" w14:textId="49A5FE56" w:rsidR="00820F75" w:rsidRPr="00553831" w:rsidRDefault="00A51257" w:rsidP="00820F75">
            <w:pPr>
              <w:spacing w:after="0" w:line="240" w:lineRule="auto"/>
              <w:jc w:val="right"/>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181 721 073,11€</w:t>
            </w:r>
          </w:p>
        </w:tc>
      </w:tr>
      <w:bookmarkEnd w:id="0"/>
    </w:tbl>
    <w:p w14:paraId="4724305C" w14:textId="77777777" w:rsidR="00671F4F" w:rsidRPr="00553831" w:rsidRDefault="00671F4F" w:rsidP="00ED7612">
      <w:pPr>
        <w:spacing w:after="0"/>
        <w:rPr>
          <w:rFonts w:ascii="Times New Roman" w:eastAsia="Times New Roman" w:hAnsi="Times New Roman" w:cs="Times New Roman"/>
          <w:bCs/>
          <w:color w:val="000000" w:themeColor="text1"/>
          <w:sz w:val="20"/>
          <w:szCs w:val="20"/>
          <w:lang w:eastAsia="sk-SK"/>
        </w:rPr>
      </w:pPr>
    </w:p>
    <w:p w14:paraId="3FC16288" w14:textId="5B1E547A" w:rsidR="00CD4DE7" w:rsidRPr="00553831" w:rsidRDefault="001B696F" w:rsidP="00B07063">
      <w:pPr>
        <w:spacing w:after="0"/>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Ministerstvo zdravotníctva </w:t>
      </w:r>
      <w:r w:rsidR="004A26C2" w:rsidRPr="00553831">
        <w:rPr>
          <w:rFonts w:ascii="Times New Roman" w:eastAsia="Times New Roman" w:hAnsi="Times New Roman" w:cs="Times New Roman"/>
          <w:bCs/>
          <w:color w:val="000000" w:themeColor="text1"/>
          <w:sz w:val="24"/>
          <w:szCs w:val="24"/>
          <w:lang w:eastAsia="sk-SK"/>
        </w:rPr>
        <w:t>S</w:t>
      </w:r>
      <w:r w:rsidR="00885DDB" w:rsidRPr="00553831">
        <w:rPr>
          <w:rFonts w:ascii="Times New Roman" w:eastAsia="Times New Roman" w:hAnsi="Times New Roman" w:cs="Times New Roman"/>
          <w:bCs/>
          <w:color w:val="000000" w:themeColor="text1"/>
          <w:sz w:val="24"/>
          <w:szCs w:val="24"/>
          <w:lang w:eastAsia="sk-SK"/>
        </w:rPr>
        <w:t>lovenskej republiky</w:t>
      </w:r>
      <w:r w:rsidR="00B35F8B" w:rsidRPr="00553831">
        <w:rPr>
          <w:rFonts w:ascii="Times New Roman" w:eastAsia="Times New Roman" w:hAnsi="Times New Roman" w:cs="Times New Roman"/>
          <w:bCs/>
          <w:color w:val="000000" w:themeColor="text1"/>
          <w:sz w:val="24"/>
          <w:szCs w:val="24"/>
          <w:lang w:eastAsia="sk-SK"/>
        </w:rPr>
        <w:t xml:space="preserve"> </w:t>
      </w:r>
      <w:r w:rsidRPr="00553831">
        <w:rPr>
          <w:rFonts w:ascii="Times New Roman" w:eastAsia="Times New Roman" w:hAnsi="Times New Roman" w:cs="Times New Roman"/>
          <w:bCs/>
          <w:color w:val="000000" w:themeColor="text1"/>
          <w:sz w:val="24"/>
          <w:szCs w:val="24"/>
          <w:lang w:eastAsia="sk-SK"/>
        </w:rPr>
        <w:t xml:space="preserve">sa zaväzuje, že bude monitorovať na pravidelnej báze vplyvy novej legislatívy na rozpočet a jej dopady na napĺňanie aktuálne platnej programovej vyhlášky Ministerstva zdravotníctva Slovenskej republiky o rozdelení výdavkov verejného zdravotného poistenia podľa jednotlivých typov zdravotnej starostlivosti predvídanej ustanoveniami § 15 ods. 8 písm. b), d), e), f), h) a i) zákona č. 581/2004 Z. z. o zdravotných poisťovniach, dohľade nad zdravotnou starostlivosťou a o zmene a doplnení niektorých zákonov v znení neskorších predpisov a bude predkladať analýzu vplyvov procesu novej kategorizácie na zasadnutiach Rady pre tvorbu rozpočtu v zdravotníctve. </w:t>
      </w:r>
      <w:r w:rsidR="00DC4C4D" w:rsidRPr="00553831">
        <w:rPr>
          <w:rFonts w:ascii="Times New Roman" w:eastAsia="Times New Roman" w:hAnsi="Times New Roman" w:cs="Times New Roman"/>
          <w:bCs/>
          <w:color w:val="000000" w:themeColor="text1"/>
          <w:sz w:val="24"/>
          <w:szCs w:val="24"/>
          <w:lang w:eastAsia="sk-SK"/>
        </w:rPr>
        <w:t xml:space="preserve">Ministerstvo zdravotníctva bude na mesačnej báze aktualizovať dopady novej kategorizácie na prostriedky VZP s výhľadom na najbližšie trojročné obdobie. </w:t>
      </w:r>
    </w:p>
    <w:p w14:paraId="5751411A" w14:textId="77777777" w:rsidR="00CD4DE7" w:rsidRPr="00553831" w:rsidRDefault="00CD4DE7" w:rsidP="00B07063">
      <w:pPr>
        <w:spacing w:after="0"/>
        <w:jc w:val="both"/>
        <w:rPr>
          <w:rFonts w:ascii="Times New Roman" w:eastAsia="Times New Roman" w:hAnsi="Times New Roman" w:cs="Times New Roman"/>
          <w:bCs/>
          <w:color w:val="000000" w:themeColor="text1"/>
          <w:sz w:val="24"/>
          <w:szCs w:val="24"/>
          <w:lang w:eastAsia="sk-SK"/>
        </w:rPr>
      </w:pPr>
    </w:p>
    <w:p w14:paraId="5260247E" w14:textId="3FB88712" w:rsidR="001B696F" w:rsidRPr="00553831" w:rsidRDefault="00CD4DE7" w:rsidP="000068B5">
      <w:pPr>
        <w:spacing w:after="0"/>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V programovej vyhláške na rok 2027 a nasledujúce bude v položke lieky stanovená maximálna suma výdavkov určená pre lieky, zdravotnícke pomôcky a dietetické potraviny. </w:t>
      </w:r>
      <w:r w:rsidR="001B696F" w:rsidRPr="00553831">
        <w:rPr>
          <w:rFonts w:ascii="Times New Roman" w:eastAsia="Times New Roman" w:hAnsi="Times New Roman" w:cs="Times New Roman"/>
          <w:bCs/>
          <w:color w:val="000000" w:themeColor="text1"/>
          <w:sz w:val="24"/>
          <w:szCs w:val="24"/>
          <w:lang w:eastAsia="sk-SK"/>
        </w:rPr>
        <w:t xml:space="preserve">                                                                                                                                                   </w:t>
      </w:r>
    </w:p>
    <w:p w14:paraId="4ED09CC7" w14:textId="77777777" w:rsidR="00D619BA" w:rsidRDefault="00D619BA" w:rsidP="00ED7612">
      <w:pPr>
        <w:spacing w:after="0"/>
        <w:rPr>
          <w:rFonts w:ascii="Times New Roman" w:eastAsia="Times New Roman" w:hAnsi="Times New Roman" w:cs="Times New Roman"/>
          <w:bCs/>
          <w:color w:val="000000" w:themeColor="text1"/>
          <w:sz w:val="20"/>
          <w:szCs w:val="20"/>
          <w:lang w:eastAsia="sk-SK"/>
        </w:rPr>
      </w:pPr>
    </w:p>
    <w:p w14:paraId="3B2348C4" w14:textId="77777777" w:rsidR="000068B5" w:rsidRPr="000068B5" w:rsidRDefault="000068B5" w:rsidP="000068B5">
      <w:pPr>
        <w:spacing w:after="0"/>
        <w:jc w:val="both"/>
        <w:rPr>
          <w:rFonts w:ascii="Times New Roman" w:eastAsia="Times New Roman" w:hAnsi="Times New Roman" w:cs="Times New Roman"/>
          <w:bCs/>
          <w:color w:val="000000" w:themeColor="text1"/>
          <w:sz w:val="24"/>
          <w:szCs w:val="24"/>
          <w:lang w:eastAsia="sk-SK"/>
        </w:rPr>
      </w:pPr>
      <w:r w:rsidRPr="000068B5">
        <w:rPr>
          <w:rFonts w:ascii="Times New Roman" w:eastAsia="Times New Roman" w:hAnsi="Times New Roman" w:cs="Times New Roman"/>
          <w:bCs/>
          <w:color w:val="000000" w:themeColor="text1"/>
          <w:sz w:val="24"/>
          <w:szCs w:val="24"/>
          <w:lang w:eastAsia="sk-SK"/>
        </w:rPr>
        <w:t>Negatívny vplyv návrhu predstavuje indikatívne prepočty, ktoré boli zostavené na konzervatívnom princípe s maximálnymi možnými vplyvmi, pričom  ich výpočet sprevádzala vysoká miera neistoty a výdavky môžu byť nižšie. Konečný dopad na rozpočet príslušného roku bude závisieť predovšetkým od jednotlivých rozhodnutí pri kategorizácii konkrétnych liekov. Tie budú závisieť od dohodnutej výšky prostriedkov na novú kategorizáciu v rámci celkových výdavkov na lieky, ktoré budú definované v programovej vyhláške na rok 2027 a nasledujúce s tým, že v položke lieky bude stanovená maximálna suma výdavkov určená pre lieky, zdravotnícke pomôcky a dietetické potraviny. Celkové výdavky na lieky, vrátane kategorizácie liekov teda budú každoročne  v súlade so schváleným rozpočtom verejného zdravotného poistenia na príslušné trojročné rozpočtové obdobie.</w:t>
      </w:r>
    </w:p>
    <w:p w14:paraId="2918361E" w14:textId="77777777" w:rsidR="00D619BA" w:rsidRDefault="00D619BA" w:rsidP="00ED7612">
      <w:pPr>
        <w:spacing w:after="0"/>
        <w:rPr>
          <w:rFonts w:ascii="Times New Roman" w:eastAsia="Times New Roman" w:hAnsi="Times New Roman" w:cs="Times New Roman"/>
          <w:bCs/>
          <w:color w:val="000000" w:themeColor="text1"/>
          <w:sz w:val="20"/>
          <w:szCs w:val="20"/>
          <w:lang w:eastAsia="sk-SK"/>
        </w:rPr>
      </w:pPr>
    </w:p>
    <w:p w14:paraId="025C6EC8" w14:textId="77777777" w:rsidR="00A37DC0" w:rsidRDefault="00A37DC0" w:rsidP="00ED7612">
      <w:pPr>
        <w:spacing w:after="0"/>
        <w:rPr>
          <w:rFonts w:ascii="Times New Roman" w:eastAsia="Times New Roman" w:hAnsi="Times New Roman" w:cs="Times New Roman"/>
          <w:bCs/>
          <w:color w:val="000000" w:themeColor="text1"/>
          <w:sz w:val="20"/>
          <w:szCs w:val="20"/>
          <w:lang w:eastAsia="sk-SK"/>
        </w:rPr>
      </w:pPr>
    </w:p>
    <w:p w14:paraId="7605C500" w14:textId="77777777" w:rsidR="00A37DC0" w:rsidRDefault="00A37DC0" w:rsidP="00ED7612">
      <w:pPr>
        <w:spacing w:after="0"/>
        <w:rPr>
          <w:rFonts w:ascii="Times New Roman" w:eastAsia="Times New Roman" w:hAnsi="Times New Roman" w:cs="Times New Roman"/>
          <w:bCs/>
          <w:color w:val="000000" w:themeColor="text1"/>
          <w:sz w:val="20"/>
          <w:szCs w:val="20"/>
          <w:lang w:eastAsia="sk-SK"/>
        </w:rPr>
      </w:pPr>
    </w:p>
    <w:p w14:paraId="44A98AEE" w14:textId="77777777" w:rsidR="00A37DC0" w:rsidRDefault="00A37DC0" w:rsidP="00ED7612">
      <w:pPr>
        <w:spacing w:after="0"/>
        <w:rPr>
          <w:rFonts w:ascii="Times New Roman" w:eastAsia="Times New Roman" w:hAnsi="Times New Roman" w:cs="Times New Roman"/>
          <w:bCs/>
          <w:color w:val="000000" w:themeColor="text1"/>
          <w:sz w:val="20"/>
          <w:szCs w:val="20"/>
          <w:lang w:eastAsia="sk-SK"/>
        </w:rPr>
      </w:pPr>
    </w:p>
    <w:p w14:paraId="3AB6F97B" w14:textId="77777777" w:rsidR="00A37DC0" w:rsidRDefault="00A37DC0" w:rsidP="00ED7612">
      <w:pPr>
        <w:spacing w:after="0"/>
        <w:rPr>
          <w:rFonts w:ascii="Times New Roman" w:eastAsia="Times New Roman" w:hAnsi="Times New Roman" w:cs="Times New Roman"/>
          <w:bCs/>
          <w:color w:val="000000" w:themeColor="text1"/>
          <w:sz w:val="20"/>
          <w:szCs w:val="20"/>
          <w:lang w:eastAsia="sk-SK"/>
        </w:rPr>
      </w:pPr>
    </w:p>
    <w:p w14:paraId="0E25CC74" w14:textId="77777777" w:rsidR="00A37DC0" w:rsidRDefault="00A37DC0" w:rsidP="00ED7612">
      <w:pPr>
        <w:spacing w:after="0"/>
        <w:rPr>
          <w:rFonts w:ascii="Times New Roman" w:eastAsia="Times New Roman" w:hAnsi="Times New Roman" w:cs="Times New Roman"/>
          <w:bCs/>
          <w:color w:val="000000" w:themeColor="text1"/>
          <w:sz w:val="20"/>
          <w:szCs w:val="20"/>
          <w:lang w:eastAsia="sk-SK"/>
        </w:rPr>
      </w:pPr>
    </w:p>
    <w:p w14:paraId="24622199" w14:textId="77777777" w:rsidR="00A37DC0" w:rsidRPr="00553831" w:rsidRDefault="00A37DC0" w:rsidP="00ED7612">
      <w:pPr>
        <w:spacing w:after="0"/>
        <w:rPr>
          <w:rFonts w:ascii="Times New Roman" w:eastAsia="Times New Roman" w:hAnsi="Times New Roman" w:cs="Times New Roman"/>
          <w:bCs/>
          <w:color w:val="000000" w:themeColor="text1"/>
          <w:sz w:val="20"/>
          <w:szCs w:val="20"/>
          <w:lang w:eastAsia="sk-SK"/>
        </w:rPr>
      </w:pPr>
    </w:p>
    <w:p w14:paraId="32BC4655" w14:textId="6642BB4C" w:rsidR="00ED7612" w:rsidRPr="00553831" w:rsidRDefault="00ED7612" w:rsidP="00ED7612">
      <w:pPr>
        <w:spacing w:after="0"/>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Tabuľka č. 1/B</w:t>
      </w:r>
    </w:p>
    <w:tbl>
      <w:tblPr>
        <w:tblW w:w="10273" w:type="dxa"/>
        <w:tblInd w:w="-604" w:type="dxa"/>
        <w:tblCellMar>
          <w:left w:w="70" w:type="dxa"/>
          <w:right w:w="70" w:type="dxa"/>
        </w:tblCellMar>
        <w:tblLook w:val="04A0" w:firstRow="1" w:lastRow="0" w:firstColumn="1" w:lastColumn="0" w:noHBand="0" w:noVBand="1"/>
      </w:tblPr>
      <w:tblGrid>
        <w:gridCol w:w="3539"/>
        <w:gridCol w:w="1714"/>
        <w:gridCol w:w="1559"/>
        <w:gridCol w:w="1630"/>
        <w:gridCol w:w="71"/>
        <w:gridCol w:w="1760"/>
      </w:tblGrid>
      <w:tr w:rsidR="00553831" w:rsidRPr="00553831" w14:paraId="02C52F45" w14:textId="77777777" w:rsidTr="00D812C1">
        <w:trPr>
          <w:trHeight w:val="273"/>
        </w:trPr>
        <w:tc>
          <w:tcPr>
            <w:tcW w:w="3539"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BE3028B"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c>
          <w:tcPr>
            <w:tcW w:w="1714" w:type="dxa"/>
            <w:tcBorders>
              <w:top w:val="single" w:sz="4" w:space="0" w:color="auto"/>
              <w:left w:val="nil"/>
              <w:bottom w:val="single" w:sz="4" w:space="0" w:color="auto"/>
              <w:right w:val="single" w:sz="4" w:space="0" w:color="auto"/>
            </w:tcBorders>
            <w:shd w:val="clear" w:color="auto" w:fill="BFBFBF"/>
            <w:noWrap/>
            <w:vAlign w:val="center"/>
            <w:hideMark/>
          </w:tcPr>
          <w:p w14:paraId="4EE57C44" w14:textId="4E27A263" w:rsidR="00ED7612" w:rsidRPr="00553831" w:rsidRDefault="00820F75"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2026</w:t>
            </w:r>
          </w:p>
        </w:tc>
        <w:tc>
          <w:tcPr>
            <w:tcW w:w="1559" w:type="dxa"/>
            <w:tcBorders>
              <w:top w:val="single" w:sz="4" w:space="0" w:color="auto"/>
              <w:left w:val="nil"/>
              <w:bottom w:val="single" w:sz="4" w:space="0" w:color="auto"/>
              <w:right w:val="single" w:sz="4" w:space="0" w:color="auto"/>
            </w:tcBorders>
            <w:shd w:val="clear" w:color="auto" w:fill="BFBFBF"/>
            <w:noWrap/>
            <w:vAlign w:val="center"/>
            <w:hideMark/>
          </w:tcPr>
          <w:p w14:paraId="54DD1A96" w14:textId="312CF70D" w:rsidR="00ED7612" w:rsidRPr="00553831" w:rsidRDefault="00820F75"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2027</w:t>
            </w:r>
          </w:p>
        </w:tc>
        <w:tc>
          <w:tcPr>
            <w:tcW w:w="1630" w:type="dxa"/>
            <w:tcBorders>
              <w:top w:val="single" w:sz="4" w:space="0" w:color="auto"/>
              <w:left w:val="nil"/>
              <w:bottom w:val="single" w:sz="4" w:space="0" w:color="auto"/>
              <w:right w:val="single" w:sz="4" w:space="0" w:color="auto"/>
            </w:tcBorders>
            <w:shd w:val="clear" w:color="auto" w:fill="BFBFBF"/>
            <w:noWrap/>
            <w:vAlign w:val="center"/>
            <w:hideMark/>
          </w:tcPr>
          <w:p w14:paraId="4151DD2F" w14:textId="0E845D7E" w:rsidR="00ED7612" w:rsidRPr="00553831" w:rsidRDefault="00820F75"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2028</w:t>
            </w:r>
          </w:p>
        </w:tc>
        <w:tc>
          <w:tcPr>
            <w:tcW w:w="1831" w:type="dxa"/>
            <w:gridSpan w:val="2"/>
            <w:tcBorders>
              <w:top w:val="single" w:sz="4" w:space="0" w:color="auto"/>
              <w:left w:val="nil"/>
              <w:bottom w:val="single" w:sz="4" w:space="0" w:color="auto"/>
              <w:right w:val="single" w:sz="4" w:space="0" w:color="auto"/>
            </w:tcBorders>
            <w:shd w:val="clear" w:color="auto" w:fill="BFBFBF"/>
            <w:noWrap/>
            <w:vAlign w:val="center"/>
            <w:hideMark/>
          </w:tcPr>
          <w:p w14:paraId="7C9F351A" w14:textId="7A57E029" w:rsidR="00ED7612" w:rsidRPr="00553831" w:rsidRDefault="00820F75"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2029</w:t>
            </w:r>
          </w:p>
        </w:tc>
      </w:tr>
      <w:tr w:rsidR="00553831" w:rsidRPr="00553831" w14:paraId="4C5BB46E" w14:textId="77777777" w:rsidTr="00D812C1">
        <w:trPr>
          <w:trHeight w:val="273"/>
        </w:trPr>
        <w:tc>
          <w:tcPr>
            <w:tcW w:w="3539" w:type="dxa"/>
            <w:tcBorders>
              <w:top w:val="nil"/>
              <w:left w:val="single" w:sz="4" w:space="0" w:color="auto"/>
              <w:bottom w:val="single" w:sz="4" w:space="0" w:color="auto"/>
              <w:right w:val="single" w:sz="4" w:space="0" w:color="auto"/>
            </w:tcBorders>
            <w:shd w:val="clear" w:color="auto" w:fill="BFBFBF"/>
            <w:noWrap/>
            <w:vAlign w:val="bottom"/>
            <w:hideMark/>
          </w:tcPr>
          <w:p w14:paraId="61B31141" w14:textId="77777777" w:rsidR="00D812C1" w:rsidRPr="00553831" w:rsidRDefault="00D812C1" w:rsidP="00D812C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714" w:type="dxa"/>
            <w:tcBorders>
              <w:top w:val="nil"/>
              <w:left w:val="nil"/>
              <w:bottom w:val="single" w:sz="4" w:space="0" w:color="auto"/>
              <w:right w:val="single" w:sz="4" w:space="0" w:color="auto"/>
            </w:tcBorders>
            <w:noWrap/>
            <w:vAlign w:val="center"/>
            <w:hideMark/>
          </w:tcPr>
          <w:p w14:paraId="2DA9C462" w14:textId="0A3786A8" w:rsidR="00D812C1" w:rsidRPr="00553831" w:rsidRDefault="00D812C1" w:rsidP="00D812C1">
            <w:pPr>
              <w:spacing w:after="0" w:line="240" w:lineRule="auto"/>
              <w:jc w:val="center"/>
              <w:rPr>
                <w:rFonts w:ascii="Aptos Narrow" w:hAnsi="Aptos Narrow"/>
                <w:b/>
                <w:bCs/>
                <w:color w:val="000000" w:themeColor="text1"/>
              </w:rPr>
            </w:pPr>
            <w:r w:rsidRPr="00553831">
              <w:rPr>
                <w:rFonts w:ascii="Aptos Narrow" w:hAnsi="Aptos Narrow"/>
                <w:b/>
                <w:bCs/>
                <w:color w:val="000000" w:themeColor="text1"/>
              </w:rPr>
              <w:t>-2 153563,55€</w:t>
            </w:r>
          </w:p>
        </w:tc>
        <w:tc>
          <w:tcPr>
            <w:tcW w:w="1559" w:type="dxa"/>
            <w:tcBorders>
              <w:top w:val="nil"/>
              <w:left w:val="nil"/>
              <w:bottom w:val="single" w:sz="4" w:space="0" w:color="auto"/>
              <w:right w:val="single" w:sz="4" w:space="0" w:color="auto"/>
            </w:tcBorders>
            <w:noWrap/>
            <w:vAlign w:val="center"/>
            <w:hideMark/>
          </w:tcPr>
          <w:p w14:paraId="64DF9EF1" w14:textId="16AB6BC0" w:rsidR="00D812C1" w:rsidRPr="00553831" w:rsidRDefault="00D812C1" w:rsidP="00D812C1">
            <w:pPr>
              <w:spacing w:after="0" w:line="240" w:lineRule="auto"/>
              <w:jc w:val="center"/>
              <w:rPr>
                <w:rFonts w:ascii="Aptos Narrow" w:hAnsi="Aptos Narrow"/>
                <w:b/>
                <w:bCs/>
                <w:color w:val="000000" w:themeColor="text1"/>
              </w:rPr>
            </w:pPr>
            <w:r w:rsidRPr="00553831">
              <w:rPr>
                <w:rFonts w:ascii="Aptos Narrow" w:hAnsi="Aptos Narrow"/>
                <w:b/>
                <w:bCs/>
                <w:color w:val="000000" w:themeColor="text1"/>
              </w:rPr>
              <w:t>19 328 381,01</w:t>
            </w:r>
          </w:p>
        </w:tc>
        <w:tc>
          <w:tcPr>
            <w:tcW w:w="1701" w:type="dxa"/>
            <w:gridSpan w:val="2"/>
            <w:tcBorders>
              <w:top w:val="nil"/>
              <w:left w:val="nil"/>
              <w:bottom w:val="single" w:sz="4" w:space="0" w:color="auto"/>
              <w:right w:val="single" w:sz="4" w:space="0" w:color="auto"/>
            </w:tcBorders>
            <w:noWrap/>
            <w:vAlign w:val="center"/>
            <w:hideMark/>
          </w:tcPr>
          <w:p w14:paraId="71E17E5B" w14:textId="5510A86F" w:rsidR="00D812C1" w:rsidRPr="00553831" w:rsidRDefault="00D812C1" w:rsidP="00D812C1">
            <w:pPr>
              <w:spacing w:after="0" w:line="240" w:lineRule="auto"/>
              <w:jc w:val="center"/>
              <w:rPr>
                <w:rFonts w:ascii="Aptos Narrow" w:hAnsi="Aptos Narrow"/>
                <w:b/>
                <w:bCs/>
                <w:color w:val="000000" w:themeColor="text1"/>
              </w:rPr>
            </w:pPr>
            <w:r w:rsidRPr="00553831">
              <w:rPr>
                <w:rFonts w:ascii="Aptos Narrow" w:hAnsi="Aptos Narrow"/>
                <w:b/>
                <w:bCs/>
                <w:color w:val="000000" w:themeColor="text1"/>
              </w:rPr>
              <w:t>33 127 385,97€</w:t>
            </w:r>
          </w:p>
        </w:tc>
        <w:tc>
          <w:tcPr>
            <w:tcW w:w="1760" w:type="dxa"/>
            <w:tcBorders>
              <w:top w:val="nil"/>
              <w:left w:val="nil"/>
              <w:bottom w:val="single" w:sz="4" w:space="0" w:color="auto"/>
              <w:right w:val="single" w:sz="4" w:space="0" w:color="auto"/>
            </w:tcBorders>
            <w:noWrap/>
            <w:vAlign w:val="center"/>
            <w:hideMark/>
          </w:tcPr>
          <w:p w14:paraId="72B95E18" w14:textId="4475239C" w:rsidR="00D812C1" w:rsidRPr="00553831" w:rsidRDefault="00D812C1" w:rsidP="00D812C1">
            <w:pPr>
              <w:spacing w:after="0" w:line="240" w:lineRule="auto"/>
              <w:jc w:val="center"/>
              <w:rPr>
                <w:rFonts w:ascii="Aptos Narrow" w:hAnsi="Aptos Narrow"/>
                <w:b/>
                <w:bCs/>
                <w:color w:val="000000" w:themeColor="text1"/>
              </w:rPr>
            </w:pPr>
            <w:r w:rsidRPr="00553831">
              <w:rPr>
                <w:rFonts w:ascii="Aptos Narrow" w:hAnsi="Aptos Narrow"/>
                <w:b/>
                <w:bCs/>
                <w:color w:val="000000" w:themeColor="text1"/>
              </w:rPr>
              <w:t>181 721 073,11€</w:t>
            </w:r>
          </w:p>
        </w:tc>
      </w:tr>
      <w:tr w:rsidR="00553831" w:rsidRPr="00553831" w14:paraId="6C2A3AFA" w14:textId="77777777" w:rsidTr="00D812C1">
        <w:trPr>
          <w:trHeight w:val="273"/>
        </w:trPr>
        <w:tc>
          <w:tcPr>
            <w:tcW w:w="3539" w:type="dxa"/>
            <w:tcBorders>
              <w:top w:val="nil"/>
              <w:left w:val="single" w:sz="4" w:space="0" w:color="auto"/>
              <w:bottom w:val="single" w:sz="4" w:space="0" w:color="auto"/>
              <w:right w:val="single" w:sz="4" w:space="0" w:color="auto"/>
            </w:tcBorders>
            <w:shd w:val="clear" w:color="auto" w:fill="BFBFBF"/>
            <w:noWrap/>
            <w:vAlign w:val="bottom"/>
            <w:hideMark/>
          </w:tcPr>
          <w:p w14:paraId="7525C795" w14:textId="77777777" w:rsidR="00D812C1" w:rsidRPr="00553831" w:rsidRDefault="00D812C1" w:rsidP="00D812C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714" w:type="dxa"/>
            <w:tcBorders>
              <w:top w:val="nil"/>
              <w:left w:val="nil"/>
              <w:bottom w:val="single" w:sz="4" w:space="0" w:color="auto"/>
              <w:right w:val="single" w:sz="4" w:space="0" w:color="auto"/>
            </w:tcBorders>
            <w:noWrap/>
            <w:vAlign w:val="center"/>
            <w:hideMark/>
          </w:tcPr>
          <w:p w14:paraId="4566A759" w14:textId="77777777" w:rsidR="00D812C1" w:rsidRPr="00553831" w:rsidRDefault="00D812C1" w:rsidP="00D812C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559" w:type="dxa"/>
            <w:tcBorders>
              <w:top w:val="nil"/>
              <w:left w:val="nil"/>
              <w:bottom w:val="single" w:sz="4" w:space="0" w:color="auto"/>
              <w:right w:val="single" w:sz="4" w:space="0" w:color="auto"/>
            </w:tcBorders>
            <w:noWrap/>
            <w:vAlign w:val="center"/>
            <w:hideMark/>
          </w:tcPr>
          <w:p w14:paraId="0E2EE3DE" w14:textId="77777777" w:rsidR="00D812C1" w:rsidRPr="00553831" w:rsidRDefault="00D812C1" w:rsidP="00D812C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01" w:type="dxa"/>
            <w:gridSpan w:val="2"/>
            <w:tcBorders>
              <w:top w:val="nil"/>
              <w:left w:val="nil"/>
              <w:bottom w:val="single" w:sz="4" w:space="0" w:color="auto"/>
              <w:right w:val="single" w:sz="4" w:space="0" w:color="auto"/>
            </w:tcBorders>
            <w:noWrap/>
            <w:vAlign w:val="center"/>
            <w:hideMark/>
          </w:tcPr>
          <w:p w14:paraId="37E869A8" w14:textId="77777777" w:rsidR="00D812C1" w:rsidRPr="00553831" w:rsidRDefault="00D812C1" w:rsidP="00D812C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c>
          <w:tcPr>
            <w:tcW w:w="1760" w:type="dxa"/>
            <w:tcBorders>
              <w:top w:val="nil"/>
              <w:left w:val="nil"/>
              <w:bottom w:val="single" w:sz="4" w:space="0" w:color="auto"/>
              <w:right w:val="single" w:sz="4" w:space="0" w:color="auto"/>
            </w:tcBorders>
            <w:noWrap/>
            <w:vAlign w:val="center"/>
            <w:hideMark/>
          </w:tcPr>
          <w:p w14:paraId="6A2A19BC" w14:textId="77777777" w:rsidR="00D812C1" w:rsidRPr="00553831" w:rsidRDefault="00D812C1" w:rsidP="00D812C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0</w:t>
            </w:r>
          </w:p>
        </w:tc>
      </w:tr>
      <w:tr w:rsidR="00553831" w:rsidRPr="00553831" w14:paraId="4B3EF7AD" w14:textId="77777777" w:rsidTr="00D812C1">
        <w:trPr>
          <w:trHeight w:val="273"/>
        </w:trPr>
        <w:tc>
          <w:tcPr>
            <w:tcW w:w="3539" w:type="dxa"/>
            <w:tcBorders>
              <w:top w:val="nil"/>
              <w:left w:val="single" w:sz="4" w:space="0" w:color="auto"/>
              <w:bottom w:val="single" w:sz="4" w:space="0" w:color="auto"/>
              <w:right w:val="single" w:sz="4" w:space="0" w:color="auto"/>
            </w:tcBorders>
            <w:shd w:val="clear" w:color="auto" w:fill="BFBFBF"/>
            <w:noWrap/>
            <w:vAlign w:val="bottom"/>
            <w:hideMark/>
          </w:tcPr>
          <w:p w14:paraId="2B25886D" w14:textId="77777777" w:rsidR="00D812C1" w:rsidRPr="00553831" w:rsidRDefault="00D812C1" w:rsidP="00D812C1">
            <w:pPr>
              <w:spacing w:after="0" w:line="240" w:lineRule="auto"/>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z toho:</w:t>
            </w:r>
          </w:p>
        </w:tc>
        <w:tc>
          <w:tcPr>
            <w:tcW w:w="1714" w:type="dxa"/>
            <w:tcBorders>
              <w:top w:val="nil"/>
              <w:left w:val="nil"/>
              <w:bottom w:val="single" w:sz="4" w:space="0" w:color="auto"/>
              <w:right w:val="single" w:sz="4" w:space="0" w:color="auto"/>
            </w:tcBorders>
            <w:noWrap/>
            <w:vAlign w:val="center"/>
            <w:hideMark/>
          </w:tcPr>
          <w:p w14:paraId="59EF7DF6" w14:textId="77777777" w:rsidR="00D812C1" w:rsidRPr="00553831" w:rsidRDefault="00D812C1" w:rsidP="00D812C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c>
          <w:tcPr>
            <w:tcW w:w="1559" w:type="dxa"/>
            <w:tcBorders>
              <w:top w:val="nil"/>
              <w:left w:val="nil"/>
              <w:bottom w:val="single" w:sz="4" w:space="0" w:color="auto"/>
              <w:right w:val="single" w:sz="4" w:space="0" w:color="auto"/>
            </w:tcBorders>
            <w:noWrap/>
            <w:vAlign w:val="center"/>
            <w:hideMark/>
          </w:tcPr>
          <w:p w14:paraId="53C02154" w14:textId="77777777" w:rsidR="00D812C1" w:rsidRPr="00553831" w:rsidRDefault="00D812C1" w:rsidP="00D812C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c>
          <w:tcPr>
            <w:tcW w:w="1701" w:type="dxa"/>
            <w:gridSpan w:val="2"/>
            <w:tcBorders>
              <w:top w:val="nil"/>
              <w:left w:val="nil"/>
              <w:bottom w:val="single" w:sz="4" w:space="0" w:color="auto"/>
              <w:right w:val="single" w:sz="4" w:space="0" w:color="auto"/>
            </w:tcBorders>
            <w:noWrap/>
            <w:vAlign w:val="center"/>
            <w:hideMark/>
          </w:tcPr>
          <w:p w14:paraId="0CCB80FD" w14:textId="77777777" w:rsidR="00D812C1" w:rsidRPr="00553831" w:rsidRDefault="00D812C1" w:rsidP="00D812C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c>
          <w:tcPr>
            <w:tcW w:w="1760" w:type="dxa"/>
            <w:tcBorders>
              <w:top w:val="nil"/>
              <w:left w:val="nil"/>
              <w:bottom w:val="single" w:sz="4" w:space="0" w:color="auto"/>
              <w:right w:val="single" w:sz="4" w:space="0" w:color="auto"/>
            </w:tcBorders>
            <w:noWrap/>
            <w:vAlign w:val="center"/>
            <w:hideMark/>
          </w:tcPr>
          <w:p w14:paraId="76202BD8" w14:textId="77777777" w:rsidR="00D812C1" w:rsidRPr="00553831" w:rsidRDefault="00D812C1" w:rsidP="00D812C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5F5BC497" w14:textId="77777777" w:rsidTr="00D812C1">
        <w:trPr>
          <w:trHeight w:val="273"/>
        </w:trPr>
        <w:tc>
          <w:tcPr>
            <w:tcW w:w="3539" w:type="dxa"/>
            <w:tcBorders>
              <w:top w:val="nil"/>
              <w:left w:val="single" w:sz="4" w:space="0" w:color="auto"/>
              <w:bottom w:val="single" w:sz="4" w:space="0" w:color="auto"/>
              <w:right w:val="single" w:sz="4" w:space="0" w:color="auto"/>
            </w:tcBorders>
            <w:shd w:val="clear" w:color="auto" w:fill="BFBFBF"/>
            <w:noWrap/>
            <w:vAlign w:val="bottom"/>
            <w:hideMark/>
          </w:tcPr>
          <w:p w14:paraId="49B08B94" w14:textId="77777777" w:rsidR="00D812C1" w:rsidRPr="00553831" w:rsidRDefault="00D812C1" w:rsidP="00D812C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limit verejných výdavkov ŠR</w:t>
            </w:r>
          </w:p>
        </w:tc>
        <w:tc>
          <w:tcPr>
            <w:tcW w:w="1714" w:type="dxa"/>
            <w:tcBorders>
              <w:top w:val="nil"/>
              <w:left w:val="nil"/>
              <w:bottom w:val="single" w:sz="4" w:space="0" w:color="auto"/>
              <w:right w:val="single" w:sz="4" w:space="0" w:color="auto"/>
            </w:tcBorders>
            <w:noWrap/>
            <w:vAlign w:val="center"/>
            <w:hideMark/>
          </w:tcPr>
          <w:p w14:paraId="14E77D8B" w14:textId="1991EF3C" w:rsidR="00D812C1" w:rsidRPr="00553831" w:rsidRDefault="00D812C1" w:rsidP="00D812C1">
            <w:pPr>
              <w:spacing w:after="0" w:line="240" w:lineRule="auto"/>
              <w:jc w:val="center"/>
              <w:rPr>
                <w:rFonts w:ascii="Aptos Narrow" w:hAnsi="Aptos Narrow"/>
                <w:color w:val="000000" w:themeColor="text1"/>
              </w:rPr>
            </w:pPr>
            <w:r w:rsidRPr="00553831">
              <w:rPr>
                <w:rFonts w:ascii="Aptos Narrow" w:hAnsi="Aptos Narrow"/>
                <w:color w:val="000000" w:themeColor="text1"/>
              </w:rPr>
              <w:t>84 000 €</w:t>
            </w:r>
          </w:p>
        </w:tc>
        <w:tc>
          <w:tcPr>
            <w:tcW w:w="1559" w:type="dxa"/>
            <w:tcBorders>
              <w:top w:val="nil"/>
              <w:left w:val="nil"/>
              <w:bottom w:val="single" w:sz="4" w:space="0" w:color="auto"/>
              <w:right w:val="single" w:sz="4" w:space="0" w:color="auto"/>
            </w:tcBorders>
            <w:noWrap/>
            <w:vAlign w:val="center"/>
            <w:hideMark/>
          </w:tcPr>
          <w:p w14:paraId="0FC7E9A2" w14:textId="0CF8EA96" w:rsidR="00D812C1" w:rsidRPr="00553831" w:rsidRDefault="00D812C1" w:rsidP="00D812C1">
            <w:pPr>
              <w:spacing w:after="0" w:line="240" w:lineRule="auto"/>
              <w:jc w:val="center"/>
              <w:rPr>
                <w:rFonts w:ascii="Aptos Narrow" w:hAnsi="Aptos Narrow"/>
                <w:color w:val="000000" w:themeColor="text1"/>
              </w:rPr>
            </w:pPr>
            <w:r w:rsidRPr="00553831">
              <w:rPr>
                <w:rFonts w:ascii="Aptos Narrow" w:hAnsi="Aptos Narrow"/>
                <w:color w:val="000000" w:themeColor="text1"/>
              </w:rPr>
              <w:t>210 000 €</w:t>
            </w:r>
          </w:p>
        </w:tc>
        <w:tc>
          <w:tcPr>
            <w:tcW w:w="1701" w:type="dxa"/>
            <w:gridSpan w:val="2"/>
            <w:tcBorders>
              <w:top w:val="nil"/>
              <w:left w:val="nil"/>
              <w:bottom w:val="single" w:sz="4" w:space="0" w:color="auto"/>
              <w:right w:val="single" w:sz="4" w:space="0" w:color="auto"/>
            </w:tcBorders>
            <w:noWrap/>
            <w:vAlign w:val="center"/>
            <w:hideMark/>
          </w:tcPr>
          <w:p w14:paraId="035A9ECF" w14:textId="7CDB6C2C" w:rsidR="00D812C1" w:rsidRPr="00553831" w:rsidRDefault="00D812C1" w:rsidP="00D812C1">
            <w:pPr>
              <w:spacing w:after="0" w:line="240" w:lineRule="auto"/>
              <w:jc w:val="center"/>
              <w:rPr>
                <w:rFonts w:ascii="Aptos Narrow" w:hAnsi="Aptos Narrow"/>
                <w:color w:val="000000" w:themeColor="text1"/>
              </w:rPr>
            </w:pPr>
            <w:r w:rsidRPr="00553831">
              <w:rPr>
                <w:rFonts w:ascii="Aptos Narrow" w:hAnsi="Aptos Narrow"/>
                <w:color w:val="000000" w:themeColor="text1"/>
              </w:rPr>
              <w:t>210 000 €</w:t>
            </w:r>
          </w:p>
        </w:tc>
        <w:tc>
          <w:tcPr>
            <w:tcW w:w="1760" w:type="dxa"/>
            <w:tcBorders>
              <w:top w:val="nil"/>
              <w:left w:val="nil"/>
              <w:bottom w:val="single" w:sz="4" w:space="0" w:color="auto"/>
              <w:right w:val="single" w:sz="4" w:space="0" w:color="auto"/>
            </w:tcBorders>
            <w:noWrap/>
            <w:vAlign w:val="center"/>
            <w:hideMark/>
          </w:tcPr>
          <w:p w14:paraId="468B0C18" w14:textId="4F977DB4" w:rsidR="00D812C1" w:rsidRPr="00553831" w:rsidRDefault="00D812C1" w:rsidP="00D812C1">
            <w:pPr>
              <w:spacing w:after="0" w:line="240" w:lineRule="auto"/>
              <w:jc w:val="center"/>
              <w:rPr>
                <w:rFonts w:ascii="Aptos Narrow" w:hAnsi="Aptos Narrow"/>
                <w:color w:val="000000" w:themeColor="text1"/>
              </w:rPr>
            </w:pPr>
            <w:r w:rsidRPr="00553831">
              <w:rPr>
                <w:rFonts w:ascii="Aptos Narrow" w:hAnsi="Aptos Narrow"/>
                <w:color w:val="000000" w:themeColor="text1"/>
              </w:rPr>
              <w:t>210 000€</w:t>
            </w:r>
          </w:p>
        </w:tc>
      </w:tr>
      <w:tr w:rsidR="00553831" w:rsidRPr="00553831" w14:paraId="66218FBE" w14:textId="77777777" w:rsidTr="00D812C1">
        <w:trPr>
          <w:trHeight w:val="273"/>
        </w:trPr>
        <w:tc>
          <w:tcPr>
            <w:tcW w:w="3539" w:type="dxa"/>
            <w:tcBorders>
              <w:top w:val="nil"/>
              <w:left w:val="single" w:sz="4" w:space="0" w:color="auto"/>
              <w:bottom w:val="single" w:sz="4" w:space="0" w:color="auto"/>
              <w:right w:val="single" w:sz="4" w:space="0" w:color="auto"/>
            </w:tcBorders>
            <w:shd w:val="clear" w:color="auto" w:fill="BFBFBF"/>
            <w:noWrap/>
            <w:vAlign w:val="bottom"/>
            <w:hideMark/>
          </w:tcPr>
          <w:p w14:paraId="5E91C6D2" w14:textId="77777777" w:rsidR="00D812C1" w:rsidRPr="00553831" w:rsidRDefault="00D812C1" w:rsidP="00D812C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714" w:type="dxa"/>
            <w:tcBorders>
              <w:top w:val="nil"/>
              <w:left w:val="nil"/>
              <w:bottom w:val="single" w:sz="4" w:space="0" w:color="auto"/>
              <w:right w:val="single" w:sz="4" w:space="0" w:color="auto"/>
            </w:tcBorders>
            <w:noWrap/>
            <w:vAlign w:val="center"/>
            <w:hideMark/>
          </w:tcPr>
          <w:p w14:paraId="19854AB2" w14:textId="5AF61AF4"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w:t>
            </w:r>
            <w:r w:rsidRPr="00553831">
              <w:rPr>
                <w:rFonts w:ascii="Aptos Narrow" w:hAnsi="Aptos Narrow"/>
                <w:color w:val="000000" w:themeColor="text1"/>
              </w:rPr>
              <w:t>2 237 563,55€</w:t>
            </w:r>
          </w:p>
        </w:tc>
        <w:tc>
          <w:tcPr>
            <w:tcW w:w="1559" w:type="dxa"/>
            <w:tcBorders>
              <w:top w:val="nil"/>
              <w:left w:val="nil"/>
              <w:bottom w:val="single" w:sz="4" w:space="0" w:color="auto"/>
              <w:right w:val="single" w:sz="4" w:space="0" w:color="auto"/>
            </w:tcBorders>
            <w:noWrap/>
            <w:vAlign w:val="center"/>
            <w:hideMark/>
          </w:tcPr>
          <w:p w14:paraId="298F516D" w14:textId="585FDCA2"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r w:rsidRPr="00553831">
              <w:rPr>
                <w:rFonts w:ascii="Aptos Narrow" w:hAnsi="Aptos Narrow"/>
                <w:color w:val="000000" w:themeColor="text1"/>
              </w:rPr>
              <w:t>21 518 381,01€</w:t>
            </w:r>
          </w:p>
        </w:tc>
        <w:tc>
          <w:tcPr>
            <w:tcW w:w="1701" w:type="dxa"/>
            <w:gridSpan w:val="2"/>
            <w:tcBorders>
              <w:top w:val="nil"/>
              <w:left w:val="nil"/>
              <w:bottom w:val="single" w:sz="4" w:space="0" w:color="auto"/>
              <w:right w:val="single" w:sz="4" w:space="0" w:color="auto"/>
            </w:tcBorders>
            <w:noWrap/>
            <w:vAlign w:val="center"/>
            <w:hideMark/>
          </w:tcPr>
          <w:p w14:paraId="7A33965D" w14:textId="49163CD3"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r w:rsidRPr="00553831">
              <w:rPr>
                <w:rFonts w:ascii="Aptos Narrow" w:hAnsi="Aptos Narrow"/>
                <w:color w:val="000000" w:themeColor="text1"/>
              </w:rPr>
              <w:t>34 117 385,97€</w:t>
            </w:r>
          </w:p>
        </w:tc>
        <w:tc>
          <w:tcPr>
            <w:tcW w:w="1760" w:type="dxa"/>
            <w:tcBorders>
              <w:top w:val="nil"/>
              <w:left w:val="nil"/>
              <w:bottom w:val="single" w:sz="4" w:space="0" w:color="auto"/>
              <w:right w:val="single" w:sz="4" w:space="0" w:color="auto"/>
            </w:tcBorders>
            <w:noWrap/>
            <w:vAlign w:val="center"/>
            <w:hideMark/>
          </w:tcPr>
          <w:p w14:paraId="281C70D6" w14:textId="2379B73A"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r w:rsidRPr="00553831">
              <w:rPr>
                <w:rFonts w:ascii="Aptos Narrow" w:hAnsi="Aptos Narrow"/>
                <w:color w:val="000000" w:themeColor="text1"/>
              </w:rPr>
              <w:t>182 111 073,11€</w:t>
            </w:r>
          </w:p>
        </w:tc>
      </w:tr>
      <w:tr w:rsidR="00553831" w:rsidRPr="00553831" w14:paraId="0D1EB165" w14:textId="77777777" w:rsidTr="00D812C1">
        <w:trPr>
          <w:trHeight w:val="273"/>
        </w:trPr>
        <w:tc>
          <w:tcPr>
            <w:tcW w:w="3539"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3094493C" w14:textId="77777777" w:rsidR="00D812C1" w:rsidRPr="00553831" w:rsidRDefault="00D812C1" w:rsidP="00D812C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714" w:type="dxa"/>
            <w:tcBorders>
              <w:top w:val="single" w:sz="4" w:space="0" w:color="auto"/>
              <w:left w:val="nil"/>
              <w:bottom w:val="single" w:sz="4" w:space="0" w:color="auto"/>
              <w:right w:val="single" w:sz="4" w:space="0" w:color="auto"/>
            </w:tcBorders>
            <w:noWrap/>
            <w:vAlign w:val="center"/>
          </w:tcPr>
          <w:p w14:paraId="43CA5B23" w14:textId="77777777"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p>
        </w:tc>
        <w:tc>
          <w:tcPr>
            <w:tcW w:w="1559" w:type="dxa"/>
            <w:tcBorders>
              <w:top w:val="single" w:sz="4" w:space="0" w:color="auto"/>
              <w:left w:val="nil"/>
              <w:bottom w:val="single" w:sz="4" w:space="0" w:color="auto"/>
              <w:right w:val="single" w:sz="4" w:space="0" w:color="auto"/>
            </w:tcBorders>
            <w:noWrap/>
            <w:vAlign w:val="center"/>
          </w:tcPr>
          <w:p w14:paraId="45172D79" w14:textId="77777777"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p>
        </w:tc>
        <w:tc>
          <w:tcPr>
            <w:tcW w:w="1701" w:type="dxa"/>
            <w:gridSpan w:val="2"/>
            <w:tcBorders>
              <w:top w:val="single" w:sz="4" w:space="0" w:color="auto"/>
              <w:left w:val="nil"/>
              <w:bottom w:val="single" w:sz="4" w:space="0" w:color="auto"/>
              <w:right w:val="single" w:sz="4" w:space="0" w:color="auto"/>
            </w:tcBorders>
            <w:noWrap/>
            <w:vAlign w:val="center"/>
          </w:tcPr>
          <w:p w14:paraId="25385A0B" w14:textId="77777777"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p>
        </w:tc>
        <w:tc>
          <w:tcPr>
            <w:tcW w:w="1760" w:type="dxa"/>
            <w:tcBorders>
              <w:top w:val="single" w:sz="4" w:space="0" w:color="auto"/>
              <w:left w:val="nil"/>
              <w:bottom w:val="single" w:sz="4" w:space="0" w:color="auto"/>
              <w:right w:val="single" w:sz="4" w:space="0" w:color="auto"/>
            </w:tcBorders>
            <w:noWrap/>
            <w:vAlign w:val="center"/>
          </w:tcPr>
          <w:p w14:paraId="7DE31EBA" w14:textId="77777777" w:rsidR="00D812C1" w:rsidRPr="00553831" w:rsidRDefault="00D812C1" w:rsidP="00D812C1">
            <w:pPr>
              <w:spacing w:after="0" w:line="240" w:lineRule="auto"/>
              <w:jc w:val="center"/>
              <w:rPr>
                <w:rFonts w:ascii="Times New Roman" w:eastAsia="Times New Roman" w:hAnsi="Times New Roman" w:cs="Times New Roman"/>
                <w:b/>
                <w:color w:val="000000" w:themeColor="text1"/>
                <w:sz w:val="24"/>
                <w:szCs w:val="24"/>
                <w:lang w:eastAsia="sk-SK"/>
              </w:rPr>
            </w:pPr>
          </w:p>
        </w:tc>
      </w:tr>
    </w:tbl>
    <w:p w14:paraId="6D8831DA" w14:textId="77777777" w:rsidR="00ED7612" w:rsidRPr="00553831" w:rsidRDefault="00ED7612" w:rsidP="00ED7612">
      <w:pPr>
        <w:rPr>
          <w:rFonts w:ascii="Times New Roman" w:eastAsia="Times New Roman" w:hAnsi="Times New Roman" w:cs="Times New Roman"/>
          <w:b/>
          <w:bCs/>
          <w:color w:val="000000" w:themeColor="text1"/>
          <w:sz w:val="24"/>
          <w:szCs w:val="24"/>
          <w:lang w:eastAsia="sk-SK"/>
        </w:rPr>
      </w:pPr>
    </w:p>
    <w:p w14:paraId="2E2AA372" w14:textId="77777777" w:rsidR="00D619BA" w:rsidRPr="00553831" w:rsidRDefault="00D619BA" w:rsidP="00ED7612">
      <w:pPr>
        <w:rPr>
          <w:rFonts w:ascii="Times New Roman" w:eastAsia="Times New Roman" w:hAnsi="Times New Roman" w:cs="Times New Roman"/>
          <w:b/>
          <w:bCs/>
          <w:color w:val="000000" w:themeColor="text1"/>
          <w:sz w:val="24"/>
          <w:szCs w:val="24"/>
          <w:lang w:eastAsia="sk-SK"/>
        </w:rPr>
      </w:pPr>
    </w:p>
    <w:p w14:paraId="40E97B92" w14:textId="77777777" w:rsidR="00D619BA" w:rsidRPr="00553831" w:rsidRDefault="00D619BA" w:rsidP="00ED7612">
      <w:pPr>
        <w:rPr>
          <w:rFonts w:ascii="Times New Roman" w:eastAsia="Times New Roman" w:hAnsi="Times New Roman" w:cs="Times New Roman"/>
          <w:b/>
          <w:bCs/>
          <w:color w:val="000000" w:themeColor="text1"/>
          <w:sz w:val="24"/>
          <w:szCs w:val="24"/>
          <w:lang w:eastAsia="sk-SK"/>
        </w:rPr>
      </w:pPr>
    </w:p>
    <w:p w14:paraId="1CED60F3" w14:textId="6A7A0A38" w:rsidR="00ED7612" w:rsidRPr="00553831" w:rsidRDefault="00ED7612" w:rsidP="00ED7612">
      <w:pP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2.1.1. Financovanie návrhu - Návrh na riešenie úbytku príjmov alebo zvýšených výdavkov podľa § 33 ods. 1 zákona č. 523/2004 Z. z. o rozpočtových pravidlách verejnej správy:</w:t>
      </w:r>
    </w:p>
    <w:p w14:paraId="59ACFB5B" w14:textId="77777777" w:rsidR="00ED7612" w:rsidRPr="00553831" w:rsidRDefault="00ED7612" w:rsidP="00ED7612">
      <w:pPr>
        <w:spacing w:after="0" w:line="240" w:lineRule="auto"/>
        <w:jc w:val="both"/>
        <w:rPr>
          <w:rFonts w:ascii="Times New Roman" w:eastAsia="Times New Roman" w:hAnsi="Times New Roman" w:cs="Times New Roman"/>
          <w:b/>
          <w:bCs/>
          <w:color w:val="000000" w:themeColor="text1"/>
          <w:sz w:val="12"/>
          <w:szCs w:val="24"/>
          <w:lang w:eastAsia="sk-SK"/>
        </w:rPr>
      </w:pPr>
    </w:p>
    <w:p w14:paraId="5C33AAEC" w14:textId="4AE5B6F5" w:rsidR="00ED7612" w:rsidRPr="00553831" w:rsidRDefault="00ED761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Návrh novely má pozitívny vplyv na rozpočet </w:t>
      </w:r>
      <w:r w:rsidR="00C60902" w:rsidRPr="00553831">
        <w:rPr>
          <w:rFonts w:ascii="Times New Roman" w:eastAsia="Times New Roman" w:hAnsi="Times New Roman" w:cs="Times New Roman"/>
          <w:color w:val="000000" w:themeColor="text1"/>
          <w:sz w:val="24"/>
          <w:szCs w:val="24"/>
          <w:lang w:eastAsia="sk-SK"/>
        </w:rPr>
        <w:t xml:space="preserve">vo všetkých </w:t>
      </w:r>
      <w:r w:rsidR="00FC2E78" w:rsidRPr="00553831">
        <w:rPr>
          <w:rFonts w:ascii="Times New Roman" w:eastAsia="Times New Roman" w:hAnsi="Times New Roman" w:cs="Times New Roman"/>
          <w:color w:val="000000" w:themeColor="text1"/>
          <w:sz w:val="24"/>
          <w:szCs w:val="24"/>
          <w:lang w:eastAsia="sk-SK"/>
        </w:rPr>
        <w:t>nasledujúcich</w:t>
      </w:r>
      <w:r w:rsidR="00C60902" w:rsidRPr="00553831">
        <w:rPr>
          <w:rFonts w:ascii="Times New Roman" w:eastAsia="Times New Roman" w:hAnsi="Times New Roman" w:cs="Times New Roman"/>
          <w:color w:val="000000" w:themeColor="text1"/>
          <w:sz w:val="24"/>
          <w:szCs w:val="24"/>
          <w:lang w:eastAsia="sk-SK"/>
        </w:rPr>
        <w:t xml:space="preserve"> rokoch</w:t>
      </w:r>
      <w:r w:rsidR="00B07063" w:rsidRPr="00553831">
        <w:rPr>
          <w:rFonts w:ascii="Times New Roman" w:eastAsia="Times New Roman" w:hAnsi="Times New Roman" w:cs="Times New Roman"/>
          <w:color w:val="000000" w:themeColor="text1"/>
          <w:sz w:val="24"/>
          <w:szCs w:val="24"/>
          <w:lang w:eastAsia="sk-SK"/>
        </w:rPr>
        <w:t>. Je</w:t>
      </w:r>
      <w:r w:rsidR="00047D8D" w:rsidRPr="00553831">
        <w:rPr>
          <w:rFonts w:ascii="Times New Roman" w:eastAsia="Times New Roman" w:hAnsi="Times New Roman" w:cs="Times New Roman"/>
          <w:color w:val="000000" w:themeColor="text1"/>
          <w:sz w:val="24"/>
          <w:szCs w:val="24"/>
          <w:lang w:eastAsia="sk-SK"/>
        </w:rPr>
        <w:t>j</w:t>
      </w:r>
      <w:r w:rsidR="00B07063" w:rsidRPr="00553831">
        <w:rPr>
          <w:rFonts w:ascii="Times New Roman" w:eastAsia="Times New Roman" w:hAnsi="Times New Roman" w:cs="Times New Roman"/>
          <w:color w:val="000000" w:themeColor="text1"/>
          <w:sz w:val="24"/>
          <w:szCs w:val="24"/>
          <w:lang w:eastAsia="sk-SK"/>
        </w:rPr>
        <w:t xml:space="preserve"> dopad bude čiastočne </w:t>
      </w:r>
      <w:r w:rsidR="00C60902" w:rsidRPr="00553831">
        <w:rPr>
          <w:rFonts w:ascii="Times New Roman" w:eastAsia="Times New Roman" w:hAnsi="Times New Roman" w:cs="Times New Roman"/>
          <w:color w:val="000000" w:themeColor="text1"/>
          <w:sz w:val="24"/>
          <w:szCs w:val="24"/>
          <w:lang w:eastAsia="sk-SK"/>
        </w:rPr>
        <w:t>kompenzovaný</w:t>
      </w:r>
      <w:r w:rsidR="00FC2E78" w:rsidRPr="00553831">
        <w:rPr>
          <w:rFonts w:ascii="Times New Roman" w:eastAsia="Times New Roman" w:hAnsi="Times New Roman" w:cs="Times New Roman"/>
          <w:color w:val="000000" w:themeColor="text1"/>
          <w:sz w:val="24"/>
          <w:szCs w:val="24"/>
          <w:lang w:eastAsia="sk-SK"/>
        </w:rPr>
        <w:t xml:space="preserve"> znížením nákladov na lieky pri zmene prahovej vyhlášky, ktorá bola priložená k novele zákona. Nakoľko táto vyhláška pôjde ešte riadnym legislatívnym procesom jej úspory nie sú zahrnuté v dopadoch novely zákona č. 363/2011 </w:t>
      </w:r>
      <w:proofErr w:type="spellStart"/>
      <w:r w:rsidR="00FC2E78" w:rsidRPr="00553831">
        <w:rPr>
          <w:rFonts w:ascii="Times New Roman" w:eastAsia="Times New Roman" w:hAnsi="Times New Roman" w:cs="Times New Roman"/>
          <w:color w:val="000000" w:themeColor="text1"/>
          <w:sz w:val="24"/>
          <w:szCs w:val="24"/>
          <w:lang w:eastAsia="sk-SK"/>
        </w:rPr>
        <w:t>Z.z</w:t>
      </w:r>
      <w:proofErr w:type="spellEnd"/>
      <w:r w:rsidR="00FC2E78" w:rsidRPr="00553831">
        <w:rPr>
          <w:rFonts w:ascii="Times New Roman" w:eastAsia="Times New Roman" w:hAnsi="Times New Roman" w:cs="Times New Roman"/>
          <w:color w:val="000000" w:themeColor="text1"/>
          <w:sz w:val="24"/>
          <w:szCs w:val="24"/>
          <w:lang w:eastAsia="sk-SK"/>
        </w:rPr>
        <w:t xml:space="preserve"> a z novely zákona č. 362/2011 </w:t>
      </w:r>
      <w:proofErr w:type="spellStart"/>
      <w:r w:rsidR="00FC2E78" w:rsidRPr="00553831">
        <w:rPr>
          <w:rFonts w:ascii="Times New Roman" w:eastAsia="Times New Roman" w:hAnsi="Times New Roman" w:cs="Times New Roman"/>
          <w:color w:val="000000" w:themeColor="text1"/>
          <w:sz w:val="24"/>
          <w:szCs w:val="24"/>
          <w:lang w:eastAsia="sk-SK"/>
        </w:rPr>
        <w:t>Z.z</w:t>
      </w:r>
      <w:proofErr w:type="spellEnd"/>
      <w:r w:rsidR="00FC2E78"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w:t>
      </w:r>
    </w:p>
    <w:p w14:paraId="453109E8" w14:textId="77777777" w:rsidR="00ED7612" w:rsidRPr="00553831" w:rsidRDefault="00ED761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78212C08" w14:textId="77777777" w:rsidR="00B07063" w:rsidRPr="00553831" w:rsidRDefault="00ED761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Cieľom návrhu novely je upraviť mechanizmy cenotvorby a podmienky vstupu liekov do úhradového systému tak, aby sa zvýšila transparentnosť</w:t>
      </w:r>
      <w:r w:rsidR="00B07063" w:rsidRPr="00553831">
        <w:rPr>
          <w:rFonts w:ascii="Times New Roman" w:eastAsia="Times New Roman" w:hAnsi="Times New Roman" w:cs="Times New Roman"/>
          <w:color w:val="000000" w:themeColor="text1"/>
          <w:sz w:val="24"/>
          <w:szCs w:val="24"/>
          <w:lang w:eastAsia="sk-SK"/>
        </w:rPr>
        <w:t>, zvýšili sa kompetencie zdravotných poisťovní pri podpise MEA zmluvy pred procesom kategorizácie</w:t>
      </w:r>
      <w:r w:rsidRPr="00553831">
        <w:rPr>
          <w:rFonts w:ascii="Times New Roman" w:eastAsia="Times New Roman" w:hAnsi="Times New Roman" w:cs="Times New Roman"/>
          <w:color w:val="000000" w:themeColor="text1"/>
          <w:sz w:val="24"/>
          <w:szCs w:val="24"/>
          <w:lang w:eastAsia="sk-SK"/>
        </w:rPr>
        <w:t xml:space="preserve"> </w:t>
      </w:r>
      <w:r w:rsidR="00B07063" w:rsidRPr="00553831">
        <w:rPr>
          <w:rFonts w:ascii="Times New Roman" w:eastAsia="Times New Roman" w:hAnsi="Times New Roman" w:cs="Times New Roman"/>
          <w:color w:val="000000" w:themeColor="text1"/>
          <w:sz w:val="24"/>
          <w:szCs w:val="24"/>
          <w:lang w:eastAsia="sk-SK"/>
        </w:rPr>
        <w:t>a </w:t>
      </w:r>
      <w:r w:rsidRPr="00553831">
        <w:rPr>
          <w:rFonts w:ascii="Times New Roman" w:eastAsia="Times New Roman" w:hAnsi="Times New Roman" w:cs="Times New Roman"/>
          <w:color w:val="000000" w:themeColor="text1"/>
          <w:sz w:val="24"/>
          <w:szCs w:val="24"/>
          <w:lang w:eastAsia="sk-SK"/>
        </w:rPr>
        <w:t>zabezpečila</w:t>
      </w:r>
      <w:r w:rsidR="00B07063" w:rsidRPr="00553831">
        <w:rPr>
          <w:rFonts w:ascii="Times New Roman" w:eastAsia="Times New Roman" w:hAnsi="Times New Roman" w:cs="Times New Roman"/>
          <w:color w:val="000000" w:themeColor="text1"/>
          <w:sz w:val="24"/>
          <w:szCs w:val="24"/>
          <w:lang w:eastAsia="sk-SK"/>
        </w:rPr>
        <w:t xml:space="preserve"> sa</w:t>
      </w:r>
      <w:r w:rsidRPr="00553831">
        <w:rPr>
          <w:rFonts w:ascii="Times New Roman" w:eastAsia="Times New Roman" w:hAnsi="Times New Roman" w:cs="Times New Roman"/>
          <w:color w:val="000000" w:themeColor="text1"/>
          <w:sz w:val="24"/>
          <w:szCs w:val="24"/>
          <w:lang w:eastAsia="sk-SK"/>
        </w:rPr>
        <w:t>, resp. zvýšila dostupnosť kritických ako aj generických či biologicky podobných liekov</w:t>
      </w:r>
      <w:r w:rsidR="00B07063" w:rsidRPr="00553831">
        <w:rPr>
          <w:rFonts w:ascii="Times New Roman" w:eastAsia="Times New Roman" w:hAnsi="Times New Roman" w:cs="Times New Roman"/>
          <w:color w:val="000000" w:themeColor="text1"/>
          <w:sz w:val="24"/>
          <w:szCs w:val="24"/>
          <w:lang w:eastAsia="sk-SK"/>
        </w:rPr>
        <w:t>.</w:t>
      </w:r>
    </w:p>
    <w:p w14:paraId="0555F1E3" w14:textId="16B3548F" w:rsidR="00ED7612" w:rsidRPr="00553831" w:rsidRDefault="00B07063"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Rovnako je cieľom novely zmena vstupu liekov do úhradového systému tak, aby sa</w:t>
      </w:r>
      <w:r w:rsidR="00ED7612" w:rsidRPr="00553831">
        <w:rPr>
          <w:rFonts w:ascii="Times New Roman" w:eastAsia="Times New Roman" w:hAnsi="Times New Roman" w:cs="Times New Roman"/>
          <w:color w:val="000000" w:themeColor="text1"/>
          <w:sz w:val="24"/>
          <w:szCs w:val="24"/>
          <w:lang w:eastAsia="sk-SK"/>
        </w:rPr>
        <w:t xml:space="preserve"> zabezpečil prístup pacientov k liekom na inovatívnu liečbu, k liekom na liečbu ojedinelých ochorení, k liekom na liečbu závažných ochorení a k liekom určený</w:t>
      </w:r>
      <w:r w:rsidR="00FC2E78" w:rsidRPr="00553831">
        <w:rPr>
          <w:rFonts w:ascii="Times New Roman" w:eastAsia="Times New Roman" w:hAnsi="Times New Roman" w:cs="Times New Roman"/>
          <w:color w:val="000000" w:themeColor="text1"/>
          <w:sz w:val="24"/>
          <w:szCs w:val="24"/>
          <w:lang w:eastAsia="sk-SK"/>
        </w:rPr>
        <w:t>m</w:t>
      </w:r>
      <w:r w:rsidR="00ED7612" w:rsidRPr="00553831">
        <w:rPr>
          <w:rFonts w:ascii="Times New Roman" w:eastAsia="Times New Roman" w:hAnsi="Times New Roman" w:cs="Times New Roman"/>
          <w:color w:val="000000" w:themeColor="text1"/>
          <w:sz w:val="24"/>
          <w:szCs w:val="24"/>
          <w:lang w:eastAsia="sk-SK"/>
        </w:rPr>
        <w:t xml:space="preserve"> </w:t>
      </w:r>
      <w:r w:rsidR="00FC2E78" w:rsidRPr="00553831">
        <w:rPr>
          <w:rFonts w:ascii="Times New Roman" w:eastAsia="Times New Roman" w:hAnsi="Times New Roman" w:cs="Times New Roman"/>
          <w:color w:val="000000" w:themeColor="text1"/>
          <w:sz w:val="24"/>
          <w:szCs w:val="24"/>
          <w:lang w:eastAsia="sk-SK"/>
        </w:rPr>
        <w:t>pre</w:t>
      </w:r>
      <w:r w:rsidR="00ED7612" w:rsidRPr="00553831">
        <w:rPr>
          <w:rFonts w:ascii="Times New Roman" w:eastAsia="Times New Roman" w:hAnsi="Times New Roman" w:cs="Times New Roman"/>
          <w:color w:val="000000" w:themeColor="text1"/>
          <w:sz w:val="24"/>
          <w:szCs w:val="24"/>
          <w:lang w:eastAsia="sk-SK"/>
        </w:rPr>
        <w:t xml:space="preserve"> pediatrickú </w:t>
      </w:r>
      <w:r w:rsidR="00FC2E78" w:rsidRPr="00553831">
        <w:rPr>
          <w:rFonts w:ascii="Times New Roman" w:eastAsia="Times New Roman" w:hAnsi="Times New Roman" w:cs="Times New Roman"/>
          <w:color w:val="000000" w:themeColor="text1"/>
          <w:sz w:val="24"/>
          <w:szCs w:val="24"/>
          <w:lang w:eastAsia="sk-SK"/>
        </w:rPr>
        <w:t>populáciu</w:t>
      </w:r>
      <w:r w:rsidR="00ED7612" w:rsidRPr="00553831">
        <w:rPr>
          <w:rFonts w:ascii="Times New Roman" w:eastAsia="Times New Roman" w:hAnsi="Times New Roman" w:cs="Times New Roman"/>
          <w:color w:val="000000" w:themeColor="text1"/>
          <w:sz w:val="24"/>
          <w:szCs w:val="24"/>
          <w:lang w:eastAsia="sk-SK"/>
        </w:rPr>
        <w:t xml:space="preserve">. </w:t>
      </w:r>
      <w:r w:rsidR="005C2492" w:rsidRPr="00553831">
        <w:rPr>
          <w:rFonts w:ascii="Times New Roman" w:eastAsia="Times New Roman" w:hAnsi="Times New Roman" w:cs="Times New Roman"/>
          <w:color w:val="000000" w:themeColor="text1"/>
          <w:sz w:val="24"/>
          <w:szCs w:val="24"/>
          <w:lang w:eastAsia="sk-SK"/>
        </w:rPr>
        <w:t xml:space="preserve">Je dlhodobým cieľom v liekovej politike sa dostať na úroveň ČR. Nové znenie paragrafu 7 odsek 5 zákona č. 363/2011 </w:t>
      </w:r>
      <w:proofErr w:type="spellStart"/>
      <w:r w:rsidR="005C2492" w:rsidRPr="00553831">
        <w:rPr>
          <w:rFonts w:ascii="Times New Roman" w:eastAsia="Times New Roman" w:hAnsi="Times New Roman" w:cs="Times New Roman"/>
          <w:color w:val="000000" w:themeColor="text1"/>
          <w:sz w:val="24"/>
          <w:szCs w:val="24"/>
          <w:lang w:eastAsia="sk-SK"/>
        </w:rPr>
        <w:t>Z.z</w:t>
      </w:r>
      <w:proofErr w:type="spellEnd"/>
      <w:r w:rsidR="005C2492" w:rsidRPr="00553831">
        <w:rPr>
          <w:rFonts w:ascii="Times New Roman" w:eastAsia="Times New Roman" w:hAnsi="Times New Roman" w:cs="Times New Roman"/>
          <w:color w:val="000000" w:themeColor="text1"/>
          <w:sz w:val="24"/>
          <w:szCs w:val="24"/>
          <w:lang w:eastAsia="sk-SK"/>
        </w:rPr>
        <w:t xml:space="preserve">. je  prevzaté z českej právnej úpravy, ktorá prešla novelizáciou  platnou na území ČR od 1.1.2026. Takáto právna úprava je využívaná v ČR a zabezpečuje pacientom rýchly prístup k novej liečbe s významným prínosom pre pacienta, čo zlepšuje celkový zdravotný stav obyvateľstva. Mechanizmus vstupu liekov cez novo definovaný paragraf 7 odsek 5 by mal v budúcom období zabezpečiť vstup liekov, ktoré by boli inak požadované vo </w:t>
      </w:r>
      <w:proofErr w:type="spellStart"/>
      <w:r w:rsidR="005C2492" w:rsidRPr="00553831">
        <w:rPr>
          <w:rFonts w:ascii="Times New Roman" w:eastAsia="Times New Roman" w:hAnsi="Times New Roman" w:cs="Times New Roman"/>
          <w:color w:val="000000" w:themeColor="text1"/>
          <w:sz w:val="24"/>
          <w:szCs w:val="24"/>
          <w:lang w:eastAsia="sk-SK"/>
        </w:rPr>
        <w:t>výnimkovom</w:t>
      </w:r>
      <w:proofErr w:type="spellEnd"/>
      <w:r w:rsidR="005C2492" w:rsidRPr="00553831">
        <w:rPr>
          <w:rFonts w:ascii="Times New Roman" w:eastAsia="Times New Roman" w:hAnsi="Times New Roman" w:cs="Times New Roman"/>
          <w:color w:val="000000" w:themeColor="text1"/>
          <w:sz w:val="24"/>
          <w:szCs w:val="24"/>
          <w:lang w:eastAsia="sk-SK"/>
        </w:rPr>
        <w:t xml:space="preserve"> režime. Výhodou ich prechodu do kategorizácie je, že budú dostupné pre všetkých pacientov v danej terapeutickej oblasti pre ktorú sú určené a zároveň ich systém bude mať pod kontrolou, nakoľko povinnosťou vstupu cez toto ustanovenie je rovnako podpísanie zmluvy s vopred </w:t>
      </w:r>
      <w:proofErr w:type="spellStart"/>
      <w:r w:rsidR="005C2492" w:rsidRPr="00553831">
        <w:rPr>
          <w:rFonts w:ascii="Times New Roman" w:eastAsia="Times New Roman" w:hAnsi="Times New Roman" w:cs="Times New Roman"/>
          <w:color w:val="000000" w:themeColor="text1"/>
          <w:sz w:val="24"/>
          <w:szCs w:val="24"/>
          <w:lang w:eastAsia="sk-SK"/>
        </w:rPr>
        <w:t>predikovateľnými</w:t>
      </w:r>
      <w:proofErr w:type="spellEnd"/>
      <w:r w:rsidR="005C2492" w:rsidRPr="00553831">
        <w:rPr>
          <w:rFonts w:ascii="Times New Roman" w:eastAsia="Times New Roman" w:hAnsi="Times New Roman" w:cs="Times New Roman"/>
          <w:color w:val="000000" w:themeColor="text1"/>
          <w:sz w:val="24"/>
          <w:szCs w:val="24"/>
          <w:lang w:eastAsia="sk-SK"/>
        </w:rPr>
        <w:t xml:space="preserve"> nákladmi na verejné zdroje. </w:t>
      </w:r>
    </w:p>
    <w:p w14:paraId="1F377F41" w14:textId="77777777" w:rsidR="005C2492" w:rsidRPr="00553831" w:rsidRDefault="005C249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2209E573" w14:textId="62A5A869" w:rsidR="00CF2E15" w:rsidRPr="00553831" w:rsidRDefault="005C2492" w:rsidP="00CF2E15">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Ďalšou navrhovanou zmenou v zákone </w:t>
      </w:r>
      <w:r w:rsidR="00CF2E15" w:rsidRPr="00553831">
        <w:rPr>
          <w:rFonts w:ascii="Times New Roman" w:eastAsia="Times New Roman" w:hAnsi="Times New Roman" w:cs="Times New Roman"/>
          <w:color w:val="000000" w:themeColor="text1"/>
          <w:sz w:val="24"/>
          <w:szCs w:val="24"/>
          <w:lang w:eastAsia="sk-SK"/>
        </w:rPr>
        <w:t xml:space="preserve">je </w:t>
      </w:r>
      <w:r w:rsidRPr="00553831">
        <w:rPr>
          <w:rFonts w:ascii="Times New Roman" w:eastAsia="Times New Roman" w:hAnsi="Times New Roman" w:cs="Times New Roman"/>
          <w:color w:val="000000" w:themeColor="text1"/>
          <w:sz w:val="24"/>
          <w:szCs w:val="24"/>
          <w:lang w:eastAsia="sk-SK"/>
        </w:rPr>
        <w:t>úprava ceny generických, biologicky podobných a kritických liekov. Toto ustanovenie sa zavádza prvý krát a vychádza z potreby zachovania týchto liekov na liečbu pacientov</w:t>
      </w:r>
      <w:r w:rsidR="00CF2E15"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ktorí z nej </w:t>
      </w:r>
      <w:r w:rsidR="00CF2E15" w:rsidRPr="00553831">
        <w:rPr>
          <w:rFonts w:ascii="Times New Roman" w:eastAsia="Times New Roman" w:hAnsi="Times New Roman" w:cs="Times New Roman"/>
          <w:color w:val="000000" w:themeColor="text1"/>
          <w:sz w:val="24"/>
          <w:szCs w:val="24"/>
          <w:lang w:eastAsia="sk-SK"/>
        </w:rPr>
        <w:t xml:space="preserve">dlhodobo </w:t>
      </w:r>
      <w:r w:rsidRPr="00553831">
        <w:rPr>
          <w:rFonts w:ascii="Times New Roman" w:eastAsia="Times New Roman" w:hAnsi="Times New Roman" w:cs="Times New Roman"/>
          <w:color w:val="000000" w:themeColor="text1"/>
          <w:sz w:val="24"/>
          <w:szCs w:val="24"/>
          <w:lang w:eastAsia="sk-SK"/>
        </w:rPr>
        <w:t xml:space="preserve">profitujú </w:t>
      </w:r>
      <w:r w:rsidR="00CF2E15" w:rsidRPr="00553831">
        <w:rPr>
          <w:rFonts w:ascii="Times New Roman" w:eastAsia="Times New Roman" w:hAnsi="Times New Roman" w:cs="Times New Roman"/>
          <w:color w:val="000000" w:themeColor="text1"/>
          <w:sz w:val="24"/>
          <w:szCs w:val="24"/>
          <w:lang w:eastAsia="sk-SK"/>
        </w:rPr>
        <w:t>alebo sa jedná o život zachraňujúce nenahraditeľné lieky ktorých dodávanie je problematické v celej EÚ. Je dôležité dať do pozornosti, že už samotný zoznam kritických liekov, ktorý vznikol v EÚ, vznikol z dôvodu nedostatočnej dostupnosti niektorých vybraných liekov pre pacientov EÚ. Jednotlivé krajiny preto zavádzajú mechanizmus ako si zabezpečiť tieto lieky pre svojich občanov  a Slovensko nesmie zaostať, aby sa nám nestalo, že výrobcovia uprednostnia iné členské štáty EÚ.</w:t>
      </w:r>
    </w:p>
    <w:p w14:paraId="4D2D3475" w14:textId="0AFA056F" w:rsidR="00ED7612" w:rsidRPr="00553831" w:rsidRDefault="00ED761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Nárast nákladov na zvýšenú cenu a prípadne úhradu generických, biologicky podobných a kritických liekov bude znamenať zlepšenie podmienok pre generické a biologicky podobné lieky</w:t>
      </w:r>
      <w:r w:rsidR="00355057"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čo sa </w:t>
      </w:r>
      <w:r w:rsidR="00CF2E15" w:rsidRPr="00553831">
        <w:rPr>
          <w:rFonts w:ascii="Times New Roman" w:eastAsia="Times New Roman" w:hAnsi="Times New Roman" w:cs="Times New Roman"/>
          <w:color w:val="000000" w:themeColor="text1"/>
          <w:sz w:val="24"/>
          <w:szCs w:val="24"/>
          <w:lang w:eastAsia="sk-SK"/>
        </w:rPr>
        <w:t xml:space="preserve">následne </w:t>
      </w:r>
      <w:r w:rsidRPr="00553831">
        <w:rPr>
          <w:rFonts w:ascii="Times New Roman" w:eastAsia="Times New Roman" w:hAnsi="Times New Roman" w:cs="Times New Roman"/>
          <w:color w:val="000000" w:themeColor="text1"/>
          <w:sz w:val="24"/>
          <w:szCs w:val="24"/>
          <w:lang w:eastAsia="sk-SK"/>
        </w:rPr>
        <w:t>premietne pri strate exkluzivity originálneho lieku na trhu v Európskej Únii a/alebo na Slovensku do ich početnejšieho vstupu a tým následne dôjde k odľahčeniu finančného tlaku na systém zdravotnej starostlivosti.</w:t>
      </w:r>
    </w:p>
    <w:p w14:paraId="4E57AE78" w14:textId="77777777" w:rsidR="00CF2E15" w:rsidRPr="00553831" w:rsidRDefault="00CF2E15"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5DF64110" w14:textId="78BFA5DF" w:rsidR="00CF2E15" w:rsidRPr="00553831" w:rsidRDefault="00CF2E15"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Rovnako ministerstvo zdravotníctva navrhuje zmenu legislatívy zákona č. 362/2011 </w:t>
      </w:r>
      <w:proofErr w:type="spellStart"/>
      <w:r w:rsidRPr="00553831">
        <w:rPr>
          <w:rFonts w:ascii="Times New Roman" w:eastAsia="Times New Roman" w:hAnsi="Times New Roman" w:cs="Times New Roman"/>
          <w:color w:val="000000" w:themeColor="text1"/>
          <w:sz w:val="24"/>
          <w:szCs w:val="24"/>
          <w:lang w:eastAsia="sk-SK"/>
        </w:rPr>
        <w:t>Z.z</w:t>
      </w:r>
      <w:proofErr w:type="spellEnd"/>
      <w:r w:rsidRPr="00553831">
        <w:rPr>
          <w:rFonts w:ascii="Times New Roman" w:eastAsia="Times New Roman" w:hAnsi="Times New Roman" w:cs="Times New Roman"/>
          <w:color w:val="000000" w:themeColor="text1"/>
          <w:sz w:val="24"/>
          <w:szCs w:val="24"/>
          <w:lang w:eastAsia="sk-SK"/>
        </w:rPr>
        <w:t>., ktorá by mala výrazne znížiť reexport odhadovaný v stovkách miliónov €</w:t>
      </w:r>
      <w:r w:rsidR="00047D8D"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tak aby sa zabezpečila dostupnosť pre slovenského pacienta a nedochádzalo k navyšovaniu ceny liekov z dôvodu nedostupnosti cez osobitnú cenovú reguláciu, ktorú ministerstvo navrhuje zrušiť. Cieľom ministerstva zdravotníctva nie je riešiť nedostupnosť navýšením ceny originálnych liekov ale zabránením ich reexportu. Na tieto </w:t>
      </w:r>
      <w:r w:rsidR="00A758DC" w:rsidRPr="00553831">
        <w:rPr>
          <w:rFonts w:ascii="Times New Roman" w:eastAsia="Times New Roman" w:hAnsi="Times New Roman" w:cs="Times New Roman"/>
          <w:color w:val="000000" w:themeColor="text1"/>
          <w:sz w:val="24"/>
          <w:szCs w:val="24"/>
          <w:lang w:eastAsia="sk-SK"/>
        </w:rPr>
        <w:t>legislatívne</w:t>
      </w:r>
      <w:r w:rsidRPr="00553831">
        <w:rPr>
          <w:rFonts w:ascii="Times New Roman" w:eastAsia="Times New Roman" w:hAnsi="Times New Roman" w:cs="Times New Roman"/>
          <w:color w:val="000000" w:themeColor="text1"/>
          <w:sz w:val="24"/>
          <w:szCs w:val="24"/>
          <w:lang w:eastAsia="sk-SK"/>
        </w:rPr>
        <w:t xml:space="preserve"> zmeny bude </w:t>
      </w:r>
      <w:r w:rsidR="00A758DC" w:rsidRPr="00553831">
        <w:rPr>
          <w:rFonts w:ascii="Times New Roman" w:eastAsia="Times New Roman" w:hAnsi="Times New Roman" w:cs="Times New Roman"/>
          <w:color w:val="000000" w:themeColor="text1"/>
          <w:sz w:val="24"/>
          <w:szCs w:val="24"/>
          <w:lang w:eastAsia="sk-SK"/>
        </w:rPr>
        <w:t xml:space="preserve">v praxi </w:t>
      </w:r>
      <w:r w:rsidRPr="00553831">
        <w:rPr>
          <w:rFonts w:ascii="Times New Roman" w:eastAsia="Times New Roman" w:hAnsi="Times New Roman" w:cs="Times New Roman"/>
          <w:color w:val="000000" w:themeColor="text1"/>
          <w:sz w:val="24"/>
          <w:szCs w:val="24"/>
          <w:lang w:eastAsia="sk-SK"/>
        </w:rPr>
        <w:t>dohliadať</w:t>
      </w:r>
      <w:r w:rsidR="00A758DC" w:rsidRPr="00553831">
        <w:rPr>
          <w:rFonts w:ascii="Times New Roman" w:eastAsia="Times New Roman" w:hAnsi="Times New Roman" w:cs="Times New Roman"/>
          <w:color w:val="000000" w:themeColor="text1"/>
          <w:sz w:val="24"/>
          <w:szCs w:val="24"/>
          <w:lang w:eastAsia="sk-SK"/>
        </w:rPr>
        <w:t xml:space="preserve"> okrem ŠUKL aj </w:t>
      </w:r>
      <w:r w:rsidRPr="00553831">
        <w:rPr>
          <w:rFonts w:ascii="Times New Roman" w:eastAsia="Times New Roman" w:hAnsi="Times New Roman" w:cs="Times New Roman"/>
          <w:color w:val="000000" w:themeColor="text1"/>
          <w:sz w:val="24"/>
          <w:szCs w:val="24"/>
          <w:lang w:eastAsia="sk-SK"/>
        </w:rPr>
        <w:t xml:space="preserve"> MZ SR </w:t>
      </w:r>
      <w:r w:rsidR="00A758DC" w:rsidRPr="00553831">
        <w:rPr>
          <w:rFonts w:ascii="Times New Roman" w:eastAsia="Times New Roman" w:hAnsi="Times New Roman" w:cs="Times New Roman"/>
          <w:color w:val="000000" w:themeColor="text1"/>
          <w:sz w:val="24"/>
          <w:szCs w:val="24"/>
          <w:lang w:eastAsia="sk-SK"/>
        </w:rPr>
        <w:t xml:space="preserve">ktorému to vyplýva zo </w:t>
      </w:r>
      <w:r w:rsidRPr="00553831">
        <w:rPr>
          <w:rFonts w:ascii="Times New Roman" w:eastAsia="Times New Roman" w:hAnsi="Times New Roman" w:cs="Times New Roman"/>
          <w:color w:val="000000" w:themeColor="text1"/>
          <w:sz w:val="24"/>
          <w:szCs w:val="24"/>
          <w:lang w:eastAsia="sk-SK"/>
        </w:rPr>
        <w:t>zákon</w:t>
      </w:r>
      <w:r w:rsidR="00A758DC" w:rsidRPr="00553831">
        <w:rPr>
          <w:rFonts w:ascii="Times New Roman" w:eastAsia="Times New Roman" w:hAnsi="Times New Roman" w:cs="Times New Roman"/>
          <w:color w:val="000000" w:themeColor="text1"/>
          <w:sz w:val="24"/>
          <w:szCs w:val="24"/>
          <w:lang w:eastAsia="sk-SK"/>
        </w:rPr>
        <w:t>a</w:t>
      </w:r>
      <w:r w:rsidRPr="00553831">
        <w:rPr>
          <w:rFonts w:ascii="Times New Roman" w:eastAsia="Times New Roman" w:hAnsi="Times New Roman" w:cs="Times New Roman"/>
          <w:color w:val="000000" w:themeColor="text1"/>
          <w:sz w:val="24"/>
          <w:szCs w:val="24"/>
          <w:lang w:eastAsia="sk-SK"/>
        </w:rPr>
        <w:t xml:space="preserve"> a z uvedeného dôvodu je potrebné navýšenie personálnych kapacít na odbore farmácie v Sekcii farmácie a liekovej politiky. </w:t>
      </w:r>
      <w:r w:rsidR="00A758DC" w:rsidRPr="00553831">
        <w:rPr>
          <w:rFonts w:ascii="Times New Roman" w:eastAsia="Times New Roman" w:hAnsi="Times New Roman" w:cs="Times New Roman"/>
          <w:color w:val="000000" w:themeColor="text1"/>
          <w:sz w:val="24"/>
          <w:szCs w:val="24"/>
          <w:lang w:eastAsia="sk-SK"/>
        </w:rPr>
        <w:t>Kontroly, ktoré MZ navýši z dôvodu dohľadu nad dodržiavaním zákona budú podľa aktuálnej situácie viesť k </w:t>
      </w:r>
      <w:proofErr w:type="spellStart"/>
      <w:r w:rsidR="0038393E" w:rsidRPr="00553831">
        <w:rPr>
          <w:rFonts w:ascii="Times New Roman" w:eastAsia="Times New Roman" w:hAnsi="Times New Roman" w:cs="Times New Roman"/>
          <w:color w:val="000000" w:themeColor="text1"/>
          <w:sz w:val="24"/>
          <w:szCs w:val="24"/>
          <w:lang w:eastAsia="sk-SK"/>
        </w:rPr>
        <w:t>vyrúbeniu</w:t>
      </w:r>
      <w:proofErr w:type="spellEnd"/>
      <w:r w:rsidR="00A758DC" w:rsidRPr="00553831">
        <w:rPr>
          <w:rFonts w:ascii="Times New Roman" w:eastAsia="Times New Roman" w:hAnsi="Times New Roman" w:cs="Times New Roman"/>
          <w:color w:val="000000" w:themeColor="text1"/>
          <w:sz w:val="24"/>
          <w:szCs w:val="24"/>
          <w:lang w:eastAsia="sk-SK"/>
        </w:rPr>
        <w:t xml:space="preserve"> pokút</w:t>
      </w:r>
      <w:r w:rsidR="0038393E" w:rsidRPr="00553831">
        <w:rPr>
          <w:rFonts w:ascii="Times New Roman" w:eastAsia="Times New Roman" w:hAnsi="Times New Roman" w:cs="Times New Roman"/>
          <w:color w:val="000000" w:themeColor="text1"/>
          <w:sz w:val="24"/>
          <w:szCs w:val="24"/>
          <w:lang w:eastAsia="sk-SK"/>
        </w:rPr>
        <w:t>,</w:t>
      </w:r>
      <w:r w:rsidR="00A758DC" w:rsidRPr="00553831">
        <w:rPr>
          <w:rFonts w:ascii="Times New Roman" w:eastAsia="Times New Roman" w:hAnsi="Times New Roman" w:cs="Times New Roman"/>
          <w:color w:val="000000" w:themeColor="text1"/>
          <w:sz w:val="24"/>
          <w:szCs w:val="24"/>
          <w:lang w:eastAsia="sk-SK"/>
        </w:rPr>
        <w:t xml:space="preserve"> ktoré budú príjmami do rozpočtu verejnej správy. </w:t>
      </w:r>
    </w:p>
    <w:p w14:paraId="23176FC0" w14:textId="77777777" w:rsidR="00DE135C" w:rsidRPr="00553831" w:rsidRDefault="00DE135C"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356FFD62" w14:textId="77777777" w:rsidR="00CF2E15" w:rsidRPr="00553831" w:rsidRDefault="00CF2E15"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20CB8590" w14:textId="2495E707" w:rsidR="00CF2E15" w:rsidRPr="00553831" w:rsidRDefault="00CF2E15"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Rovnako zákon zavádza nové procesné lehoty, ktorých potreba bola identifikovaná v dôsledku praxe po zavedení MEA zmlúv na MZ SR </w:t>
      </w:r>
      <w:r w:rsidR="00A758DC" w:rsidRPr="00553831">
        <w:rPr>
          <w:rFonts w:ascii="Times New Roman" w:eastAsia="Times New Roman" w:hAnsi="Times New Roman" w:cs="Times New Roman"/>
          <w:color w:val="000000" w:themeColor="text1"/>
          <w:sz w:val="24"/>
          <w:szCs w:val="24"/>
          <w:lang w:eastAsia="sk-SK"/>
        </w:rPr>
        <w:t xml:space="preserve">s čím rovnako súvisí potreba nových personálnych kapacít na </w:t>
      </w:r>
      <w:proofErr w:type="spellStart"/>
      <w:r w:rsidR="00A758DC" w:rsidRPr="00553831">
        <w:rPr>
          <w:rFonts w:ascii="Times New Roman" w:eastAsia="Times New Roman" w:hAnsi="Times New Roman" w:cs="Times New Roman"/>
          <w:color w:val="000000" w:themeColor="text1"/>
          <w:sz w:val="24"/>
          <w:szCs w:val="24"/>
          <w:lang w:eastAsia="sk-SK"/>
        </w:rPr>
        <w:t>SFLaP</w:t>
      </w:r>
      <w:proofErr w:type="spellEnd"/>
      <w:r w:rsidR="00A758DC" w:rsidRPr="00553831">
        <w:rPr>
          <w:rFonts w:ascii="Times New Roman" w:eastAsia="Times New Roman" w:hAnsi="Times New Roman" w:cs="Times New Roman"/>
          <w:color w:val="000000" w:themeColor="text1"/>
          <w:sz w:val="24"/>
          <w:szCs w:val="24"/>
          <w:lang w:eastAsia="sk-SK"/>
        </w:rPr>
        <w:t xml:space="preserve">. </w:t>
      </w:r>
    </w:p>
    <w:p w14:paraId="018847B3" w14:textId="77777777" w:rsidR="00A758DC" w:rsidRPr="00553831" w:rsidRDefault="00A758DC"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3A919B27" w14:textId="1FEA2294" w:rsidR="00ED7612" w:rsidRPr="00553831" w:rsidRDefault="00ED761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Pokles príjmu zo správnych poplatkov v súvislosti s poklesom podaných žiadostí o vyradenie lieku zo zoznamu kategorizovaných liekov bude nahradený príjmami zo správnych poplatkov pri rozhodovaní o žiadosti o zvýšenie úradne určenej ceny lieku</w:t>
      </w:r>
      <w:r w:rsidR="00A758DC"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 xml:space="preserve"> </w:t>
      </w:r>
    </w:p>
    <w:p w14:paraId="77929007" w14:textId="77777777" w:rsidR="00DE135C" w:rsidRPr="00553831" w:rsidRDefault="00DE135C"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08D3FB24" w14:textId="77777777" w:rsidR="00DE135C" w:rsidRPr="00553831" w:rsidRDefault="00DE135C"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color w:val="000000" w:themeColor="text1"/>
          <w:sz w:val="24"/>
          <w:szCs w:val="24"/>
          <w:lang w:eastAsia="sk-SK"/>
        </w:rPr>
      </w:pPr>
    </w:p>
    <w:p w14:paraId="7EF9EFB2" w14:textId="77777777" w:rsidR="00ED7612" w:rsidRPr="00553831" w:rsidRDefault="00ED7612" w:rsidP="00ED7612">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color w:val="000000" w:themeColor="text1"/>
          <w:sz w:val="24"/>
          <w:szCs w:val="24"/>
          <w:lang w:eastAsia="sk-SK"/>
        </w:rPr>
      </w:pPr>
    </w:p>
    <w:p w14:paraId="4A3CC61B" w14:textId="77777777" w:rsidR="00FC2E78" w:rsidRPr="00553831" w:rsidRDefault="00FC2E78" w:rsidP="00ED7612">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color w:val="000000" w:themeColor="text1"/>
          <w:sz w:val="24"/>
          <w:szCs w:val="24"/>
          <w:lang w:eastAsia="sk-SK"/>
        </w:rPr>
      </w:pPr>
    </w:p>
    <w:p w14:paraId="63D244C6"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253B02FC"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2.2. Popis a charakteristika návrhu</w:t>
      </w:r>
    </w:p>
    <w:p w14:paraId="63EE4CAB"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48003521" w14:textId="77777777" w:rsidR="00ED7612" w:rsidRPr="00553831" w:rsidRDefault="00ED7612" w:rsidP="00ED7612">
      <w:pPr>
        <w:spacing w:after="0" w:line="240" w:lineRule="auto"/>
        <w:jc w:val="both"/>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2.2.1. Popis návrhu:</w:t>
      </w:r>
    </w:p>
    <w:p w14:paraId="4B031A3D" w14:textId="77777777" w:rsidR="00ED7612" w:rsidRPr="00553831" w:rsidRDefault="00ED7612" w:rsidP="00ED7612">
      <w:pPr>
        <w:spacing w:after="0" w:line="240" w:lineRule="auto"/>
        <w:jc w:val="both"/>
        <w:rPr>
          <w:rFonts w:ascii="Times New Roman" w:eastAsia="Times New Roman" w:hAnsi="Times New Roman" w:cs="Times New Roman"/>
          <w:b/>
          <w:bCs/>
          <w:color w:val="000000" w:themeColor="text1"/>
          <w:sz w:val="24"/>
          <w:szCs w:val="24"/>
          <w:lang w:eastAsia="sk-SK"/>
        </w:rPr>
      </w:pPr>
    </w:p>
    <w:p w14:paraId="5DF37318" w14:textId="77777777" w:rsidR="00A758DC"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Návrh spresňuje podmienky pre vstup lieku na ojedinelé ochorenie alebo lieku na inovatívnu liečbu pre najzraniteľnejšie skupiny pacientov, ktoré nemajú dostupnú inú liečebnú alternatívu</w:t>
      </w:r>
      <w:r w:rsidR="00355057"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w:t>
      </w:r>
      <w:r w:rsidR="00355057" w:rsidRPr="00553831">
        <w:rPr>
          <w:rFonts w:ascii="Times New Roman" w:eastAsia="Times New Roman" w:hAnsi="Times New Roman" w:cs="Times New Roman"/>
          <w:color w:val="000000" w:themeColor="text1"/>
          <w:sz w:val="24"/>
          <w:szCs w:val="24"/>
          <w:lang w:eastAsia="sk-SK"/>
        </w:rPr>
        <w:t>Návrh sa</w:t>
      </w:r>
      <w:r w:rsidR="007441A6"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rozširuje aj na liek na pediatrickú indikáciu alebo liek určený na liečbu závažného ochorenia</w:t>
      </w:r>
      <w:r w:rsidR="00A758DC" w:rsidRPr="00553831">
        <w:rPr>
          <w:rFonts w:ascii="Times New Roman" w:eastAsia="Times New Roman" w:hAnsi="Times New Roman" w:cs="Times New Roman"/>
          <w:color w:val="000000" w:themeColor="text1"/>
          <w:sz w:val="24"/>
          <w:szCs w:val="24"/>
          <w:lang w:eastAsia="sk-SK"/>
        </w:rPr>
        <w:t xml:space="preserve">. Novela rovnako navrhuje zavedenie nových pravidiel </w:t>
      </w:r>
      <w:r w:rsidR="00853383" w:rsidRPr="00553831">
        <w:rPr>
          <w:rFonts w:ascii="Times New Roman" w:eastAsia="Times New Roman" w:hAnsi="Times New Roman" w:cs="Times New Roman"/>
          <w:color w:val="000000" w:themeColor="text1"/>
          <w:sz w:val="24"/>
          <w:szCs w:val="24"/>
          <w:lang w:eastAsia="sk-SK"/>
        </w:rPr>
        <w:t xml:space="preserve"> v paragrafe 7 odsek 5, </w:t>
      </w:r>
      <w:r w:rsidR="00A758DC" w:rsidRPr="00553831">
        <w:rPr>
          <w:rFonts w:ascii="Times New Roman" w:eastAsia="Times New Roman" w:hAnsi="Times New Roman" w:cs="Times New Roman"/>
          <w:color w:val="000000" w:themeColor="text1"/>
          <w:sz w:val="24"/>
          <w:szCs w:val="24"/>
          <w:lang w:eastAsia="sk-SK"/>
        </w:rPr>
        <w:t xml:space="preserve">pre zaradenie liekov </w:t>
      </w:r>
      <w:r w:rsidR="00853383" w:rsidRPr="00553831">
        <w:rPr>
          <w:rFonts w:ascii="Times New Roman" w:eastAsia="Times New Roman" w:hAnsi="Times New Roman" w:cs="Times New Roman"/>
          <w:color w:val="000000" w:themeColor="text1"/>
          <w:sz w:val="24"/>
          <w:szCs w:val="24"/>
          <w:lang w:eastAsia="sk-SK"/>
        </w:rPr>
        <w:t>za splnenia zadefinovaných podmienok</w:t>
      </w:r>
      <w:r w:rsidR="00A758DC" w:rsidRPr="00553831">
        <w:rPr>
          <w:rFonts w:ascii="Times New Roman" w:eastAsia="Times New Roman" w:hAnsi="Times New Roman" w:cs="Times New Roman"/>
          <w:color w:val="000000" w:themeColor="text1"/>
          <w:sz w:val="24"/>
          <w:szCs w:val="24"/>
          <w:lang w:eastAsia="sk-SK"/>
        </w:rPr>
        <w:t xml:space="preserve"> v zákone</w:t>
      </w:r>
      <w:r w:rsidR="00853383" w:rsidRPr="00553831">
        <w:rPr>
          <w:rFonts w:ascii="Times New Roman" w:eastAsia="Times New Roman" w:hAnsi="Times New Roman" w:cs="Times New Roman"/>
          <w:color w:val="000000" w:themeColor="text1"/>
          <w:sz w:val="24"/>
          <w:szCs w:val="24"/>
          <w:lang w:eastAsia="sk-SK"/>
        </w:rPr>
        <w:t xml:space="preserve">, ktoré sú určené pre pacientov na jasne definuje </w:t>
      </w:r>
      <w:r w:rsidR="00A758DC" w:rsidRPr="00553831">
        <w:rPr>
          <w:rFonts w:ascii="Times New Roman" w:eastAsia="Times New Roman" w:hAnsi="Times New Roman" w:cs="Times New Roman"/>
          <w:color w:val="000000" w:themeColor="text1"/>
          <w:sz w:val="24"/>
          <w:szCs w:val="24"/>
          <w:lang w:eastAsia="sk-SK"/>
        </w:rPr>
        <w:t xml:space="preserve">pojem </w:t>
      </w:r>
      <w:r w:rsidR="00853383" w:rsidRPr="00553831">
        <w:rPr>
          <w:rFonts w:ascii="Times New Roman" w:eastAsia="Times New Roman" w:hAnsi="Times New Roman" w:cs="Times New Roman"/>
          <w:color w:val="000000" w:themeColor="text1"/>
          <w:sz w:val="24"/>
          <w:szCs w:val="24"/>
          <w:lang w:eastAsia="sk-SK"/>
        </w:rPr>
        <w:t xml:space="preserve">závažné ochorenie </w:t>
      </w:r>
      <w:r w:rsidRPr="00553831">
        <w:rPr>
          <w:rFonts w:ascii="Times New Roman" w:eastAsia="Times New Roman" w:hAnsi="Times New Roman" w:cs="Times New Roman"/>
          <w:color w:val="000000" w:themeColor="text1"/>
          <w:sz w:val="24"/>
          <w:szCs w:val="24"/>
          <w:lang w:eastAsia="sk-SK"/>
        </w:rPr>
        <w:t>. Týmto liekom sa za určitých podmienok stanovených v novele umožní  vstup do systému úhrad aj v prípadoch, keď nespĺňajú štandardné podmienky, ak preukážu klinický prínos a efektívnosť v reálnych podmienkach.</w:t>
      </w:r>
    </w:p>
    <w:p w14:paraId="51127B8A" w14:textId="17691046"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Cieľom je zvýšiť dostupnosť liekov pre zraniteľné skupiny pacientov</w:t>
      </w:r>
      <w:r w:rsidR="00A758DC" w:rsidRPr="00553831">
        <w:rPr>
          <w:rFonts w:ascii="Times New Roman" w:eastAsia="Times New Roman" w:hAnsi="Times New Roman" w:cs="Times New Roman"/>
          <w:color w:val="000000" w:themeColor="text1"/>
          <w:sz w:val="24"/>
          <w:szCs w:val="24"/>
          <w:lang w:eastAsia="sk-SK"/>
        </w:rPr>
        <w:t xml:space="preserve">, odľahčiť tlak na </w:t>
      </w:r>
      <w:proofErr w:type="spellStart"/>
      <w:r w:rsidR="00A758DC" w:rsidRPr="00553831">
        <w:rPr>
          <w:rFonts w:ascii="Times New Roman" w:eastAsia="Times New Roman" w:hAnsi="Times New Roman" w:cs="Times New Roman"/>
          <w:color w:val="000000" w:themeColor="text1"/>
          <w:sz w:val="24"/>
          <w:szCs w:val="24"/>
          <w:lang w:eastAsia="sk-SK"/>
        </w:rPr>
        <w:t>výnimkový</w:t>
      </w:r>
      <w:proofErr w:type="spellEnd"/>
      <w:r w:rsidR="00A758DC" w:rsidRPr="00553831">
        <w:rPr>
          <w:rFonts w:ascii="Times New Roman" w:eastAsia="Times New Roman" w:hAnsi="Times New Roman" w:cs="Times New Roman"/>
          <w:color w:val="000000" w:themeColor="text1"/>
          <w:sz w:val="24"/>
          <w:szCs w:val="24"/>
          <w:lang w:eastAsia="sk-SK"/>
        </w:rPr>
        <w:t xml:space="preserve"> režim, umožniť sa dostať k tejto liečbe väčšiemu počtu pacientov </w:t>
      </w:r>
      <w:r w:rsidRPr="00553831">
        <w:rPr>
          <w:rFonts w:ascii="Times New Roman" w:eastAsia="Times New Roman" w:hAnsi="Times New Roman" w:cs="Times New Roman"/>
          <w:color w:val="000000" w:themeColor="text1"/>
          <w:sz w:val="24"/>
          <w:szCs w:val="24"/>
          <w:lang w:eastAsia="sk-SK"/>
        </w:rPr>
        <w:t>a zároveň zachovať udržateľnosť systému verejného zdravotného poistenia. Nakoľko novela zákona ne</w:t>
      </w:r>
      <w:r w:rsidR="00355057" w:rsidRPr="00553831">
        <w:rPr>
          <w:rFonts w:ascii="Times New Roman" w:eastAsia="Times New Roman" w:hAnsi="Times New Roman" w:cs="Times New Roman"/>
          <w:color w:val="000000" w:themeColor="text1"/>
          <w:sz w:val="24"/>
          <w:szCs w:val="24"/>
          <w:lang w:eastAsia="sk-SK"/>
        </w:rPr>
        <w:t>zakladá</w:t>
      </w:r>
      <w:r w:rsidRPr="00553831">
        <w:rPr>
          <w:rFonts w:ascii="Times New Roman" w:eastAsia="Times New Roman" w:hAnsi="Times New Roman" w:cs="Times New Roman"/>
          <w:color w:val="000000" w:themeColor="text1"/>
          <w:sz w:val="24"/>
          <w:szCs w:val="24"/>
          <w:lang w:eastAsia="sk-SK"/>
        </w:rPr>
        <w:t xml:space="preserve"> retroakt</w:t>
      </w:r>
      <w:r w:rsidR="00355057" w:rsidRPr="00553831">
        <w:rPr>
          <w:rFonts w:ascii="Times New Roman" w:eastAsia="Times New Roman" w:hAnsi="Times New Roman" w:cs="Times New Roman"/>
          <w:color w:val="000000" w:themeColor="text1"/>
          <w:sz w:val="24"/>
          <w:szCs w:val="24"/>
          <w:lang w:eastAsia="sk-SK"/>
        </w:rPr>
        <w:t>ivitu,</w:t>
      </w:r>
      <w:r w:rsidRPr="00553831">
        <w:rPr>
          <w:rFonts w:ascii="Times New Roman" w:eastAsia="Times New Roman" w:hAnsi="Times New Roman" w:cs="Times New Roman"/>
          <w:color w:val="000000" w:themeColor="text1"/>
          <w:sz w:val="24"/>
          <w:szCs w:val="24"/>
          <w:lang w:eastAsia="sk-SK"/>
        </w:rPr>
        <w:t xml:space="preserve"> nebude sa</w:t>
      </w:r>
      <w:r w:rsidR="00355057" w:rsidRPr="00553831">
        <w:rPr>
          <w:rFonts w:ascii="Times New Roman" w:eastAsia="Times New Roman" w:hAnsi="Times New Roman" w:cs="Times New Roman"/>
          <w:color w:val="000000" w:themeColor="text1"/>
          <w:sz w:val="24"/>
          <w:szCs w:val="24"/>
          <w:lang w:eastAsia="sk-SK"/>
        </w:rPr>
        <w:t xml:space="preserve"> tak</w:t>
      </w:r>
      <w:r w:rsidRPr="00553831">
        <w:rPr>
          <w:rFonts w:ascii="Times New Roman" w:eastAsia="Times New Roman" w:hAnsi="Times New Roman" w:cs="Times New Roman"/>
          <w:color w:val="000000" w:themeColor="text1"/>
          <w:sz w:val="24"/>
          <w:szCs w:val="24"/>
          <w:lang w:eastAsia="sk-SK"/>
        </w:rPr>
        <w:t xml:space="preserve"> </w:t>
      </w:r>
      <w:r w:rsidR="00355057" w:rsidRPr="00553831">
        <w:rPr>
          <w:rFonts w:ascii="Times New Roman" w:eastAsia="Times New Roman" w:hAnsi="Times New Roman" w:cs="Times New Roman"/>
          <w:color w:val="000000" w:themeColor="text1"/>
          <w:sz w:val="24"/>
          <w:szCs w:val="24"/>
          <w:lang w:eastAsia="sk-SK"/>
        </w:rPr>
        <w:t xml:space="preserve">aplikovať na </w:t>
      </w:r>
      <w:r w:rsidRPr="00553831">
        <w:rPr>
          <w:rFonts w:ascii="Times New Roman" w:eastAsia="Times New Roman" w:hAnsi="Times New Roman" w:cs="Times New Roman"/>
          <w:color w:val="000000" w:themeColor="text1"/>
          <w:sz w:val="24"/>
          <w:szCs w:val="24"/>
          <w:lang w:eastAsia="sk-SK"/>
        </w:rPr>
        <w:t>liek</w:t>
      </w:r>
      <w:r w:rsidR="00355057" w:rsidRPr="00553831">
        <w:rPr>
          <w:rFonts w:ascii="Times New Roman" w:eastAsia="Times New Roman" w:hAnsi="Times New Roman" w:cs="Times New Roman"/>
          <w:color w:val="000000" w:themeColor="text1"/>
          <w:sz w:val="24"/>
          <w:szCs w:val="24"/>
          <w:lang w:eastAsia="sk-SK"/>
        </w:rPr>
        <w:t>y</w:t>
      </w:r>
      <w:r w:rsidRPr="00553831">
        <w:rPr>
          <w:rFonts w:ascii="Times New Roman" w:eastAsia="Times New Roman" w:hAnsi="Times New Roman" w:cs="Times New Roman"/>
          <w:color w:val="000000" w:themeColor="text1"/>
          <w:sz w:val="24"/>
          <w:szCs w:val="24"/>
          <w:lang w:eastAsia="sk-SK"/>
        </w:rPr>
        <w:t>, ktoré podali svoje žiadosti o zaradenie pred jej účinnosťou. Ministerstvo</w:t>
      </w:r>
      <w:r w:rsidR="00034609" w:rsidRPr="00553831">
        <w:rPr>
          <w:rFonts w:ascii="Times New Roman" w:eastAsia="Times New Roman" w:hAnsi="Times New Roman" w:cs="Times New Roman"/>
          <w:color w:val="000000" w:themeColor="text1"/>
          <w:sz w:val="24"/>
          <w:szCs w:val="24"/>
          <w:lang w:eastAsia="sk-SK"/>
        </w:rPr>
        <w:t xml:space="preserve"> zdravotníctva SR</w:t>
      </w:r>
      <w:r w:rsidRPr="00553831">
        <w:rPr>
          <w:rFonts w:ascii="Times New Roman" w:eastAsia="Times New Roman" w:hAnsi="Times New Roman" w:cs="Times New Roman"/>
          <w:color w:val="000000" w:themeColor="text1"/>
          <w:sz w:val="24"/>
          <w:szCs w:val="24"/>
          <w:lang w:eastAsia="sk-SK"/>
        </w:rPr>
        <w:t xml:space="preserve"> </w:t>
      </w:r>
      <w:r w:rsidR="00355057" w:rsidRPr="00553831">
        <w:rPr>
          <w:rFonts w:ascii="Times New Roman" w:eastAsia="Times New Roman" w:hAnsi="Times New Roman" w:cs="Times New Roman"/>
          <w:color w:val="000000" w:themeColor="text1"/>
          <w:sz w:val="24"/>
          <w:szCs w:val="24"/>
          <w:lang w:eastAsia="sk-SK"/>
        </w:rPr>
        <w:t xml:space="preserve">tak pre posudzovanie dopadu </w:t>
      </w:r>
      <w:r w:rsidRPr="00553831">
        <w:rPr>
          <w:rFonts w:ascii="Times New Roman" w:eastAsia="Times New Roman" w:hAnsi="Times New Roman" w:cs="Times New Roman"/>
          <w:color w:val="000000" w:themeColor="text1"/>
          <w:sz w:val="24"/>
          <w:szCs w:val="24"/>
          <w:lang w:eastAsia="sk-SK"/>
        </w:rPr>
        <w:t>identifikovalo lieky</w:t>
      </w:r>
      <w:r w:rsidR="00A758DC" w:rsidRPr="00553831">
        <w:rPr>
          <w:rFonts w:ascii="Times New Roman" w:eastAsia="Times New Roman" w:hAnsi="Times New Roman" w:cs="Times New Roman"/>
          <w:color w:val="000000" w:themeColor="text1"/>
          <w:sz w:val="24"/>
          <w:szCs w:val="24"/>
          <w:lang w:eastAsia="sk-SK"/>
        </w:rPr>
        <w:t xml:space="preserve"> ktoré majú registráciu v EMA, nie sú hradené </w:t>
      </w:r>
      <w:r w:rsidR="00B84233" w:rsidRPr="00553831">
        <w:rPr>
          <w:rFonts w:ascii="Times New Roman" w:eastAsia="Times New Roman" w:hAnsi="Times New Roman" w:cs="Times New Roman"/>
          <w:color w:val="000000" w:themeColor="text1"/>
          <w:sz w:val="24"/>
          <w:szCs w:val="24"/>
          <w:lang w:eastAsia="sk-SK"/>
        </w:rPr>
        <w:t xml:space="preserve">na území SR, nepodali si žiadosť a spĺňajú podľa registrácie podmienku pre zaradenie podľa paragrafu 7 odsek 5. </w:t>
      </w:r>
      <w:r w:rsidRPr="00553831">
        <w:rPr>
          <w:rFonts w:ascii="Times New Roman" w:eastAsia="Times New Roman" w:hAnsi="Times New Roman" w:cs="Times New Roman"/>
          <w:color w:val="000000" w:themeColor="text1"/>
          <w:sz w:val="24"/>
          <w:szCs w:val="24"/>
          <w:lang w:eastAsia="sk-SK"/>
        </w:rPr>
        <w:t>Z nich vypočítal dopad na rok</w:t>
      </w:r>
      <w:r w:rsidR="00853383" w:rsidRPr="00553831">
        <w:rPr>
          <w:rFonts w:ascii="Times New Roman" w:eastAsia="Times New Roman" w:hAnsi="Times New Roman" w:cs="Times New Roman"/>
          <w:color w:val="000000" w:themeColor="text1"/>
          <w:sz w:val="24"/>
          <w:szCs w:val="24"/>
          <w:lang w:eastAsia="sk-SK"/>
        </w:rPr>
        <w:t xml:space="preserve"> 2027</w:t>
      </w:r>
      <w:r w:rsidRPr="00553831">
        <w:rPr>
          <w:rFonts w:ascii="Times New Roman" w:eastAsia="Times New Roman" w:hAnsi="Times New Roman" w:cs="Times New Roman"/>
          <w:color w:val="000000" w:themeColor="text1"/>
          <w:sz w:val="24"/>
          <w:szCs w:val="24"/>
          <w:lang w:eastAsia="sk-SK"/>
        </w:rPr>
        <w:t xml:space="preserve"> vo výške </w:t>
      </w:r>
      <w:r w:rsidR="00B84233" w:rsidRPr="00553831">
        <w:rPr>
          <w:rFonts w:ascii="Times New Roman" w:eastAsia="Times New Roman" w:hAnsi="Times New Roman" w:cs="Times New Roman"/>
          <w:color w:val="000000" w:themeColor="text1"/>
          <w:sz w:val="24"/>
          <w:szCs w:val="24"/>
          <w:lang w:eastAsia="sk-SK"/>
        </w:rPr>
        <w:t xml:space="preserve"> 742 934,34 € </w:t>
      </w:r>
      <w:r w:rsidRPr="00553831">
        <w:rPr>
          <w:rFonts w:ascii="Times New Roman" w:eastAsia="Times New Roman" w:hAnsi="Times New Roman" w:cs="Times New Roman"/>
          <w:color w:val="000000" w:themeColor="text1"/>
          <w:sz w:val="24"/>
          <w:szCs w:val="24"/>
          <w:lang w:eastAsia="sk-SK"/>
        </w:rPr>
        <w:t>E</w:t>
      </w:r>
      <w:r w:rsidR="006805FF" w:rsidRPr="00553831">
        <w:rPr>
          <w:rFonts w:ascii="Times New Roman" w:eastAsia="Times New Roman" w:hAnsi="Times New Roman" w:cs="Times New Roman"/>
          <w:color w:val="000000" w:themeColor="text1"/>
          <w:sz w:val="24"/>
          <w:szCs w:val="24"/>
          <w:lang w:eastAsia="sk-SK"/>
        </w:rPr>
        <w:t>UR</w:t>
      </w:r>
      <w:r w:rsidR="00B84233"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na rok</w:t>
      </w:r>
      <w:r w:rsidR="00853383" w:rsidRPr="00553831">
        <w:rPr>
          <w:rFonts w:ascii="Times New Roman" w:eastAsia="Times New Roman" w:hAnsi="Times New Roman" w:cs="Times New Roman"/>
          <w:color w:val="000000" w:themeColor="text1"/>
          <w:sz w:val="24"/>
          <w:szCs w:val="24"/>
          <w:lang w:eastAsia="sk-SK"/>
        </w:rPr>
        <w:t xml:space="preserve"> 2028</w:t>
      </w:r>
      <w:r w:rsidRPr="00553831">
        <w:rPr>
          <w:rFonts w:ascii="Times New Roman" w:eastAsia="Times New Roman" w:hAnsi="Times New Roman" w:cs="Times New Roman"/>
          <w:color w:val="000000" w:themeColor="text1"/>
          <w:sz w:val="24"/>
          <w:szCs w:val="24"/>
          <w:lang w:eastAsia="sk-SK"/>
        </w:rPr>
        <w:t xml:space="preserve"> vo výške</w:t>
      </w:r>
      <w:r w:rsidR="00B84233" w:rsidRPr="00553831">
        <w:rPr>
          <w:color w:val="000000" w:themeColor="text1"/>
        </w:rPr>
        <w:t xml:space="preserve"> </w:t>
      </w:r>
      <w:r w:rsidR="00B84233" w:rsidRPr="00553831">
        <w:rPr>
          <w:rFonts w:ascii="Times New Roman" w:eastAsia="Times New Roman" w:hAnsi="Times New Roman" w:cs="Times New Roman"/>
          <w:color w:val="000000" w:themeColor="text1"/>
          <w:sz w:val="24"/>
          <w:szCs w:val="24"/>
          <w:lang w:eastAsia="sk-SK"/>
        </w:rPr>
        <w:t> 35 990 951,03 €</w:t>
      </w:r>
      <w:r w:rsidRPr="00553831">
        <w:rPr>
          <w:rFonts w:ascii="Times New Roman" w:eastAsia="Times New Roman" w:hAnsi="Times New Roman" w:cs="Times New Roman"/>
          <w:color w:val="000000" w:themeColor="text1"/>
          <w:sz w:val="24"/>
          <w:szCs w:val="24"/>
          <w:lang w:eastAsia="sk-SK"/>
        </w:rPr>
        <w:t xml:space="preserve"> </w:t>
      </w:r>
      <w:r w:rsidR="00853383" w:rsidRPr="00553831">
        <w:rPr>
          <w:rFonts w:ascii="Times New Roman" w:eastAsia="Times New Roman" w:hAnsi="Times New Roman" w:cs="Times New Roman"/>
          <w:color w:val="000000" w:themeColor="text1"/>
          <w:sz w:val="24"/>
          <w:szCs w:val="24"/>
          <w:lang w:eastAsia="sk-SK"/>
        </w:rPr>
        <w:t xml:space="preserve">a na rok 2029 vo výške </w:t>
      </w:r>
      <w:r w:rsidR="00B84233" w:rsidRPr="00553831">
        <w:rPr>
          <w:rFonts w:ascii="Times New Roman" w:eastAsia="Times New Roman" w:hAnsi="Times New Roman" w:cs="Times New Roman"/>
          <w:color w:val="000000" w:themeColor="text1"/>
          <w:sz w:val="24"/>
          <w:szCs w:val="24"/>
          <w:lang w:eastAsia="sk-SK"/>
        </w:rPr>
        <w:t xml:space="preserve">  183 052 753,98 </w:t>
      </w:r>
      <w:r w:rsidR="00853383" w:rsidRPr="00553831">
        <w:rPr>
          <w:rFonts w:ascii="Times New Roman" w:eastAsia="Times New Roman" w:hAnsi="Times New Roman" w:cs="Times New Roman"/>
          <w:color w:val="000000" w:themeColor="text1"/>
          <w:sz w:val="24"/>
          <w:szCs w:val="24"/>
          <w:lang w:eastAsia="sk-SK"/>
        </w:rPr>
        <w:t>€</w:t>
      </w:r>
      <w:r w:rsidR="00B84233" w:rsidRPr="00553831">
        <w:rPr>
          <w:rFonts w:ascii="Times New Roman" w:eastAsia="Times New Roman" w:hAnsi="Times New Roman" w:cs="Times New Roman"/>
          <w:color w:val="000000" w:themeColor="text1"/>
          <w:sz w:val="24"/>
          <w:szCs w:val="24"/>
          <w:lang w:eastAsia="sk-SK"/>
        </w:rPr>
        <w:t>.</w:t>
      </w:r>
      <w:r w:rsidR="00853383"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 xml:space="preserve"> Pre prvý rok neboli dopady vypočítané, nakoľko aj pri novo zadefinovaných podmienkach vstupu na trh nie je predpoklad, že by sa dostali s podpisom zmluvy skôr do úhradového systému ako v</w:t>
      </w:r>
      <w:r w:rsidR="00853383" w:rsidRPr="00553831">
        <w:rPr>
          <w:rFonts w:ascii="Times New Roman" w:eastAsia="Times New Roman" w:hAnsi="Times New Roman" w:cs="Times New Roman"/>
          <w:color w:val="000000" w:themeColor="text1"/>
          <w:sz w:val="24"/>
          <w:szCs w:val="24"/>
          <w:lang w:eastAsia="sk-SK"/>
        </w:rPr>
        <w:t xml:space="preserve"> júli </w:t>
      </w:r>
      <w:r w:rsidRPr="00553831">
        <w:rPr>
          <w:rFonts w:ascii="Times New Roman" w:eastAsia="Times New Roman" w:hAnsi="Times New Roman" w:cs="Times New Roman"/>
          <w:color w:val="000000" w:themeColor="text1"/>
          <w:sz w:val="24"/>
          <w:szCs w:val="24"/>
          <w:lang w:eastAsia="sk-SK"/>
        </w:rPr>
        <w:t xml:space="preserve">roku 2027. </w:t>
      </w:r>
    </w:p>
    <w:p w14:paraId="4D1A2DC1" w14:textId="6B933A75"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Návrh novely rieši </w:t>
      </w:r>
      <w:r w:rsidR="00CD3112" w:rsidRPr="00553831">
        <w:rPr>
          <w:rFonts w:ascii="Times New Roman" w:eastAsia="Times New Roman" w:hAnsi="Times New Roman" w:cs="Times New Roman"/>
          <w:color w:val="000000" w:themeColor="text1"/>
          <w:sz w:val="24"/>
          <w:szCs w:val="24"/>
          <w:lang w:eastAsia="sk-SK"/>
        </w:rPr>
        <w:t xml:space="preserve">aj </w:t>
      </w:r>
      <w:r w:rsidRPr="00553831">
        <w:rPr>
          <w:rFonts w:ascii="Times New Roman" w:eastAsia="Times New Roman" w:hAnsi="Times New Roman" w:cs="Times New Roman"/>
          <w:color w:val="000000" w:themeColor="text1"/>
          <w:sz w:val="24"/>
          <w:szCs w:val="24"/>
          <w:lang w:eastAsia="sk-SK"/>
        </w:rPr>
        <w:t>dlhodobý problém nedostupnosti niektorých liekov na slovenskom trhu, a to najmä generických, biologicky podobných liekov a liekov posúdených Európskou liekovou agentúrou ako kritických, ktorých dostupnosť je ohrozená z dôvodu nízkej úradne určenej ceny v porovnaní s inými členskými štátmi Európskej únie. Súčasná regulácia cien spôsobuje, že farmaceutické spoločnosti často prerušujú dodávky liekov</w:t>
      </w:r>
      <w:r w:rsidR="0024263D"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alebo podávajú žiadosti o vyradenie z úhradového systému, keďže cena výrobcu je v praxi pod úrovňou európskej referenčnej ceny. Prax ukazuje, že ak sa potom vracajú na trh ako lieky, ktoré nie sú hradené z úhradového systému (sú nekategorizované)</w:t>
      </w:r>
      <w:r w:rsidR="0024263D"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ich cena rastie niekoľko násobne, čo má dva negatívne vplyvy. </w:t>
      </w:r>
      <w:r w:rsidR="0024263D" w:rsidRPr="00553831">
        <w:rPr>
          <w:rFonts w:ascii="Times New Roman" w:eastAsia="Times New Roman" w:hAnsi="Times New Roman" w:cs="Times New Roman"/>
          <w:color w:val="000000" w:themeColor="text1"/>
          <w:sz w:val="24"/>
          <w:szCs w:val="24"/>
          <w:lang w:eastAsia="sk-SK"/>
        </w:rPr>
        <w:t xml:space="preserve">Prvým negatívnym vplyvom je </w:t>
      </w:r>
      <w:r w:rsidRPr="00553831">
        <w:rPr>
          <w:rFonts w:ascii="Times New Roman" w:eastAsia="Times New Roman" w:hAnsi="Times New Roman" w:cs="Times New Roman"/>
          <w:color w:val="000000" w:themeColor="text1"/>
          <w:sz w:val="24"/>
          <w:szCs w:val="24"/>
          <w:lang w:eastAsia="sk-SK"/>
        </w:rPr>
        <w:t xml:space="preserve">, že uvedené lieky zaťažujú finančné zdroje zdravotných poisťovní vo väčšej miere, </w:t>
      </w:r>
      <w:r w:rsidR="0024263D" w:rsidRPr="00553831">
        <w:rPr>
          <w:rFonts w:ascii="Times New Roman" w:eastAsia="Times New Roman" w:hAnsi="Times New Roman" w:cs="Times New Roman"/>
          <w:color w:val="000000" w:themeColor="text1"/>
          <w:sz w:val="24"/>
          <w:szCs w:val="24"/>
          <w:lang w:eastAsia="sk-SK"/>
        </w:rPr>
        <w:t xml:space="preserve">a </w:t>
      </w:r>
      <w:r w:rsidRPr="00553831">
        <w:rPr>
          <w:rFonts w:ascii="Times New Roman" w:eastAsia="Times New Roman" w:hAnsi="Times New Roman" w:cs="Times New Roman"/>
          <w:color w:val="000000" w:themeColor="text1"/>
          <w:sz w:val="24"/>
          <w:szCs w:val="24"/>
          <w:lang w:eastAsia="sk-SK"/>
        </w:rPr>
        <w:t>sú  aktuálne hradené</w:t>
      </w:r>
      <w:r w:rsidR="00D5372D" w:rsidRPr="00553831">
        <w:rPr>
          <w:rFonts w:ascii="Times New Roman" w:eastAsia="Times New Roman" w:hAnsi="Times New Roman" w:cs="Times New Roman"/>
          <w:color w:val="000000" w:themeColor="text1"/>
          <w:sz w:val="24"/>
          <w:szCs w:val="24"/>
          <w:lang w:eastAsia="sk-SK"/>
        </w:rPr>
        <w:t xml:space="preserve"> </w:t>
      </w:r>
      <w:r w:rsidR="0024263D" w:rsidRPr="00553831">
        <w:rPr>
          <w:rFonts w:ascii="Times New Roman" w:eastAsia="Times New Roman" w:hAnsi="Times New Roman" w:cs="Times New Roman"/>
          <w:color w:val="000000" w:themeColor="text1"/>
          <w:sz w:val="24"/>
          <w:szCs w:val="24"/>
          <w:lang w:eastAsia="sk-SK"/>
        </w:rPr>
        <w:t>podľa §88</w:t>
      </w:r>
      <w:r w:rsidRPr="00553831">
        <w:rPr>
          <w:rFonts w:ascii="Times New Roman" w:eastAsia="Times New Roman" w:hAnsi="Times New Roman" w:cs="Times New Roman"/>
          <w:color w:val="000000" w:themeColor="text1"/>
          <w:sz w:val="24"/>
          <w:szCs w:val="24"/>
          <w:lang w:eastAsia="sk-SK"/>
        </w:rPr>
        <w:t xml:space="preserve">, ktorý nie je prioritne určený na tieto lieky. </w:t>
      </w:r>
      <w:r w:rsidR="0024263D" w:rsidRPr="00553831">
        <w:rPr>
          <w:rFonts w:ascii="Times New Roman" w:eastAsia="Times New Roman" w:hAnsi="Times New Roman" w:cs="Times New Roman"/>
          <w:color w:val="000000" w:themeColor="text1"/>
          <w:sz w:val="24"/>
          <w:szCs w:val="24"/>
          <w:lang w:eastAsia="sk-SK"/>
        </w:rPr>
        <w:t xml:space="preserve">Druhým negatívnom vplyvom je, že nedostupný lacnejší liek je terapeuticky nahrádzaný dostupným liekom, ktorý môže byť drahší. </w:t>
      </w:r>
      <w:r w:rsidRPr="00553831">
        <w:rPr>
          <w:rFonts w:ascii="Times New Roman" w:eastAsia="Times New Roman" w:hAnsi="Times New Roman" w:cs="Times New Roman"/>
          <w:color w:val="000000" w:themeColor="text1"/>
          <w:sz w:val="24"/>
          <w:szCs w:val="24"/>
          <w:lang w:eastAsia="sk-SK"/>
        </w:rPr>
        <w:t xml:space="preserve">Návrh novely umožňuje zvýšenie úradne určenej ceny pre generické a biologicky podobné lieky na úroveň európskej referenčnej ceny </w:t>
      </w:r>
      <w:r w:rsidR="0024263D"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priemer troch najnižších cien v</w:t>
      </w:r>
      <w:r w:rsidR="0024263D" w:rsidRPr="00553831">
        <w:rPr>
          <w:rFonts w:ascii="Times New Roman" w:eastAsia="Times New Roman" w:hAnsi="Times New Roman" w:cs="Times New Roman"/>
          <w:color w:val="000000" w:themeColor="text1"/>
          <w:sz w:val="24"/>
          <w:szCs w:val="24"/>
          <w:lang w:eastAsia="sk-SK"/>
        </w:rPr>
        <w:t> </w:t>
      </w:r>
      <w:r w:rsidRPr="00553831">
        <w:rPr>
          <w:rFonts w:ascii="Times New Roman" w:eastAsia="Times New Roman" w:hAnsi="Times New Roman" w:cs="Times New Roman"/>
          <w:color w:val="000000" w:themeColor="text1"/>
          <w:sz w:val="24"/>
          <w:szCs w:val="24"/>
          <w:lang w:eastAsia="sk-SK"/>
        </w:rPr>
        <w:t>EÚ</w:t>
      </w:r>
      <w:r w:rsidR="0024263D"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ako aj pre lieky so zaradením v zozname kritických liekov Európskej liekovej agentúry (EMA) na tretiu najnižšiu cenu v EÚ. Tento krok sa premietne do navýšenia nákladov uhrádzaných z prostriedkov verejného zd</w:t>
      </w:r>
      <w:r w:rsidR="0024263D" w:rsidRPr="00553831">
        <w:rPr>
          <w:rFonts w:ascii="Times New Roman" w:eastAsia="Times New Roman" w:hAnsi="Times New Roman" w:cs="Times New Roman"/>
          <w:color w:val="000000" w:themeColor="text1"/>
          <w:sz w:val="24"/>
          <w:szCs w:val="24"/>
          <w:lang w:eastAsia="sk-SK"/>
        </w:rPr>
        <w:t>ravotného poistenia</w:t>
      </w:r>
      <w:r w:rsidRPr="00553831">
        <w:rPr>
          <w:rFonts w:ascii="Times New Roman" w:eastAsia="Times New Roman" w:hAnsi="Times New Roman" w:cs="Times New Roman"/>
          <w:color w:val="000000" w:themeColor="text1"/>
          <w:sz w:val="24"/>
          <w:szCs w:val="24"/>
          <w:lang w:eastAsia="sk-SK"/>
        </w:rPr>
        <w:t xml:space="preserve"> v  roku</w:t>
      </w:r>
      <w:r w:rsidR="00853383" w:rsidRPr="00553831">
        <w:rPr>
          <w:rFonts w:ascii="Times New Roman" w:eastAsia="Times New Roman" w:hAnsi="Times New Roman" w:cs="Times New Roman"/>
          <w:color w:val="000000" w:themeColor="text1"/>
          <w:sz w:val="24"/>
          <w:szCs w:val="24"/>
          <w:lang w:eastAsia="sk-SK"/>
        </w:rPr>
        <w:t xml:space="preserve"> 2027</w:t>
      </w:r>
      <w:r w:rsidR="00CD3112"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o</w:t>
      </w:r>
      <w:r w:rsidR="00853383" w:rsidRPr="00553831">
        <w:rPr>
          <w:rFonts w:ascii="Times New Roman" w:eastAsia="Times New Roman" w:hAnsi="Times New Roman" w:cs="Times New Roman"/>
          <w:color w:val="000000" w:themeColor="text1"/>
          <w:sz w:val="24"/>
          <w:szCs w:val="24"/>
          <w:lang w:eastAsia="sk-SK"/>
        </w:rPr>
        <w:t> 31 326 759,64</w:t>
      </w:r>
      <w:r w:rsidR="00CD3112"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E</w:t>
      </w:r>
      <w:r w:rsidR="00BD43B7" w:rsidRPr="00553831">
        <w:rPr>
          <w:rFonts w:ascii="Times New Roman" w:eastAsia="Times New Roman" w:hAnsi="Times New Roman" w:cs="Times New Roman"/>
          <w:color w:val="000000" w:themeColor="text1"/>
          <w:sz w:val="24"/>
          <w:szCs w:val="24"/>
          <w:lang w:eastAsia="sk-SK"/>
        </w:rPr>
        <w:t>UR</w:t>
      </w:r>
      <w:r w:rsidRPr="00553831">
        <w:rPr>
          <w:rFonts w:ascii="Times New Roman" w:eastAsia="Times New Roman" w:hAnsi="Times New Roman" w:cs="Times New Roman"/>
          <w:color w:val="000000" w:themeColor="text1"/>
          <w:sz w:val="24"/>
          <w:szCs w:val="24"/>
          <w:lang w:eastAsia="sk-SK"/>
        </w:rPr>
        <w:t>, v </w:t>
      </w:r>
      <w:r w:rsidR="00CD3112"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roku</w:t>
      </w:r>
      <w:r w:rsidR="00853383" w:rsidRPr="00553831">
        <w:rPr>
          <w:rFonts w:ascii="Times New Roman" w:eastAsia="Times New Roman" w:hAnsi="Times New Roman" w:cs="Times New Roman"/>
          <w:color w:val="000000" w:themeColor="text1"/>
          <w:sz w:val="24"/>
          <w:szCs w:val="24"/>
          <w:lang w:eastAsia="sk-SK"/>
        </w:rPr>
        <w:t xml:space="preserve"> 2028</w:t>
      </w:r>
      <w:r w:rsidRPr="00553831">
        <w:rPr>
          <w:rFonts w:ascii="Times New Roman" w:eastAsia="Times New Roman" w:hAnsi="Times New Roman" w:cs="Times New Roman"/>
          <w:color w:val="000000" w:themeColor="text1"/>
          <w:sz w:val="24"/>
          <w:szCs w:val="24"/>
          <w:lang w:eastAsia="sk-SK"/>
        </w:rPr>
        <w:t xml:space="preserve"> o</w:t>
      </w:r>
      <w:r w:rsidR="00FD5986" w:rsidRPr="00553831">
        <w:rPr>
          <w:rFonts w:ascii="Times New Roman" w:eastAsia="Times New Roman" w:hAnsi="Times New Roman" w:cs="Times New Roman"/>
          <w:color w:val="000000" w:themeColor="text1"/>
          <w:sz w:val="24"/>
          <w:szCs w:val="24"/>
          <w:lang w:eastAsia="sk-SK"/>
        </w:rPr>
        <w:t> 23 942 941,98</w:t>
      </w:r>
      <w:r w:rsidR="00CD3112"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E</w:t>
      </w:r>
      <w:r w:rsidR="00BD43B7" w:rsidRPr="00553831">
        <w:rPr>
          <w:rFonts w:ascii="Times New Roman" w:eastAsia="Times New Roman" w:hAnsi="Times New Roman" w:cs="Times New Roman"/>
          <w:color w:val="000000" w:themeColor="text1"/>
          <w:sz w:val="24"/>
          <w:szCs w:val="24"/>
          <w:lang w:eastAsia="sk-SK"/>
        </w:rPr>
        <w:t>UR</w:t>
      </w:r>
      <w:r w:rsidRPr="00553831">
        <w:rPr>
          <w:rFonts w:ascii="Times New Roman" w:eastAsia="Times New Roman" w:hAnsi="Times New Roman" w:cs="Times New Roman"/>
          <w:color w:val="000000" w:themeColor="text1"/>
          <w:sz w:val="24"/>
          <w:szCs w:val="24"/>
          <w:lang w:eastAsia="sk-SK"/>
        </w:rPr>
        <w:t xml:space="preserve"> a v roku</w:t>
      </w:r>
      <w:r w:rsidR="00FD5986" w:rsidRPr="00553831">
        <w:rPr>
          <w:rFonts w:ascii="Times New Roman" w:eastAsia="Times New Roman" w:hAnsi="Times New Roman" w:cs="Times New Roman"/>
          <w:color w:val="000000" w:themeColor="text1"/>
          <w:sz w:val="24"/>
          <w:szCs w:val="24"/>
          <w:lang w:eastAsia="sk-SK"/>
        </w:rPr>
        <w:t xml:space="preserve"> 2029</w:t>
      </w:r>
      <w:r w:rsidRPr="00553831">
        <w:rPr>
          <w:rFonts w:ascii="Times New Roman" w:eastAsia="Times New Roman" w:hAnsi="Times New Roman" w:cs="Times New Roman"/>
          <w:color w:val="000000" w:themeColor="text1"/>
          <w:sz w:val="24"/>
          <w:szCs w:val="24"/>
          <w:lang w:eastAsia="sk-SK"/>
        </w:rPr>
        <w:t xml:space="preserve"> o</w:t>
      </w:r>
      <w:r w:rsidR="00FD5986" w:rsidRPr="00553831">
        <w:rPr>
          <w:rFonts w:ascii="Times New Roman" w:eastAsia="Times New Roman" w:hAnsi="Times New Roman" w:cs="Times New Roman"/>
          <w:color w:val="000000" w:themeColor="text1"/>
          <w:sz w:val="24"/>
          <w:szCs w:val="24"/>
          <w:lang w:eastAsia="sk-SK"/>
        </w:rPr>
        <w:t> 23 866 858,08</w:t>
      </w:r>
      <w:r w:rsidR="00CD3112"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E</w:t>
      </w:r>
      <w:r w:rsidR="00BD43B7" w:rsidRPr="00553831">
        <w:rPr>
          <w:rFonts w:ascii="Times New Roman" w:eastAsia="Times New Roman" w:hAnsi="Times New Roman" w:cs="Times New Roman"/>
          <w:color w:val="000000" w:themeColor="text1"/>
          <w:sz w:val="24"/>
          <w:szCs w:val="24"/>
          <w:lang w:eastAsia="sk-SK"/>
        </w:rPr>
        <w:t>UR</w:t>
      </w:r>
      <w:r w:rsidRPr="00553831">
        <w:rPr>
          <w:rFonts w:ascii="Times New Roman" w:eastAsia="Times New Roman" w:hAnsi="Times New Roman" w:cs="Times New Roman"/>
          <w:color w:val="000000" w:themeColor="text1"/>
          <w:sz w:val="24"/>
          <w:szCs w:val="24"/>
          <w:lang w:eastAsia="sk-SK"/>
        </w:rPr>
        <w:t xml:space="preserve">. </w:t>
      </w:r>
    </w:p>
    <w:p w14:paraId="005A300A" w14:textId="22902BAF"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Zlepšenie podmienok </w:t>
      </w:r>
      <w:r w:rsidR="0024263D" w:rsidRPr="00553831">
        <w:rPr>
          <w:rFonts w:ascii="Times New Roman" w:eastAsia="Times New Roman" w:hAnsi="Times New Roman" w:cs="Times New Roman"/>
          <w:color w:val="000000" w:themeColor="text1"/>
          <w:sz w:val="24"/>
          <w:szCs w:val="24"/>
          <w:lang w:eastAsia="sk-SK"/>
        </w:rPr>
        <w:t xml:space="preserve">pre zotrvanie respektíve pre vstup </w:t>
      </w:r>
      <w:r w:rsidRPr="00553831">
        <w:rPr>
          <w:rFonts w:ascii="Times New Roman" w:eastAsia="Times New Roman" w:hAnsi="Times New Roman" w:cs="Times New Roman"/>
          <w:color w:val="000000" w:themeColor="text1"/>
          <w:sz w:val="24"/>
          <w:szCs w:val="24"/>
          <w:lang w:eastAsia="sk-SK"/>
        </w:rPr>
        <w:t xml:space="preserve">generických liekov a biologicky podobných liekov sa následne premietne pri strate exkluzivity originálneho lieku na trhu v Európskej Únii a/alebo na Slovensku do ich početnejšieho vstupu a tým následne dôjde k odľahčeniu finančného tlaku (úsporám) na systém zdravotnej starostlivosti. </w:t>
      </w:r>
      <w:r w:rsidR="0024263D" w:rsidRPr="00553831">
        <w:rPr>
          <w:rFonts w:ascii="Times New Roman" w:eastAsia="Times New Roman" w:hAnsi="Times New Roman" w:cs="Times New Roman"/>
          <w:color w:val="000000" w:themeColor="text1"/>
          <w:sz w:val="24"/>
          <w:szCs w:val="24"/>
          <w:lang w:eastAsia="sk-SK"/>
        </w:rPr>
        <w:t>Prax</w:t>
      </w:r>
      <w:r w:rsidR="00D62C5C"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 xml:space="preserve">v rámci EÚ, </w:t>
      </w:r>
      <w:r w:rsidR="0024263D" w:rsidRPr="00553831">
        <w:rPr>
          <w:rFonts w:ascii="Times New Roman" w:eastAsia="Times New Roman" w:hAnsi="Times New Roman" w:cs="Times New Roman"/>
          <w:color w:val="000000" w:themeColor="text1"/>
          <w:sz w:val="24"/>
          <w:szCs w:val="24"/>
          <w:lang w:eastAsia="sk-SK"/>
        </w:rPr>
        <w:t xml:space="preserve">ako aj história na Slovensku ukázali, </w:t>
      </w:r>
      <w:r w:rsidRPr="00553831">
        <w:rPr>
          <w:rFonts w:ascii="Times New Roman" w:eastAsia="Times New Roman" w:hAnsi="Times New Roman" w:cs="Times New Roman"/>
          <w:color w:val="000000" w:themeColor="text1"/>
          <w:sz w:val="24"/>
          <w:szCs w:val="24"/>
          <w:lang w:eastAsia="sk-SK"/>
        </w:rPr>
        <w:t>že viac registrovaných generických alebo biologicky podobných liekov vst</w:t>
      </w:r>
      <w:r w:rsidR="00D5372D" w:rsidRPr="00553831">
        <w:rPr>
          <w:rFonts w:ascii="Times New Roman" w:eastAsia="Times New Roman" w:hAnsi="Times New Roman" w:cs="Times New Roman"/>
          <w:color w:val="000000" w:themeColor="text1"/>
          <w:sz w:val="24"/>
          <w:szCs w:val="24"/>
          <w:lang w:eastAsia="sk-SK"/>
        </w:rPr>
        <w:t>u</w:t>
      </w:r>
      <w:r w:rsidRPr="00553831">
        <w:rPr>
          <w:rFonts w:ascii="Times New Roman" w:eastAsia="Times New Roman" w:hAnsi="Times New Roman" w:cs="Times New Roman"/>
          <w:color w:val="000000" w:themeColor="text1"/>
          <w:sz w:val="24"/>
          <w:szCs w:val="24"/>
          <w:lang w:eastAsia="sk-SK"/>
        </w:rPr>
        <w:t>p</w:t>
      </w:r>
      <w:r w:rsidR="0024263D" w:rsidRPr="00553831">
        <w:rPr>
          <w:rFonts w:ascii="Times New Roman" w:eastAsia="Times New Roman" w:hAnsi="Times New Roman" w:cs="Times New Roman"/>
          <w:color w:val="000000" w:themeColor="text1"/>
          <w:sz w:val="24"/>
          <w:szCs w:val="24"/>
          <w:lang w:eastAsia="sk-SK"/>
        </w:rPr>
        <w:t>ujúcich</w:t>
      </w:r>
      <w:r w:rsidRPr="00553831">
        <w:rPr>
          <w:rFonts w:ascii="Times New Roman" w:eastAsia="Times New Roman" w:hAnsi="Times New Roman" w:cs="Times New Roman"/>
          <w:color w:val="000000" w:themeColor="text1"/>
          <w:sz w:val="24"/>
          <w:szCs w:val="24"/>
          <w:lang w:eastAsia="sk-SK"/>
        </w:rPr>
        <w:t xml:space="preserve"> do systému k originálnemu lieku, ktorý stratil exkluzivitu,</w:t>
      </w:r>
      <w:r w:rsidR="00253331" w:rsidRPr="00553831">
        <w:rPr>
          <w:rFonts w:ascii="Times New Roman" w:eastAsia="Times New Roman" w:hAnsi="Times New Roman" w:cs="Times New Roman"/>
          <w:color w:val="000000" w:themeColor="text1"/>
          <w:sz w:val="24"/>
          <w:szCs w:val="24"/>
          <w:lang w:eastAsia="sk-SK"/>
        </w:rPr>
        <w:t xml:space="preserve"> </w:t>
      </w:r>
      <w:r w:rsidR="0024263D" w:rsidRPr="00553831">
        <w:rPr>
          <w:rFonts w:ascii="Times New Roman" w:eastAsia="Times New Roman" w:hAnsi="Times New Roman" w:cs="Times New Roman"/>
          <w:color w:val="000000" w:themeColor="text1"/>
          <w:sz w:val="24"/>
          <w:szCs w:val="24"/>
          <w:lang w:eastAsia="sk-SK"/>
        </w:rPr>
        <w:t>prináša väčšie úspory</w:t>
      </w:r>
      <w:r w:rsidRPr="00553831">
        <w:rPr>
          <w:rFonts w:ascii="Times New Roman" w:eastAsia="Times New Roman" w:hAnsi="Times New Roman" w:cs="Times New Roman"/>
          <w:color w:val="000000" w:themeColor="text1"/>
          <w:sz w:val="24"/>
          <w:szCs w:val="24"/>
          <w:lang w:eastAsia="sk-SK"/>
        </w:rPr>
        <w:t xml:space="preserve">. Úspora zmenou legislatívnych podmienok je vypočítaná v prvom roku vo výške </w:t>
      </w:r>
      <w:r w:rsidR="00FD5986" w:rsidRPr="00553831">
        <w:rPr>
          <w:rFonts w:ascii="Times New Roman" w:eastAsia="Times New Roman" w:hAnsi="Times New Roman" w:cs="Times New Roman"/>
          <w:color w:val="000000" w:themeColor="text1"/>
          <w:sz w:val="24"/>
          <w:szCs w:val="24"/>
          <w:lang w:eastAsia="sk-SK"/>
        </w:rPr>
        <w:t>71 115,55</w:t>
      </w:r>
      <w:r w:rsidR="00B1313D"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E</w:t>
      </w:r>
      <w:r w:rsidR="00BD43B7" w:rsidRPr="00553831">
        <w:rPr>
          <w:rFonts w:ascii="Times New Roman" w:eastAsia="Times New Roman" w:hAnsi="Times New Roman" w:cs="Times New Roman"/>
          <w:color w:val="000000" w:themeColor="text1"/>
          <w:sz w:val="24"/>
          <w:szCs w:val="24"/>
          <w:lang w:eastAsia="sk-SK"/>
        </w:rPr>
        <w:t>UR</w:t>
      </w:r>
      <w:r w:rsidRPr="00553831">
        <w:rPr>
          <w:rFonts w:ascii="Times New Roman" w:eastAsia="Times New Roman" w:hAnsi="Times New Roman" w:cs="Times New Roman"/>
          <w:color w:val="000000" w:themeColor="text1"/>
          <w:sz w:val="24"/>
          <w:szCs w:val="24"/>
          <w:lang w:eastAsia="sk-SK"/>
        </w:rPr>
        <w:t>, v  roku</w:t>
      </w:r>
      <w:r w:rsidR="00FD5986" w:rsidRPr="00553831">
        <w:rPr>
          <w:rFonts w:ascii="Times New Roman" w:eastAsia="Times New Roman" w:hAnsi="Times New Roman" w:cs="Times New Roman"/>
          <w:color w:val="000000" w:themeColor="text1"/>
          <w:sz w:val="24"/>
          <w:szCs w:val="24"/>
          <w:lang w:eastAsia="sk-SK"/>
        </w:rPr>
        <w:t xml:space="preserve"> 2027 o 1 842 272,97</w:t>
      </w:r>
      <w:r w:rsidR="00B1313D"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E</w:t>
      </w:r>
      <w:r w:rsidR="00BD43B7" w:rsidRPr="00553831">
        <w:rPr>
          <w:rFonts w:ascii="Times New Roman" w:eastAsia="Times New Roman" w:hAnsi="Times New Roman" w:cs="Times New Roman"/>
          <w:color w:val="000000" w:themeColor="text1"/>
          <w:sz w:val="24"/>
          <w:szCs w:val="24"/>
          <w:lang w:eastAsia="sk-SK"/>
        </w:rPr>
        <w:t>UR</w:t>
      </w:r>
      <w:r w:rsidRPr="00553831">
        <w:rPr>
          <w:rFonts w:ascii="Times New Roman" w:eastAsia="Times New Roman" w:hAnsi="Times New Roman" w:cs="Times New Roman"/>
          <w:color w:val="000000" w:themeColor="text1"/>
          <w:sz w:val="24"/>
          <w:szCs w:val="24"/>
          <w:lang w:eastAsia="sk-SK"/>
        </w:rPr>
        <w:t xml:space="preserve"> a v  roku </w:t>
      </w:r>
      <w:r w:rsidR="00FD5986" w:rsidRPr="00553831">
        <w:rPr>
          <w:rFonts w:ascii="Times New Roman" w:eastAsia="Times New Roman" w:hAnsi="Times New Roman" w:cs="Times New Roman"/>
          <w:color w:val="000000" w:themeColor="text1"/>
          <w:sz w:val="24"/>
          <w:szCs w:val="24"/>
          <w:lang w:eastAsia="sk-SK"/>
        </w:rPr>
        <w:t xml:space="preserve"> 2028 o 17 084 208,04 </w:t>
      </w:r>
      <w:r w:rsidRPr="00553831">
        <w:rPr>
          <w:rFonts w:ascii="Times New Roman" w:eastAsia="Times New Roman" w:hAnsi="Times New Roman" w:cs="Times New Roman"/>
          <w:color w:val="000000" w:themeColor="text1"/>
          <w:sz w:val="24"/>
          <w:szCs w:val="24"/>
          <w:lang w:eastAsia="sk-SK"/>
        </w:rPr>
        <w:t>E</w:t>
      </w:r>
      <w:r w:rsidR="00BD43B7" w:rsidRPr="00553831">
        <w:rPr>
          <w:rFonts w:ascii="Times New Roman" w:eastAsia="Times New Roman" w:hAnsi="Times New Roman" w:cs="Times New Roman"/>
          <w:color w:val="000000" w:themeColor="text1"/>
          <w:sz w:val="24"/>
          <w:szCs w:val="24"/>
          <w:lang w:eastAsia="sk-SK"/>
        </w:rPr>
        <w:t>UR</w:t>
      </w:r>
      <w:r w:rsidR="00FD5986" w:rsidRPr="00553831">
        <w:rPr>
          <w:rFonts w:ascii="Times New Roman" w:eastAsia="Times New Roman" w:hAnsi="Times New Roman" w:cs="Times New Roman"/>
          <w:color w:val="000000" w:themeColor="text1"/>
          <w:sz w:val="24"/>
          <w:szCs w:val="24"/>
          <w:lang w:eastAsia="sk-SK"/>
        </w:rPr>
        <w:t xml:space="preserve"> a v roku 2029 k úspore 16 076 239,94 EUR</w:t>
      </w:r>
      <w:r w:rsidR="00CD3112" w:rsidRPr="00553831">
        <w:rPr>
          <w:rFonts w:ascii="Times New Roman" w:eastAsia="Times New Roman" w:hAnsi="Times New Roman" w:cs="Times New Roman"/>
          <w:color w:val="000000" w:themeColor="text1"/>
          <w:sz w:val="24"/>
          <w:szCs w:val="24"/>
          <w:lang w:eastAsia="sk-SK"/>
        </w:rPr>
        <w:t xml:space="preserve">. Úspora je deklarovaná len na liekoch ktoré stratia exkluzivitu v rozhodnom období, väčšia časť ale stráca exkluzivitu v roku 2029 a neskôr čo sa neprejaví v tejto dopadovej správe ale prejaví sa v neskoršom období. </w:t>
      </w:r>
    </w:p>
    <w:p w14:paraId="38C48F8B" w14:textId="3D8510AE" w:rsidR="00F875B5" w:rsidRPr="00553831" w:rsidRDefault="00F875B5"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Zároveň sa ruší osobitná cenová regulácia, a na cene stanovenej ako priemer 10 krajín EÚ bud</w:t>
      </w:r>
      <w:r w:rsidR="001330C1" w:rsidRPr="00553831">
        <w:rPr>
          <w:rFonts w:ascii="Times New Roman" w:eastAsia="Times New Roman" w:hAnsi="Times New Roman" w:cs="Times New Roman"/>
          <w:color w:val="000000" w:themeColor="text1"/>
          <w:sz w:val="24"/>
          <w:szCs w:val="24"/>
          <w:lang w:eastAsia="sk-SK"/>
        </w:rPr>
        <w:t>ú</w:t>
      </w:r>
      <w:r w:rsidRPr="00553831">
        <w:rPr>
          <w:rFonts w:ascii="Times New Roman" w:eastAsia="Times New Roman" w:hAnsi="Times New Roman" w:cs="Times New Roman"/>
          <w:color w:val="000000" w:themeColor="text1"/>
          <w:sz w:val="24"/>
          <w:szCs w:val="24"/>
          <w:lang w:eastAsia="sk-SK"/>
        </w:rPr>
        <w:t xml:space="preserve"> </w:t>
      </w:r>
      <w:r w:rsidR="001330C1" w:rsidRPr="00553831">
        <w:rPr>
          <w:rFonts w:ascii="Times New Roman" w:eastAsia="Times New Roman" w:hAnsi="Times New Roman" w:cs="Times New Roman"/>
          <w:color w:val="000000" w:themeColor="text1"/>
          <w:sz w:val="24"/>
          <w:szCs w:val="24"/>
          <w:lang w:eastAsia="sk-SK"/>
        </w:rPr>
        <w:t>môcť</w:t>
      </w:r>
      <w:r w:rsidRPr="00553831">
        <w:rPr>
          <w:rFonts w:ascii="Times New Roman" w:eastAsia="Times New Roman" w:hAnsi="Times New Roman" w:cs="Times New Roman"/>
          <w:color w:val="000000" w:themeColor="text1"/>
          <w:sz w:val="24"/>
          <w:szCs w:val="24"/>
          <w:lang w:eastAsia="sk-SK"/>
        </w:rPr>
        <w:t xml:space="preserve"> už zo súčasne hradených liekov podľa tohto bodu zákona </w:t>
      </w:r>
      <w:r w:rsidR="001330C1" w:rsidRPr="00553831">
        <w:rPr>
          <w:rFonts w:ascii="Times New Roman" w:eastAsia="Times New Roman" w:hAnsi="Times New Roman" w:cs="Times New Roman"/>
          <w:color w:val="000000" w:themeColor="text1"/>
          <w:sz w:val="24"/>
          <w:szCs w:val="24"/>
          <w:lang w:eastAsia="sk-SK"/>
        </w:rPr>
        <w:t xml:space="preserve">zostať </w:t>
      </w:r>
      <w:r w:rsidRPr="00553831">
        <w:rPr>
          <w:rFonts w:ascii="Times New Roman" w:eastAsia="Times New Roman" w:hAnsi="Times New Roman" w:cs="Times New Roman"/>
          <w:color w:val="000000" w:themeColor="text1"/>
          <w:sz w:val="24"/>
          <w:szCs w:val="24"/>
          <w:lang w:eastAsia="sk-SK"/>
        </w:rPr>
        <w:t xml:space="preserve">len lieky </w:t>
      </w:r>
      <w:r w:rsidR="001330C1" w:rsidRPr="00553831">
        <w:rPr>
          <w:rFonts w:ascii="Times New Roman" w:eastAsia="Times New Roman" w:hAnsi="Times New Roman" w:cs="Times New Roman"/>
          <w:color w:val="000000" w:themeColor="text1"/>
          <w:sz w:val="24"/>
          <w:szCs w:val="24"/>
          <w:lang w:eastAsia="sk-SK"/>
        </w:rPr>
        <w:t>vyrábané</w:t>
      </w:r>
      <w:r w:rsidRPr="00553831">
        <w:rPr>
          <w:rFonts w:ascii="Times New Roman" w:eastAsia="Times New Roman" w:hAnsi="Times New Roman" w:cs="Times New Roman"/>
          <w:color w:val="000000" w:themeColor="text1"/>
          <w:sz w:val="24"/>
          <w:szCs w:val="24"/>
          <w:lang w:eastAsia="sk-SK"/>
        </w:rPr>
        <w:t xml:space="preserve"> z ľudskej krvi a plazmy. Zvyšné lieky sa vrátia na priemer 3 alebo tretiu najnižšiu podľa toho </w:t>
      </w:r>
      <w:r w:rsidR="001330C1" w:rsidRPr="00553831">
        <w:rPr>
          <w:rFonts w:ascii="Times New Roman" w:eastAsia="Times New Roman" w:hAnsi="Times New Roman" w:cs="Times New Roman"/>
          <w:color w:val="000000" w:themeColor="text1"/>
          <w:sz w:val="24"/>
          <w:szCs w:val="24"/>
          <w:lang w:eastAsia="sk-SK"/>
        </w:rPr>
        <w:t xml:space="preserve">či sa nachádzajú na zozname kritických liekov. Tým sa vygeneruje úspora v roku 2026  -2 166 448 €, v roku 2027 – 2029  úspora -8 709 040 € vždy za jeden kalendárny rok. </w:t>
      </w:r>
    </w:p>
    <w:p w14:paraId="1EF1AAD4"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Návrh spresňuje charakteristiky pre zmluvu o podmienkach úhrady lieku, čím sa zlepší vymáhateľnosť dodržiavania podmienok a zároveň sa upravuje postup pre vstup generických alebo biologicky podobných liekov k originálnemu lieku s platnou zmluvou o podmienkach úhrady lieku. </w:t>
      </w:r>
    </w:p>
    <w:p w14:paraId="0D40CE93" w14:textId="3CE2E9F5"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Upravujú sa a spresňujú sa podmienky úhrady liekov, zdravotníckych pomôcok a dietetických potravín vo výnimočných prípadoch tak, aby sa kládol dôraz na výnimočnosť okolností, na potrebu zlepšovania zdravia</w:t>
      </w:r>
      <w:r w:rsidR="004202BD" w:rsidRPr="00553831">
        <w:rPr>
          <w:rFonts w:ascii="Times New Roman" w:eastAsia="Times New Roman" w:hAnsi="Times New Roman" w:cs="Times New Roman"/>
          <w:color w:val="000000" w:themeColor="text1"/>
          <w:sz w:val="24"/>
          <w:szCs w:val="24"/>
          <w:lang w:eastAsia="sk-SK"/>
        </w:rPr>
        <w:t>,</w:t>
      </w:r>
      <w:r w:rsidRPr="00553831">
        <w:rPr>
          <w:rFonts w:ascii="Times New Roman" w:eastAsia="Times New Roman" w:hAnsi="Times New Roman" w:cs="Times New Roman"/>
          <w:color w:val="000000" w:themeColor="text1"/>
          <w:sz w:val="24"/>
          <w:szCs w:val="24"/>
          <w:lang w:eastAsia="sk-SK"/>
        </w:rPr>
        <w:t xml:space="preserve"> ako aj na udržateľnosť a finančnú stabilitu zdravotného systému. </w:t>
      </w:r>
    </w:p>
    <w:p w14:paraId="7F18F3D1" w14:textId="308DB605" w:rsidR="00ED7612" w:rsidRPr="00553831" w:rsidRDefault="00ED7612" w:rsidP="00F875B5">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Návrh </w:t>
      </w:r>
      <w:r w:rsidR="00F875B5" w:rsidRPr="00553831">
        <w:rPr>
          <w:rFonts w:ascii="Times New Roman" w:eastAsia="Times New Roman" w:hAnsi="Times New Roman" w:cs="Times New Roman"/>
          <w:color w:val="000000" w:themeColor="text1"/>
          <w:sz w:val="24"/>
          <w:szCs w:val="24"/>
          <w:lang w:eastAsia="sk-SK"/>
        </w:rPr>
        <w:t>zákona definuje, že liek môže byť schválený len v prípade, že</w:t>
      </w:r>
      <w:r w:rsidR="00351AF6" w:rsidRPr="00553831">
        <w:rPr>
          <w:rFonts w:ascii="Times New Roman" w:eastAsia="Times New Roman" w:hAnsi="Times New Roman" w:cs="Times New Roman"/>
          <w:color w:val="000000" w:themeColor="text1"/>
          <w:sz w:val="24"/>
          <w:szCs w:val="24"/>
          <w:lang w:eastAsia="sk-SK"/>
        </w:rPr>
        <w:t>: „prostriedky zdravotnej poisťovne ustanovené osobitným predpisom postačujú na úhradu lieku podľa metodiky, ktorú vydá ministerstvo</w:t>
      </w:r>
      <w:r w:rsidR="0038393E" w:rsidRPr="00553831">
        <w:rPr>
          <w:rFonts w:ascii="Times New Roman" w:eastAsia="Times New Roman" w:hAnsi="Times New Roman" w:cs="Times New Roman"/>
          <w:color w:val="000000" w:themeColor="text1"/>
          <w:sz w:val="24"/>
          <w:szCs w:val="24"/>
          <w:lang w:eastAsia="sk-SK"/>
        </w:rPr>
        <w:t>“</w:t>
      </w:r>
      <w:r w:rsidR="00351AF6" w:rsidRPr="00553831">
        <w:rPr>
          <w:rFonts w:ascii="Times New Roman" w:eastAsia="Times New Roman" w:hAnsi="Times New Roman" w:cs="Times New Roman"/>
          <w:color w:val="000000" w:themeColor="text1"/>
          <w:sz w:val="24"/>
          <w:szCs w:val="24"/>
          <w:lang w:eastAsia="sk-SK"/>
        </w:rPr>
        <w:t>.</w:t>
      </w:r>
    </w:p>
    <w:p w14:paraId="5F498655" w14:textId="77777777" w:rsidR="00DE135C" w:rsidRPr="00553831" w:rsidRDefault="00DE135C" w:rsidP="00F875B5">
      <w:pPr>
        <w:spacing w:after="0" w:line="240" w:lineRule="auto"/>
        <w:jc w:val="both"/>
        <w:rPr>
          <w:rFonts w:ascii="Times New Roman" w:eastAsia="Times New Roman" w:hAnsi="Times New Roman" w:cs="Times New Roman"/>
          <w:color w:val="000000" w:themeColor="text1"/>
          <w:sz w:val="24"/>
          <w:szCs w:val="24"/>
          <w:lang w:eastAsia="sk-SK"/>
        </w:rPr>
      </w:pPr>
    </w:p>
    <w:p w14:paraId="552338B3" w14:textId="43431A72" w:rsidR="00DE135C" w:rsidRPr="00553831" w:rsidRDefault="00DE135C" w:rsidP="00F875B5">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Ministerstvo zdravotníctva Slovenskej republiky identifikovalo v súvislosti s návrhom novely zákona č. 362/2011 Z. z. potrebu personálneho posilnenia odboru farmácie o dve štátnozamestnanecké miesta. Potreba vyplýva predovšetkým z rozšírenia rozsahu výkonu štátneho dozoru na úseku humánnej farmácie, ktorý bude potrebné vykonávať v intenzifikovanom režime vzhľadom na zavedenie nových povinností subjektov na trhu s liekmi a nových opatrení smerujúcich k zabezpečeniu dostupnosti humánnych liekov. Novela zavádza nové evidenčné, oznamovacie, </w:t>
      </w:r>
      <w:proofErr w:type="spellStart"/>
      <w:r w:rsidRPr="00553831">
        <w:rPr>
          <w:rFonts w:ascii="Times New Roman" w:eastAsia="Times New Roman" w:hAnsi="Times New Roman" w:cs="Times New Roman"/>
          <w:color w:val="000000" w:themeColor="text1"/>
          <w:sz w:val="24"/>
          <w:szCs w:val="24"/>
          <w:lang w:eastAsia="sk-SK"/>
        </w:rPr>
        <w:t>sprístupňovacie</w:t>
      </w:r>
      <w:proofErr w:type="spellEnd"/>
      <w:r w:rsidRPr="00553831">
        <w:rPr>
          <w:rFonts w:ascii="Times New Roman" w:eastAsia="Times New Roman" w:hAnsi="Times New Roman" w:cs="Times New Roman"/>
          <w:color w:val="000000" w:themeColor="text1"/>
          <w:sz w:val="24"/>
          <w:szCs w:val="24"/>
          <w:lang w:eastAsia="sk-SK"/>
        </w:rPr>
        <w:t xml:space="preserve"> a súčinnostné povinnosti držiteľov povolení a držiteľov registrácie, pričom údaje budú sprístupňované ministerstvu zdravotníctva počas výkonu štátneho dozoru alebo na jeho požiadanie. Súčasne sa rozširuje okruh skutočností, ktoré bude potrebné priebežne preverovať, vyhodnocovať a v prípade zistení aj procesne a sankčne riešiť. Predbežne bola identifikovaná potreba vytvorenia dvoch odborných kapacít na odbore farmácie. Pri odhadovanej mesačnej celkovej cene práce 3 500 eur na 1 FTE predstavuje ročný dopad na osobné výdavky 84 000 eur.</w:t>
      </w:r>
    </w:p>
    <w:p w14:paraId="529BAAEB" w14:textId="77777777" w:rsidR="00DE135C" w:rsidRPr="00553831" w:rsidRDefault="00DE135C" w:rsidP="00F875B5">
      <w:pPr>
        <w:spacing w:after="0" w:line="240" w:lineRule="auto"/>
        <w:jc w:val="both"/>
        <w:rPr>
          <w:rFonts w:ascii="Times New Roman" w:eastAsia="Times New Roman" w:hAnsi="Times New Roman" w:cs="Times New Roman"/>
          <w:color w:val="000000" w:themeColor="text1"/>
          <w:sz w:val="24"/>
          <w:szCs w:val="24"/>
          <w:lang w:eastAsia="sk-SK"/>
        </w:rPr>
      </w:pPr>
    </w:p>
    <w:p w14:paraId="3BD17B8A" w14:textId="3E3CD186" w:rsidR="00DE135C" w:rsidRPr="00553831" w:rsidRDefault="00DE135C" w:rsidP="00F875B5">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Ministerstvo zdravotníctva Slovenskej republiky identifikovalo v súvislosti s návrhom novely zákona č. 363/2011 Z. z. potrebu personálneho pos</w:t>
      </w:r>
      <w:r w:rsidR="00047D8D" w:rsidRPr="00553831">
        <w:rPr>
          <w:rFonts w:ascii="Times New Roman" w:eastAsia="Times New Roman" w:hAnsi="Times New Roman" w:cs="Times New Roman"/>
          <w:color w:val="000000" w:themeColor="text1"/>
          <w:sz w:val="24"/>
          <w:szCs w:val="24"/>
          <w:lang w:eastAsia="sk-SK"/>
        </w:rPr>
        <w:t>ilnenia</w:t>
      </w:r>
      <w:r w:rsidRPr="00553831">
        <w:rPr>
          <w:rFonts w:ascii="Times New Roman" w:eastAsia="Times New Roman" w:hAnsi="Times New Roman" w:cs="Times New Roman"/>
          <w:color w:val="000000" w:themeColor="text1"/>
          <w:sz w:val="24"/>
          <w:szCs w:val="24"/>
          <w:lang w:eastAsia="sk-SK"/>
        </w:rPr>
        <w:t xml:space="preserve"> odboru Kategorizácie a liekovej politiky o tri štátnozamestnanecké miesta. Potreba vyplýva predovšetkým z rozšírenia rozsahu výkonu vyplývajúcej z novely, ktoré vedú k zrýchleniu procesu a zlepšeniu manažmentu verejných zdrojov v procese kategorizácie. </w:t>
      </w:r>
      <w:r w:rsidR="002C17D6" w:rsidRPr="00553831">
        <w:rPr>
          <w:rFonts w:ascii="Times New Roman" w:eastAsia="Times New Roman" w:hAnsi="Times New Roman" w:cs="Times New Roman"/>
          <w:color w:val="000000" w:themeColor="text1"/>
          <w:sz w:val="24"/>
          <w:szCs w:val="24"/>
          <w:lang w:eastAsia="sk-SK"/>
        </w:rPr>
        <w:t>Pri odhadovanej mesačnej celkovej cene práce 3 500 eur na 1 FTE predstavuje ročný dopad na osobné výdavky 126 000 eur.</w:t>
      </w:r>
    </w:p>
    <w:p w14:paraId="7B4E8BDD"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w:t>
      </w:r>
    </w:p>
    <w:p w14:paraId="0F588FB4"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538DADF4"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2.2.2. Charakteristika návrhu:</w:t>
      </w:r>
    </w:p>
    <w:p w14:paraId="7D574101"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1765BBA0"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b/>
          <w:color w:val="000000" w:themeColor="text1"/>
          <w:sz w:val="24"/>
          <w:szCs w:val="24"/>
          <w:bdr w:val="single" w:sz="4" w:space="0" w:color="auto"/>
          <w:lang w:eastAsia="sk-SK"/>
        </w:rPr>
        <w:t xml:space="preserve">     </w:t>
      </w:r>
      <w:r w:rsidRPr="00553831">
        <w:rPr>
          <w:rFonts w:ascii="Times New Roman" w:eastAsia="Times New Roman" w:hAnsi="Times New Roman" w:cs="Times New Roman"/>
          <w:b/>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zmena sadzby</w:t>
      </w:r>
    </w:p>
    <w:p w14:paraId="34DBB122"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bdr w:val="single" w:sz="4" w:space="0" w:color="auto"/>
          <w:lang w:eastAsia="sk-SK"/>
        </w:rPr>
        <w:t xml:space="preserve">     </w:t>
      </w:r>
      <w:r w:rsidRPr="00553831">
        <w:rPr>
          <w:rFonts w:ascii="Times New Roman" w:eastAsia="Times New Roman" w:hAnsi="Times New Roman" w:cs="Times New Roman"/>
          <w:color w:val="000000" w:themeColor="text1"/>
          <w:sz w:val="24"/>
          <w:szCs w:val="24"/>
          <w:lang w:eastAsia="sk-SK"/>
        </w:rPr>
        <w:t xml:space="preserve">  zmena v nároku</w:t>
      </w:r>
    </w:p>
    <w:p w14:paraId="6B272E2E"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bdr w:val="single" w:sz="4" w:space="0" w:color="auto"/>
          <w:lang w:eastAsia="sk-SK"/>
        </w:rPr>
        <w:t xml:space="preserve">     </w:t>
      </w:r>
      <w:r w:rsidRPr="00553831">
        <w:rPr>
          <w:rFonts w:ascii="Times New Roman" w:eastAsia="Times New Roman" w:hAnsi="Times New Roman" w:cs="Times New Roman"/>
          <w:color w:val="000000" w:themeColor="text1"/>
          <w:sz w:val="24"/>
          <w:szCs w:val="24"/>
          <w:lang w:eastAsia="sk-SK"/>
        </w:rPr>
        <w:t xml:space="preserve">  nová služba alebo nariadenie (alebo ich zrušenie)</w:t>
      </w:r>
    </w:p>
    <w:p w14:paraId="592389D4"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bdr w:val="single" w:sz="4" w:space="0" w:color="auto"/>
          <w:lang w:eastAsia="sk-SK"/>
        </w:rPr>
        <w:t xml:space="preserve">     </w:t>
      </w:r>
      <w:r w:rsidRPr="00553831">
        <w:rPr>
          <w:rFonts w:ascii="Times New Roman" w:eastAsia="Times New Roman" w:hAnsi="Times New Roman" w:cs="Times New Roman"/>
          <w:color w:val="000000" w:themeColor="text1"/>
          <w:sz w:val="24"/>
          <w:szCs w:val="24"/>
          <w:lang w:eastAsia="sk-SK"/>
        </w:rPr>
        <w:t xml:space="preserve">  kombinovaný návrh</w:t>
      </w:r>
    </w:p>
    <w:p w14:paraId="436B723E" w14:textId="3DB27A5F"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bdr w:val="single" w:sz="4" w:space="0" w:color="auto"/>
          <w:lang w:eastAsia="sk-SK"/>
        </w:rPr>
        <w:t xml:space="preserve">   </w:t>
      </w:r>
      <w:r w:rsidR="002C17D6" w:rsidRPr="00553831">
        <w:rPr>
          <w:rFonts w:ascii="Times New Roman" w:eastAsia="Times New Roman" w:hAnsi="Times New Roman" w:cs="Times New Roman"/>
          <w:color w:val="000000" w:themeColor="text1"/>
          <w:sz w:val="24"/>
          <w:szCs w:val="24"/>
          <w:bdr w:val="single" w:sz="4" w:space="0" w:color="auto"/>
          <w:lang w:eastAsia="sk-SK"/>
        </w:rPr>
        <w:t>x</w:t>
      </w:r>
      <w:r w:rsidRPr="00553831">
        <w:rPr>
          <w:rFonts w:ascii="Times New Roman" w:eastAsia="Times New Roman" w:hAnsi="Times New Roman" w:cs="Times New Roman"/>
          <w:color w:val="000000" w:themeColor="text1"/>
          <w:sz w:val="24"/>
          <w:szCs w:val="24"/>
          <w:bdr w:val="single" w:sz="4" w:space="0" w:color="auto"/>
          <w:lang w:eastAsia="sk-SK"/>
        </w:rPr>
        <w:t xml:space="preserve">  </w:t>
      </w:r>
      <w:r w:rsidRPr="00553831">
        <w:rPr>
          <w:rFonts w:ascii="Times New Roman" w:eastAsia="Times New Roman" w:hAnsi="Times New Roman" w:cs="Times New Roman"/>
          <w:color w:val="000000" w:themeColor="text1"/>
          <w:sz w:val="24"/>
          <w:szCs w:val="24"/>
          <w:lang w:eastAsia="sk-SK"/>
        </w:rPr>
        <w:t xml:space="preserve">  iné </w:t>
      </w:r>
    </w:p>
    <w:p w14:paraId="0C0A8167"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344F321E" w14:textId="7223E8B3"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66A2FF34" w14:textId="1ED7C820" w:rsidR="00E222A4" w:rsidRPr="00553831" w:rsidRDefault="00E222A4" w:rsidP="00ED7612">
      <w:pPr>
        <w:spacing w:after="0" w:line="240" w:lineRule="auto"/>
        <w:rPr>
          <w:rFonts w:ascii="Times New Roman" w:eastAsia="Times New Roman" w:hAnsi="Times New Roman" w:cs="Times New Roman"/>
          <w:color w:val="000000" w:themeColor="text1"/>
          <w:sz w:val="24"/>
          <w:szCs w:val="24"/>
          <w:lang w:eastAsia="sk-SK"/>
        </w:rPr>
      </w:pPr>
    </w:p>
    <w:p w14:paraId="572541ED" w14:textId="0E62FF4C" w:rsidR="00E222A4" w:rsidRPr="00553831" w:rsidRDefault="00E222A4" w:rsidP="00ED7612">
      <w:pPr>
        <w:spacing w:after="0" w:line="240" w:lineRule="auto"/>
        <w:rPr>
          <w:rFonts w:ascii="Times New Roman" w:eastAsia="Times New Roman" w:hAnsi="Times New Roman" w:cs="Times New Roman"/>
          <w:color w:val="000000" w:themeColor="text1"/>
          <w:sz w:val="24"/>
          <w:szCs w:val="24"/>
          <w:lang w:eastAsia="sk-SK"/>
        </w:rPr>
      </w:pPr>
    </w:p>
    <w:p w14:paraId="06E8CF72" w14:textId="66D820D2" w:rsidR="00E222A4" w:rsidRPr="00553831" w:rsidRDefault="00E222A4" w:rsidP="00ED7612">
      <w:pPr>
        <w:spacing w:after="0" w:line="240" w:lineRule="auto"/>
        <w:rPr>
          <w:rFonts w:ascii="Times New Roman" w:eastAsia="Times New Roman" w:hAnsi="Times New Roman" w:cs="Times New Roman"/>
          <w:color w:val="000000" w:themeColor="text1"/>
          <w:sz w:val="24"/>
          <w:szCs w:val="24"/>
          <w:lang w:eastAsia="sk-SK"/>
        </w:rPr>
      </w:pPr>
    </w:p>
    <w:p w14:paraId="72012770" w14:textId="77777777" w:rsidR="00351AF6" w:rsidRPr="00553831" w:rsidRDefault="00351AF6" w:rsidP="00ED7612">
      <w:pPr>
        <w:spacing w:after="0" w:line="240" w:lineRule="auto"/>
        <w:rPr>
          <w:rFonts w:ascii="Times New Roman" w:eastAsia="Times New Roman" w:hAnsi="Times New Roman" w:cs="Times New Roman"/>
          <w:b/>
          <w:bCs/>
          <w:color w:val="000000" w:themeColor="text1"/>
          <w:sz w:val="24"/>
          <w:szCs w:val="24"/>
          <w:lang w:eastAsia="sk-SK"/>
        </w:rPr>
      </w:pPr>
    </w:p>
    <w:p w14:paraId="32C2F09D" w14:textId="77777777" w:rsidR="00351AF6" w:rsidRPr="00553831" w:rsidRDefault="00351AF6" w:rsidP="00ED7612">
      <w:pPr>
        <w:spacing w:after="0" w:line="240" w:lineRule="auto"/>
        <w:rPr>
          <w:rFonts w:ascii="Times New Roman" w:eastAsia="Times New Roman" w:hAnsi="Times New Roman" w:cs="Times New Roman"/>
          <w:b/>
          <w:bCs/>
          <w:color w:val="000000" w:themeColor="text1"/>
          <w:sz w:val="24"/>
          <w:szCs w:val="24"/>
          <w:lang w:eastAsia="sk-SK"/>
        </w:rPr>
      </w:pPr>
    </w:p>
    <w:p w14:paraId="5C47F6B3" w14:textId="08229BE2"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2.2.3. Predpoklady vývoja objemu aktivít:</w:t>
      </w:r>
    </w:p>
    <w:p w14:paraId="4FD023D1"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7EFAED40"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Jasne popíšte, v prípade potreby použite nižšie uvedenú tabuľku. Uveďte aj odhady základov daní a/alebo poplatkov, ak sa ich táto zmena týka.</w:t>
      </w:r>
    </w:p>
    <w:p w14:paraId="7B6CB8C4" w14:textId="77777777" w:rsidR="00ED7612" w:rsidRPr="00553831" w:rsidRDefault="00ED7612" w:rsidP="00ED7612">
      <w:pPr>
        <w:spacing w:after="0" w:line="240" w:lineRule="auto"/>
        <w:jc w:val="right"/>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553831" w:rsidRPr="00553831" w14:paraId="5369C806" w14:textId="77777777" w:rsidTr="00ED7612">
        <w:trPr>
          <w:cantSplit/>
          <w:trHeight w:val="70"/>
        </w:trPr>
        <w:tc>
          <w:tcPr>
            <w:tcW w:w="4530" w:type="dxa"/>
            <w:vMerge w:val="restart"/>
            <w:shd w:val="clear" w:color="auto" w:fill="BFBFBF"/>
            <w:vAlign w:val="center"/>
          </w:tcPr>
          <w:p w14:paraId="14F9359C"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Objem aktivít</w:t>
            </w:r>
          </w:p>
        </w:tc>
        <w:tc>
          <w:tcPr>
            <w:tcW w:w="1134" w:type="dxa"/>
            <w:gridSpan w:val="4"/>
            <w:shd w:val="clear" w:color="auto" w:fill="BFBFBF"/>
            <w:vAlign w:val="center"/>
          </w:tcPr>
          <w:p w14:paraId="378A65A2"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Odhadované objemy</w:t>
            </w:r>
          </w:p>
        </w:tc>
      </w:tr>
      <w:tr w:rsidR="00553831" w:rsidRPr="00553831" w14:paraId="43087E9B" w14:textId="77777777" w:rsidTr="00ED7612">
        <w:trPr>
          <w:cantSplit/>
          <w:trHeight w:val="70"/>
        </w:trPr>
        <w:tc>
          <w:tcPr>
            <w:tcW w:w="4530" w:type="dxa"/>
            <w:vMerge/>
            <w:shd w:val="clear" w:color="auto" w:fill="BFBFBF"/>
          </w:tcPr>
          <w:p w14:paraId="1C2B75A8"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p>
        </w:tc>
        <w:tc>
          <w:tcPr>
            <w:tcW w:w="1134" w:type="dxa"/>
            <w:shd w:val="clear" w:color="auto" w:fill="BFBFBF"/>
            <w:vAlign w:val="center"/>
          </w:tcPr>
          <w:p w14:paraId="4A4D81F3"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r</w:t>
            </w:r>
          </w:p>
        </w:tc>
        <w:tc>
          <w:tcPr>
            <w:tcW w:w="1134" w:type="dxa"/>
            <w:shd w:val="clear" w:color="auto" w:fill="BFBFBF"/>
            <w:vAlign w:val="center"/>
          </w:tcPr>
          <w:p w14:paraId="1A7F31E7"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r + 1</w:t>
            </w:r>
          </w:p>
        </w:tc>
        <w:tc>
          <w:tcPr>
            <w:tcW w:w="1134" w:type="dxa"/>
            <w:shd w:val="clear" w:color="auto" w:fill="BFBFBF"/>
            <w:vAlign w:val="center"/>
          </w:tcPr>
          <w:p w14:paraId="1CAA309B"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r + 2</w:t>
            </w:r>
          </w:p>
        </w:tc>
        <w:tc>
          <w:tcPr>
            <w:tcW w:w="1134" w:type="dxa"/>
            <w:shd w:val="clear" w:color="auto" w:fill="BFBFBF"/>
            <w:vAlign w:val="center"/>
          </w:tcPr>
          <w:p w14:paraId="48175AF0" w14:textId="77777777" w:rsidR="00ED7612" w:rsidRPr="00553831" w:rsidRDefault="00ED7612" w:rsidP="00ED7612">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r + 3</w:t>
            </w:r>
          </w:p>
        </w:tc>
      </w:tr>
      <w:tr w:rsidR="00553831" w:rsidRPr="00553831" w14:paraId="6AF83AD0" w14:textId="77777777" w:rsidTr="00ED7612">
        <w:trPr>
          <w:trHeight w:val="70"/>
        </w:trPr>
        <w:tc>
          <w:tcPr>
            <w:tcW w:w="4530" w:type="dxa"/>
          </w:tcPr>
          <w:p w14:paraId="37EDDCD9" w14:textId="77777777" w:rsidR="00ED7612" w:rsidRPr="00553831" w:rsidRDefault="00ED7612" w:rsidP="00ED761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Indikátor ABC</w:t>
            </w:r>
          </w:p>
        </w:tc>
        <w:tc>
          <w:tcPr>
            <w:tcW w:w="1134" w:type="dxa"/>
          </w:tcPr>
          <w:p w14:paraId="3B3E30D2"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5BE3C6C6"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4C4D75A4"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52A6FB01"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r>
      <w:tr w:rsidR="00553831" w:rsidRPr="00553831" w14:paraId="469F13A2" w14:textId="77777777" w:rsidTr="00ED7612">
        <w:trPr>
          <w:trHeight w:val="70"/>
        </w:trPr>
        <w:tc>
          <w:tcPr>
            <w:tcW w:w="4530" w:type="dxa"/>
          </w:tcPr>
          <w:p w14:paraId="4FF53B84" w14:textId="77777777" w:rsidR="00ED7612" w:rsidRPr="00553831" w:rsidRDefault="00ED7612" w:rsidP="00ED761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Indikátor KLM</w:t>
            </w:r>
          </w:p>
        </w:tc>
        <w:tc>
          <w:tcPr>
            <w:tcW w:w="1134" w:type="dxa"/>
          </w:tcPr>
          <w:p w14:paraId="0DF91DD5"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28FA36EB"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2219943D"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4A58AAD9"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r>
      <w:tr w:rsidR="00ED7612" w:rsidRPr="00553831" w14:paraId="3D2A5E2B" w14:textId="77777777" w:rsidTr="00ED7612">
        <w:trPr>
          <w:trHeight w:val="70"/>
        </w:trPr>
        <w:tc>
          <w:tcPr>
            <w:tcW w:w="4530" w:type="dxa"/>
          </w:tcPr>
          <w:p w14:paraId="5FC10EA8" w14:textId="77777777" w:rsidR="00ED7612" w:rsidRPr="00553831" w:rsidRDefault="00ED7612" w:rsidP="00ED7612">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Indikátor XYZ</w:t>
            </w:r>
          </w:p>
        </w:tc>
        <w:tc>
          <w:tcPr>
            <w:tcW w:w="1134" w:type="dxa"/>
          </w:tcPr>
          <w:p w14:paraId="0C5C36F3"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48B4BBAE"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5890CCEA"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c>
          <w:tcPr>
            <w:tcW w:w="1134" w:type="dxa"/>
          </w:tcPr>
          <w:p w14:paraId="46120A85" w14:textId="77777777" w:rsidR="00ED7612" w:rsidRPr="00553831" w:rsidRDefault="00ED7612" w:rsidP="00ED7612">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sk-SK"/>
              </w:rPr>
            </w:pPr>
          </w:p>
        </w:tc>
      </w:tr>
    </w:tbl>
    <w:p w14:paraId="1D6B66E6"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3C573FC6"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7A366DEF"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2.2.4. Výpočty vplyvov na verejné financie</w:t>
      </w:r>
    </w:p>
    <w:p w14:paraId="15247651"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p w14:paraId="32DBCB15"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350AAD4F"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p>
    <w:p w14:paraId="75A790E1"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1. Úvod</w:t>
      </w:r>
    </w:p>
    <w:p w14:paraId="386DF822" w14:textId="3CCA7E0D"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Cieľom návrhu je upraviť mechanizmy cenotvorby a podmienky vstupu liekov do úhradového systému tak, aby sa zvýšila transparentnosť, zabezpečila, resp. zvýšila dostupnosť kritických ako aj generických či biologicky podobných liekov a zabezpečil prístup pacientov k inovatívnym liekom, liekom na liečbu ojedinelých ochorení, liekom na liečbu závažných ochorení a liekom určeným na pediatrickú indikáciu.</w:t>
      </w:r>
      <w:r w:rsidR="00FD5986" w:rsidRPr="00553831">
        <w:rPr>
          <w:rFonts w:ascii="Times New Roman" w:eastAsia="Times New Roman" w:hAnsi="Times New Roman" w:cs="Times New Roman"/>
          <w:color w:val="000000" w:themeColor="text1"/>
          <w:sz w:val="24"/>
          <w:szCs w:val="24"/>
          <w:lang w:eastAsia="sk-SK"/>
        </w:rPr>
        <w:t xml:space="preserve"> Zároveň sa novelou zákona ruší osobitná cenová </w:t>
      </w:r>
      <w:r w:rsidR="00546611" w:rsidRPr="00553831">
        <w:rPr>
          <w:rFonts w:ascii="Times New Roman" w:eastAsia="Times New Roman" w:hAnsi="Times New Roman" w:cs="Times New Roman"/>
          <w:color w:val="000000" w:themeColor="text1"/>
          <w:sz w:val="24"/>
          <w:szCs w:val="24"/>
          <w:lang w:eastAsia="sk-SK"/>
        </w:rPr>
        <w:t>regulácia</w:t>
      </w:r>
      <w:r w:rsidR="00FD5986" w:rsidRPr="00553831">
        <w:rPr>
          <w:rFonts w:ascii="Times New Roman" w:eastAsia="Times New Roman" w:hAnsi="Times New Roman" w:cs="Times New Roman"/>
          <w:color w:val="000000" w:themeColor="text1"/>
          <w:sz w:val="24"/>
          <w:szCs w:val="24"/>
          <w:lang w:eastAsia="sk-SK"/>
        </w:rPr>
        <w:t xml:space="preserve"> a ponecháva sa len možnosť zotrvania na priemere 10 európskych cien pre lieky vyrábané z </w:t>
      </w:r>
      <w:r w:rsidR="00546611" w:rsidRPr="00553831">
        <w:rPr>
          <w:rFonts w:ascii="Times New Roman" w:eastAsia="Times New Roman" w:hAnsi="Times New Roman" w:cs="Times New Roman"/>
          <w:color w:val="000000" w:themeColor="text1"/>
          <w:sz w:val="24"/>
          <w:szCs w:val="24"/>
          <w:lang w:eastAsia="sk-SK"/>
        </w:rPr>
        <w:t>ľudskej</w:t>
      </w:r>
      <w:r w:rsidR="00FD5986" w:rsidRPr="00553831">
        <w:rPr>
          <w:rFonts w:ascii="Times New Roman" w:eastAsia="Times New Roman" w:hAnsi="Times New Roman" w:cs="Times New Roman"/>
          <w:color w:val="000000" w:themeColor="text1"/>
          <w:sz w:val="24"/>
          <w:szCs w:val="24"/>
          <w:lang w:eastAsia="sk-SK"/>
        </w:rPr>
        <w:t xml:space="preserve"> krvi a plazmy. Nakoľko aktuálne už tieto lieky majú v úhrade cenu na úrovni priemeru 10 európskych krajín, nevytvárajú dopad na rozpočet. </w:t>
      </w:r>
    </w:p>
    <w:p w14:paraId="6DD4F582"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p>
    <w:p w14:paraId="1DDB6F2B"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2.   Opis legislatívnych zmien</w:t>
      </w:r>
    </w:p>
    <w:p w14:paraId="064490AD"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0F6EFE57"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2.1 Umožnenie zvýšenia cien na úroveň európskej referenčnej ceny (ďalej len „ERC“)</w:t>
      </w:r>
    </w:p>
    <w:p w14:paraId="301FF9A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55B8DE9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Ide o tieto dve kľúčové opatrenia:</w:t>
      </w:r>
    </w:p>
    <w:p w14:paraId="30405B2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2FF53977"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umožnenie zvýšenia úradne určenej ceny pre generické a biologicky podobné lieky na úroveň európskej referenčnej ceny, kedy ministerstvo rozhodne o zvýšení úradne určenej ceny generického lieku alebo biologicky podobného lieku, ak návrh úradne určenej ceny lieku nepresahuje európsku referenčnú cenu lieku,</w:t>
      </w:r>
    </w:p>
    <w:p w14:paraId="6DAA4559"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ministerstvo môže rozhodnúť o zvýšení úradne určenej ceny lieku najviac na tretiu najnižšiu cenu spomedzi úradne určených cien lieku v členských štátoch, ak je predmetom žiadosti liek, ktorého účinná látka je v deň podania žiadosti zaradená v zozname kritických liekov Európskej únie. Výnimkou sú prípady, ak je liek (resp. jeho účinná látka) predmetom zmluvy podľa § 7a ods. 1 alebo ods. 2.</w:t>
      </w:r>
    </w:p>
    <w:p w14:paraId="57ECF79B" w14:textId="77777777" w:rsidR="004202BD" w:rsidRPr="00553831" w:rsidRDefault="004202BD"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CB09E53" w14:textId="352E32E0" w:rsidR="004202BD"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2.2 </w:t>
      </w:r>
      <w:r w:rsidR="004202BD" w:rsidRPr="00553831">
        <w:rPr>
          <w:rFonts w:ascii="Times New Roman" w:eastAsia="Times New Roman" w:hAnsi="Times New Roman" w:cs="Times New Roman"/>
          <w:bCs/>
          <w:color w:val="000000" w:themeColor="text1"/>
          <w:sz w:val="24"/>
          <w:szCs w:val="24"/>
          <w:lang w:eastAsia="sk-SK"/>
        </w:rPr>
        <w:t>Zmena § 7 ods. 3</w:t>
      </w:r>
    </w:p>
    <w:p w14:paraId="14F93ECF" w14:textId="77777777" w:rsidR="00106A28" w:rsidRPr="00553831" w:rsidRDefault="00106A28"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3D623430" w14:textId="0FE89784" w:rsidR="00546611"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V § 7 ods. 3, ktorým sa určuje prahová hodnota posudzovaného lieku, sa za slová „ojedinelé ochorenie“ vkladá čiarka a slová „</w:t>
      </w:r>
    </w:p>
    <w:p w14:paraId="57F0380D" w14:textId="56750EE0"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liek na pediatrickú indikáciu“. Tým sa určuje, ak predmetom žiadosti je liek na ojedinelé ochorenie, liek na pediatrickú indikáciu alebo liek na inovatívnu liečbu, príslušný násobok hrubého domáceho produktu Slovenskej republiky nesmie byť vyšší ako 10. </w:t>
      </w:r>
    </w:p>
    <w:p w14:paraId="35A31F9E"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Navrhovaná úprava § 7 ods. 3 zákona č. 363/2011 Z. z. o rozsahu a podmienkach úhrady liekov predstavuje spresnenie a harmonizáciu existujúcich kategórií liekov v súlade s metodikou hodnotenia zdravotníckych technológií (HTA) a európskymi štandardmi. </w:t>
      </w:r>
    </w:p>
    <w:p w14:paraId="4E00C285"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Z legislatívneho hľadiska táto úprava posilňuje záruky spravodlivého prístupu k liečbe pri život ohrozujúcich diagnózach, kde prínos liečby často presahuje rámec klasických ekonomických ukazovateľov.</w:t>
      </w:r>
    </w:p>
    <w:p w14:paraId="234CC93F" w14:textId="0E334528" w:rsidR="004202BD"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Zmena prináša pridanú hodnotu pre pacientov zlepšením transparentnosti, predvídateľnosti a rovnosti v posudzovaní liekov pre malé alebo špecifické populácie pacientov. Posilňuje sa tým zásada rovnosti prístupu pacientov a nediskriminácie malých alebo špecifických populácií pacientov, v súlade s článkom 35 Charty základných práv EÚ (zdravotná starostlivosť) a zásadami objektívnosti v rozhodovaní o úhradách podľa hlavy XIV (verejné zdravie) čl. 168 Zmluvy o Európskej únii a Zmluvy o fungovaní Európskej únie.</w:t>
      </w:r>
    </w:p>
    <w:p w14:paraId="7A066242"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p>
    <w:p w14:paraId="31202F8C"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p>
    <w:p w14:paraId="2326D1D6" w14:textId="4F84CDD0" w:rsidR="00ED7612" w:rsidRPr="00553831" w:rsidRDefault="004202BD"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2.3 </w:t>
      </w:r>
      <w:r w:rsidR="00ED7612" w:rsidRPr="00553831">
        <w:rPr>
          <w:rFonts w:ascii="Times New Roman" w:eastAsia="Times New Roman" w:hAnsi="Times New Roman" w:cs="Times New Roman"/>
          <w:bCs/>
          <w:color w:val="000000" w:themeColor="text1"/>
          <w:sz w:val="24"/>
          <w:szCs w:val="24"/>
          <w:lang w:eastAsia="sk-SK"/>
        </w:rPr>
        <w:t>Zmena § 7 ods. 5</w:t>
      </w:r>
    </w:p>
    <w:p w14:paraId="234CCCD2"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545A521B"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Navrhuje sa zmena § 7 ods. 5 zákona č. 363/2011 Z. z., ktorá umožní vstup liekov na ojedinelé ochorenie, liekov na inovatívnu liečbu, liekov na pediatrickú indikáciu a liekov určených na liečbu závažného ochorenia do úhradového systému aj v prípadoch, ak nespĺňajú podmienky podľa odseku 2, za súčasného splnenia prísnych klinických kritérií a zabezpečenia účelného vynakladania prostriedkov verejného zdravotného poistenia:</w:t>
      </w:r>
    </w:p>
    <w:p w14:paraId="280CAA0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08E3AEAE"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rozširuje túto možnosť okrem </w:t>
      </w:r>
      <w:bookmarkStart w:id="1" w:name="_Hlk211875392"/>
      <w:r w:rsidRPr="00553831">
        <w:rPr>
          <w:rFonts w:ascii="Times New Roman" w:eastAsia="Calibri" w:hAnsi="Times New Roman" w:cs="Times New Roman"/>
          <w:color w:val="000000" w:themeColor="text1"/>
          <w:sz w:val="24"/>
        </w:rPr>
        <w:t>lieku na ojedinelé ochorenie</w:t>
      </w:r>
      <w:bookmarkEnd w:id="1"/>
      <w:r w:rsidRPr="00553831">
        <w:rPr>
          <w:rFonts w:ascii="Times New Roman" w:eastAsia="Calibri" w:hAnsi="Times New Roman" w:cs="Times New Roman"/>
          <w:color w:val="000000" w:themeColor="text1"/>
          <w:sz w:val="24"/>
        </w:rPr>
        <w:t xml:space="preserve"> a lieku na inovatívnu liečbu (ktoré  sú už  dnes týmto spôsobom definované), aj na liek na pediatrickú indikáciu alebo liek určený na liečbu závažného ochorenia.</w:t>
      </w:r>
    </w:p>
    <w:p w14:paraId="1E1CDAA3"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53FC668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3. Metodika výpočtu dopadu na rozpočet</w:t>
      </w:r>
    </w:p>
    <w:p w14:paraId="14F6DFB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5DF0C3DF"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3.1 Umožnenie zvýšenia úradne určenej ceny </w:t>
      </w:r>
    </w:p>
    <w:p w14:paraId="789726CA"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59B7F8F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Pre výpočet dopadu povolenia zvýšenia cien na ERC alebo tretiu najnižšiu cenu boli použité tieto kroky:</w:t>
      </w:r>
    </w:p>
    <w:p w14:paraId="01D7C11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D16D476"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podľa ŠÚKL kódov z aktuálne platného zoznamu kategorizovaných liekov bola vykonaná identifikácia všetkých generických („G“), biologicky podobných liekov („B“), priradenie príznaku „kritický“ (príznak „c“), ak liek obsahuje účinnú látku, ktorá je v platnom zozname kritických liekov vedenom Európskou liekovou agentúrou,</w:t>
      </w:r>
    </w:p>
    <w:p w14:paraId="7FE1958C"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podľa ŠÚKL kódov z aktuálne platného zoznamu kategorizovaných liekov bola vykonaná identifikácia originálnych liekov obsahujúcich účinnú látku („O kritický“), ktorá je v platnom zozname kritických liekov vedenom Európskou liekovou agentúrou,,</w:t>
      </w:r>
    </w:p>
    <w:p w14:paraId="0C33152C"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pre každý liek identifikácia možnej zvýšenej ceny (priemer troch najnižších cien v EÚ pre generické a biologicky podobné lieky bez príznaku kritický liek, resp. tretia najnižšia cena pre generické, biologicky podobné lieky a originálne lieky s príznakom kritický)</w:t>
      </w:r>
    </w:p>
    <w:p w14:paraId="1EBFEF76"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porovnanie aktuálnej úradne určenej ceny s potencionálne zvýšenou cenou, pričom potencionálne zvýšená  cena je prioritná,</w:t>
      </w:r>
    </w:p>
    <w:p w14:paraId="4452375E"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výpočet novej konečnej ceny podľa degresívnej marže a úhrady podľa platného percenta úhrady,</w:t>
      </w:r>
    </w:p>
    <w:p w14:paraId="2122DF27" w14:textId="2F8A9852"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aplikácia pravdepodobnostného faktora zvýšenia ceny resp. pretrvávania zvýšenej ceny v roku 2027 a v roku 2028</w:t>
      </w:r>
      <w:r w:rsidR="00546611" w:rsidRPr="00553831">
        <w:rPr>
          <w:rFonts w:ascii="Times New Roman" w:eastAsia="Calibri" w:hAnsi="Times New Roman" w:cs="Times New Roman"/>
          <w:color w:val="000000" w:themeColor="text1"/>
          <w:sz w:val="24"/>
        </w:rPr>
        <w:t xml:space="preserve"> a 2029</w:t>
      </w:r>
      <w:r w:rsidRPr="00553831">
        <w:rPr>
          <w:rFonts w:ascii="Times New Roman" w:eastAsia="Calibri" w:hAnsi="Times New Roman" w:cs="Times New Roman"/>
          <w:color w:val="000000" w:themeColor="text1"/>
          <w:sz w:val="24"/>
        </w:rPr>
        <w:t xml:space="preserve"> v závislosti od počtu liekov v úhradovej skupine,</w:t>
      </w:r>
    </w:p>
    <w:p w14:paraId="51D79204" w14:textId="12A7E58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spracovanie spotrieb liekov podľa ŠUKL kódov s predikciou spotrieb na obdobie dokonca roka 202</w:t>
      </w:r>
      <w:r w:rsidR="00D262D5" w:rsidRPr="00553831">
        <w:rPr>
          <w:rFonts w:ascii="Times New Roman" w:eastAsia="Calibri" w:hAnsi="Times New Roman" w:cs="Times New Roman"/>
          <w:color w:val="000000" w:themeColor="text1"/>
          <w:sz w:val="24"/>
        </w:rPr>
        <w:t>9</w:t>
      </w:r>
      <w:r w:rsidRPr="00553831">
        <w:rPr>
          <w:rFonts w:ascii="Times New Roman" w:eastAsia="Calibri" w:hAnsi="Times New Roman" w:cs="Times New Roman"/>
          <w:color w:val="000000" w:themeColor="text1"/>
          <w:sz w:val="24"/>
        </w:rPr>
        <w:t>,</w:t>
      </w:r>
    </w:p>
    <w:p w14:paraId="56097BCB"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doplnené zmeny upravené o pravdepodobnosť zvýšenia úhrady podľa počtu liekov v jednej referenčnej skupine,</w:t>
      </w:r>
    </w:p>
    <w:p w14:paraId="44DEFA81" w14:textId="77777777"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doplnenie efektu vstupu nových generických a biologicky podobných liekov po strate trhovej exkluzivity podľa údajov EMA,</w:t>
      </w:r>
    </w:p>
    <w:p w14:paraId="01CBF28D"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621938E2" w14:textId="1F3D99C9" w:rsidR="004202BD"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3.2 </w:t>
      </w:r>
      <w:r w:rsidR="004202BD" w:rsidRPr="00553831">
        <w:rPr>
          <w:rFonts w:ascii="Times New Roman" w:eastAsia="Times New Roman" w:hAnsi="Times New Roman" w:cs="Times New Roman"/>
          <w:bCs/>
          <w:color w:val="000000" w:themeColor="text1"/>
          <w:sz w:val="24"/>
          <w:szCs w:val="24"/>
          <w:lang w:eastAsia="sk-SK"/>
        </w:rPr>
        <w:t>Zmena § 7 ods. 3</w:t>
      </w:r>
    </w:p>
    <w:p w14:paraId="6C11CA54" w14:textId="77777777" w:rsidR="004202BD" w:rsidRPr="00553831" w:rsidRDefault="004202BD"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5C970F1F"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Posúdenie vplyvu zvýšenia prahu pre liek na pediatrickú indikáciu</w:t>
      </w:r>
    </w:p>
    <w:p w14:paraId="34653968"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p>
    <w:p w14:paraId="2A2C0D74"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Doplnenie pojmu „liek na pediatrickú indikáciu“ je zavedením definície, ktorú pri posudzovaní lieku v procese registrácie používa aj Európska lieková agentúra a pojem sa odkazuje na Nariadenie Európskej Únie. Epidemiologické údaje preukazujú, že pediatrické ochorenia často spĺňajú kritériá zriedkavosti – ich prevalencia sa pohybuje výrazne pod hranicou 5 na 10 000 obyvateľov, čo zodpovedá definícii „ojedinelého ochorenia“ podľa nariadenia (ES) č. 141/2000.</w:t>
      </w:r>
    </w:p>
    <w:p w14:paraId="770CD1E9" w14:textId="37F63E58"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Podľa správy Európskej liekovej agentúry “Report </w:t>
      </w:r>
      <w:proofErr w:type="spellStart"/>
      <w:r w:rsidRPr="00553831">
        <w:rPr>
          <w:rFonts w:ascii="Times New Roman" w:eastAsia="Times New Roman" w:hAnsi="Times New Roman" w:cs="Times New Roman"/>
          <w:bCs/>
          <w:color w:val="000000" w:themeColor="text1"/>
          <w:sz w:val="24"/>
          <w:szCs w:val="24"/>
          <w:lang w:eastAsia="sk-SK"/>
        </w:rPr>
        <w:t>from</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Commission</w:t>
      </w:r>
      <w:proofErr w:type="spellEnd"/>
      <w:r w:rsidRPr="00553831">
        <w:rPr>
          <w:rFonts w:ascii="Times New Roman" w:eastAsia="Times New Roman" w:hAnsi="Times New Roman" w:cs="Times New Roman"/>
          <w:bCs/>
          <w:color w:val="000000" w:themeColor="text1"/>
          <w:sz w:val="24"/>
          <w:szCs w:val="24"/>
          <w:lang w:eastAsia="sk-SK"/>
        </w:rPr>
        <w:t xml:space="preserve"> to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European</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Parliament</w:t>
      </w:r>
      <w:proofErr w:type="spellEnd"/>
      <w:r w:rsidRPr="00553831">
        <w:rPr>
          <w:rFonts w:ascii="Times New Roman" w:eastAsia="Times New Roman" w:hAnsi="Times New Roman" w:cs="Times New Roman"/>
          <w:bCs/>
          <w:color w:val="000000" w:themeColor="text1"/>
          <w:sz w:val="24"/>
          <w:szCs w:val="24"/>
          <w:lang w:eastAsia="sk-SK"/>
        </w:rPr>
        <w:t xml:space="preserve"> and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Council</w:t>
      </w:r>
      <w:proofErr w:type="spellEnd"/>
      <w:r w:rsidRPr="00553831">
        <w:rPr>
          <w:rFonts w:ascii="Times New Roman" w:eastAsia="Times New Roman" w:hAnsi="Times New Roman" w:cs="Times New Roman"/>
          <w:bCs/>
          <w:color w:val="000000" w:themeColor="text1"/>
          <w:sz w:val="24"/>
          <w:szCs w:val="24"/>
          <w:lang w:eastAsia="sk-SK"/>
        </w:rPr>
        <w:t xml:space="preserve"> State of </w:t>
      </w:r>
      <w:proofErr w:type="spellStart"/>
      <w:r w:rsidRPr="00553831">
        <w:rPr>
          <w:rFonts w:ascii="Times New Roman" w:eastAsia="Times New Roman" w:hAnsi="Times New Roman" w:cs="Times New Roman"/>
          <w:bCs/>
          <w:color w:val="000000" w:themeColor="text1"/>
          <w:sz w:val="24"/>
          <w:szCs w:val="24"/>
          <w:lang w:eastAsia="sk-SK"/>
        </w:rPr>
        <w:t>Paediatric</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Medicines</w:t>
      </w:r>
      <w:proofErr w:type="spellEnd"/>
      <w:r w:rsidRPr="00553831">
        <w:rPr>
          <w:rFonts w:ascii="Times New Roman" w:eastAsia="Times New Roman" w:hAnsi="Times New Roman" w:cs="Times New Roman"/>
          <w:bCs/>
          <w:color w:val="000000" w:themeColor="text1"/>
          <w:sz w:val="24"/>
          <w:szCs w:val="24"/>
          <w:lang w:eastAsia="sk-SK"/>
        </w:rPr>
        <w:t xml:space="preserve"> in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EU 10 </w:t>
      </w:r>
      <w:proofErr w:type="spellStart"/>
      <w:r w:rsidRPr="00553831">
        <w:rPr>
          <w:rFonts w:ascii="Times New Roman" w:eastAsia="Times New Roman" w:hAnsi="Times New Roman" w:cs="Times New Roman"/>
          <w:bCs/>
          <w:color w:val="000000" w:themeColor="text1"/>
          <w:sz w:val="24"/>
          <w:szCs w:val="24"/>
          <w:lang w:eastAsia="sk-SK"/>
        </w:rPr>
        <w:t>years</w:t>
      </w:r>
      <w:proofErr w:type="spellEnd"/>
      <w:r w:rsidRPr="00553831">
        <w:rPr>
          <w:rFonts w:ascii="Times New Roman" w:eastAsia="Times New Roman" w:hAnsi="Times New Roman" w:cs="Times New Roman"/>
          <w:bCs/>
          <w:color w:val="000000" w:themeColor="text1"/>
          <w:sz w:val="24"/>
          <w:szCs w:val="24"/>
          <w:lang w:eastAsia="sk-SK"/>
        </w:rPr>
        <w:t xml:space="preserve"> of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EU </w:t>
      </w:r>
      <w:proofErr w:type="spellStart"/>
      <w:r w:rsidRPr="00553831">
        <w:rPr>
          <w:rFonts w:ascii="Times New Roman" w:eastAsia="Times New Roman" w:hAnsi="Times New Roman" w:cs="Times New Roman"/>
          <w:bCs/>
          <w:color w:val="000000" w:themeColor="text1"/>
          <w:sz w:val="24"/>
          <w:szCs w:val="24"/>
          <w:lang w:eastAsia="sk-SK"/>
        </w:rPr>
        <w:t>Paediatric</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Regulation</w:t>
      </w:r>
      <w:proofErr w:type="spellEnd"/>
      <w:r w:rsidRPr="00553831">
        <w:rPr>
          <w:rFonts w:ascii="Times New Roman" w:eastAsia="Times New Roman" w:hAnsi="Times New Roman" w:cs="Times New Roman"/>
          <w:bCs/>
          <w:color w:val="000000" w:themeColor="text1"/>
          <w:sz w:val="24"/>
          <w:szCs w:val="24"/>
          <w:lang w:eastAsia="sk-SK"/>
        </w:rPr>
        <w:t>. COM (2017) 626) časť pediatrických liekov registrovaných podľa nariadenia (ES) č. 1901/2006 o liekoch na pediatrické použitie má označenie „</w:t>
      </w:r>
      <w:proofErr w:type="spellStart"/>
      <w:r w:rsidRPr="00553831">
        <w:rPr>
          <w:rFonts w:ascii="Times New Roman" w:eastAsia="Times New Roman" w:hAnsi="Times New Roman" w:cs="Times New Roman"/>
          <w:bCs/>
          <w:color w:val="000000" w:themeColor="text1"/>
          <w:sz w:val="24"/>
          <w:szCs w:val="24"/>
          <w:lang w:eastAsia="sk-SK"/>
        </w:rPr>
        <w:t>orphan</w:t>
      </w:r>
      <w:proofErr w:type="spellEnd"/>
      <w:r w:rsidRPr="00553831">
        <w:rPr>
          <w:rFonts w:ascii="Times New Roman" w:eastAsia="Times New Roman" w:hAnsi="Times New Roman" w:cs="Times New Roman"/>
          <w:bCs/>
          <w:color w:val="000000" w:themeColor="text1"/>
          <w:sz w:val="24"/>
          <w:szCs w:val="24"/>
          <w:lang w:eastAsia="sk-SK"/>
        </w:rPr>
        <w:t xml:space="preserve">“ alebo sa týka ochorení s extrémne nízkou prevalenciou. Z tohto dôvodu sú lieky na pediatrickú indikáciu fakticky podskupinou liekov na ojedinelé ochorenia. Zostávajúcu časť tvoria lieky, ktorých indikácia bola rozšírená na základe pediatrického investigatívneho plánu aj na čiastočnú alebo celú populáciu v detskom veku. Preto je dôležité uviesť, že súčasná právna úprava už umožňuje rozšírenie indikácie podľa veku v rámci § 20 ods. 5 zákona, podľa ktorého „rozšírenie indikačného obmedzenia, ktorého predmetom je zmena veku pacienta, ktorému môže byť liečba liekom indikovaná,“ sa nepovažuje za zmenu vyžadujúcu novú </w:t>
      </w:r>
      <w:proofErr w:type="spellStart"/>
      <w:r w:rsidRPr="00553831">
        <w:rPr>
          <w:rFonts w:ascii="Times New Roman" w:eastAsia="Times New Roman" w:hAnsi="Times New Roman" w:cs="Times New Roman"/>
          <w:bCs/>
          <w:color w:val="000000" w:themeColor="text1"/>
          <w:sz w:val="24"/>
          <w:szCs w:val="24"/>
          <w:lang w:eastAsia="sk-SK"/>
        </w:rPr>
        <w:t>farmako</w:t>
      </w:r>
      <w:proofErr w:type="spellEnd"/>
      <w:r w:rsidRPr="00553831">
        <w:rPr>
          <w:rFonts w:ascii="Times New Roman" w:eastAsia="Times New Roman" w:hAnsi="Times New Roman" w:cs="Times New Roman"/>
          <w:bCs/>
          <w:color w:val="000000" w:themeColor="text1"/>
          <w:sz w:val="24"/>
          <w:szCs w:val="24"/>
          <w:lang w:eastAsia="sk-SK"/>
        </w:rPr>
        <w:t xml:space="preserve">-ekonomickú analýzu. Doplnenie lieku na pediatrickú indikáciu do § 7 ods. 3 zosúlaďuje text zákona s aplikačnou praxou a umožní lepšie sledovanie napĺňania potrieb špecifických pre pediatrickú populáciu. Rovnako to umožní lepšie monitorovanie dostupnosti pediatrických terapií a zabezpečí, aby detskí pacienti neboli znevýhodnení pri prístupe k moderným liekom. Po dôkladnom preskúmaní aktuálne posudzovaných liekov, resp. liekov, ktoré sú registrované Európskou liekovou agentúrou (zoznam registrovaných liekov, zoznam liekov so schváleným pediatrickým investigatívnym plánom tzv. „PIP </w:t>
      </w:r>
      <w:proofErr w:type="spellStart"/>
      <w:r w:rsidRPr="00553831">
        <w:rPr>
          <w:rFonts w:ascii="Times New Roman" w:eastAsia="Times New Roman" w:hAnsi="Times New Roman" w:cs="Times New Roman"/>
          <w:bCs/>
          <w:color w:val="000000" w:themeColor="text1"/>
          <w:sz w:val="24"/>
          <w:szCs w:val="24"/>
          <w:lang w:eastAsia="sk-SK"/>
        </w:rPr>
        <w:t>waiver</w:t>
      </w:r>
      <w:proofErr w:type="spellEnd"/>
      <w:r w:rsidRPr="00553831">
        <w:rPr>
          <w:rFonts w:ascii="Times New Roman" w:eastAsia="Times New Roman" w:hAnsi="Times New Roman" w:cs="Times New Roman"/>
          <w:bCs/>
          <w:color w:val="000000" w:themeColor="text1"/>
          <w:sz w:val="24"/>
          <w:szCs w:val="24"/>
          <w:lang w:eastAsia="sk-SK"/>
        </w:rPr>
        <w:t xml:space="preserve"> Register“,  zápisnice Výboru pre lieky na humánne použitie -CHMP, zápisnice Výbor pre inovatívne lieky -CAT), neboli identifikované lieky, ktoré by v rámci pediatrickej indikácie neboli súčasne liekmi určenými na liečbu ojedinelých ochorení, alebo neboli liekmi vekovo rozširujúcimi použitie lieku určeného na liečbu konkrétneho ochorenia v dospelej populácii. </w:t>
      </w:r>
    </w:p>
    <w:p w14:paraId="7569A044"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p>
    <w:p w14:paraId="7A7F58A5" w14:textId="77777777" w:rsidR="00A13276" w:rsidRPr="00553831" w:rsidRDefault="00A13276" w:rsidP="00106A28">
      <w:pPr>
        <w:spacing w:after="0" w:line="240" w:lineRule="auto"/>
        <w:jc w:val="both"/>
        <w:rPr>
          <w:rFonts w:ascii="Times New Roman" w:eastAsia="Times New Roman" w:hAnsi="Times New Roman" w:cs="Times New Roman"/>
          <w:bCs/>
          <w:color w:val="000000" w:themeColor="text1"/>
          <w:sz w:val="24"/>
          <w:szCs w:val="24"/>
          <w:lang w:eastAsia="sk-SK"/>
        </w:rPr>
      </w:pPr>
    </w:p>
    <w:p w14:paraId="4D622853"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p>
    <w:p w14:paraId="49B1E83F"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Zdroje:</w:t>
      </w:r>
    </w:p>
    <w:p w14:paraId="49278889" w14:textId="77777777" w:rsidR="00106A28"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w:t>
      </w:r>
      <w:r w:rsidRPr="00553831">
        <w:rPr>
          <w:rFonts w:ascii="Times New Roman" w:eastAsia="Times New Roman" w:hAnsi="Times New Roman" w:cs="Times New Roman"/>
          <w:bCs/>
          <w:color w:val="000000" w:themeColor="text1"/>
          <w:sz w:val="24"/>
          <w:szCs w:val="24"/>
          <w:lang w:eastAsia="sk-SK"/>
        </w:rPr>
        <w:tab/>
        <w:t xml:space="preserve">EK (2017): Report </w:t>
      </w:r>
      <w:proofErr w:type="spellStart"/>
      <w:r w:rsidRPr="00553831">
        <w:rPr>
          <w:rFonts w:ascii="Times New Roman" w:eastAsia="Times New Roman" w:hAnsi="Times New Roman" w:cs="Times New Roman"/>
          <w:bCs/>
          <w:color w:val="000000" w:themeColor="text1"/>
          <w:sz w:val="24"/>
          <w:szCs w:val="24"/>
          <w:lang w:eastAsia="sk-SK"/>
        </w:rPr>
        <w:t>from</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Commission</w:t>
      </w:r>
      <w:proofErr w:type="spellEnd"/>
      <w:r w:rsidRPr="00553831">
        <w:rPr>
          <w:rFonts w:ascii="Times New Roman" w:eastAsia="Times New Roman" w:hAnsi="Times New Roman" w:cs="Times New Roman"/>
          <w:bCs/>
          <w:color w:val="000000" w:themeColor="text1"/>
          <w:sz w:val="24"/>
          <w:szCs w:val="24"/>
          <w:lang w:eastAsia="sk-SK"/>
        </w:rPr>
        <w:t xml:space="preserve"> to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European</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Parliament</w:t>
      </w:r>
      <w:proofErr w:type="spellEnd"/>
      <w:r w:rsidRPr="00553831">
        <w:rPr>
          <w:rFonts w:ascii="Times New Roman" w:eastAsia="Times New Roman" w:hAnsi="Times New Roman" w:cs="Times New Roman"/>
          <w:bCs/>
          <w:color w:val="000000" w:themeColor="text1"/>
          <w:sz w:val="24"/>
          <w:szCs w:val="24"/>
          <w:lang w:eastAsia="sk-SK"/>
        </w:rPr>
        <w:t xml:space="preserve"> and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Council</w:t>
      </w:r>
      <w:proofErr w:type="spellEnd"/>
      <w:r w:rsidRPr="00553831">
        <w:rPr>
          <w:rFonts w:ascii="Times New Roman" w:eastAsia="Times New Roman" w:hAnsi="Times New Roman" w:cs="Times New Roman"/>
          <w:bCs/>
          <w:color w:val="000000" w:themeColor="text1"/>
          <w:sz w:val="24"/>
          <w:szCs w:val="24"/>
          <w:lang w:eastAsia="sk-SK"/>
        </w:rPr>
        <w:t xml:space="preserve"> State of </w:t>
      </w:r>
      <w:proofErr w:type="spellStart"/>
      <w:r w:rsidRPr="00553831">
        <w:rPr>
          <w:rFonts w:ascii="Times New Roman" w:eastAsia="Times New Roman" w:hAnsi="Times New Roman" w:cs="Times New Roman"/>
          <w:bCs/>
          <w:color w:val="000000" w:themeColor="text1"/>
          <w:sz w:val="24"/>
          <w:szCs w:val="24"/>
          <w:lang w:eastAsia="sk-SK"/>
        </w:rPr>
        <w:t>Paediatric</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Medicines</w:t>
      </w:r>
      <w:proofErr w:type="spellEnd"/>
      <w:r w:rsidRPr="00553831">
        <w:rPr>
          <w:rFonts w:ascii="Times New Roman" w:eastAsia="Times New Roman" w:hAnsi="Times New Roman" w:cs="Times New Roman"/>
          <w:bCs/>
          <w:color w:val="000000" w:themeColor="text1"/>
          <w:sz w:val="24"/>
          <w:szCs w:val="24"/>
          <w:lang w:eastAsia="sk-SK"/>
        </w:rPr>
        <w:t xml:space="preserve"> in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EU 10 </w:t>
      </w:r>
      <w:proofErr w:type="spellStart"/>
      <w:r w:rsidRPr="00553831">
        <w:rPr>
          <w:rFonts w:ascii="Times New Roman" w:eastAsia="Times New Roman" w:hAnsi="Times New Roman" w:cs="Times New Roman"/>
          <w:bCs/>
          <w:color w:val="000000" w:themeColor="text1"/>
          <w:sz w:val="24"/>
          <w:szCs w:val="24"/>
          <w:lang w:eastAsia="sk-SK"/>
        </w:rPr>
        <w:t>years</w:t>
      </w:r>
      <w:proofErr w:type="spellEnd"/>
      <w:r w:rsidRPr="00553831">
        <w:rPr>
          <w:rFonts w:ascii="Times New Roman" w:eastAsia="Times New Roman" w:hAnsi="Times New Roman" w:cs="Times New Roman"/>
          <w:bCs/>
          <w:color w:val="000000" w:themeColor="text1"/>
          <w:sz w:val="24"/>
          <w:szCs w:val="24"/>
          <w:lang w:eastAsia="sk-SK"/>
        </w:rPr>
        <w:t xml:space="preserve"> of </w:t>
      </w:r>
      <w:proofErr w:type="spellStart"/>
      <w:r w:rsidRPr="00553831">
        <w:rPr>
          <w:rFonts w:ascii="Times New Roman" w:eastAsia="Times New Roman" w:hAnsi="Times New Roman" w:cs="Times New Roman"/>
          <w:bCs/>
          <w:color w:val="000000" w:themeColor="text1"/>
          <w:sz w:val="24"/>
          <w:szCs w:val="24"/>
          <w:lang w:eastAsia="sk-SK"/>
        </w:rPr>
        <w:t>the</w:t>
      </w:r>
      <w:proofErr w:type="spellEnd"/>
      <w:r w:rsidRPr="00553831">
        <w:rPr>
          <w:rFonts w:ascii="Times New Roman" w:eastAsia="Times New Roman" w:hAnsi="Times New Roman" w:cs="Times New Roman"/>
          <w:bCs/>
          <w:color w:val="000000" w:themeColor="text1"/>
          <w:sz w:val="24"/>
          <w:szCs w:val="24"/>
          <w:lang w:eastAsia="sk-SK"/>
        </w:rPr>
        <w:t xml:space="preserve"> EU </w:t>
      </w:r>
      <w:proofErr w:type="spellStart"/>
      <w:r w:rsidRPr="00553831">
        <w:rPr>
          <w:rFonts w:ascii="Times New Roman" w:eastAsia="Times New Roman" w:hAnsi="Times New Roman" w:cs="Times New Roman"/>
          <w:bCs/>
          <w:color w:val="000000" w:themeColor="text1"/>
          <w:sz w:val="24"/>
          <w:szCs w:val="24"/>
          <w:lang w:eastAsia="sk-SK"/>
        </w:rPr>
        <w:t>Paediatric</w:t>
      </w:r>
      <w:proofErr w:type="spellEnd"/>
      <w:r w:rsidRPr="00553831">
        <w:rPr>
          <w:rFonts w:ascii="Times New Roman" w:eastAsia="Times New Roman" w:hAnsi="Times New Roman" w:cs="Times New Roman"/>
          <w:bCs/>
          <w:color w:val="000000" w:themeColor="text1"/>
          <w:sz w:val="24"/>
          <w:szCs w:val="24"/>
          <w:lang w:eastAsia="sk-SK"/>
        </w:rPr>
        <w:t xml:space="preserve"> </w:t>
      </w:r>
      <w:proofErr w:type="spellStart"/>
      <w:r w:rsidRPr="00553831">
        <w:rPr>
          <w:rFonts w:ascii="Times New Roman" w:eastAsia="Times New Roman" w:hAnsi="Times New Roman" w:cs="Times New Roman"/>
          <w:bCs/>
          <w:color w:val="000000" w:themeColor="text1"/>
          <w:sz w:val="24"/>
          <w:szCs w:val="24"/>
          <w:lang w:eastAsia="sk-SK"/>
        </w:rPr>
        <w:t>Regulation</w:t>
      </w:r>
      <w:proofErr w:type="spellEnd"/>
      <w:r w:rsidRPr="00553831">
        <w:rPr>
          <w:rFonts w:ascii="Times New Roman" w:eastAsia="Times New Roman" w:hAnsi="Times New Roman" w:cs="Times New Roman"/>
          <w:bCs/>
          <w:color w:val="000000" w:themeColor="text1"/>
          <w:sz w:val="24"/>
          <w:szCs w:val="24"/>
          <w:lang w:eastAsia="sk-SK"/>
        </w:rPr>
        <w:t>. COM (2017) 626</w:t>
      </w:r>
    </w:p>
    <w:p w14:paraId="04848776" w14:textId="0CADCCD5" w:rsidR="004202BD" w:rsidRPr="00553831" w:rsidRDefault="00106A28" w:rsidP="00106A28">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w:t>
      </w:r>
      <w:r w:rsidRPr="00553831">
        <w:rPr>
          <w:rFonts w:ascii="Times New Roman" w:eastAsia="Times New Roman" w:hAnsi="Times New Roman" w:cs="Times New Roman"/>
          <w:bCs/>
          <w:color w:val="000000" w:themeColor="text1"/>
          <w:sz w:val="24"/>
          <w:szCs w:val="24"/>
          <w:lang w:eastAsia="sk-SK"/>
        </w:rPr>
        <w:tab/>
      </w:r>
      <w:proofErr w:type="spellStart"/>
      <w:r w:rsidRPr="00553831">
        <w:rPr>
          <w:rFonts w:ascii="Times New Roman" w:eastAsia="Times New Roman" w:hAnsi="Times New Roman" w:cs="Times New Roman"/>
          <w:bCs/>
          <w:color w:val="000000" w:themeColor="text1"/>
          <w:sz w:val="24"/>
          <w:szCs w:val="24"/>
          <w:lang w:eastAsia="sk-SK"/>
        </w:rPr>
        <w:t>EUnetHTA</w:t>
      </w:r>
      <w:proofErr w:type="spellEnd"/>
      <w:r w:rsidRPr="00553831">
        <w:rPr>
          <w:rFonts w:ascii="Times New Roman" w:eastAsia="Times New Roman" w:hAnsi="Times New Roman" w:cs="Times New Roman"/>
          <w:bCs/>
          <w:color w:val="000000" w:themeColor="text1"/>
          <w:sz w:val="24"/>
          <w:szCs w:val="24"/>
          <w:lang w:eastAsia="sk-SK"/>
        </w:rPr>
        <w:t xml:space="preserve"> (2020): HTA </w:t>
      </w:r>
      <w:proofErr w:type="spellStart"/>
      <w:r w:rsidRPr="00553831">
        <w:rPr>
          <w:rFonts w:ascii="Times New Roman" w:eastAsia="Times New Roman" w:hAnsi="Times New Roman" w:cs="Times New Roman"/>
          <w:bCs/>
          <w:color w:val="000000" w:themeColor="text1"/>
          <w:sz w:val="24"/>
          <w:szCs w:val="24"/>
          <w:lang w:eastAsia="sk-SK"/>
        </w:rPr>
        <w:t>Core</w:t>
      </w:r>
      <w:proofErr w:type="spellEnd"/>
      <w:r w:rsidRPr="00553831">
        <w:rPr>
          <w:rFonts w:ascii="Times New Roman" w:eastAsia="Times New Roman" w:hAnsi="Times New Roman" w:cs="Times New Roman"/>
          <w:bCs/>
          <w:color w:val="000000" w:themeColor="text1"/>
          <w:sz w:val="24"/>
          <w:szCs w:val="24"/>
          <w:lang w:eastAsia="sk-SK"/>
        </w:rPr>
        <w:t xml:space="preserve"> Model </w:t>
      </w:r>
      <w:proofErr w:type="spellStart"/>
      <w:r w:rsidRPr="00553831">
        <w:rPr>
          <w:rFonts w:ascii="Times New Roman" w:eastAsia="Times New Roman" w:hAnsi="Times New Roman" w:cs="Times New Roman"/>
          <w:bCs/>
          <w:color w:val="000000" w:themeColor="text1"/>
          <w:sz w:val="24"/>
          <w:szCs w:val="24"/>
          <w:lang w:eastAsia="sk-SK"/>
        </w:rPr>
        <w:t>Version</w:t>
      </w:r>
      <w:proofErr w:type="spellEnd"/>
      <w:r w:rsidRPr="00553831">
        <w:rPr>
          <w:rFonts w:ascii="Times New Roman" w:eastAsia="Times New Roman" w:hAnsi="Times New Roman" w:cs="Times New Roman"/>
          <w:bCs/>
          <w:color w:val="000000" w:themeColor="text1"/>
          <w:sz w:val="24"/>
          <w:szCs w:val="24"/>
          <w:lang w:eastAsia="sk-SK"/>
        </w:rPr>
        <w:t xml:space="preserve"> 4.2</w:t>
      </w:r>
    </w:p>
    <w:p w14:paraId="45E93922" w14:textId="77777777" w:rsidR="004202BD" w:rsidRPr="00553831" w:rsidRDefault="004202BD"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1352AF86" w14:textId="77777777" w:rsidR="00302825" w:rsidRPr="00553831" w:rsidRDefault="00302825"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7CFE8A92" w14:textId="77777777" w:rsidR="00302825" w:rsidRPr="00553831" w:rsidRDefault="00302825"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0824CD63" w14:textId="7598ABAA" w:rsidR="00ED7612" w:rsidRPr="00553831" w:rsidRDefault="004202BD"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3.3 </w:t>
      </w:r>
      <w:r w:rsidR="00ED7612" w:rsidRPr="00553831">
        <w:rPr>
          <w:rFonts w:ascii="Times New Roman" w:eastAsia="Times New Roman" w:hAnsi="Times New Roman" w:cs="Times New Roman"/>
          <w:bCs/>
          <w:color w:val="000000" w:themeColor="text1"/>
          <w:sz w:val="24"/>
          <w:szCs w:val="24"/>
          <w:lang w:eastAsia="sk-SK"/>
        </w:rPr>
        <w:t>Zmena § 7 ods. 5</w:t>
      </w:r>
    </w:p>
    <w:p w14:paraId="06E8115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9B333FC" w14:textId="2D280F5B" w:rsidR="004D0518" w:rsidRPr="00553831" w:rsidRDefault="004D0518" w:rsidP="00DE135C">
      <w:pPr>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Hlavným účelom zmien v §7 ods. 5 je zabezpečenie zlepšenia dostupnosti liekov, ktoré samotná Európska lieková agentúra (ďalej len „EMA“) vyhodnotila ako inovatívne, resp. im priradila status lieku určeného na liečbu ojedinelého ochorenia, alebo im pre ich predpokladaný významný klinický prínos v oblasti s vysokou klinickou nenaplnenou potrebou udelila podmienenú registráciu. Práve preto bolo vytvorené znenie, ktoré urýchli vstup takýchto liekov avšak s potrebným zabezpečením efektívneho prerozdeľovania verejných zdrojov so zdravotného poistenia.  Tento paragraf je úspešne využívaný v ČR niekoľko rokov, dokonca jeho obdobie bolo v roku 2026 v novele </w:t>
      </w:r>
      <w:r w:rsidR="00302825" w:rsidRPr="00553831">
        <w:rPr>
          <w:rFonts w:ascii="Times New Roman" w:eastAsia="Times New Roman" w:hAnsi="Times New Roman" w:cs="Times New Roman"/>
          <w:bCs/>
          <w:color w:val="000000" w:themeColor="text1"/>
          <w:sz w:val="24"/>
          <w:szCs w:val="24"/>
          <w:lang w:eastAsia="sk-SK"/>
        </w:rPr>
        <w:t xml:space="preserve">platnej </w:t>
      </w:r>
      <w:r w:rsidRPr="00553831">
        <w:rPr>
          <w:rFonts w:ascii="Times New Roman" w:eastAsia="Times New Roman" w:hAnsi="Times New Roman" w:cs="Times New Roman"/>
          <w:bCs/>
          <w:color w:val="000000" w:themeColor="text1"/>
          <w:sz w:val="24"/>
          <w:szCs w:val="24"/>
          <w:lang w:eastAsia="sk-SK"/>
        </w:rPr>
        <w:t xml:space="preserve">od 1.1.2026 zvýšené z 2 + 1 roka na 3 +2 roky. Ministerstvo k tomuto ustanoveniu pristúpilo z dôvodu potreby rýchlejšieho vstupu pre lieky s významným prínosom pre pacienta a k zníženiu tlaku na paragraf 88 (tzv. výnimky). Cez paragraf 88 nemusí byť takáto liečba </w:t>
      </w:r>
      <w:r w:rsidR="00302825" w:rsidRPr="00553831">
        <w:rPr>
          <w:rFonts w:ascii="Times New Roman" w:eastAsia="Times New Roman" w:hAnsi="Times New Roman" w:cs="Times New Roman"/>
          <w:bCs/>
          <w:color w:val="000000" w:themeColor="text1"/>
          <w:sz w:val="24"/>
          <w:szCs w:val="24"/>
          <w:lang w:eastAsia="sk-SK"/>
        </w:rPr>
        <w:t xml:space="preserve">zabezpečená </w:t>
      </w:r>
      <w:r w:rsidRPr="00553831">
        <w:rPr>
          <w:rFonts w:ascii="Times New Roman" w:eastAsia="Times New Roman" w:hAnsi="Times New Roman" w:cs="Times New Roman"/>
          <w:bCs/>
          <w:color w:val="000000" w:themeColor="text1"/>
          <w:sz w:val="24"/>
          <w:szCs w:val="24"/>
          <w:lang w:eastAsia="sk-SK"/>
        </w:rPr>
        <w:t>pre všetkých pacientov</w:t>
      </w:r>
      <w:r w:rsidR="00302825" w:rsidRPr="00553831">
        <w:rPr>
          <w:rFonts w:ascii="Times New Roman" w:eastAsia="Times New Roman" w:hAnsi="Times New Roman" w:cs="Times New Roman"/>
          <w:bCs/>
          <w:color w:val="000000" w:themeColor="text1"/>
          <w:sz w:val="24"/>
          <w:szCs w:val="24"/>
          <w:lang w:eastAsia="sk-SK"/>
        </w:rPr>
        <w:t xml:space="preserve">, </w:t>
      </w:r>
      <w:r w:rsidRPr="00553831">
        <w:rPr>
          <w:rFonts w:ascii="Times New Roman" w:eastAsia="Times New Roman" w:hAnsi="Times New Roman" w:cs="Times New Roman"/>
          <w:bCs/>
          <w:color w:val="000000" w:themeColor="text1"/>
          <w:sz w:val="24"/>
          <w:szCs w:val="24"/>
          <w:lang w:eastAsia="sk-SK"/>
        </w:rPr>
        <w:t>ktorí by mohli z tejto liečby profitovať a zároveň je táto liečba kontrolovaná zmluvou a zbieraním údajov o efekte liečby v Slovenskej populácii.</w:t>
      </w:r>
    </w:p>
    <w:p w14:paraId="4F495127"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ABB175D" w14:textId="4C09B940"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3.</w:t>
      </w:r>
      <w:r w:rsidR="004202BD" w:rsidRPr="00553831">
        <w:rPr>
          <w:rFonts w:ascii="Times New Roman" w:eastAsia="Times New Roman" w:hAnsi="Times New Roman" w:cs="Times New Roman"/>
          <w:bCs/>
          <w:color w:val="000000" w:themeColor="text1"/>
          <w:sz w:val="24"/>
          <w:szCs w:val="24"/>
          <w:lang w:eastAsia="sk-SK"/>
        </w:rPr>
        <w:t>4</w:t>
      </w:r>
      <w:r w:rsidRPr="00553831">
        <w:rPr>
          <w:rFonts w:ascii="Times New Roman" w:eastAsia="Times New Roman" w:hAnsi="Times New Roman" w:cs="Times New Roman"/>
          <w:bCs/>
          <w:color w:val="000000" w:themeColor="text1"/>
          <w:sz w:val="24"/>
          <w:szCs w:val="24"/>
          <w:lang w:eastAsia="sk-SK"/>
        </w:rPr>
        <w:t xml:space="preserve"> Zmena dopadu pri zmene určenia prahov</w:t>
      </w:r>
    </w:p>
    <w:p w14:paraId="067C2E9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305A4D8A" w14:textId="77777777" w:rsidR="00302825" w:rsidRPr="00553831" w:rsidRDefault="00ED7612" w:rsidP="00302825">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Zároveň  so zmenou zákona sa plánuje aj zmena vyhlášky, ktorou sa ustanovujú podrobnosti výpočtu príslušného násobku hrubého domáceho produktu pre stanovenie prahovej hodnoty posudzovaného lieku</w:t>
      </w:r>
    </w:p>
    <w:p w14:paraId="59BC9DB1" w14:textId="48DA65F0" w:rsidR="00ED7612" w:rsidRPr="00553831" w:rsidRDefault="00391791" w:rsidP="00302825">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Nakoľko nie je ukončený riadny legislatívny proces k zmene vyhlášky</w:t>
      </w:r>
      <w:r w:rsidR="00302825" w:rsidRPr="00553831">
        <w:rPr>
          <w:rFonts w:ascii="Times New Roman" w:eastAsia="Times New Roman" w:hAnsi="Times New Roman" w:cs="Times New Roman"/>
          <w:bCs/>
          <w:color w:val="000000" w:themeColor="text1"/>
          <w:sz w:val="24"/>
          <w:szCs w:val="24"/>
          <w:lang w:eastAsia="sk-SK"/>
        </w:rPr>
        <w:t xml:space="preserve">, ktorou sa ustanovujú podrobnosti výpočtu príslušného násobku hrubého domáceho produktu pre stanovenie prahovej hodnoty posudzovaného lieku </w:t>
      </w:r>
      <w:r w:rsidRPr="00553831">
        <w:rPr>
          <w:rFonts w:ascii="Times New Roman" w:eastAsia="Times New Roman" w:hAnsi="Times New Roman" w:cs="Times New Roman"/>
          <w:bCs/>
          <w:color w:val="000000" w:themeColor="text1"/>
          <w:sz w:val="24"/>
          <w:szCs w:val="24"/>
          <w:lang w:eastAsia="sk-SK"/>
        </w:rPr>
        <w:t xml:space="preserve">nie sú úspory z jej zmeny započítané do dopadu zákona, ktorý MZ </w:t>
      </w:r>
      <w:r w:rsidR="00302825" w:rsidRPr="00553831">
        <w:rPr>
          <w:rFonts w:ascii="Times New Roman" w:eastAsia="Times New Roman" w:hAnsi="Times New Roman" w:cs="Times New Roman"/>
          <w:bCs/>
          <w:color w:val="000000" w:themeColor="text1"/>
          <w:sz w:val="24"/>
          <w:szCs w:val="24"/>
          <w:lang w:eastAsia="sk-SK"/>
        </w:rPr>
        <w:t>SR</w:t>
      </w:r>
      <w:r w:rsidRPr="00553831">
        <w:rPr>
          <w:rFonts w:ascii="Times New Roman" w:eastAsia="Times New Roman" w:hAnsi="Times New Roman" w:cs="Times New Roman"/>
          <w:bCs/>
          <w:color w:val="000000" w:themeColor="text1"/>
          <w:sz w:val="24"/>
          <w:szCs w:val="24"/>
          <w:lang w:eastAsia="sk-SK"/>
        </w:rPr>
        <w:t xml:space="preserve"> predkladá. </w:t>
      </w:r>
      <w:r w:rsidR="00302825" w:rsidRPr="00553831">
        <w:rPr>
          <w:rFonts w:ascii="Times New Roman" w:eastAsia="Times New Roman" w:hAnsi="Times New Roman" w:cs="Times New Roman"/>
          <w:bCs/>
          <w:color w:val="000000" w:themeColor="text1"/>
          <w:sz w:val="24"/>
          <w:szCs w:val="24"/>
          <w:lang w:eastAsia="sk-SK"/>
        </w:rPr>
        <w:t>Plánovaná platnosť vyhlášky je naplánovaná v </w:t>
      </w:r>
      <w:proofErr w:type="spellStart"/>
      <w:r w:rsidR="00302825" w:rsidRPr="00553831">
        <w:rPr>
          <w:rFonts w:ascii="Times New Roman" w:eastAsia="Times New Roman" w:hAnsi="Times New Roman" w:cs="Times New Roman"/>
          <w:bCs/>
          <w:color w:val="000000" w:themeColor="text1"/>
          <w:sz w:val="24"/>
          <w:szCs w:val="24"/>
          <w:lang w:eastAsia="sk-SK"/>
        </w:rPr>
        <w:t>legisltívnom</w:t>
      </w:r>
      <w:proofErr w:type="spellEnd"/>
      <w:r w:rsidR="00302825" w:rsidRPr="00553831">
        <w:rPr>
          <w:rFonts w:ascii="Times New Roman" w:eastAsia="Times New Roman" w:hAnsi="Times New Roman" w:cs="Times New Roman"/>
          <w:bCs/>
          <w:color w:val="000000" w:themeColor="text1"/>
          <w:sz w:val="24"/>
          <w:szCs w:val="24"/>
          <w:lang w:eastAsia="sk-SK"/>
        </w:rPr>
        <w:t xml:space="preserve"> pláne  k dátumu účinnosti novely zákona č. 363/2011 </w:t>
      </w:r>
      <w:proofErr w:type="spellStart"/>
      <w:r w:rsidR="00302825" w:rsidRPr="00553831">
        <w:rPr>
          <w:rFonts w:ascii="Times New Roman" w:eastAsia="Times New Roman" w:hAnsi="Times New Roman" w:cs="Times New Roman"/>
          <w:bCs/>
          <w:color w:val="000000" w:themeColor="text1"/>
          <w:sz w:val="24"/>
          <w:szCs w:val="24"/>
          <w:lang w:eastAsia="sk-SK"/>
        </w:rPr>
        <w:t>Z.z</w:t>
      </w:r>
      <w:proofErr w:type="spellEnd"/>
      <w:r w:rsidR="00302825" w:rsidRPr="00553831">
        <w:rPr>
          <w:rFonts w:ascii="Times New Roman" w:eastAsia="Times New Roman" w:hAnsi="Times New Roman" w:cs="Times New Roman"/>
          <w:bCs/>
          <w:color w:val="000000" w:themeColor="text1"/>
          <w:sz w:val="24"/>
          <w:szCs w:val="24"/>
          <w:lang w:eastAsia="sk-SK"/>
        </w:rPr>
        <w:t>.</w:t>
      </w:r>
    </w:p>
    <w:p w14:paraId="68612510" w14:textId="77777777" w:rsidR="00391791" w:rsidRPr="00553831" w:rsidRDefault="00391791" w:rsidP="00391791">
      <w:pPr>
        <w:spacing w:after="0" w:line="240" w:lineRule="auto"/>
        <w:jc w:val="both"/>
        <w:rPr>
          <w:rFonts w:ascii="Times New Roman" w:eastAsia="Times New Roman" w:hAnsi="Times New Roman" w:cs="Times New Roman"/>
          <w:bCs/>
          <w:color w:val="000000" w:themeColor="text1"/>
          <w:sz w:val="24"/>
          <w:szCs w:val="24"/>
          <w:lang w:eastAsia="sk-SK"/>
        </w:rPr>
      </w:pPr>
    </w:p>
    <w:p w14:paraId="086B9FB0" w14:textId="77777777" w:rsidR="00391791" w:rsidRPr="00553831" w:rsidRDefault="00391791" w:rsidP="00391791">
      <w:pPr>
        <w:spacing w:after="0" w:line="240" w:lineRule="auto"/>
        <w:jc w:val="both"/>
        <w:rPr>
          <w:rFonts w:ascii="Times New Roman" w:eastAsia="Times New Roman" w:hAnsi="Times New Roman" w:cs="Times New Roman"/>
          <w:bCs/>
          <w:color w:val="000000" w:themeColor="text1"/>
          <w:sz w:val="24"/>
          <w:szCs w:val="24"/>
          <w:lang w:eastAsia="sk-SK"/>
        </w:rPr>
      </w:pPr>
    </w:p>
    <w:p w14:paraId="33FA7966" w14:textId="2C149C20"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3.</w:t>
      </w:r>
      <w:r w:rsidR="004202BD" w:rsidRPr="00553831">
        <w:rPr>
          <w:rFonts w:ascii="Times New Roman" w:eastAsia="Times New Roman" w:hAnsi="Times New Roman" w:cs="Times New Roman"/>
          <w:bCs/>
          <w:color w:val="000000" w:themeColor="text1"/>
          <w:sz w:val="24"/>
          <w:szCs w:val="24"/>
          <w:lang w:eastAsia="sk-SK"/>
        </w:rPr>
        <w:t>5</w:t>
      </w:r>
      <w:r w:rsidRPr="00553831">
        <w:rPr>
          <w:rFonts w:ascii="Times New Roman" w:eastAsia="Times New Roman" w:hAnsi="Times New Roman" w:cs="Times New Roman"/>
          <w:bCs/>
          <w:color w:val="000000" w:themeColor="text1"/>
          <w:sz w:val="24"/>
          <w:szCs w:val="24"/>
          <w:lang w:eastAsia="sk-SK"/>
        </w:rPr>
        <w:t xml:space="preserve"> Dopad generických liekov a biologicky podobných liekov pri strate exkluzivity originálnych molekúl na trhu</w:t>
      </w:r>
    </w:p>
    <w:p w14:paraId="2B101FB0"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249C706A"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Model úspor z generických a biologicky podobných liekov vychádza z kombinácie platnej legislatívy, aktuálnych trhových údajov a predikčných parametrov, ktoré umožňujú kvantifikovať finančné dopady straty trhovej exkluzivity a následného vstupu konkurencie na úhrady z verejného zdravotného poistenia.</w:t>
      </w:r>
    </w:p>
    <w:p w14:paraId="2091654E"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04E8302A"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Účelom modelu je kvantifikovať dopad vstupu generických a biologicky podobných liekov na výdavky verejného zdravotného poistenia a odhadnúť potenciálne úspory pri zachovaní rozsahu a kvality poskytovanej farmakoterapie.</w:t>
      </w:r>
    </w:p>
    <w:p w14:paraId="5A8C7207"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77800E31"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4. Výsledky výpočtu dopadu na rozpočet</w:t>
      </w:r>
    </w:p>
    <w:p w14:paraId="06AD5E6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40C0903" w14:textId="5B7D3820"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Tabuľka 1 sumarizuje očakávané rozpočtové dopady v rokoch 202</w:t>
      </w:r>
      <w:r w:rsidR="00391791" w:rsidRPr="00553831">
        <w:rPr>
          <w:rFonts w:ascii="Times New Roman" w:eastAsia="Times New Roman" w:hAnsi="Times New Roman" w:cs="Times New Roman"/>
          <w:bCs/>
          <w:color w:val="000000" w:themeColor="text1"/>
          <w:sz w:val="24"/>
          <w:szCs w:val="24"/>
          <w:lang w:eastAsia="sk-SK"/>
        </w:rPr>
        <w:t>6</w:t>
      </w:r>
      <w:r w:rsidRPr="00553831">
        <w:rPr>
          <w:rFonts w:ascii="Times New Roman" w:eastAsia="Times New Roman" w:hAnsi="Times New Roman" w:cs="Times New Roman"/>
          <w:bCs/>
          <w:color w:val="000000" w:themeColor="text1"/>
          <w:sz w:val="24"/>
          <w:szCs w:val="24"/>
          <w:lang w:eastAsia="sk-SK"/>
        </w:rPr>
        <w:t xml:space="preserve"> – 202</w:t>
      </w:r>
      <w:r w:rsidR="00391791" w:rsidRPr="00553831">
        <w:rPr>
          <w:rFonts w:ascii="Times New Roman" w:eastAsia="Times New Roman" w:hAnsi="Times New Roman" w:cs="Times New Roman"/>
          <w:bCs/>
          <w:color w:val="000000" w:themeColor="text1"/>
          <w:sz w:val="24"/>
          <w:szCs w:val="24"/>
          <w:lang w:eastAsia="sk-SK"/>
        </w:rPr>
        <w:t>9</w:t>
      </w:r>
      <w:r w:rsidRPr="00553831">
        <w:rPr>
          <w:rFonts w:ascii="Times New Roman" w:eastAsia="Times New Roman" w:hAnsi="Times New Roman" w:cs="Times New Roman"/>
          <w:bCs/>
          <w:color w:val="000000" w:themeColor="text1"/>
          <w:sz w:val="24"/>
          <w:szCs w:val="24"/>
          <w:lang w:eastAsia="sk-SK"/>
        </w:rPr>
        <w:t xml:space="preserve"> pre všetky opatrenia:</w:t>
      </w:r>
    </w:p>
    <w:p w14:paraId="1CC27F46"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0BCC863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0466498" w14:textId="6DDEF8D1"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u w:val="single"/>
          <w:lang w:eastAsia="sk-SK"/>
        </w:rPr>
      </w:pPr>
      <w:r w:rsidRPr="00553831">
        <w:rPr>
          <w:rFonts w:ascii="Times New Roman" w:eastAsia="Times New Roman" w:hAnsi="Times New Roman" w:cs="Times New Roman"/>
          <w:bCs/>
          <w:color w:val="000000" w:themeColor="text1"/>
          <w:sz w:val="24"/>
          <w:szCs w:val="24"/>
          <w:u w:val="single"/>
          <w:lang w:eastAsia="sk-SK"/>
        </w:rPr>
        <w:t>Navrhované opatrenia majú kombinovaný finančný dopad, ktorý je výsledkom súčtu zvýšenia cien na ERC, očakávaného vstupu nových generických a biologicky podobných liekov a zmeny § 7 ods. 5.</w:t>
      </w:r>
    </w:p>
    <w:p w14:paraId="678DE8EB"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4A2D6712" w14:textId="77777777" w:rsidR="00ED7612" w:rsidRPr="00553831" w:rsidRDefault="00ED7612" w:rsidP="00ED7612">
      <w:pPr>
        <w:spacing w:after="160" w:line="259" w:lineRule="auto"/>
        <w:rPr>
          <w:rFonts w:ascii="Times New Roman" w:eastAsia="Calibri" w:hAnsi="Times New Roman" w:cs="Times New Roman"/>
          <w:b/>
          <w:bCs/>
          <w:color w:val="000000" w:themeColor="text1"/>
          <w:sz w:val="24"/>
        </w:rPr>
      </w:pPr>
      <w:r w:rsidRPr="00553831">
        <w:rPr>
          <w:rFonts w:ascii="Times New Roman" w:eastAsia="Calibri" w:hAnsi="Times New Roman" w:cs="Times New Roman"/>
          <w:b/>
          <w:bCs/>
          <w:color w:val="000000" w:themeColor="text1"/>
          <w:sz w:val="24"/>
        </w:rPr>
        <w:t>Podklad:</w:t>
      </w:r>
    </w:p>
    <w:p w14:paraId="4AD8065D" w14:textId="77777777" w:rsidR="00ED7612" w:rsidRPr="00553831" w:rsidRDefault="00ED7612" w:rsidP="00ED7612">
      <w:pPr>
        <w:spacing w:after="160" w:line="259" w:lineRule="auto"/>
        <w:jc w:val="both"/>
        <w:rPr>
          <w:rFonts w:ascii="Times New Roman" w:eastAsia="Calibri" w:hAnsi="Times New Roman" w:cs="Times New Roman"/>
          <w:b/>
          <w:bCs/>
          <w:color w:val="000000" w:themeColor="text1"/>
          <w:sz w:val="24"/>
        </w:rPr>
      </w:pPr>
      <w:r w:rsidRPr="00553831">
        <w:rPr>
          <w:rFonts w:ascii="Times New Roman" w:eastAsia="Calibri" w:hAnsi="Times New Roman" w:cs="Times New Roman"/>
          <w:b/>
          <w:bCs/>
          <w:color w:val="000000" w:themeColor="text1"/>
          <w:sz w:val="24"/>
        </w:rPr>
        <w:t>Zvýšenie úradne určenej ceny</w:t>
      </w:r>
    </w:p>
    <w:p w14:paraId="5C78FC0B" w14:textId="77777777" w:rsidR="00ED7612" w:rsidRPr="00553831" w:rsidRDefault="00ED7612" w:rsidP="00ED7612">
      <w:p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Navrhovaná legislatívna úprava umožní </w:t>
      </w:r>
      <w:bookmarkStart w:id="2" w:name="_Hlk210742651"/>
      <w:r w:rsidRPr="00553831">
        <w:rPr>
          <w:rFonts w:ascii="Times New Roman" w:eastAsia="Calibri" w:hAnsi="Times New Roman" w:cs="Times New Roman"/>
          <w:color w:val="000000" w:themeColor="text1"/>
          <w:sz w:val="24"/>
        </w:rPr>
        <w:t>zvýšenie úradne určenej ceny</w:t>
      </w:r>
      <w:bookmarkEnd w:id="2"/>
      <w:r w:rsidRPr="00553831">
        <w:rPr>
          <w:rFonts w:ascii="Times New Roman" w:eastAsia="Calibri" w:hAnsi="Times New Roman" w:cs="Times New Roman"/>
          <w:color w:val="000000" w:themeColor="text1"/>
          <w:sz w:val="24"/>
        </w:rPr>
        <w:t xml:space="preserve"> pre generické a biologicky podobné lieky na úroveň európskej referenčnej ceny (ERC), definovanej ako priemer troch najnižších cien v EÚ, a pre originálne, generické a biologicky podobné lieky, ktoré sú zaradené v zozname kritických liekov vedenom Európskou liekovou agentúrou (EMA), na úroveň tretej najnižšej ceny v EÚ.</w:t>
      </w:r>
    </w:p>
    <w:p w14:paraId="246AA2E0" w14:textId="1DFC57EC" w:rsidR="004D0518" w:rsidRPr="00553831" w:rsidRDefault="00ED7612" w:rsidP="00ED7612">
      <w:p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Prvé žiadosti o zvýšenie úradne určenej ceny sa očakávajú v priebehu mesiaca nasledujúceho po účinnosti zákona. Od podania žiadosti po účinnosť zmeny úradne určenej ceny a následnú zmenu úhrad zdravotných poisťovní uplynie štandardná lehota približne 4 mesiace (napr. pri podaní žiadosti k 31. januáru dôjde k zmene úhrad od 1. júna).</w:t>
      </w:r>
      <w:r w:rsidR="00DC304C" w:rsidRPr="00553831">
        <w:rPr>
          <w:rFonts w:ascii="Times New Roman" w:eastAsia="Calibri" w:hAnsi="Times New Roman" w:cs="Times New Roman"/>
          <w:color w:val="000000" w:themeColor="text1"/>
          <w:sz w:val="24"/>
        </w:rPr>
        <w:t xml:space="preserve"> </w:t>
      </w:r>
    </w:p>
    <w:p w14:paraId="0A3A810D" w14:textId="77777777" w:rsidR="00ED7612" w:rsidRPr="00553831" w:rsidRDefault="00ED7612" w:rsidP="00ED7612">
      <w:p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Modelový výpočet dopadu na rozpočet vychádza z týchto krokov:</w:t>
      </w:r>
    </w:p>
    <w:p w14:paraId="01758DB1" w14:textId="77777777" w:rsidR="00ED7612" w:rsidRPr="00553831" w:rsidRDefault="00ED7612" w:rsidP="00ED7612">
      <w:pPr>
        <w:numPr>
          <w:ilvl w:val="0"/>
          <w:numId w:val="8"/>
        </w:numPr>
        <w:spacing w:after="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Identifikácia liekov, ktoré môžu po účinnosti zákona žiadať o zvýšenie ceny:</w:t>
      </w:r>
    </w:p>
    <w:p w14:paraId="15C97B19"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generické a biologicky podobné lieky (označené v ZKL kódmi 1G–3G a 1B–3B),</w:t>
      </w:r>
    </w:p>
    <w:p w14:paraId="6D841F9C"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identifikácia generických a biologicky podobných liekov, ktoré sú zároveň zaradené v zozname kritických liekov EMA, </w:t>
      </w:r>
    </w:p>
    <w:p w14:paraId="00BD8B7D"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originálne lieky, ktoré sú zároveň zaradené v zozname kritických liekov EMA.</w:t>
      </w:r>
    </w:p>
    <w:p w14:paraId="029CF42F" w14:textId="77777777" w:rsidR="00ED7612" w:rsidRPr="00553831" w:rsidRDefault="00ED7612" w:rsidP="00ED7612">
      <w:pPr>
        <w:numPr>
          <w:ilvl w:val="0"/>
          <w:numId w:val="8"/>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Zohľadnenie úhradových skupín (US) – v rámci jednej skupiny je spoločná úhrada. Ak ide o originálny liek v skupine, kde už sú generické alebo biologicky podobné lieky s cenou na úrovni ERC, zvýšenie ceny originálneho lieku nemení výšku úhrady zdravotnej poisťovne (len doplatok poistenca).</w:t>
      </w:r>
    </w:p>
    <w:p w14:paraId="5A506446" w14:textId="77777777" w:rsidR="00ED7612" w:rsidRPr="00553831" w:rsidRDefault="00ED7612" w:rsidP="00ED7612">
      <w:pPr>
        <w:numPr>
          <w:ilvl w:val="0"/>
          <w:numId w:val="8"/>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Pravdepodobnostný model správania držiteľov registrácie – nie všetky lieky v skupine zvýšia cenu súčasne. Pravdepodobnosť zvýšenia ceny závisí od počtu konkurenčných liekov v úhradovej skupine a zvoleného scenára (pesimistický, pri ktorom všetky lieky požiadajú o zvýšenie ceny a tým aj úhrady; konzervatívny, realistický so zapracovaným dynamickým prístupom zohľadňujúcim predpokladané správanie). Napríklad v konzervatívnom scenári je pravdepodobnosť zvýšenia ceny pre daný liek rovná inverzii počtu konkurenčných G/B liekov v skupine.</w:t>
      </w:r>
    </w:p>
    <w:p w14:paraId="5923B56B" w14:textId="77777777" w:rsidR="00ED7612" w:rsidRPr="00553831" w:rsidRDefault="00ED7612" w:rsidP="00ED7612">
      <w:pPr>
        <w:numPr>
          <w:ilvl w:val="0"/>
          <w:numId w:val="8"/>
        </w:numPr>
        <w:spacing w:after="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Výpočet novej ceny a úhrady </w:t>
      </w:r>
    </w:p>
    <w:p w14:paraId="49F3AF40"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ak je ERC vyššia ako súčasne platná úradne určená cena (UUC), vypočíta sa nová cena pre najbližší  rok ako prioritne vyššia cena a v nasledujúcich rokoch ako vážený priemer súčasnej ceny a ERC podľa pravdepodobnosti zvýšenia,</w:t>
      </w:r>
    </w:p>
    <w:p w14:paraId="2496FAE0"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nová konečná cena sa určí aplikáciou degresívnej marže a DPH,</w:t>
      </w:r>
    </w:p>
    <w:p w14:paraId="4F2327EF"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úhrada poisťovne sa počíta ako konečná cena × percento úhrady.</w:t>
      </w:r>
    </w:p>
    <w:p w14:paraId="12BFDD62" w14:textId="02C7F520" w:rsidR="00ED7612" w:rsidRPr="00553831" w:rsidRDefault="00ED7612" w:rsidP="00ED7612">
      <w:pPr>
        <w:numPr>
          <w:ilvl w:val="0"/>
          <w:numId w:val="8"/>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Časovanie efektu – zvýšenia cien sa očakávajú postupne od roku 2026. Výpočty boli realizované pre roky 202</w:t>
      </w:r>
      <w:r w:rsidR="00391791" w:rsidRPr="00553831">
        <w:rPr>
          <w:rFonts w:ascii="Times New Roman" w:eastAsia="Calibri" w:hAnsi="Times New Roman" w:cs="Times New Roman"/>
          <w:color w:val="000000" w:themeColor="text1"/>
          <w:sz w:val="24"/>
        </w:rPr>
        <w:t>7</w:t>
      </w:r>
      <w:r w:rsidRPr="00553831">
        <w:rPr>
          <w:rFonts w:ascii="Times New Roman" w:eastAsia="Calibri" w:hAnsi="Times New Roman" w:cs="Times New Roman"/>
          <w:color w:val="000000" w:themeColor="text1"/>
          <w:sz w:val="24"/>
        </w:rPr>
        <w:t>–202</w:t>
      </w:r>
      <w:r w:rsidR="00391791" w:rsidRPr="00553831">
        <w:rPr>
          <w:rFonts w:ascii="Times New Roman" w:eastAsia="Calibri" w:hAnsi="Times New Roman" w:cs="Times New Roman"/>
          <w:color w:val="000000" w:themeColor="text1"/>
          <w:sz w:val="24"/>
        </w:rPr>
        <w:t>9</w:t>
      </w:r>
      <w:r w:rsidRPr="00553831">
        <w:rPr>
          <w:rFonts w:ascii="Times New Roman" w:eastAsia="Calibri" w:hAnsi="Times New Roman" w:cs="Times New Roman"/>
          <w:color w:val="000000" w:themeColor="text1"/>
          <w:sz w:val="24"/>
        </w:rPr>
        <w:t>, pričom sa uvažuje s ročnou spotrebou podľa reálnych dát za rok 2025, doplnených o prognózu spotreby.</w:t>
      </w:r>
    </w:p>
    <w:p w14:paraId="659CBF1B" w14:textId="77777777" w:rsidR="00ED7612" w:rsidRPr="00553831" w:rsidRDefault="00ED7612" w:rsidP="00ED7612">
      <w:pPr>
        <w:numPr>
          <w:ilvl w:val="0"/>
          <w:numId w:val="8"/>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Znižovanie ERC v čase – model zohľadňuje medziročné znižovanie ERC o 2 %, keďže ide o stabilné referenčné lieky.</w:t>
      </w:r>
    </w:p>
    <w:p w14:paraId="495C6C17" w14:textId="77777777" w:rsidR="00ED7612" w:rsidRPr="00553831" w:rsidRDefault="00ED7612" w:rsidP="00ED7612">
      <w:pPr>
        <w:numPr>
          <w:ilvl w:val="0"/>
          <w:numId w:val="8"/>
        </w:numPr>
        <w:spacing w:after="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Výpočet rozpočtového dopadu je rozdiel medzi:</w:t>
      </w:r>
    </w:p>
    <w:p w14:paraId="79AB7CCD"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stavom „pôvodný“ – pri zachovaní súčasných cien a úhrad,</w:t>
      </w:r>
    </w:p>
    <w:p w14:paraId="42DFCB7E" w14:textId="77777777" w:rsidR="00ED7612" w:rsidRPr="00553831" w:rsidRDefault="00ED7612" w:rsidP="00ED7612">
      <w:pPr>
        <w:numPr>
          <w:ilvl w:val="0"/>
          <w:numId w:val="10"/>
        </w:numPr>
        <w:spacing w:after="160" w:line="259" w:lineRule="auto"/>
        <w:ind w:left="1418" w:hanging="567"/>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stavom „nový“ – po zvýšení cien na ERC podľa pravidiel vyššie.</w:t>
      </w:r>
    </w:p>
    <w:p w14:paraId="1E8E86E7" w14:textId="438FD6DC" w:rsidR="00ED7612" w:rsidRPr="00553831" w:rsidRDefault="00ED7612" w:rsidP="00ED7612">
      <w:p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Model ukazuje, že zvýšenie cien viedlo k zvýšeniu výdavkov zdravotných poisťovní približne o </w:t>
      </w:r>
      <w:r w:rsidR="00DC304C" w:rsidRPr="00553831">
        <w:rPr>
          <w:rFonts w:ascii="Times New Roman" w:eastAsia="Calibri" w:hAnsi="Times New Roman" w:cs="Times New Roman"/>
          <w:color w:val="000000" w:themeColor="text1"/>
          <w:sz w:val="24"/>
        </w:rPr>
        <w:t xml:space="preserve">31,3 </w:t>
      </w:r>
      <w:r w:rsidRPr="00553831">
        <w:rPr>
          <w:rFonts w:ascii="Times New Roman" w:eastAsia="Calibri" w:hAnsi="Times New Roman" w:cs="Times New Roman"/>
          <w:color w:val="000000" w:themeColor="text1"/>
          <w:sz w:val="24"/>
        </w:rPr>
        <w:t>mil. Eur v roku 202</w:t>
      </w:r>
      <w:r w:rsidR="00391791" w:rsidRPr="00553831">
        <w:rPr>
          <w:rFonts w:ascii="Times New Roman" w:eastAsia="Calibri" w:hAnsi="Times New Roman" w:cs="Times New Roman"/>
          <w:color w:val="000000" w:themeColor="text1"/>
          <w:sz w:val="24"/>
        </w:rPr>
        <w:t>7</w:t>
      </w:r>
      <w:r w:rsidRPr="00553831">
        <w:rPr>
          <w:rFonts w:ascii="Times New Roman" w:eastAsia="Calibri" w:hAnsi="Times New Roman" w:cs="Times New Roman"/>
          <w:color w:val="000000" w:themeColor="text1"/>
          <w:sz w:val="24"/>
        </w:rPr>
        <w:t xml:space="preserve">, </w:t>
      </w:r>
      <w:r w:rsidR="00DC304C" w:rsidRPr="00553831">
        <w:rPr>
          <w:rFonts w:ascii="Times New Roman" w:eastAsia="Calibri" w:hAnsi="Times New Roman" w:cs="Times New Roman"/>
          <w:color w:val="000000" w:themeColor="text1"/>
          <w:sz w:val="24"/>
        </w:rPr>
        <w:t>23,9</w:t>
      </w:r>
      <w:r w:rsidRPr="00553831">
        <w:rPr>
          <w:rFonts w:ascii="Times New Roman" w:eastAsia="Calibri" w:hAnsi="Times New Roman" w:cs="Times New Roman"/>
          <w:color w:val="000000" w:themeColor="text1"/>
          <w:sz w:val="24"/>
        </w:rPr>
        <w:t xml:space="preserve"> mil. Eur v roku 202</w:t>
      </w:r>
      <w:r w:rsidR="00391791" w:rsidRPr="00553831">
        <w:rPr>
          <w:rFonts w:ascii="Times New Roman" w:eastAsia="Calibri" w:hAnsi="Times New Roman" w:cs="Times New Roman"/>
          <w:color w:val="000000" w:themeColor="text1"/>
          <w:sz w:val="24"/>
        </w:rPr>
        <w:t>8</w:t>
      </w:r>
      <w:r w:rsidR="009933A7" w:rsidRPr="00553831">
        <w:rPr>
          <w:rFonts w:ascii="Times New Roman" w:eastAsia="Calibri" w:hAnsi="Times New Roman" w:cs="Times New Roman"/>
          <w:color w:val="000000" w:themeColor="text1"/>
          <w:sz w:val="24"/>
        </w:rPr>
        <w:t xml:space="preserve"> </w:t>
      </w:r>
      <w:r w:rsidRPr="00553831">
        <w:rPr>
          <w:rFonts w:ascii="Times New Roman" w:eastAsia="Calibri" w:hAnsi="Times New Roman" w:cs="Times New Roman"/>
          <w:color w:val="000000" w:themeColor="text1"/>
          <w:sz w:val="24"/>
        </w:rPr>
        <w:t>a</w:t>
      </w:r>
      <w:r w:rsidR="00DC304C" w:rsidRPr="00553831">
        <w:rPr>
          <w:rFonts w:ascii="Times New Roman" w:eastAsia="Calibri" w:hAnsi="Times New Roman" w:cs="Times New Roman"/>
          <w:color w:val="000000" w:themeColor="text1"/>
          <w:sz w:val="24"/>
        </w:rPr>
        <w:t> 23,9</w:t>
      </w:r>
      <w:r w:rsidRPr="00553831">
        <w:rPr>
          <w:rFonts w:ascii="Times New Roman" w:eastAsia="Calibri" w:hAnsi="Times New Roman" w:cs="Times New Roman"/>
          <w:color w:val="000000" w:themeColor="text1"/>
          <w:sz w:val="24"/>
        </w:rPr>
        <w:t xml:space="preserve"> mil. Eur v roku 202</w:t>
      </w:r>
      <w:r w:rsidR="00391791" w:rsidRPr="00553831">
        <w:rPr>
          <w:rFonts w:ascii="Times New Roman" w:eastAsia="Calibri" w:hAnsi="Times New Roman" w:cs="Times New Roman"/>
          <w:color w:val="000000" w:themeColor="text1"/>
          <w:sz w:val="24"/>
        </w:rPr>
        <w:t>9</w:t>
      </w:r>
      <w:r w:rsidRPr="00553831">
        <w:rPr>
          <w:rFonts w:ascii="Times New Roman" w:eastAsia="Calibri" w:hAnsi="Times New Roman" w:cs="Times New Roman"/>
          <w:color w:val="000000" w:themeColor="text1"/>
          <w:sz w:val="24"/>
        </w:rPr>
        <w:t>, v závislosti od rýchlosti podávania žiadostí a správania výrobcov. Dopad je koncentrovaný v terapeutických oblastiach s vysokým podielom generických a biologicky podobných liekov a u kritických liekov (najmä očkovacích látok) s aktuálne výrazne nižšou slovenskou cenou oproti ERC.</w:t>
      </w:r>
    </w:p>
    <w:p w14:paraId="22ED3AEE" w14:textId="77777777" w:rsidR="00305891" w:rsidRPr="00553831" w:rsidRDefault="00305891" w:rsidP="00ED7612">
      <w:pPr>
        <w:spacing w:after="160" w:line="259" w:lineRule="auto"/>
        <w:jc w:val="both"/>
        <w:rPr>
          <w:rFonts w:ascii="Times New Roman" w:eastAsia="Calibri" w:hAnsi="Times New Roman" w:cs="Times New Roman"/>
          <w:color w:val="000000" w:themeColor="text1"/>
          <w:sz w:val="24"/>
        </w:rPr>
      </w:pPr>
    </w:p>
    <w:p w14:paraId="35779137" w14:textId="77777777" w:rsidR="00ED7612" w:rsidRPr="00553831" w:rsidRDefault="00ED7612" w:rsidP="00ED7612">
      <w:pPr>
        <w:spacing w:after="160" w:line="259" w:lineRule="auto"/>
        <w:jc w:val="both"/>
        <w:rPr>
          <w:rFonts w:ascii="Times New Roman" w:eastAsia="Calibri" w:hAnsi="Times New Roman" w:cs="Times New Roman"/>
          <w:b/>
          <w:bCs/>
          <w:color w:val="000000" w:themeColor="text1"/>
          <w:sz w:val="24"/>
        </w:rPr>
      </w:pPr>
      <w:r w:rsidRPr="00553831">
        <w:rPr>
          <w:rFonts w:ascii="Times New Roman" w:eastAsia="Calibri" w:hAnsi="Times New Roman" w:cs="Times New Roman"/>
          <w:b/>
          <w:bCs/>
          <w:color w:val="000000" w:themeColor="text1"/>
          <w:sz w:val="24"/>
        </w:rPr>
        <w:t>Zmena znenia §7 ods. 5</w:t>
      </w:r>
    </w:p>
    <w:p w14:paraId="5A0F43D8" w14:textId="77777777" w:rsidR="004D0518" w:rsidRPr="00553831" w:rsidRDefault="004D0518" w:rsidP="009933A7">
      <w:pPr>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Hlavným účelom zmien v §7 ods. 5 je zabezpečenie zlepšenia dostupnosti liekov, ktoré samotná Európska lieková agentúra (ďalej len „EMA“) vyhodnotila ako inovatívne, resp. im priradila status lieku určeného na liečbu ojedinelého ochorenia, alebo im pre ich predpokladaný významný klinický prínos v oblasti s vysokou klinickou nenaplnenou potrebou udelila podmienenú registráciu. Práve preto bolo vytvorené znenie, ktoré urýchli vstup takýchto liekov avšak s potrebným zabezpečením efektívneho prerozdeľovania verejných zdrojov so zdravotného poistenia. </w:t>
      </w:r>
    </w:p>
    <w:p w14:paraId="16AAA6EA" w14:textId="38840C40" w:rsidR="004D0518" w:rsidRPr="00553831" w:rsidRDefault="004D0518" w:rsidP="009933A7">
      <w:pPr>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Pre tento účel bol vytvorený zoznam humánnych liekov, ktoré registrovala, alebo vydala pozitívne stanovisko EMA k dátumu 18.3.2026 (celkovo 2291 liekov). Z nich 1572 malo k tomuto dátumu platnú registráciu, alebo malo vydané stanovisko, pričom však 4 lieky mali negatívne stanovisko. Týchto 1568 liekov bolo následne redukovaných o biologicky podobné lieky (151), o generické lieky (253) a o lieky určené na diagnostické účely (21), čo znamenalo 1143 unikátnych liekov (bez ohľadu na počet rôznych balení). Z toho zoznamu boli ešte vyradené očkovacie látky  dostupné na Slovensku alebo určené na prevenciu ochorení nevyskytujúcich sa v našom regióne, čo viedlo k zoznamu 1084 unikátnych liekov. Tieto boli porovnané s liekmi dostupnými v mesiaci apríl 2026, alebo u ktorých už v minulosti prebehlo rozhodovanie o úhrade na Slovensku s negatívnym či pozitívnym záverom, alebo sú v posudzovaní (podaná žiadosť o úhradu). Lieky, ktoré boli registrované pred rokom 2021, pre ktoré bol priestor na kategorizáciu zmenou zákona v roku 2022, boli zo zoznamu odstránené (s výnimkou 8, ktoré sú uhrádzané na podklade výnimky a sú určené pre malé počty pacientov). Z týchto liekov boli následne prednostne spracované tie, ktoré majú udelenú podmienenú registráciu a splnia podmienku, že sa jedná o liek na ojedinelé ochorenie, liek na inovatívnu liečbu, liek na pediatrickú indikáciu alebo liek určený na liečbu závažného ochorenia. Ak nemali udelenú podmienenú registráciu, ale mali udelený status lieku na ojedinelé ochorenie alebo lieku na inovatívnu liečbu, bolo vykonané na podklade Súhrnu charakteristických vlastností liekov a hodnotiacej správy EMA zhodnotenie splnenia podmienky prínosov podľa ods. 1 </w:t>
      </w:r>
      <w:proofErr w:type="spellStart"/>
      <w:r w:rsidRPr="00553831">
        <w:rPr>
          <w:rFonts w:ascii="Times New Roman" w:eastAsia="Calibri" w:hAnsi="Times New Roman" w:cs="Times New Roman"/>
          <w:color w:val="000000" w:themeColor="text1"/>
          <w:sz w:val="24"/>
        </w:rPr>
        <w:t>písm</w:t>
      </w:r>
      <w:proofErr w:type="spellEnd"/>
      <w:r w:rsidRPr="00553831">
        <w:rPr>
          <w:rFonts w:ascii="Times New Roman" w:eastAsia="Calibri" w:hAnsi="Times New Roman" w:cs="Times New Roman"/>
          <w:color w:val="000000" w:themeColor="text1"/>
          <w:sz w:val="24"/>
        </w:rPr>
        <w:t xml:space="preserve"> a, resp. písm. b. U ostatných bolo na podklade Súhrnu charakteristických vlastností liekov a hodnotiacej správy EMA zhodnotenie splnenia podmienky definície lieku na pediatrickú indikáciu alebo lieku určeného na liečbu závažného ochorenia a súčasne prínosov podľa ods. 1 </w:t>
      </w:r>
      <w:proofErr w:type="spellStart"/>
      <w:r w:rsidRPr="00553831">
        <w:rPr>
          <w:rFonts w:ascii="Times New Roman" w:eastAsia="Calibri" w:hAnsi="Times New Roman" w:cs="Times New Roman"/>
          <w:color w:val="000000" w:themeColor="text1"/>
          <w:sz w:val="24"/>
        </w:rPr>
        <w:t>písm</w:t>
      </w:r>
      <w:proofErr w:type="spellEnd"/>
      <w:r w:rsidRPr="00553831">
        <w:rPr>
          <w:rFonts w:ascii="Times New Roman" w:eastAsia="Calibri" w:hAnsi="Times New Roman" w:cs="Times New Roman"/>
          <w:color w:val="000000" w:themeColor="text1"/>
          <w:sz w:val="24"/>
        </w:rPr>
        <w:t xml:space="preserve"> a, resp. písm. b. Celkovo tieto podmienky splnilo 49 liekov, pričom z tohto zoznamu sú dve nedávno </w:t>
      </w:r>
      <w:proofErr w:type="spellStart"/>
      <w:r w:rsidRPr="00553831">
        <w:rPr>
          <w:rFonts w:ascii="Times New Roman" w:eastAsia="Calibri" w:hAnsi="Times New Roman" w:cs="Times New Roman"/>
          <w:color w:val="000000" w:themeColor="text1"/>
          <w:sz w:val="24"/>
        </w:rPr>
        <w:t>zdostupnené</w:t>
      </w:r>
      <w:proofErr w:type="spellEnd"/>
      <w:r w:rsidRPr="00553831">
        <w:rPr>
          <w:rFonts w:ascii="Times New Roman" w:eastAsia="Calibri" w:hAnsi="Times New Roman" w:cs="Times New Roman"/>
          <w:color w:val="000000" w:themeColor="text1"/>
          <w:sz w:val="24"/>
        </w:rPr>
        <w:t xml:space="preserve"> v Českej republike. Niektorým z liekov s udelenou podmienenou registráciou, ktoré by nesplnili podmienky prínosov podľa ods. 1 </w:t>
      </w:r>
      <w:proofErr w:type="spellStart"/>
      <w:r w:rsidRPr="00553831">
        <w:rPr>
          <w:rFonts w:ascii="Times New Roman" w:eastAsia="Calibri" w:hAnsi="Times New Roman" w:cs="Times New Roman"/>
          <w:color w:val="000000" w:themeColor="text1"/>
          <w:sz w:val="24"/>
        </w:rPr>
        <w:t>písm</w:t>
      </w:r>
      <w:proofErr w:type="spellEnd"/>
      <w:r w:rsidRPr="00553831">
        <w:rPr>
          <w:rFonts w:ascii="Times New Roman" w:eastAsia="Calibri" w:hAnsi="Times New Roman" w:cs="Times New Roman"/>
          <w:color w:val="000000" w:themeColor="text1"/>
          <w:sz w:val="24"/>
        </w:rPr>
        <w:t xml:space="preserve"> a, resp. písm. b, končí status podmienenej registrácie ku dňu predpokladanej účinnosti zákona. Preto </w:t>
      </w:r>
      <w:r w:rsidR="009933A7" w:rsidRPr="00553831">
        <w:rPr>
          <w:rFonts w:ascii="Times New Roman" w:eastAsia="Calibri" w:hAnsi="Times New Roman" w:cs="Times New Roman"/>
          <w:color w:val="000000" w:themeColor="text1"/>
          <w:sz w:val="24"/>
        </w:rPr>
        <w:t>v modeli nie je</w:t>
      </w:r>
      <w:r w:rsidRPr="00553831">
        <w:rPr>
          <w:rFonts w:ascii="Times New Roman" w:eastAsia="Calibri" w:hAnsi="Times New Roman" w:cs="Times New Roman"/>
          <w:color w:val="000000" w:themeColor="text1"/>
          <w:sz w:val="24"/>
        </w:rPr>
        <w:t xml:space="preserve"> predpokladaný ich vstup.</w:t>
      </w:r>
    </w:p>
    <w:p w14:paraId="63C41F2A" w14:textId="246B0062" w:rsidR="009933A7" w:rsidRPr="00553831" w:rsidRDefault="004D0518" w:rsidP="009933A7">
      <w:pPr>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Dôležité je aj uviesť, že zo všetkých liekov, ktoré mali za sledované obdobie udelenú podmienenú registráciu až 22% nepokračovalo v registrácii z rôznych dôvodov. Celkovo však 17% podmienených registrácií bolo ukončených zo strany EMA kvôli nesplneniu podmienok pre udelenie štandardnej registrácie, najčastejšie pre riziko, ktoré prevyšovalo prínos.</w:t>
      </w:r>
      <w:r w:rsidR="009933A7" w:rsidRPr="00553831">
        <w:rPr>
          <w:rFonts w:ascii="Times New Roman" w:eastAsia="Calibri" w:hAnsi="Times New Roman" w:cs="Times New Roman"/>
          <w:color w:val="000000" w:themeColor="text1"/>
          <w:sz w:val="24"/>
        </w:rPr>
        <w:t xml:space="preserve"> </w:t>
      </w:r>
    </w:p>
    <w:p w14:paraId="3521B076" w14:textId="5A513851" w:rsidR="004D0518" w:rsidRPr="00553831" w:rsidRDefault="004D0518" w:rsidP="009933A7">
      <w:pPr>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Avšak ku všetkým 49 uvedeným unikátnym liekom bola zistená európska referenčná cena, ak ešte nebola dostupná žiadna cena v štátoch EU, použitá bola verejne dostupná cena zo Spojených štátov amerických s kurzovým prepočtom podľa NBS. Cena výrobcu tak bola následne prepočítaná na konečnú cenu (ak bolo registrovaných viacero balení, bola prepočítaná z konečnej ceny cena na jednotku určenú na výpočet veľkosti dávky). Podľa Súhrnu charakteristických vlastností liekov a hodnotiacej správy EMA bola priradená </w:t>
      </w:r>
      <w:r w:rsidR="009933A7" w:rsidRPr="00553831">
        <w:rPr>
          <w:rFonts w:ascii="Times New Roman" w:eastAsia="Calibri" w:hAnsi="Times New Roman" w:cs="Times New Roman"/>
          <w:color w:val="000000" w:themeColor="text1"/>
          <w:sz w:val="24"/>
        </w:rPr>
        <w:t>epidemiológia</w:t>
      </w:r>
      <w:r w:rsidRPr="00553831">
        <w:rPr>
          <w:rFonts w:ascii="Times New Roman" w:eastAsia="Calibri" w:hAnsi="Times New Roman" w:cs="Times New Roman"/>
          <w:color w:val="000000" w:themeColor="text1"/>
          <w:sz w:val="24"/>
        </w:rPr>
        <w:t xml:space="preserve">, dávkovanie a priemerná dĺžka liečby (ak nebol dostatočný popis v dokumentoch EMA, údaje boli dohľadané v publikovaných klinických štúdiách pre terapeutické indikácie spĺňajúce podmienky §7 </w:t>
      </w:r>
      <w:proofErr w:type="spellStart"/>
      <w:r w:rsidRPr="00553831">
        <w:rPr>
          <w:rFonts w:ascii="Times New Roman" w:eastAsia="Calibri" w:hAnsi="Times New Roman" w:cs="Times New Roman"/>
          <w:color w:val="000000" w:themeColor="text1"/>
          <w:sz w:val="24"/>
        </w:rPr>
        <w:t>ods</w:t>
      </w:r>
      <w:proofErr w:type="spellEnd"/>
      <w:r w:rsidRPr="00553831">
        <w:rPr>
          <w:rFonts w:ascii="Times New Roman" w:eastAsia="Calibri" w:hAnsi="Times New Roman" w:cs="Times New Roman"/>
          <w:color w:val="000000" w:themeColor="text1"/>
          <w:sz w:val="24"/>
        </w:rPr>
        <w:t xml:space="preserve"> 5). Jeden liek z týchto ešte pri finalizácii podal žiadosť o úhradu, preto bolo finálne spracovávaných 48 unikátnych molekúl. Po odstránení liekov, ktorým končí status podmienenej registrácie bol počítaný postupný vstup 26 unikátnych liekov. Pri podaní žiadosti v najskoršom termíne začatia účinnosti novely zákona, je možný vstup do úhrady najskôr k 1.7.2027. Zvolený bol konzervatívny prístup, kedy sa predpokladalo, že vstúpia do úhrady tak skoro ako to umožňujú zákonom určené termíny a postupne budú každý mesiac vstupovať pacienti do liečby so zvyšujúcim sa podielom počtu vhodných pacientov. Náklady boli aplikované v každom mesiaci podľa priemernej dĺžky liečby.</w:t>
      </w:r>
    </w:p>
    <w:p w14:paraId="360640A3" w14:textId="77777777" w:rsidR="004B56AD" w:rsidRPr="00553831" w:rsidRDefault="004B56AD" w:rsidP="004D0518">
      <w:pPr>
        <w:rPr>
          <w:color w:val="000000" w:themeColor="text1"/>
        </w:rPr>
      </w:pPr>
    </w:p>
    <w:p w14:paraId="60619E45" w14:textId="77777777" w:rsidR="00ED7612" w:rsidRPr="00553831" w:rsidRDefault="00ED7612" w:rsidP="00ED7612">
      <w:pPr>
        <w:spacing w:after="160" w:line="259" w:lineRule="auto"/>
        <w:jc w:val="both"/>
        <w:rPr>
          <w:rFonts w:ascii="Times New Roman" w:eastAsia="Calibri" w:hAnsi="Times New Roman" w:cs="Times New Roman"/>
          <w:b/>
          <w:color w:val="000000" w:themeColor="text1"/>
          <w:sz w:val="24"/>
          <w:u w:val="single"/>
        </w:rPr>
      </w:pPr>
      <w:r w:rsidRPr="00553831">
        <w:rPr>
          <w:rFonts w:ascii="Times New Roman" w:eastAsia="Times New Roman" w:hAnsi="Times New Roman" w:cs="Times New Roman"/>
          <w:b/>
          <w:bCs/>
          <w:color w:val="000000" w:themeColor="text1"/>
          <w:sz w:val="24"/>
          <w:szCs w:val="24"/>
          <w:lang w:eastAsia="sk-SK"/>
        </w:rPr>
        <w:t>Dopad generických liekov a biologicky podobných liekov pri strate exkluzivity originálnych molekúl na trhu</w:t>
      </w:r>
    </w:p>
    <w:p w14:paraId="2252B36D" w14:textId="117B016B" w:rsidR="009933A7" w:rsidRPr="00553831" w:rsidRDefault="009933A7" w:rsidP="00ED7612">
      <w:pPr>
        <w:spacing w:after="160" w:line="259" w:lineRule="auto"/>
        <w:jc w:val="both"/>
        <w:rPr>
          <w:rFonts w:ascii="Times New Roman" w:eastAsia="Calibri" w:hAnsi="Times New Roman" w:cs="Times New Roman"/>
          <w:bCs/>
          <w:color w:val="000000" w:themeColor="text1"/>
          <w:sz w:val="24"/>
        </w:rPr>
      </w:pPr>
      <w:r w:rsidRPr="00553831">
        <w:rPr>
          <w:rFonts w:ascii="Times New Roman" w:eastAsia="Calibri" w:hAnsi="Times New Roman" w:cs="Times New Roman"/>
          <w:bCs/>
          <w:color w:val="000000" w:themeColor="text1"/>
          <w:sz w:val="24"/>
        </w:rPr>
        <w:t xml:space="preserve">Model úspor z generických a biologicky podobných liekov vychádza  z kombinácie platnej legislatívy, aktuálnych trhových údajov a predikčných parametrov, ktoré umožňujú kvantifikovať finančné dopady straty trhovej exkluzivity a následného vstupu konkurencie na úhrady z verejného zdravotného poistenia. </w:t>
      </w:r>
    </w:p>
    <w:p w14:paraId="1D26A53E" w14:textId="77777777" w:rsidR="00DE3EE7" w:rsidRPr="00553831" w:rsidRDefault="00DE3EE7" w:rsidP="00ED7612">
      <w:pPr>
        <w:spacing w:after="160" w:line="259" w:lineRule="auto"/>
        <w:jc w:val="both"/>
        <w:rPr>
          <w:rFonts w:ascii="Times New Roman" w:eastAsia="Calibri" w:hAnsi="Times New Roman" w:cs="Times New Roman"/>
          <w:bCs/>
          <w:color w:val="000000" w:themeColor="text1"/>
          <w:sz w:val="24"/>
        </w:rPr>
      </w:pPr>
      <w:r w:rsidRPr="00553831">
        <w:rPr>
          <w:rFonts w:ascii="Times New Roman" w:eastAsia="Calibri" w:hAnsi="Times New Roman" w:cs="Times New Roman"/>
          <w:bCs/>
          <w:color w:val="000000" w:themeColor="text1"/>
          <w:sz w:val="24"/>
        </w:rPr>
        <w:t xml:space="preserve">Účelom modelu je kvantifikovať dopad vstupu generických a biologicky podobných liekov na výdavky verejného zdravotného postenia a odhadnúť potenciálne úspory pri zachovaní rozsahu a kvality poskytovanej farmakoterapie. </w:t>
      </w:r>
    </w:p>
    <w:p w14:paraId="77464C20" w14:textId="77777777" w:rsidR="00DE3EE7" w:rsidRPr="00553831" w:rsidRDefault="00DE3EE7" w:rsidP="00ED7612">
      <w:pPr>
        <w:spacing w:after="160" w:line="259" w:lineRule="auto"/>
        <w:jc w:val="both"/>
        <w:rPr>
          <w:rFonts w:ascii="Times New Roman" w:eastAsia="Calibri" w:hAnsi="Times New Roman" w:cs="Times New Roman"/>
          <w:bCs/>
          <w:color w:val="000000" w:themeColor="text1"/>
          <w:sz w:val="24"/>
        </w:rPr>
      </w:pPr>
      <w:r w:rsidRPr="00553831">
        <w:rPr>
          <w:rFonts w:ascii="Times New Roman" w:eastAsia="Calibri" w:hAnsi="Times New Roman" w:cs="Times New Roman"/>
          <w:bCs/>
          <w:color w:val="000000" w:themeColor="text1"/>
          <w:sz w:val="24"/>
        </w:rPr>
        <w:t xml:space="preserve">Zmena zákona najmä v časti, ktorá zavádza zvýšenie ceny výrobcu na úroveň európskej referenčnej ceny pre generické a biologicky podobné lieky a na tretiu najnižšiu pre lieky zaradené do Zoznamu kritických liekov Európskou liekovou agentúrou, má vplyv na zvýšenie atraktivity a zlepšenie dostupnosti pre generické a biologicky podobné lieky.  </w:t>
      </w:r>
    </w:p>
    <w:p w14:paraId="1C0193E9" w14:textId="0D4E8F3A" w:rsidR="00ED7612" w:rsidRPr="00553831" w:rsidRDefault="00ED7612" w:rsidP="00ED7612">
      <w:pPr>
        <w:spacing w:after="160" w:line="259" w:lineRule="auto"/>
        <w:jc w:val="both"/>
        <w:rPr>
          <w:rFonts w:ascii="Times New Roman" w:eastAsia="Calibri" w:hAnsi="Times New Roman" w:cs="Times New Roman"/>
          <w:bCs/>
          <w:color w:val="000000" w:themeColor="text1"/>
          <w:sz w:val="24"/>
        </w:rPr>
      </w:pPr>
      <w:r w:rsidRPr="00553831">
        <w:rPr>
          <w:rFonts w:ascii="Times New Roman" w:eastAsia="Calibri" w:hAnsi="Times New Roman" w:cs="Times New Roman"/>
          <w:bCs/>
          <w:color w:val="000000" w:themeColor="text1"/>
          <w:sz w:val="24"/>
        </w:rPr>
        <w:t>Spotreba liekov bola stanovená na základe údajov za rok 202</w:t>
      </w:r>
      <w:r w:rsidR="009933A7" w:rsidRPr="00553831">
        <w:rPr>
          <w:rFonts w:ascii="Times New Roman" w:eastAsia="Calibri" w:hAnsi="Times New Roman" w:cs="Times New Roman"/>
          <w:bCs/>
          <w:color w:val="000000" w:themeColor="text1"/>
          <w:sz w:val="24"/>
        </w:rPr>
        <w:t>5</w:t>
      </w:r>
      <w:r w:rsidRPr="00553831">
        <w:rPr>
          <w:rFonts w:ascii="Times New Roman" w:eastAsia="Calibri" w:hAnsi="Times New Roman" w:cs="Times New Roman"/>
          <w:bCs/>
          <w:color w:val="000000" w:themeColor="text1"/>
          <w:sz w:val="24"/>
        </w:rPr>
        <w:t xml:space="preserve">, </w:t>
      </w:r>
      <w:proofErr w:type="spellStart"/>
      <w:r w:rsidRPr="00553831">
        <w:rPr>
          <w:rFonts w:ascii="Times New Roman" w:eastAsia="Calibri" w:hAnsi="Times New Roman" w:cs="Times New Roman"/>
          <w:bCs/>
          <w:color w:val="000000" w:themeColor="text1"/>
          <w:sz w:val="24"/>
        </w:rPr>
        <w:t>extrapolovaná</w:t>
      </w:r>
      <w:proofErr w:type="spellEnd"/>
      <w:r w:rsidRPr="00553831">
        <w:rPr>
          <w:rFonts w:ascii="Times New Roman" w:eastAsia="Calibri" w:hAnsi="Times New Roman" w:cs="Times New Roman"/>
          <w:bCs/>
          <w:color w:val="000000" w:themeColor="text1"/>
          <w:sz w:val="24"/>
        </w:rPr>
        <w:t xml:space="preserve"> na </w:t>
      </w:r>
      <w:r w:rsidR="00DE3EE7" w:rsidRPr="00553831">
        <w:rPr>
          <w:rFonts w:ascii="Times New Roman" w:eastAsia="Calibri" w:hAnsi="Times New Roman" w:cs="Times New Roman"/>
          <w:bCs/>
          <w:color w:val="000000" w:themeColor="text1"/>
          <w:sz w:val="24"/>
        </w:rPr>
        <w:t>roky 2026-2029</w:t>
      </w:r>
      <w:r w:rsidRPr="00553831">
        <w:rPr>
          <w:rFonts w:ascii="Times New Roman" w:eastAsia="Calibri" w:hAnsi="Times New Roman" w:cs="Times New Roman"/>
          <w:bCs/>
          <w:color w:val="000000" w:themeColor="text1"/>
          <w:sz w:val="24"/>
        </w:rPr>
        <w:t xml:space="preserve">. Úradne určené ceny, konečné ceny a percento úhrady vychádzajú zo Zoznamu kategorizovaných liekov platného </w:t>
      </w:r>
      <w:r w:rsidR="009933A7" w:rsidRPr="00553831">
        <w:rPr>
          <w:rFonts w:ascii="Times New Roman" w:eastAsia="Calibri" w:hAnsi="Times New Roman" w:cs="Times New Roman"/>
          <w:bCs/>
          <w:color w:val="000000" w:themeColor="text1"/>
          <w:sz w:val="24"/>
        </w:rPr>
        <w:t>v </w:t>
      </w:r>
      <w:r w:rsidR="00DE3EE7" w:rsidRPr="00553831">
        <w:rPr>
          <w:rFonts w:ascii="Times New Roman" w:eastAsia="Calibri" w:hAnsi="Times New Roman" w:cs="Times New Roman"/>
          <w:bCs/>
          <w:color w:val="000000" w:themeColor="text1"/>
          <w:sz w:val="24"/>
        </w:rPr>
        <w:t>apríly</w:t>
      </w:r>
      <w:r w:rsidR="009933A7" w:rsidRPr="00553831">
        <w:rPr>
          <w:rFonts w:ascii="Times New Roman" w:eastAsia="Calibri" w:hAnsi="Times New Roman" w:cs="Times New Roman"/>
          <w:bCs/>
          <w:color w:val="000000" w:themeColor="text1"/>
          <w:sz w:val="24"/>
        </w:rPr>
        <w:t xml:space="preserve"> </w:t>
      </w:r>
      <w:r w:rsidRPr="00553831">
        <w:rPr>
          <w:rFonts w:ascii="Times New Roman" w:eastAsia="Calibri" w:hAnsi="Times New Roman" w:cs="Times New Roman"/>
          <w:bCs/>
          <w:color w:val="000000" w:themeColor="text1"/>
          <w:sz w:val="24"/>
        </w:rPr>
        <w:t>202</w:t>
      </w:r>
      <w:r w:rsidR="009933A7" w:rsidRPr="00553831">
        <w:rPr>
          <w:rFonts w:ascii="Times New Roman" w:eastAsia="Calibri" w:hAnsi="Times New Roman" w:cs="Times New Roman"/>
          <w:bCs/>
          <w:color w:val="000000" w:themeColor="text1"/>
          <w:sz w:val="24"/>
        </w:rPr>
        <w:t>6</w:t>
      </w:r>
      <w:r w:rsidRPr="00553831">
        <w:rPr>
          <w:rFonts w:ascii="Times New Roman" w:eastAsia="Calibri" w:hAnsi="Times New Roman" w:cs="Times New Roman"/>
          <w:bCs/>
          <w:color w:val="000000" w:themeColor="text1"/>
          <w:sz w:val="24"/>
        </w:rPr>
        <w:t xml:space="preserve">, resp. dôverných cien a úhrad pre lieky, ktoré sú predmetom zmluvy o zdieľaní rizika. Povinné poklesy úhrad vyplývajú zo zákona č. 363/2011 Z. z. – pri vstupe prvého generického lieku o 49 %, pri vstupe prvého biologicky podobného lieku o 25 %. Údaje o strate trhovej exkluzivity boli čerpané z viacerých farmaceutických portálov (EMA, FDA Orange </w:t>
      </w:r>
      <w:proofErr w:type="spellStart"/>
      <w:r w:rsidRPr="00553831">
        <w:rPr>
          <w:rFonts w:ascii="Times New Roman" w:eastAsia="Calibri" w:hAnsi="Times New Roman" w:cs="Times New Roman"/>
          <w:bCs/>
          <w:color w:val="000000" w:themeColor="text1"/>
          <w:sz w:val="24"/>
        </w:rPr>
        <w:t>Book</w:t>
      </w:r>
      <w:proofErr w:type="spellEnd"/>
      <w:r w:rsidRPr="00553831">
        <w:rPr>
          <w:rFonts w:ascii="Times New Roman" w:eastAsia="Calibri" w:hAnsi="Times New Roman" w:cs="Times New Roman"/>
          <w:bCs/>
          <w:color w:val="000000" w:themeColor="text1"/>
          <w:sz w:val="24"/>
        </w:rPr>
        <w:t xml:space="preserve">, resp. IQVIA – </w:t>
      </w:r>
      <w:proofErr w:type="spellStart"/>
      <w:r w:rsidRPr="00553831">
        <w:rPr>
          <w:rFonts w:ascii="Times New Roman" w:eastAsia="Calibri" w:hAnsi="Times New Roman" w:cs="Times New Roman"/>
          <w:bCs/>
          <w:color w:val="000000" w:themeColor="text1"/>
          <w:sz w:val="24"/>
        </w:rPr>
        <w:t>Assessing</w:t>
      </w:r>
      <w:proofErr w:type="spellEnd"/>
      <w:r w:rsidRPr="00553831">
        <w:rPr>
          <w:rFonts w:ascii="Times New Roman" w:eastAsia="Calibri" w:hAnsi="Times New Roman" w:cs="Times New Roman"/>
          <w:bCs/>
          <w:color w:val="000000" w:themeColor="text1"/>
          <w:sz w:val="24"/>
        </w:rPr>
        <w:t xml:space="preserve"> </w:t>
      </w:r>
      <w:proofErr w:type="spellStart"/>
      <w:r w:rsidRPr="00553831">
        <w:rPr>
          <w:rFonts w:ascii="Times New Roman" w:eastAsia="Calibri" w:hAnsi="Times New Roman" w:cs="Times New Roman"/>
          <w:bCs/>
          <w:color w:val="000000" w:themeColor="text1"/>
          <w:sz w:val="24"/>
        </w:rPr>
        <w:t>the</w:t>
      </w:r>
      <w:proofErr w:type="spellEnd"/>
      <w:r w:rsidRPr="00553831">
        <w:rPr>
          <w:rFonts w:ascii="Times New Roman" w:eastAsia="Calibri" w:hAnsi="Times New Roman" w:cs="Times New Roman"/>
          <w:bCs/>
          <w:color w:val="000000" w:themeColor="text1"/>
          <w:sz w:val="24"/>
        </w:rPr>
        <w:t xml:space="preserve"> </w:t>
      </w:r>
      <w:proofErr w:type="spellStart"/>
      <w:r w:rsidRPr="00553831">
        <w:rPr>
          <w:rFonts w:ascii="Times New Roman" w:eastAsia="Calibri" w:hAnsi="Times New Roman" w:cs="Times New Roman"/>
          <w:bCs/>
          <w:color w:val="000000" w:themeColor="text1"/>
          <w:sz w:val="24"/>
        </w:rPr>
        <w:t>Biosimilar</w:t>
      </w:r>
      <w:proofErr w:type="spellEnd"/>
      <w:r w:rsidRPr="00553831">
        <w:rPr>
          <w:rFonts w:ascii="Times New Roman" w:eastAsia="Calibri" w:hAnsi="Times New Roman" w:cs="Times New Roman"/>
          <w:bCs/>
          <w:color w:val="000000" w:themeColor="text1"/>
          <w:sz w:val="24"/>
        </w:rPr>
        <w:t xml:space="preserve"> </w:t>
      </w:r>
      <w:proofErr w:type="spellStart"/>
      <w:r w:rsidRPr="00553831">
        <w:rPr>
          <w:rFonts w:ascii="Times New Roman" w:eastAsia="Calibri" w:hAnsi="Times New Roman" w:cs="Times New Roman"/>
          <w:bCs/>
          <w:color w:val="000000" w:themeColor="text1"/>
          <w:sz w:val="24"/>
        </w:rPr>
        <w:t>Void</w:t>
      </w:r>
      <w:proofErr w:type="spellEnd"/>
      <w:r w:rsidRPr="00553831">
        <w:rPr>
          <w:rFonts w:ascii="Times New Roman" w:eastAsia="Calibri" w:hAnsi="Times New Roman" w:cs="Times New Roman"/>
          <w:bCs/>
          <w:color w:val="000000" w:themeColor="text1"/>
          <w:sz w:val="24"/>
        </w:rPr>
        <w:t xml:space="preserve"> 2023 </w:t>
      </w:r>
      <w:proofErr w:type="spellStart"/>
      <w:r w:rsidRPr="00553831">
        <w:rPr>
          <w:rFonts w:ascii="Times New Roman" w:eastAsia="Calibri" w:hAnsi="Times New Roman" w:cs="Times New Roman"/>
          <w:bCs/>
          <w:color w:val="000000" w:themeColor="text1"/>
          <w:sz w:val="24"/>
        </w:rPr>
        <w:t>iqvia</w:t>
      </w:r>
      <w:proofErr w:type="spellEnd"/>
      <w:r w:rsidRPr="00553831">
        <w:rPr>
          <w:rFonts w:ascii="Times New Roman" w:eastAsia="Calibri" w:hAnsi="Times New Roman" w:cs="Times New Roman"/>
          <w:bCs/>
          <w:color w:val="000000" w:themeColor="text1"/>
          <w:sz w:val="24"/>
        </w:rPr>
        <w:t>-</w:t>
      </w:r>
      <w:proofErr w:type="spellStart"/>
      <w:r w:rsidRPr="00553831">
        <w:rPr>
          <w:rFonts w:ascii="Times New Roman" w:eastAsia="Calibri" w:hAnsi="Times New Roman" w:cs="Times New Roman"/>
          <w:bCs/>
          <w:color w:val="000000" w:themeColor="text1"/>
          <w:sz w:val="24"/>
        </w:rPr>
        <w:t>true</w:t>
      </w:r>
      <w:proofErr w:type="spellEnd"/>
      <w:r w:rsidRPr="00553831">
        <w:rPr>
          <w:rFonts w:ascii="Times New Roman" w:eastAsia="Calibri" w:hAnsi="Times New Roman" w:cs="Times New Roman"/>
          <w:bCs/>
          <w:color w:val="000000" w:themeColor="text1"/>
          <w:sz w:val="24"/>
        </w:rPr>
        <w:t>-</w:t>
      </w:r>
      <w:proofErr w:type="spellStart"/>
      <w:r w:rsidRPr="00553831">
        <w:rPr>
          <w:rFonts w:ascii="Times New Roman" w:eastAsia="Calibri" w:hAnsi="Times New Roman" w:cs="Times New Roman"/>
          <w:bCs/>
          <w:color w:val="000000" w:themeColor="text1"/>
          <w:sz w:val="24"/>
        </w:rPr>
        <w:t>value</w:t>
      </w:r>
      <w:proofErr w:type="spellEnd"/>
      <w:r w:rsidRPr="00553831">
        <w:rPr>
          <w:rFonts w:ascii="Times New Roman" w:eastAsia="Calibri" w:hAnsi="Times New Roman" w:cs="Times New Roman"/>
          <w:bCs/>
          <w:color w:val="000000" w:themeColor="text1"/>
          <w:sz w:val="24"/>
        </w:rPr>
        <w:t>-of-</w:t>
      </w:r>
      <w:proofErr w:type="spellStart"/>
      <w:r w:rsidRPr="00553831">
        <w:rPr>
          <w:rFonts w:ascii="Times New Roman" w:eastAsia="Calibri" w:hAnsi="Times New Roman" w:cs="Times New Roman"/>
          <w:bCs/>
          <w:color w:val="000000" w:themeColor="text1"/>
          <w:sz w:val="24"/>
        </w:rPr>
        <w:t>generic</w:t>
      </w:r>
      <w:proofErr w:type="spellEnd"/>
      <w:r w:rsidRPr="00553831">
        <w:rPr>
          <w:rFonts w:ascii="Times New Roman" w:eastAsia="Calibri" w:hAnsi="Times New Roman" w:cs="Times New Roman"/>
          <w:bCs/>
          <w:color w:val="000000" w:themeColor="text1"/>
          <w:sz w:val="24"/>
        </w:rPr>
        <w:t xml:space="preserve">-med). Podľa údajov sa očakáva strata trhovej exkluzivity na Slovensku pre viac ako 30 liekov. Z uvedených bolo modelovaných </w:t>
      </w:r>
      <w:r w:rsidR="00DE3EE7" w:rsidRPr="00553831">
        <w:rPr>
          <w:rFonts w:ascii="Times New Roman" w:eastAsia="Calibri" w:hAnsi="Times New Roman" w:cs="Times New Roman"/>
          <w:bCs/>
          <w:color w:val="000000" w:themeColor="text1"/>
          <w:sz w:val="24"/>
        </w:rPr>
        <w:t>13</w:t>
      </w:r>
      <w:r w:rsidRPr="00553831">
        <w:rPr>
          <w:rFonts w:ascii="Times New Roman" w:eastAsia="Calibri" w:hAnsi="Times New Roman" w:cs="Times New Roman"/>
          <w:bCs/>
          <w:color w:val="000000" w:themeColor="text1"/>
          <w:sz w:val="24"/>
        </w:rPr>
        <w:t>, ktoré majú v dôsledku spotreby výrazný vplyv:</w:t>
      </w:r>
    </w:p>
    <w:p w14:paraId="03941921" w14:textId="6A5AF95F"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3 lieky </w:t>
      </w:r>
      <w:r w:rsidR="0038393E" w:rsidRPr="00553831">
        <w:rPr>
          <w:rFonts w:ascii="Times New Roman" w:eastAsia="Calibri" w:hAnsi="Times New Roman" w:cs="Times New Roman"/>
          <w:color w:val="000000" w:themeColor="text1"/>
          <w:sz w:val="24"/>
        </w:rPr>
        <w:t xml:space="preserve">- </w:t>
      </w:r>
      <w:r w:rsidRPr="00553831">
        <w:rPr>
          <w:rFonts w:ascii="Times New Roman" w:eastAsia="Calibri" w:hAnsi="Times New Roman" w:cs="Times New Roman"/>
          <w:color w:val="000000" w:themeColor="text1"/>
          <w:sz w:val="24"/>
        </w:rPr>
        <w:t xml:space="preserve"> prvé biologicky podobné lieky vst</w:t>
      </w:r>
      <w:r w:rsidR="00DE3EE7" w:rsidRPr="00553831">
        <w:rPr>
          <w:rFonts w:ascii="Times New Roman" w:eastAsia="Calibri" w:hAnsi="Times New Roman" w:cs="Times New Roman"/>
          <w:color w:val="000000" w:themeColor="text1"/>
          <w:sz w:val="24"/>
        </w:rPr>
        <w:t>ú</w:t>
      </w:r>
      <w:r w:rsidRPr="00553831">
        <w:rPr>
          <w:rFonts w:ascii="Times New Roman" w:eastAsia="Calibri" w:hAnsi="Times New Roman" w:cs="Times New Roman"/>
          <w:color w:val="000000" w:themeColor="text1"/>
          <w:sz w:val="24"/>
        </w:rPr>
        <w:t>p</w:t>
      </w:r>
      <w:r w:rsidR="00DE3EE7" w:rsidRPr="00553831">
        <w:rPr>
          <w:rFonts w:ascii="Times New Roman" w:eastAsia="Calibri" w:hAnsi="Times New Roman" w:cs="Times New Roman"/>
          <w:color w:val="000000" w:themeColor="text1"/>
          <w:sz w:val="24"/>
        </w:rPr>
        <w:t>ili</w:t>
      </w:r>
      <w:r w:rsidRPr="00553831">
        <w:rPr>
          <w:rFonts w:ascii="Times New Roman" w:eastAsia="Calibri" w:hAnsi="Times New Roman" w:cs="Times New Roman"/>
          <w:color w:val="000000" w:themeColor="text1"/>
          <w:sz w:val="24"/>
        </w:rPr>
        <w:t xml:space="preserve"> v roku 2026</w:t>
      </w:r>
      <w:r w:rsidR="00DE3EE7" w:rsidRPr="00553831">
        <w:rPr>
          <w:rFonts w:ascii="Times New Roman" w:eastAsia="Calibri" w:hAnsi="Times New Roman" w:cs="Times New Roman"/>
          <w:color w:val="000000" w:themeColor="text1"/>
          <w:sz w:val="24"/>
        </w:rPr>
        <w:t xml:space="preserve"> a následne vstupujú ďalšie</w:t>
      </w:r>
      <w:r w:rsidRPr="00553831">
        <w:rPr>
          <w:rFonts w:ascii="Times New Roman" w:eastAsia="Calibri" w:hAnsi="Times New Roman" w:cs="Times New Roman"/>
          <w:color w:val="000000" w:themeColor="text1"/>
          <w:sz w:val="24"/>
        </w:rPr>
        <w:t xml:space="preserve">, </w:t>
      </w:r>
    </w:p>
    <w:p w14:paraId="6394C567" w14:textId="11435A8C" w:rsidR="00ED7612" w:rsidRPr="00553831" w:rsidRDefault="00DE3EE7"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5</w:t>
      </w:r>
      <w:r w:rsidR="00ED7612" w:rsidRPr="00553831">
        <w:rPr>
          <w:rFonts w:ascii="Times New Roman" w:eastAsia="Calibri" w:hAnsi="Times New Roman" w:cs="Times New Roman"/>
          <w:color w:val="000000" w:themeColor="text1"/>
          <w:sz w:val="24"/>
        </w:rPr>
        <w:t xml:space="preserve"> liek</w:t>
      </w:r>
      <w:r w:rsidRPr="00553831">
        <w:rPr>
          <w:rFonts w:ascii="Times New Roman" w:eastAsia="Calibri" w:hAnsi="Times New Roman" w:cs="Times New Roman"/>
          <w:color w:val="000000" w:themeColor="text1"/>
          <w:sz w:val="24"/>
        </w:rPr>
        <w:t xml:space="preserve">ov, pre ktoré končí exkluzivita na trhu v priebehu roka 2027 (3 </w:t>
      </w:r>
      <w:r w:rsidR="0038393E" w:rsidRPr="00553831">
        <w:rPr>
          <w:rFonts w:ascii="Times New Roman" w:eastAsia="Calibri" w:hAnsi="Times New Roman" w:cs="Times New Roman"/>
          <w:color w:val="000000" w:themeColor="text1"/>
          <w:sz w:val="24"/>
        </w:rPr>
        <w:t>biologicky</w:t>
      </w:r>
      <w:r w:rsidRPr="00553831">
        <w:rPr>
          <w:rFonts w:ascii="Times New Roman" w:eastAsia="Calibri" w:hAnsi="Times New Roman" w:cs="Times New Roman"/>
          <w:color w:val="000000" w:themeColor="text1"/>
          <w:sz w:val="24"/>
        </w:rPr>
        <w:t xml:space="preserve"> podobné, 2 generické)</w:t>
      </w:r>
    </w:p>
    <w:p w14:paraId="0859EDC1" w14:textId="309FED3E" w:rsidR="0038393E" w:rsidRPr="00553831" w:rsidRDefault="0038393E"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2 lieky, pre ktoré končí exkluzivita na trhu v priebehu roka 2028- prvé biologicky podobné lieky v roku 2028</w:t>
      </w:r>
    </w:p>
    <w:p w14:paraId="0FA25CC4" w14:textId="74236EE6" w:rsidR="0038393E" w:rsidRPr="00553831" w:rsidRDefault="0038393E"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1 liek, pre ktorý končí exkluzivita na trhu na konci </w:t>
      </w:r>
      <w:r w:rsidR="008F74B5" w:rsidRPr="00553831">
        <w:rPr>
          <w:rFonts w:ascii="Times New Roman" w:eastAsia="Calibri" w:hAnsi="Times New Roman" w:cs="Times New Roman"/>
          <w:color w:val="000000" w:themeColor="text1"/>
          <w:sz w:val="24"/>
        </w:rPr>
        <w:t>roka 2028- prvý biologicky podobný vstupuje v roku 2029</w:t>
      </w:r>
    </w:p>
    <w:p w14:paraId="5D65E605" w14:textId="360D4A83" w:rsidR="00ED7612" w:rsidRPr="00553831" w:rsidRDefault="00ED7612" w:rsidP="00ED7612">
      <w:pPr>
        <w:numPr>
          <w:ilvl w:val="0"/>
          <w:numId w:val="10"/>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2 lieky, kde už sú generické lieky na trhu (2025), avšak </w:t>
      </w:r>
      <w:r w:rsidR="00DE3EE7" w:rsidRPr="00553831">
        <w:rPr>
          <w:rFonts w:ascii="Times New Roman" w:eastAsia="Calibri" w:hAnsi="Times New Roman" w:cs="Times New Roman"/>
          <w:color w:val="000000" w:themeColor="text1"/>
          <w:sz w:val="24"/>
        </w:rPr>
        <w:t xml:space="preserve">v dôsledku očakávaných zmien v zákone </w:t>
      </w:r>
      <w:r w:rsidR="0038393E" w:rsidRPr="00553831">
        <w:rPr>
          <w:rFonts w:ascii="Times New Roman" w:eastAsia="Calibri" w:hAnsi="Times New Roman" w:cs="Times New Roman"/>
          <w:color w:val="000000" w:themeColor="text1"/>
          <w:sz w:val="24"/>
        </w:rPr>
        <w:t xml:space="preserve">sa očakáva pre </w:t>
      </w:r>
      <w:r w:rsidRPr="00553831">
        <w:rPr>
          <w:rFonts w:ascii="Times New Roman" w:eastAsia="Calibri" w:hAnsi="Times New Roman" w:cs="Times New Roman"/>
          <w:color w:val="000000" w:themeColor="text1"/>
          <w:sz w:val="24"/>
        </w:rPr>
        <w:t xml:space="preserve">ich </w:t>
      </w:r>
      <w:r w:rsidR="0038393E" w:rsidRPr="00553831">
        <w:rPr>
          <w:rFonts w:ascii="Times New Roman" w:eastAsia="Calibri" w:hAnsi="Times New Roman" w:cs="Times New Roman"/>
          <w:color w:val="000000" w:themeColor="text1"/>
          <w:sz w:val="24"/>
        </w:rPr>
        <w:t>významný vplyv pokračujúci trend.</w:t>
      </w:r>
    </w:p>
    <w:p w14:paraId="29363359" w14:textId="77777777" w:rsidR="00ED7612" w:rsidRPr="00553831" w:rsidRDefault="00ED7612" w:rsidP="00ED7612">
      <w:pPr>
        <w:spacing w:after="160" w:line="259" w:lineRule="auto"/>
        <w:jc w:val="both"/>
        <w:rPr>
          <w:rFonts w:ascii="Times New Roman" w:eastAsia="Calibri" w:hAnsi="Times New Roman" w:cs="Times New Roman"/>
          <w:bCs/>
          <w:color w:val="000000" w:themeColor="text1"/>
          <w:sz w:val="24"/>
        </w:rPr>
      </w:pPr>
      <w:r w:rsidRPr="00553831">
        <w:rPr>
          <w:rFonts w:ascii="Times New Roman" w:eastAsia="Calibri" w:hAnsi="Times New Roman" w:cs="Times New Roman"/>
          <w:bCs/>
          <w:color w:val="000000" w:themeColor="text1"/>
          <w:sz w:val="24"/>
        </w:rPr>
        <w:t xml:space="preserve">Model zohľadňuje aj medziročné poklesy cien v dôsledku zvýšenia konkurencie a očakávaných vstupov ďalších liekov po strate trhovej exkluzivity podľa údajov EMA, FDA a IQVIA. Pre každý scenár (status </w:t>
      </w:r>
      <w:proofErr w:type="spellStart"/>
      <w:r w:rsidRPr="00553831">
        <w:rPr>
          <w:rFonts w:ascii="Times New Roman" w:eastAsia="Calibri" w:hAnsi="Times New Roman" w:cs="Times New Roman"/>
          <w:bCs/>
          <w:color w:val="000000" w:themeColor="text1"/>
          <w:sz w:val="24"/>
        </w:rPr>
        <w:t>quo</w:t>
      </w:r>
      <w:proofErr w:type="spellEnd"/>
      <w:r w:rsidRPr="00553831">
        <w:rPr>
          <w:rFonts w:ascii="Times New Roman" w:eastAsia="Calibri" w:hAnsi="Times New Roman" w:cs="Times New Roman"/>
          <w:bCs/>
          <w:color w:val="000000" w:themeColor="text1"/>
          <w:sz w:val="24"/>
        </w:rPr>
        <w:t xml:space="preserve"> a scenár so vstupmi) sa vypočítava dynamická projekcia cien, trhových podielov a výdavkov platiteľa. Podiel na trhu sa presúva od originálu ku konkurencii v čase, pričom tempo je určené počtom vstupujúcich liekov. Počty registrovaných liekov boli validované v databáze registrovaných alebo posudzovaných liekov Európskou liekovou agentúrou. </w:t>
      </w:r>
    </w:p>
    <w:p w14:paraId="1FB5C83C" w14:textId="7195130F" w:rsidR="008F74B5" w:rsidRPr="00553831" w:rsidRDefault="00ED7612" w:rsidP="00ED7612">
      <w:pPr>
        <w:spacing w:after="160" w:line="259" w:lineRule="auto"/>
        <w:jc w:val="both"/>
        <w:rPr>
          <w:rFonts w:ascii="Times New Roman" w:eastAsia="Calibri" w:hAnsi="Times New Roman" w:cs="Times New Roman"/>
          <w:bCs/>
          <w:color w:val="000000" w:themeColor="text1"/>
          <w:sz w:val="24"/>
        </w:rPr>
      </w:pPr>
      <w:r w:rsidRPr="00553831">
        <w:rPr>
          <w:rFonts w:ascii="Times New Roman" w:eastAsia="Calibri" w:hAnsi="Times New Roman" w:cs="Times New Roman"/>
          <w:bCs/>
          <w:color w:val="000000" w:themeColor="text1"/>
          <w:sz w:val="24"/>
        </w:rPr>
        <w:t xml:space="preserve">Výsledkom modelu je porovnanie celkových nákladov z verejného zdravotného poistenia v scenári zachovania aktuálneho stavu so scenárom vstupov generických a biologicky podobných liekov v jednotlivých rokoch a vyčíslenie ročných aj kumulatívnych úspor na úrovni </w:t>
      </w:r>
      <w:r w:rsidR="008F74B5" w:rsidRPr="00553831">
        <w:rPr>
          <w:rFonts w:ascii="Times New Roman" w:eastAsia="Calibri" w:hAnsi="Times New Roman" w:cs="Times New Roman"/>
          <w:bCs/>
          <w:color w:val="000000" w:themeColor="text1"/>
          <w:sz w:val="24"/>
        </w:rPr>
        <w:t xml:space="preserve">71 115 EUR v roku 2026, 1,8 mil.  EUR v roku 2027, 17 mil. v roku 2028 a 16 mil. v roku 2029. </w:t>
      </w:r>
      <w:r w:rsidRPr="00553831">
        <w:rPr>
          <w:rFonts w:ascii="Times New Roman" w:eastAsia="Calibri" w:hAnsi="Times New Roman" w:cs="Times New Roman"/>
          <w:bCs/>
          <w:color w:val="000000" w:themeColor="text1"/>
          <w:sz w:val="24"/>
        </w:rPr>
        <w:t>Okrem týchto minimálnych úspor sa očakávajú ďalšie možné  úspory spôsobené stratou trhovej exkluzivity pre ďalšie lieky, ktorých spotreba nie je výrazná, avšak jednotková  cena každého balenia lieku je značná. Predpokladá sa doplňujúca úspora v dôsledku zlepšenia podmienok pre penetráciu generických a biologicky podobných liekov (umožnenie zvýšenia úradne určenej ceny).</w:t>
      </w:r>
    </w:p>
    <w:p w14:paraId="23D5A9C1" w14:textId="1A294F62" w:rsidR="00DE135C" w:rsidRPr="00553831" w:rsidRDefault="00DE135C" w:rsidP="00ED7612">
      <w:pPr>
        <w:spacing w:after="160" w:line="259" w:lineRule="auto"/>
        <w:jc w:val="both"/>
        <w:rPr>
          <w:rFonts w:ascii="Times New Roman" w:eastAsia="Calibri" w:hAnsi="Times New Roman" w:cs="Times New Roman"/>
          <w:bCs/>
          <w:color w:val="000000" w:themeColor="text1"/>
          <w:sz w:val="24"/>
        </w:rPr>
      </w:pPr>
    </w:p>
    <w:p w14:paraId="3DE13EB9" w14:textId="77777777" w:rsidR="00ED7612" w:rsidRPr="00553831" w:rsidRDefault="00ED7612" w:rsidP="00ED7612">
      <w:pPr>
        <w:spacing w:after="160" w:line="259" w:lineRule="auto"/>
        <w:jc w:val="both"/>
        <w:rPr>
          <w:rFonts w:ascii="Times New Roman" w:eastAsia="Calibri" w:hAnsi="Times New Roman" w:cs="Times New Roman"/>
          <w:b/>
          <w:bCs/>
          <w:color w:val="000000" w:themeColor="text1"/>
          <w:sz w:val="24"/>
        </w:rPr>
      </w:pPr>
      <w:r w:rsidRPr="00553831">
        <w:rPr>
          <w:rFonts w:ascii="Times New Roman" w:eastAsia="Calibri" w:hAnsi="Times New Roman" w:cs="Times New Roman"/>
          <w:b/>
          <w:bCs/>
          <w:color w:val="000000" w:themeColor="text1"/>
          <w:sz w:val="24"/>
        </w:rPr>
        <w:t>Dopady a závery</w:t>
      </w:r>
    </w:p>
    <w:p w14:paraId="05302184" w14:textId="17766D83" w:rsidR="00ED7612" w:rsidRPr="00553831" w:rsidRDefault="00ED7612" w:rsidP="00ED7612">
      <w:pPr>
        <w:numPr>
          <w:ilvl w:val="0"/>
          <w:numId w:val="12"/>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Navrhovaná zmena zabezpečí </w:t>
      </w:r>
      <w:r w:rsidR="008F74B5" w:rsidRPr="00553831">
        <w:rPr>
          <w:rFonts w:ascii="Times New Roman" w:eastAsia="Calibri" w:hAnsi="Times New Roman" w:cs="Times New Roman"/>
          <w:color w:val="000000" w:themeColor="text1"/>
          <w:sz w:val="24"/>
        </w:rPr>
        <w:t xml:space="preserve">lepší </w:t>
      </w:r>
      <w:r w:rsidR="0034161E" w:rsidRPr="00553831">
        <w:rPr>
          <w:rFonts w:ascii="Times New Roman" w:eastAsia="Calibri" w:hAnsi="Times New Roman" w:cs="Times New Roman"/>
          <w:color w:val="000000" w:themeColor="text1"/>
          <w:sz w:val="24"/>
        </w:rPr>
        <w:t xml:space="preserve">a rýchlejší </w:t>
      </w:r>
      <w:r w:rsidRPr="00553831">
        <w:rPr>
          <w:rFonts w:ascii="Times New Roman" w:eastAsia="Calibri" w:hAnsi="Times New Roman" w:cs="Times New Roman"/>
          <w:color w:val="000000" w:themeColor="text1"/>
          <w:sz w:val="24"/>
        </w:rPr>
        <w:t>prístup pacientov k</w:t>
      </w:r>
      <w:r w:rsidR="008F74B5" w:rsidRPr="00553831">
        <w:rPr>
          <w:rFonts w:ascii="Times New Roman" w:eastAsia="Calibri" w:hAnsi="Times New Roman" w:cs="Times New Roman"/>
          <w:color w:val="000000" w:themeColor="text1"/>
          <w:sz w:val="24"/>
        </w:rPr>
        <w:t xml:space="preserve"> novým liekom s významným klinickým prínosom </w:t>
      </w:r>
      <w:r w:rsidR="0034161E" w:rsidRPr="00553831">
        <w:rPr>
          <w:rFonts w:ascii="Times New Roman" w:eastAsia="Calibri" w:hAnsi="Times New Roman" w:cs="Times New Roman"/>
          <w:color w:val="000000" w:themeColor="text1"/>
          <w:sz w:val="24"/>
        </w:rPr>
        <w:t xml:space="preserve">pre pacientov  - </w:t>
      </w:r>
      <w:r w:rsidRPr="00553831">
        <w:rPr>
          <w:rFonts w:ascii="Times New Roman" w:eastAsia="Calibri" w:hAnsi="Times New Roman" w:cs="Times New Roman"/>
          <w:color w:val="000000" w:themeColor="text1"/>
          <w:sz w:val="24"/>
        </w:rPr>
        <w:t> </w:t>
      </w:r>
      <w:r w:rsidRPr="00553831">
        <w:rPr>
          <w:rFonts w:ascii="Calibri" w:eastAsia="Calibri" w:hAnsi="Calibri" w:cs="Times New Roman"/>
          <w:color w:val="000000" w:themeColor="text1"/>
        </w:rPr>
        <w:t xml:space="preserve"> </w:t>
      </w:r>
      <w:r w:rsidRPr="00553831">
        <w:rPr>
          <w:rFonts w:ascii="Times New Roman" w:eastAsia="Calibri" w:hAnsi="Times New Roman" w:cs="Times New Roman"/>
          <w:color w:val="000000" w:themeColor="text1"/>
          <w:sz w:val="24"/>
        </w:rPr>
        <w:t>liek</w:t>
      </w:r>
      <w:r w:rsidR="0034161E" w:rsidRPr="00553831">
        <w:rPr>
          <w:rFonts w:ascii="Times New Roman" w:eastAsia="Calibri" w:hAnsi="Times New Roman" w:cs="Times New Roman"/>
          <w:color w:val="000000" w:themeColor="text1"/>
          <w:sz w:val="24"/>
        </w:rPr>
        <w:t>y</w:t>
      </w:r>
      <w:r w:rsidRPr="00553831">
        <w:rPr>
          <w:rFonts w:ascii="Times New Roman" w:eastAsia="Calibri" w:hAnsi="Times New Roman" w:cs="Times New Roman"/>
          <w:color w:val="000000" w:themeColor="text1"/>
          <w:sz w:val="24"/>
        </w:rPr>
        <w:t xml:space="preserve"> na ojedinelé ochorenie, liek</w:t>
      </w:r>
      <w:r w:rsidR="0034161E" w:rsidRPr="00553831">
        <w:rPr>
          <w:rFonts w:ascii="Times New Roman" w:eastAsia="Calibri" w:hAnsi="Times New Roman" w:cs="Times New Roman"/>
          <w:color w:val="000000" w:themeColor="text1"/>
          <w:sz w:val="24"/>
        </w:rPr>
        <w:t>y</w:t>
      </w:r>
      <w:r w:rsidRPr="00553831">
        <w:rPr>
          <w:rFonts w:ascii="Times New Roman" w:eastAsia="Calibri" w:hAnsi="Times New Roman" w:cs="Times New Roman"/>
          <w:color w:val="000000" w:themeColor="text1"/>
          <w:sz w:val="24"/>
        </w:rPr>
        <w:t xml:space="preserve"> na inovatívnu liečbu, liek</w:t>
      </w:r>
      <w:r w:rsidR="0034161E" w:rsidRPr="00553831">
        <w:rPr>
          <w:rFonts w:ascii="Times New Roman" w:eastAsia="Calibri" w:hAnsi="Times New Roman" w:cs="Times New Roman"/>
          <w:color w:val="000000" w:themeColor="text1"/>
          <w:sz w:val="24"/>
        </w:rPr>
        <w:t>y</w:t>
      </w:r>
      <w:r w:rsidRPr="00553831">
        <w:rPr>
          <w:rFonts w:ascii="Times New Roman" w:eastAsia="Calibri" w:hAnsi="Times New Roman" w:cs="Times New Roman"/>
          <w:color w:val="000000" w:themeColor="text1"/>
          <w:sz w:val="24"/>
        </w:rPr>
        <w:t xml:space="preserve"> na pediatrickú indikáciu</w:t>
      </w:r>
      <w:r w:rsidR="0034161E" w:rsidRPr="00553831">
        <w:rPr>
          <w:rFonts w:ascii="Times New Roman" w:eastAsia="Calibri" w:hAnsi="Times New Roman" w:cs="Times New Roman"/>
          <w:color w:val="000000" w:themeColor="text1"/>
          <w:sz w:val="24"/>
        </w:rPr>
        <w:t xml:space="preserve">, </w:t>
      </w:r>
      <w:r w:rsidRPr="00553831">
        <w:rPr>
          <w:rFonts w:ascii="Times New Roman" w:eastAsia="Calibri" w:hAnsi="Times New Roman" w:cs="Times New Roman"/>
          <w:color w:val="000000" w:themeColor="text1"/>
          <w:sz w:val="24"/>
        </w:rPr>
        <w:t>liek</w:t>
      </w:r>
      <w:r w:rsidR="0034161E" w:rsidRPr="00553831">
        <w:rPr>
          <w:rFonts w:ascii="Times New Roman" w:eastAsia="Calibri" w:hAnsi="Times New Roman" w:cs="Times New Roman"/>
          <w:color w:val="000000" w:themeColor="text1"/>
          <w:sz w:val="24"/>
        </w:rPr>
        <w:t>y</w:t>
      </w:r>
      <w:r w:rsidRPr="00553831">
        <w:rPr>
          <w:rFonts w:ascii="Times New Roman" w:eastAsia="Calibri" w:hAnsi="Times New Roman" w:cs="Times New Roman"/>
          <w:color w:val="000000" w:themeColor="text1"/>
          <w:sz w:val="24"/>
        </w:rPr>
        <w:t xml:space="preserve"> určen</w:t>
      </w:r>
      <w:r w:rsidR="0034161E" w:rsidRPr="00553831">
        <w:rPr>
          <w:rFonts w:ascii="Times New Roman" w:eastAsia="Calibri" w:hAnsi="Times New Roman" w:cs="Times New Roman"/>
          <w:color w:val="000000" w:themeColor="text1"/>
          <w:sz w:val="24"/>
        </w:rPr>
        <w:t xml:space="preserve">é </w:t>
      </w:r>
      <w:r w:rsidRPr="00553831">
        <w:rPr>
          <w:rFonts w:ascii="Times New Roman" w:eastAsia="Calibri" w:hAnsi="Times New Roman" w:cs="Times New Roman"/>
          <w:color w:val="000000" w:themeColor="text1"/>
          <w:sz w:val="24"/>
        </w:rPr>
        <w:t>na liečbu závažného ochorenia</w:t>
      </w:r>
      <w:r w:rsidR="0034161E" w:rsidRPr="00553831">
        <w:rPr>
          <w:rFonts w:ascii="Times New Roman" w:eastAsia="Calibri" w:hAnsi="Times New Roman" w:cs="Times New Roman"/>
          <w:color w:val="000000" w:themeColor="text1"/>
          <w:sz w:val="24"/>
        </w:rPr>
        <w:t xml:space="preserve"> a zníži tlak na </w:t>
      </w:r>
      <w:proofErr w:type="spellStart"/>
      <w:r w:rsidR="0034161E" w:rsidRPr="00553831">
        <w:rPr>
          <w:rFonts w:ascii="Times New Roman" w:eastAsia="Calibri" w:hAnsi="Times New Roman" w:cs="Times New Roman"/>
          <w:color w:val="000000" w:themeColor="text1"/>
          <w:sz w:val="24"/>
        </w:rPr>
        <w:t>výnimkový</w:t>
      </w:r>
      <w:proofErr w:type="spellEnd"/>
      <w:r w:rsidR="0034161E" w:rsidRPr="00553831">
        <w:rPr>
          <w:rFonts w:ascii="Times New Roman" w:eastAsia="Calibri" w:hAnsi="Times New Roman" w:cs="Times New Roman"/>
          <w:color w:val="000000" w:themeColor="text1"/>
          <w:sz w:val="24"/>
        </w:rPr>
        <w:t xml:space="preserve"> režim. </w:t>
      </w:r>
    </w:p>
    <w:p w14:paraId="44E54686" w14:textId="3966F6ED" w:rsidR="0034161E" w:rsidRPr="00553831" w:rsidRDefault="008F74B5" w:rsidP="00ED7612">
      <w:pPr>
        <w:numPr>
          <w:ilvl w:val="0"/>
          <w:numId w:val="12"/>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Zabezpečí dostupnosť </w:t>
      </w:r>
      <w:r w:rsidR="0034161E" w:rsidRPr="00553831">
        <w:rPr>
          <w:rFonts w:ascii="Times New Roman" w:eastAsia="Calibri" w:hAnsi="Times New Roman" w:cs="Times New Roman"/>
          <w:color w:val="000000" w:themeColor="text1"/>
          <w:sz w:val="24"/>
        </w:rPr>
        <w:t>generických</w:t>
      </w:r>
      <w:r w:rsidRPr="00553831">
        <w:rPr>
          <w:rFonts w:ascii="Times New Roman" w:eastAsia="Calibri" w:hAnsi="Times New Roman" w:cs="Times New Roman"/>
          <w:color w:val="000000" w:themeColor="text1"/>
          <w:sz w:val="24"/>
        </w:rPr>
        <w:t xml:space="preserve"> </w:t>
      </w:r>
      <w:r w:rsidR="0034161E" w:rsidRPr="00553831">
        <w:rPr>
          <w:rFonts w:ascii="Times New Roman" w:eastAsia="Calibri" w:hAnsi="Times New Roman" w:cs="Times New Roman"/>
          <w:color w:val="000000" w:themeColor="text1"/>
          <w:sz w:val="24"/>
        </w:rPr>
        <w:t>liekov</w:t>
      </w:r>
      <w:r w:rsidRPr="00553831">
        <w:rPr>
          <w:rFonts w:ascii="Times New Roman" w:eastAsia="Calibri" w:hAnsi="Times New Roman" w:cs="Times New Roman"/>
          <w:color w:val="000000" w:themeColor="text1"/>
          <w:sz w:val="24"/>
        </w:rPr>
        <w:t xml:space="preserve"> a biologicky podobných liekov</w:t>
      </w:r>
      <w:r w:rsidR="0034161E" w:rsidRPr="00553831">
        <w:rPr>
          <w:rFonts w:ascii="Times New Roman" w:eastAsia="Calibri" w:hAnsi="Times New Roman" w:cs="Times New Roman"/>
          <w:color w:val="000000" w:themeColor="text1"/>
          <w:sz w:val="24"/>
        </w:rPr>
        <w:t xml:space="preserve">, zvýši ich konkurencie schopnosť po strate exkluzivity originálnej molekuly a zabezpečí aby neprechádzali do úhrady vo </w:t>
      </w:r>
      <w:proofErr w:type="spellStart"/>
      <w:r w:rsidR="0034161E" w:rsidRPr="00553831">
        <w:rPr>
          <w:rFonts w:ascii="Times New Roman" w:eastAsia="Calibri" w:hAnsi="Times New Roman" w:cs="Times New Roman"/>
          <w:color w:val="000000" w:themeColor="text1"/>
          <w:sz w:val="24"/>
        </w:rPr>
        <w:t>výnimkovom</w:t>
      </w:r>
      <w:proofErr w:type="spellEnd"/>
      <w:r w:rsidR="0034161E" w:rsidRPr="00553831">
        <w:rPr>
          <w:rFonts w:ascii="Times New Roman" w:eastAsia="Calibri" w:hAnsi="Times New Roman" w:cs="Times New Roman"/>
          <w:color w:val="000000" w:themeColor="text1"/>
          <w:sz w:val="24"/>
        </w:rPr>
        <w:t xml:space="preserve"> režime pri ich </w:t>
      </w:r>
      <w:proofErr w:type="spellStart"/>
      <w:r w:rsidR="0034161E" w:rsidRPr="00553831">
        <w:rPr>
          <w:rFonts w:ascii="Times New Roman" w:eastAsia="Calibri" w:hAnsi="Times New Roman" w:cs="Times New Roman"/>
          <w:color w:val="000000" w:themeColor="text1"/>
          <w:sz w:val="24"/>
        </w:rPr>
        <w:t>dekategorizácii</w:t>
      </w:r>
      <w:proofErr w:type="spellEnd"/>
      <w:r w:rsidR="0034161E" w:rsidRPr="00553831">
        <w:rPr>
          <w:rFonts w:ascii="Times New Roman" w:eastAsia="Calibri" w:hAnsi="Times New Roman" w:cs="Times New Roman"/>
          <w:color w:val="000000" w:themeColor="text1"/>
          <w:sz w:val="24"/>
        </w:rPr>
        <w:t xml:space="preserve"> z ich vlastného podnetu.  </w:t>
      </w:r>
    </w:p>
    <w:p w14:paraId="1B8FC068" w14:textId="3ABC5378" w:rsidR="0034161E" w:rsidRPr="00553831" w:rsidRDefault="0034161E" w:rsidP="0034161E">
      <w:pPr>
        <w:numPr>
          <w:ilvl w:val="0"/>
          <w:numId w:val="12"/>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 xml:space="preserve">Zabezpečí kritické lieky pre pacientov v Slovenskej republike a zabezpečí dostupnosť liekov vyrábaných z ľudskej krvi a plazmy.  </w:t>
      </w:r>
      <w:r w:rsidR="008F74B5" w:rsidRPr="00553831">
        <w:rPr>
          <w:rFonts w:ascii="Times New Roman" w:eastAsia="Calibri" w:hAnsi="Times New Roman" w:cs="Times New Roman"/>
          <w:color w:val="000000" w:themeColor="text1"/>
          <w:sz w:val="24"/>
        </w:rPr>
        <w:t xml:space="preserve"> </w:t>
      </w:r>
    </w:p>
    <w:p w14:paraId="2282846B" w14:textId="0E561971" w:rsidR="00ED7612" w:rsidRPr="00553831" w:rsidRDefault="00ED7612" w:rsidP="00ED7612">
      <w:pPr>
        <w:numPr>
          <w:ilvl w:val="0"/>
          <w:numId w:val="12"/>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Zmeny majú predvídateľný rozpočtový dopad</w:t>
      </w:r>
      <w:r w:rsidR="008F74B5" w:rsidRPr="00553831">
        <w:rPr>
          <w:rFonts w:ascii="Times New Roman" w:eastAsia="Calibri" w:hAnsi="Times New Roman" w:cs="Times New Roman"/>
          <w:color w:val="000000" w:themeColor="text1"/>
          <w:sz w:val="24"/>
        </w:rPr>
        <w:t xml:space="preserve">. </w:t>
      </w:r>
    </w:p>
    <w:p w14:paraId="041ED0F2" w14:textId="3D601E62" w:rsidR="00ED7612" w:rsidRPr="00553831" w:rsidRDefault="00ED7612" w:rsidP="00ED7612">
      <w:pPr>
        <w:numPr>
          <w:ilvl w:val="0"/>
          <w:numId w:val="12"/>
        </w:numPr>
        <w:spacing w:after="160" w:line="259" w:lineRule="auto"/>
        <w:jc w:val="both"/>
        <w:rPr>
          <w:rFonts w:ascii="Times New Roman" w:eastAsia="Calibri" w:hAnsi="Times New Roman" w:cs="Times New Roman"/>
          <w:color w:val="000000" w:themeColor="text1"/>
          <w:sz w:val="24"/>
        </w:rPr>
      </w:pPr>
      <w:r w:rsidRPr="00553831">
        <w:rPr>
          <w:rFonts w:ascii="Times New Roman" w:eastAsia="Calibri" w:hAnsi="Times New Roman" w:cs="Times New Roman"/>
          <w:color w:val="000000" w:themeColor="text1"/>
          <w:sz w:val="24"/>
        </w:rPr>
        <w:t>Súčasne umožnia efektívnejšie využitie prostriedkov: zohľadňuje sa klinický prínos, čím sa predíde vstupu liekov s nízkou pridanou hodnotou</w:t>
      </w:r>
      <w:r w:rsidR="008F74B5" w:rsidRPr="00553831">
        <w:rPr>
          <w:rFonts w:ascii="Times New Roman" w:eastAsia="Calibri" w:hAnsi="Times New Roman" w:cs="Times New Roman"/>
          <w:color w:val="000000" w:themeColor="text1"/>
          <w:sz w:val="24"/>
        </w:rPr>
        <w:t xml:space="preserve"> a zníži tlak na </w:t>
      </w:r>
      <w:proofErr w:type="spellStart"/>
      <w:r w:rsidR="008F74B5" w:rsidRPr="00553831">
        <w:rPr>
          <w:rFonts w:ascii="Times New Roman" w:eastAsia="Calibri" w:hAnsi="Times New Roman" w:cs="Times New Roman"/>
          <w:color w:val="000000" w:themeColor="text1"/>
          <w:sz w:val="24"/>
        </w:rPr>
        <w:t>výnimkový</w:t>
      </w:r>
      <w:proofErr w:type="spellEnd"/>
      <w:r w:rsidR="008F74B5" w:rsidRPr="00553831">
        <w:rPr>
          <w:rFonts w:ascii="Times New Roman" w:eastAsia="Calibri" w:hAnsi="Times New Roman" w:cs="Times New Roman"/>
          <w:color w:val="000000" w:themeColor="text1"/>
          <w:sz w:val="24"/>
        </w:rPr>
        <w:t xml:space="preserve"> režim. </w:t>
      </w:r>
    </w:p>
    <w:p w14:paraId="6B2BA630"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4"/>
          <w:lang w:eastAsia="sk-SK"/>
        </w:rPr>
      </w:pPr>
    </w:p>
    <w:p w14:paraId="04937D8C" w14:textId="36B34B00" w:rsidR="00ED7612" w:rsidRPr="00553831" w:rsidRDefault="00013F94" w:rsidP="00ED7612">
      <w:pPr>
        <w:spacing w:after="0" w:line="240" w:lineRule="auto"/>
        <w:jc w:val="both"/>
        <w:rPr>
          <w:rFonts w:ascii="Times New Roman" w:eastAsia="Times New Roman" w:hAnsi="Times New Roman" w:cs="Times New Roman"/>
          <w:bCs/>
          <w:color w:val="000000" w:themeColor="text1"/>
          <w:sz w:val="24"/>
          <w:szCs w:val="20"/>
          <w:lang w:eastAsia="sk-SK"/>
        </w:rPr>
      </w:pPr>
      <w:r w:rsidRPr="00553831">
        <w:rPr>
          <w:noProof/>
          <w:color w:val="000000" w:themeColor="text1"/>
        </w:rPr>
        <w:drawing>
          <wp:inline distT="0" distB="0" distL="0" distR="0" wp14:anchorId="1751073C" wp14:editId="23F81C58">
            <wp:extent cx="5758841" cy="946150"/>
            <wp:effectExtent l="19050" t="19050" r="13335" b="25400"/>
            <wp:docPr id="2043768836"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850" cy="946480"/>
                    </a:xfrm>
                    <a:prstGeom prst="rect">
                      <a:avLst/>
                    </a:prstGeom>
                    <a:noFill/>
                    <a:ln>
                      <a:solidFill>
                        <a:schemeClr val="tx1"/>
                      </a:solidFill>
                    </a:ln>
                  </pic:spPr>
                </pic:pic>
              </a:graphicData>
            </a:graphic>
          </wp:inline>
        </w:drawing>
      </w:r>
    </w:p>
    <w:p w14:paraId="7F0C73B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0"/>
          <w:lang w:eastAsia="sk-SK"/>
        </w:rPr>
      </w:pPr>
    </w:p>
    <w:p w14:paraId="308269FC" w14:textId="77777777" w:rsidR="00DE135C" w:rsidRPr="00553831" w:rsidRDefault="00DE135C" w:rsidP="00ED7612">
      <w:pPr>
        <w:spacing w:after="0" w:line="240" w:lineRule="auto"/>
        <w:jc w:val="both"/>
        <w:rPr>
          <w:rFonts w:ascii="Times New Roman" w:eastAsia="Times New Roman" w:hAnsi="Times New Roman" w:cs="Times New Roman"/>
          <w:bCs/>
          <w:color w:val="000000" w:themeColor="text1"/>
          <w:sz w:val="24"/>
          <w:szCs w:val="20"/>
          <w:lang w:eastAsia="sk-SK"/>
        </w:rPr>
      </w:pPr>
    </w:p>
    <w:p w14:paraId="31212AE5" w14:textId="77777777" w:rsidR="00DE135C" w:rsidRPr="00553831" w:rsidRDefault="00DE135C" w:rsidP="00ED7612">
      <w:pPr>
        <w:spacing w:after="0" w:line="240" w:lineRule="auto"/>
        <w:jc w:val="both"/>
        <w:rPr>
          <w:rFonts w:ascii="Times New Roman" w:eastAsia="Times New Roman" w:hAnsi="Times New Roman" w:cs="Times New Roman"/>
          <w:bCs/>
          <w:color w:val="000000" w:themeColor="text1"/>
          <w:sz w:val="24"/>
          <w:szCs w:val="20"/>
          <w:lang w:eastAsia="sk-SK"/>
        </w:rPr>
      </w:pPr>
    </w:p>
    <w:p w14:paraId="29440BF3" w14:textId="12560784" w:rsidR="00DE135C" w:rsidRPr="00553831" w:rsidRDefault="00DE135C" w:rsidP="00ED7612">
      <w:pPr>
        <w:spacing w:after="0" w:line="240" w:lineRule="auto"/>
        <w:jc w:val="both"/>
        <w:rPr>
          <w:rFonts w:ascii="Times New Roman" w:eastAsia="Times New Roman" w:hAnsi="Times New Roman" w:cs="Times New Roman"/>
          <w:bCs/>
          <w:color w:val="000000" w:themeColor="text1"/>
          <w:sz w:val="24"/>
          <w:szCs w:val="20"/>
          <w:lang w:eastAsia="sk-SK"/>
        </w:rPr>
        <w:sectPr w:rsidR="00DE135C" w:rsidRPr="00553831" w:rsidSect="007441A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567" w:footer="283" w:gutter="0"/>
          <w:pgNumType w:start="1"/>
          <w:cols w:space="708"/>
          <w:docGrid w:linePitch="360"/>
        </w:sectPr>
      </w:pPr>
      <w:r w:rsidRPr="00553831">
        <w:rPr>
          <w:rFonts w:ascii="Times New Roman" w:eastAsia="Times New Roman" w:hAnsi="Times New Roman" w:cs="Times New Roman"/>
          <w:bCs/>
          <w:color w:val="000000" w:themeColor="text1"/>
          <w:sz w:val="24"/>
          <w:szCs w:val="20"/>
          <w:lang w:eastAsia="sk-SK"/>
        </w:rPr>
        <w:t xml:space="preserve"> </w:t>
      </w:r>
    </w:p>
    <w:p w14:paraId="328B2393" w14:textId="77777777" w:rsidR="00ED7612" w:rsidRPr="00553831" w:rsidRDefault="00ED7612" w:rsidP="00ED7612">
      <w:pPr>
        <w:spacing w:after="0" w:line="240" w:lineRule="auto"/>
        <w:jc w:val="center"/>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553831" w:rsidRPr="00553831" w14:paraId="4844FDD8" w14:textId="77777777" w:rsidTr="00ED7612">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1EE07E05"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14:paraId="254F4176"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6C8F15D2"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poznámka</w:t>
            </w:r>
          </w:p>
        </w:tc>
      </w:tr>
      <w:tr w:rsidR="00553831" w:rsidRPr="00553831" w14:paraId="4C0A666D" w14:textId="77777777" w:rsidTr="00ED7612">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19CB1852"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shd w:val="clear" w:color="auto" w:fill="BFBFBF"/>
          </w:tcPr>
          <w:p w14:paraId="1F70B4E4" w14:textId="29053D0A"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2026</w:t>
            </w:r>
          </w:p>
        </w:tc>
        <w:tc>
          <w:tcPr>
            <w:tcW w:w="1500" w:type="dxa"/>
            <w:tcBorders>
              <w:top w:val="nil"/>
              <w:left w:val="nil"/>
              <w:bottom w:val="single" w:sz="4" w:space="0" w:color="auto"/>
              <w:right w:val="single" w:sz="4" w:space="0" w:color="auto"/>
            </w:tcBorders>
            <w:shd w:val="clear" w:color="auto" w:fill="BFBFBF"/>
          </w:tcPr>
          <w:p w14:paraId="41D86406" w14:textId="1E35C979"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2027</w:t>
            </w:r>
          </w:p>
        </w:tc>
        <w:tc>
          <w:tcPr>
            <w:tcW w:w="1500" w:type="dxa"/>
            <w:tcBorders>
              <w:top w:val="nil"/>
              <w:left w:val="nil"/>
              <w:bottom w:val="single" w:sz="4" w:space="0" w:color="auto"/>
              <w:right w:val="single" w:sz="4" w:space="0" w:color="auto"/>
            </w:tcBorders>
            <w:shd w:val="clear" w:color="auto" w:fill="BFBFBF"/>
          </w:tcPr>
          <w:p w14:paraId="258201D0" w14:textId="13B0A627"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2028</w:t>
            </w:r>
          </w:p>
        </w:tc>
        <w:tc>
          <w:tcPr>
            <w:tcW w:w="1500" w:type="dxa"/>
            <w:tcBorders>
              <w:top w:val="nil"/>
              <w:left w:val="nil"/>
              <w:bottom w:val="single" w:sz="4" w:space="0" w:color="auto"/>
              <w:right w:val="single" w:sz="4" w:space="0" w:color="auto"/>
            </w:tcBorders>
            <w:shd w:val="clear" w:color="auto" w:fill="BFBFBF"/>
          </w:tcPr>
          <w:p w14:paraId="078C54EB" w14:textId="7D1220C7"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2DA2725F"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tc>
      </w:tr>
      <w:tr w:rsidR="00553831" w:rsidRPr="00553831" w14:paraId="7838C364" w14:textId="77777777" w:rsidTr="00ED7612">
        <w:trPr>
          <w:trHeight w:val="255"/>
        </w:trPr>
        <w:tc>
          <w:tcPr>
            <w:tcW w:w="4950" w:type="dxa"/>
            <w:tcBorders>
              <w:top w:val="nil"/>
              <w:left w:val="single" w:sz="4" w:space="0" w:color="auto"/>
              <w:bottom w:val="single" w:sz="4" w:space="0" w:color="auto"/>
              <w:right w:val="single" w:sz="4" w:space="0" w:color="auto"/>
            </w:tcBorders>
          </w:tcPr>
          <w:p w14:paraId="46083B1D"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vertAlign w:val="superscript"/>
                <w:lang w:eastAsia="sk-SK"/>
              </w:rPr>
            </w:pPr>
            <w:r w:rsidRPr="00553831">
              <w:rPr>
                <w:rFonts w:ascii="Times New Roman" w:eastAsia="Times New Roman" w:hAnsi="Times New Roman" w:cs="Times New Roman"/>
                <w:b/>
                <w:bCs/>
                <w:color w:val="000000" w:themeColor="text1"/>
                <w:sz w:val="24"/>
                <w:szCs w:val="24"/>
                <w:lang w:eastAsia="sk-SK"/>
              </w:rPr>
              <w:t>Daňové príjmy (100)</w:t>
            </w:r>
            <w:r w:rsidRPr="00553831">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44D0A75E"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13B1A734"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21683881"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364C72B3"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3000" w:type="dxa"/>
            <w:tcBorders>
              <w:top w:val="nil"/>
              <w:left w:val="nil"/>
              <w:bottom w:val="single" w:sz="4" w:space="0" w:color="auto"/>
              <w:right w:val="single" w:sz="4" w:space="0" w:color="auto"/>
            </w:tcBorders>
            <w:noWrap/>
            <w:vAlign w:val="bottom"/>
          </w:tcPr>
          <w:p w14:paraId="2DD8FB98"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685AFA89" w14:textId="77777777" w:rsidTr="00ED7612">
        <w:trPr>
          <w:trHeight w:val="255"/>
        </w:trPr>
        <w:tc>
          <w:tcPr>
            <w:tcW w:w="4950" w:type="dxa"/>
            <w:tcBorders>
              <w:top w:val="nil"/>
              <w:left w:val="single" w:sz="4" w:space="0" w:color="auto"/>
              <w:bottom w:val="single" w:sz="4" w:space="0" w:color="auto"/>
              <w:right w:val="single" w:sz="4" w:space="0" w:color="auto"/>
            </w:tcBorders>
          </w:tcPr>
          <w:p w14:paraId="34ACD6FA" w14:textId="77777777" w:rsidR="003C0DA3" w:rsidRPr="00553831" w:rsidRDefault="003C0DA3" w:rsidP="003C0DA3">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Nedaňové príjmy (200)</w:t>
            </w:r>
            <w:r w:rsidRPr="00553831">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65C01434" w14:textId="34936B46"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00" w:type="dxa"/>
            <w:tcBorders>
              <w:top w:val="nil"/>
              <w:left w:val="nil"/>
              <w:bottom w:val="single" w:sz="4" w:space="0" w:color="auto"/>
              <w:right w:val="single" w:sz="4" w:space="0" w:color="auto"/>
            </w:tcBorders>
          </w:tcPr>
          <w:p w14:paraId="14D3F180" w14:textId="16871B39"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2 400 000€</w:t>
            </w:r>
          </w:p>
        </w:tc>
        <w:tc>
          <w:tcPr>
            <w:tcW w:w="1500" w:type="dxa"/>
            <w:tcBorders>
              <w:top w:val="nil"/>
              <w:left w:val="nil"/>
              <w:bottom w:val="single" w:sz="4" w:space="0" w:color="auto"/>
              <w:right w:val="single" w:sz="4" w:space="0" w:color="auto"/>
            </w:tcBorders>
          </w:tcPr>
          <w:p w14:paraId="21E4707A" w14:textId="582C156C"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1 200 000€</w:t>
            </w:r>
          </w:p>
        </w:tc>
        <w:tc>
          <w:tcPr>
            <w:tcW w:w="1500" w:type="dxa"/>
            <w:tcBorders>
              <w:top w:val="nil"/>
              <w:left w:val="nil"/>
              <w:bottom w:val="single" w:sz="4" w:space="0" w:color="auto"/>
              <w:right w:val="single" w:sz="4" w:space="0" w:color="auto"/>
            </w:tcBorders>
          </w:tcPr>
          <w:p w14:paraId="53BBBBE8" w14:textId="2E3EC786"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600 000€</w:t>
            </w:r>
          </w:p>
        </w:tc>
        <w:tc>
          <w:tcPr>
            <w:tcW w:w="3000" w:type="dxa"/>
            <w:tcBorders>
              <w:top w:val="nil"/>
              <w:left w:val="nil"/>
              <w:bottom w:val="single" w:sz="4" w:space="0" w:color="auto"/>
              <w:right w:val="single" w:sz="4" w:space="0" w:color="auto"/>
            </w:tcBorders>
            <w:noWrap/>
            <w:vAlign w:val="bottom"/>
          </w:tcPr>
          <w:p w14:paraId="642486F9" w14:textId="77777777"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77134DA4" w14:textId="77777777" w:rsidTr="00ED7612">
        <w:trPr>
          <w:trHeight w:val="255"/>
        </w:trPr>
        <w:tc>
          <w:tcPr>
            <w:tcW w:w="4950" w:type="dxa"/>
            <w:tcBorders>
              <w:top w:val="nil"/>
              <w:left w:val="single" w:sz="4" w:space="0" w:color="auto"/>
              <w:bottom w:val="single" w:sz="4" w:space="0" w:color="auto"/>
              <w:right w:val="single" w:sz="4" w:space="0" w:color="auto"/>
            </w:tcBorders>
          </w:tcPr>
          <w:p w14:paraId="5AD1E3B8" w14:textId="134561D3"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Pokuty, penále a iné sankcie (222)</w:t>
            </w:r>
          </w:p>
        </w:tc>
        <w:tc>
          <w:tcPr>
            <w:tcW w:w="1500" w:type="dxa"/>
            <w:tcBorders>
              <w:top w:val="nil"/>
              <w:left w:val="nil"/>
              <w:bottom w:val="single" w:sz="4" w:space="0" w:color="auto"/>
              <w:right w:val="single" w:sz="4" w:space="0" w:color="auto"/>
            </w:tcBorders>
          </w:tcPr>
          <w:p w14:paraId="4119E3FC" w14:textId="507DF07E"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00" w:type="dxa"/>
            <w:tcBorders>
              <w:top w:val="nil"/>
              <w:left w:val="nil"/>
              <w:bottom w:val="single" w:sz="4" w:space="0" w:color="auto"/>
              <w:right w:val="single" w:sz="4" w:space="0" w:color="auto"/>
            </w:tcBorders>
          </w:tcPr>
          <w:p w14:paraId="194C01BB" w14:textId="399EB61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2 400 000€</w:t>
            </w:r>
          </w:p>
        </w:tc>
        <w:tc>
          <w:tcPr>
            <w:tcW w:w="1500" w:type="dxa"/>
            <w:tcBorders>
              <w:top w:val="nil"/>
              <w:left w:val="nil"/>
              <w:bottom w:val="single" w:sz="4" w:space="0" w:color="auto"/>
              <w:right w:val="single" w:sz="4" w:space="0" w:color="auto"/>
            </w:tcBorders>
          </w:tcPr>
          <w:p w14:paraId="13EB2BD8" w14:textId="6165526E"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1 200 000€</w:t>
            </w:r>
          </w:p>
        </w:tc>
        <w:tc>
          <w:tcPr>
            <w:tcW w:w="1500" w:type="dxa"/>
            <w:tcBorders>
              <w:top w:val="nil"/>
              <w:left w:val="nil"/>
              <w:bottom w:val="single" w:sz="4" w:space="0" w:color="auto"/>
              <w:right w:val="single" w:sz="4" w:space="0" w:color="auto"/>
            </w:tcBorders>
          </w:tcPr>
          <w:p w14:paraId="3FFDA6D4" w14:textId="122D83E2"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600 000€</w:t>
            </w:r>
          </w:p>
        </w:tc>
        <w:tc>
          <w:tcPr>
            <w:tcW w:w="3000" w:type="dxa"/>
            <w:tcBorders>
              <w:top w:val="nil"/>
              <w:left w:val="nil"/>
              <w:bottom w:val="single" w:sz="4" w:space="0" w:color="auto"/>
              <w:right w:val="single" w:sz="4" w:space="0" w:color="auto"/>
            </w:tcBorders>
            <w:noWrap/>
            <w:vAlign w:val="bottom"/>
          </w:tcPr>
          <w:p w14:paraId="00F5F70D" w14:textId="77777777"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431F1180" w14:textId="77777777" w:rsidTr="00ED7612">
        <w:trPr>
          <w:trHeight w:val="255"/>
        </w:trPr>
        <w:tc>
          <w:tcPr>
            <w:tcW w:w="4950" w:type="dxa"/>
            <w:tcBorders>
              <w:top w:val="nil"/>
              <w:left w:val="single" w:sz="4" w:space="0" w:color="auto"/>
              <w:bottom w:val="single" w:sz="4" w:space="0" w:color="auto"/>
              <w:right w:val="single" w:sz="4" w:space="0" w:color="auto"/>
            </w:tcBorders>
          </w:tcPr>
          <w:p w14:paraId="054A522F" w14:textId="77777777" w:rsidR="003C0DA3" w:rsidRPr="00553831" w:rsidRDefault="003C0DA3" w:rsidP="003C0DA3">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Granty a transfery (300)</w:t>
            </w:r>
            <w:r w:rsidRPr="00553831">
              <w:rPr>
                <w:rFonts w:ascii="Times New Roman" w:eastAsia="Times New Roman" w:hAnsi="Times New Roman" w:cs="Times New Roman"/>
                <w:b/>
                <w:bCs/>
                <w:color w:val="000000" w:themeColor="text1"/>
                <w:sz w:val="24"/>
                <w:szCs w:val="24"/>
                <w:vertAlign w:val="superscript"/>
                <w:lang w:eastAsia="sk-SK"/>
              </w:rPr>
              <w:t>1</w:t>
            </w:r>
          </w:p>
        </w:tc>
        <w:tc>
          <w:tcPr>
            <w:tcW w:w="1500" w:type="dxa"/>
            <w:tcBorders>
              <w:top w:val="nil"/>
              <w:left w:val="nil"/>
              <w:bottom w:val="single" w:sz="4" w:space="0" w:color="auto"/>
              <w:right w:val="single" w:sz="4" w:space="0" w:color="auto"/>
            </w:tcBorders>
          </w:tcPr>
          <w:p w14:paraId="0F3F8495"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12CE01C0"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0425F061"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500" w:type="dxa"/>
            <w:tcBorders>
              <w:top w:val="nil"/>
              <w:left w:val="nil"/>
              <w:bottom w:val="single" w:sz="4" w:space="0" w:color="auto"/>
              <w:right w:val="single" w:sz="4" w:space="0" w:color="auto"/>
            </w:tcBorders>
          </w:tcPr>
          <w:p w14:paraId="3E83739C"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3000" w:type="dxa"/>
            <w:tcBorders>
              <w:top w:val="nil"/>
              <w:left w:val="nil"/>
              <w:bottom w:val="single" w:sz="4" w:space="0" w:color="auto"/>
              <w:right w:val="single" w:sz="4" w:space="0" w:color="auto"/>
            </w:tcBorders>
            <w:noWrap/>
            <w:vAlign w:val="bottom"/>
          </w:tcPr>
          <w:p w14:paraId="53F6EE41" w14:textId="77777777"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13F18DC6" w14:textId="77777777" w:rsidTr="00ED7612">
        <w:trPr>
          <w:trHeight w:val="255"/>
        </w:trPr>
        <w:tc>
          <w:tcPr>
            <w:tcW w:w="4950" w:type="dxa"/>
            <w:tcBorders>
              <w:top w:val="nil"/>
              <w:left w:val="single" w:sz="4" w:space="0" w:color="auto"/>
              <w:bottom w:val="single" w:sz="4" w:space="0" w:color="auto"/>
              <w:right w:val="single" w:sz="4" w:space="0" w:color="auto"/>
            </w:tcBorders>
          </w:tcPr>
          <w:p w14:paraId="19EF25D5" w14:textId="77777777" w:rsidR="003C0DA3" w:rsidRPr="00553831" w:rsidRDefault="003C0DA3" w:rsidP="003C0DA3">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068B170D"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tcPr>
          <w:p w14:paraId="210009D1"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tcPr>
          <w:p w14:paraId="19856454"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tcPr>
          <w:p w14:paraId="2D66B658"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3000" w:type="dxa"/>
            <w:tcBorders>
              <w:top w:val="nil"/>
              <w:left w:val="nil"/>
              <w:bottom w:val="single" w:sz="4" w:space="0" w:color="auto"/>
              <w:right w:val="single" w:sz="4" w:space="0" w:color="auto"/>
            </w:tcBorders>
            <w:noWrap/>
            <w:vAlign w:val="bottom"/>
          </w:tcPr>
          <w:p w14:paraId="586E20EA" w14:textId="77777777"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26C9306A" w14:textId="77777777" w:rsidTr="00ED7612">
        <w:trPr>
          <w:trHeight w:val="255"/>
        </w:trPr>
        <w:tc>
          <w:tcPr>
            <w:tcW w:w="4950" w:type="dxa"/>
            <w:tcBorders>
              <w:top w:val="nil"/>
              <w:left w:val="single" w:sz="4" w:space="0" w:color="auto"/>
              <w:bottom w:val="single" w:sz="4" w:space="0" w:color="auto"/>
              <w:right w:val="single" w:sz="4" w:space="0" w:color="auto"/>
            </w:tcBorders>
          </w:tcPr>
          <w:p w14:paraId="34D89376" w14:textId="77777777" w:rsidR="003C0DA3" w:rsidRPr="00553831" w:rsidRDefault="003C0DA3" w:rsidP="003C0DA3">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739DE7FC"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tcPr>
          <w:p w14:paraId="0BD9B1C0"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tcPr>
          <w:p w14:paraId="3984C853"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500" w:type="dxa"/>
            <w:tcBorders>
              <w:top w:val="nil"/>
              <w:left w:val="nil"/>
              <w:bottom w:val="single" w:sz="4" w:space="0" w:color="auto"/>
              <w:right w:val="single" w:sz="4" w:space="0" w:color="auto"/>
            </w:tcBorders>
          </w:tcPr>
          <w:p w14:paraId="3605ED1F" w14:textId="7777777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3000" w:type="dxa"/>
            <w:tcBorders>
              <w:top w:val="nil"/>
              <w:left w:val="nil"/>
              <w:bottom w:val="single" w:sz="4" w:space="0" w:color="auto"/>
              <w:right w:val="single" w:sz="4" w:space="0" w:color="auto"/>
            </w:tcBorders>
            <w:noWrap/>
            <w:vAlign w:val="bottom"/>
          </w:tcPr>
          <w:p w14:paraId="1C66975B" w14:textId="77777777"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719BB2FF" w14:textId="77777777" w:rsidTr="00ED7612">
        <w:trPr>
          <w:trHeight w:val="255"/>
        </w:trPr>
        <w:tc>
          <w:tcPr>
            <w:tcW w:w="4950" w:type="dxa"/>
            <w:tcBorders>
              <w:top w:val="nil"/>
              <w:left w:val="single" w:sz="4" w:space="0" w:color="auto"/>
              <w:bottom w:val="single" w:sz="4" w:space="0" w:color="auto"/>
              <w:right w:val="single" w:sz="4" w:space="0" w:color="auto"/>
            </w:tcBorders>
            <w:shd w:val="clear" w:color="auto" w:fill="BFBFBF"/>
          </w:tcPr>
          <w:p w14:paraId="0F530862" w14:textId="77777777" w:rsidR="003C0DA3" w:rsidRPr="00553831" w:rsidRDefault="003C0DA3" w:rsidP="003C0DA3">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cPr>
          <w:p w14:paraId="7F756214" w14:textId="0CCC9897"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0</w:t>
            </w:r>
          </w:p>
        </w:tc>
        <w:tc>
          <w:tcPr>
            <w:tcW w:w="1500" w:type="dxa"/>
            <w:tcBorders>
              <w:top w:val="nil"/>
              <w:left w:val="nil"/>
              <w:bottom w:val="single" w:sz="4" w:space="0" w:color="auto"/>
              <w:right w:val="single" w:sz="4" w:space="0" w:color="auto"/>
            </w:tcBorders>
            <w:shd w:val="clear" w:color="auto" w:fill="BFBFBF"/>
          </w:tcPr>
          <w:p w14:paraId="5540883C" w14:textId="385BF25E"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2 400 000€</w:t>
            </w:r>
          </w:p>
        </w:tc>
        <w:tc>
          <w:tcPr>
            <w:tcW w:w="1500" w:type="dxa"/>
            <w:tcBorders>
              <w:top w:val="nil"/>
              <w:left w:val="nil"/>
              <w:bottom w:val="single" w:sz="4" w:space="0" w:color="auto"/>
              <w:right w:val="single" w:sz="4" w:space="0" w:color="auto"/>
            </w:tcBorders>
            <w:shd w:val="clear" w:color="auto" w:fill="BFBFBF"/>
          </w:tcPr>
          <w:p w14:paraId="27B74016" w14:textId="22BDF72E"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1 200 000€</w:t>
            </w:r>
          </w:p>
        </w:tc>
        <w:tc>
          <w:tcPr>
            <w:tcW w:w="1500" w:type="dxa"/>
            <w:tcBorders>
              <w:top w:val="nil"/>
              <w:left w:val="nil"/>
              <w:bottom w:val="single" w:sz="4" w:space="0" w:color="auto"/>
              <w:right w:val="single" w:sz="4" w:space="0" w:color="auto"/>
            </w:tcBorders>
            <w:shd w:val="clear" w:color="auto" w:fill="BFBFBF"/>
          </w:tcPr>
          <w:p w14:paraId="3C22611C" w14:textId="2BF32B34" w:rsidR="003C0DA3" w:rsidRPr="00553831" w:rsidRDefault="003C0DA3" w:rsidP="003C0DA3">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600 000€</w:t>
            </w:r>
          </w:p>
        </w:tc>
        <w:tc>
          <w:tcPr>
            <w:tcW w:w="3000" w:type="dxa"/>
            <w:tcBorders>
              <w:top w:val="nil"/>
              <w:left w:val="nil"/>
              <w:bottom w:val="single" w:sz="4" w:space="0" w:color="auto"/>
              <w:right w:val="single" w:sz="4" w:space="0" w:color="auto"/>
            </w:tcBorders>
            <w:shd w:val="clear" w:color="auto" w:fill="BFBFBF"/>
            <w:noWrap/>
            <w:vAlign w:val="bottom"/>
          </w:tcPr>
          <w:p w14:paraId="0DF45634" w14:textId="77777777" w:rsidR="003C0DA3" w:rsidRPr="00553831" w:rsidRDefault="003C0DA3" w:rsidP="003C0DA3">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bl>
    <w:p w14:paraId="7D2EE3F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1 –  príjmy rozpísať až do položiek platnej ekonomickej klasifikácie</w:t>
      </w:r>
    </w:p>
    <w:p w14:paraId="0AED246D"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0"/>
          <w:lang w:eastAsia="sk-SK"/>
        </w:rPr>
      </w:pPr>
    </w:p>
    <w:p w14:paraId="469B1009" w14:textId="77777777" w:rsidR="00ED7612" w:rsidRPr="00553831" w:rsidRDefault="00ED7612" w:rsidP="00ED7612">
      <w:pPr>
        <w:spacing w:after="0" w:line="240" w:lineRule="auto"/>
        <w:jc w:val="both"/>
        <w:rPr>
          <w:rFonts w:ascii="Times New Roman" w:eastAsia="Times New Roman" w:hAnsi="Times New Roman" w:cs="Times New Roman"/>
          <w:b/>
          <w:bCs/>
          <w:color w:val="000000" w:themeColor="text1"/>
          <w:sz w:val="24"/>
          <w:szCs w:val="20"/>
          <w:lang w:eastAsia="sk-SK"/>
        </w:rPr>
      </w:pPr>
      <w:r w:rsidRPr="00553831">
        <w:rPr>
          <w:rFonts w:ascii="Times New Roman" w:eastAsia="Times New Roman" w:hAnsi="Times New Roman" w:cs="Times New Roman"/>
          <w:b/>
          <w:bCs/>
          <w:color w:val="000000" w:themeColor="text1"/>
          <w:sz w:val="24"/>
          <w:szCs w:val="20"/>
          <w:lang w:eastAsia="sk-SK"/>
        </w:rPr>
        <w:t>Poznámka:</w:t>
      </w:r>
    </w:p>
    <w:p w14:paraId="45C30A1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0"/>
          <w:lang w:eastAsia="sk-SK"/>
        </w:rPr>
      </w:pPr>
      <w:r w:rsidRPr="00553831">
        <w:rPr>
          <w:rFonts w:ascii="Times New Roman" w:eastAsia="Times New Roman" w:hAnsi="Times New Roman" w:cs="Times New Roman"/>
          <w:bCs/>
          <w:color w:val="000000" w:themeColor="text1"/>
          <w:sz w:val="24"/>
          <w:szCs w:val="20"/>
          <w:lang w:eastAsia="sk-SK"/>
        </w:rPr>
        <w:t>Ak sa vplyv týka viacerých subjektov verejnej správy, vypĺňa sa samostatná tabuľka za každý subjekt.</w:t>
      </w:r>
    </w:p>
    <w:p w14:paraId="66666ED0"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 </w:t>
      </w:r>
    </w:p>
    <w:p w14:paraId="02B621B2"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20374E02"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4B859E1"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2F5CCB3B"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15ED5CA5"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E07E0FC"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1F4F027C"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351F07D8"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27CB72C"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058BD453"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605D369D"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73051A49"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25CE5DB4"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78ED8D8A"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4C5BEE74"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7DD7B3C6" w14:textId="77777777" w:rsidR="00ED7612" w:rsidRPr="00553831" w:rsidRDefault="00ED7612" w:rsidP="00ED7612">
      <w:pPr>
        <w:spacing w:after="0" w:line="240" w:lineRule="auto"/>
        <w:ind w:right="-578"/>
        <w:jc w:val="right"/>
        <w:rPr>
          <w:rFonts w:ascii="Times New Roman" w:eastAsia="Times New Roman" w:hAnsi="Times New Roman" w:cs="Times New Roman"/>
          <w:bCs/>
          <w:color w:val="000000" w:themeColor="text1"/>
          <w:sz w:val="24"/>
          <w:szCs w:val="24"/>
          <w:lang w:eastAsia="sk-SK"/>
        </w:rPr>
      </w:pPr>
    </w:p>
    <w:p w14:paraId="5718B8C0"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53831" w:rsidRPr="00553831" w14:paraId="4888F489" w14:textId="77777777" w:rsidTr="00ED761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6A748779"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14:paraId="137E121D"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66899E40"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poznámka</w:t>
            </w:r>
          </w:p>
        </w:tc>
      </w:tr>
      <w:tr w:rsidR="00553831" w:rsidRPr="00553831" w14:paraId="7D1A6212" w14:textId="77777777" w:rsidTr="00ED761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491A0C34"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0752F7F8" w14:textId="19B80ED3"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2026</w:t>
            </w:r>
          </w:p>
        </w:tc>
        <w:tc>
          <w:tcPr>
            <w:tcW w:w="1650" w:type="dxa"/>
            <w:tcBorders>
              <w:top w:val="nil"/>
              <w:left w:val="nil"/>
              <w:bottom w:val="single" w:sz="4" w:space="0" w:color="auto"/>
              <w:right w:val="single" w:sz="4" w:space="0" w:color="auto"/>
            </w:tcBorders>
            <w:shd w:val="clear" w:color="auto" w:fill="BFBFBF"/>
          </w:tcPr>
          <w:p w14:paraId="14FF86BD" w14:textId="49A83DAB"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29E0C97E" w14:textId="67857A0C"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2028</w:t>
            </w:r>
          </w:p>
        </w:tc>
        <w:tc>
          <w:tcPr>
            <w:tcW w:w="1540" w:type="dxa"/>
            <w:tcBorders>
              <w:top w:val="nil"/>
              <w:left w:val="nil"/>
              <w:bottom w:val="single" w:sz="4" w:space="0" w:color="auto"/>
              <w:right w:val="single" w:sz="4" w:space="0" w:color="auto"/>
            </w:tcBorders>
            <w:shd w:val="clear" w:color="auto" w:fill="BFBFBF"/>
          </w:tcPr>
          <w:p w14:paraId="2F9EAF88" w14:textId="6905C4A5" w:rsidR="00ED7612" w:rsidRPr="00553831" w:rsidRDefault="003C0DA3"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5C0B631"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tc>
      </w:tr>
      <w:tr w:rsidR="00553831" w:rsidRPr="00553831" w14:paraId="3CD8575F" w14:textId="77777777" w:rsidTr="00F132F7">
        <w:trPr>
          <w:trHeight w:val="255"/>
        </w:trPr>
        <w:tc>
          <w:tcPr>
            <w:tcW w:w="7070" w:type="dxa"/>
            <w:tcBorders>
              <w:top w:val="nil"/>
              <w:left w:val="single" w:sz="4" w:space="0" w:color="auto"/>
              <w:bottom w:val="single" w:sz="4" w:space="0" w:color="auto"/>
              <w:right w:val="single" w:sz="4" w:space="0" w:color="auto"/>
            </w:tcBorders>
          </w:tcPr>
          <w:p w14:paraId="78313882"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1351C9B1" w14:textId="6D96DB1B"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-2 153 563,55€</w:t>
            </w:r>
          </w:p>
        </w:tc>
        <w:tc>
          <w:tcPr>
            <w:tcW w:w="1650" w:type="dxa"/>
            <w:tcBorders>
              <w:top w:val="nil"/>
              <w:left w:val="nil"/>
              <w:bottom w:val="single" w:sz="4" w:space="0" w:color="auto"/>
              <w:right w:val="single" w:sz="4" w:space="0" w:color="auto"/>
            </w:tcBorders>
            <w:vAlign w:val="center"/>
          </w:tcPr>
          <w:p w14:paraId="43B34585" w14:textId="4F608ECC"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21 728 381,01€</w:t>
            </w:r>
          </w:p>
        </w:tc>
        <w:tc>
          <w:tcPr>
            <w:tcW w:w="1540" w:type="dxa"/>
            <w:tcBorders>
              <w:top w:val="nil"/>
              <w:left w:val="nil"/>
              <w:bottom w:val="single" w:sz="4" w:space="0" w:color="auto"/>
              <w:right w:val="single" w:sz="4" w:space="0" w:color="auto"/>
            </w:tcBorders>
            <w:vAlign w:val="center"/>
          </w:tcPr>
          <w:p w14:paraId="4F7EDE53" w14:textId="465308D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34 327 385,97€</w:t>
            </w:r>
          </w:p>
        </w:tc>
        <w:tc>
          <w:tcPr>
            <w:tcW w:w="1540" w:type="dxa"/>
            <w:tcBorders>
              <w:top w:val="nil"/>
              <w:left w:val="nil"/>
              <w:bottom w:val="single" w:sz="4" w:space="0" w:color="auto"/>
              <w:right w:val="single" w:sz="4" w:space="0" w:color="auto"/>
            </w:tcBorders>
            <w:vAlign w:val="center"/>
          </w:tcPr>
          <w:p w14:paraId="5123FC47" w14:textId="7A870D0C"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0"/>
                <w:szCs w:val="20"/>
                <w:lang w:eastAsia="sk-SK"/>
              </w:rPr>
              <w:t>182 321 073,11€</w:t>
            </w:r>
          </w:p>
        </w:tc>
        <w:tc>
          <w:tcPr>
            <w:tcW w:w="1649" w:type="dxa"/>
            <w:tcBorders>
              <w:top w:val="nil"/>
              <w:left w:val="nil"/>
              <w:bottom w:val="single" w:sz="4" w:space="0" w:color="auto"/>
              <w:right w:val="single" w:sz="4" w:space="0" w:color="auto"/>
            </w:tcBorders>
            <w:noWrap/>
            <w:vAlign w:val="bottom"/>
          </w:tcPr>
          <w:p w14:paraId="6C921FBC"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737711D1" w14:textId="77777777" w:rsidTr="00450572">
        <w:trPr>
          <w:trHeight w:val="427"/>
        </w:trPr>
        <w:tc>
          <w:tcPr>
            <w:tcW w:w="7070" w:type="dxa"/>
            <w:tcBorders>
              <w:top w:val="nil"/>
              <w:left w:val="single" w:sz="4" w:space="0" w:color="auto"/>
              <w:bottom w:val="single" w:sz="4" w:space="0" w:color="auto"/>
              <w:right w:val="single" w:sz="4" w:space="0" w:color="auto"/>
            </w:tcBorders>
          </w:tcPr>
          <w:p w14:paraId="529CBCE4"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2074773" w14:textId="1CC60C8F"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67 868,88 €</w:t>
            </w:r>
          </w:p>
        </w:tc>
        <w:tc>
          <w:tcPr>
            <w:tcW w:w="1650" w:type="dxa"/>
            <w:tcBorders>
              <w:top w:val="nil"/>
              <w:left w:val="nil"/>
              <w:bottom w:val="single" w:sz="4" w:space="0" w:color="auto"/>
              <w:right w:val="single" w:sz="4" w:space="0" w:color="auto"/>
            </w:tcBorders>
          </w:tcPr>
          <w:p w14:paraId="4C4CF1B3" w14:textId="2EE71C3E"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169 672,20 €</w:t>
            </w:r>
          </w:p>
        </w:tc>
        <w:tc>
          <w:tcPr>
            <w:tcW w:w="1540" w:type="dxa"/>
            <w:tcBorders>
              <w:top w:val="nil"/>
              <w:left w:val="nil"/>
              <w:bottom w:val="single" w:sz="4" w:space="0" w:color="auto"/>
              <w:right w:val="single" w:sz="4" w:space="0" w:color="auto"/>
            </w:tcBorders>
          </w:tcPr>
          <w:p w14:paraId="3EE14196" w14:textId="1916EF43"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169 672,20 €</w:t>
            </w:r>
          </w:p>
        </w:tc>
        <w:tc>
          <w:tcPr>
            <w:tcW w:w="1540" w:type="dxa"/>
            <w:tcBorders>
              <w:top w:val="nil"/>
              <w:left w:val="nil"/>
              <w:bottom w:val="single" w:sz="4" w:space="0" w:color="auto"/>
              <w:right w:val="single" w:sz="4" w:space="0" w:color="auto"/>
            </w:tcBorders>
          </w:tcPr>
          <w:p w14:paraId="629DDDFF" w14:textId="4EBD3FD2"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649" w:type="dxa"/>
            <w:tcBorders>
              <w:top w:val="nil"/>
              <w:left w:val="nil"/>
              <w:bottom w:val="single" w:sz="4" w:space="0" w:color="auto"/>
              <w:right w:val="single" w:sz="4" w:space="0" w:color="auto"/>
            </w:tcBorders>
            <w:noWrap/>
            <w:vAlign w:val="bottom"/>
          </w:tcPr>
          <w:p w14:paraId="5D5A7CEA"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55371656" w14:textId="77777777" w:rsidTr="00ED7612">
        <w:trPr>
          <w:trHeight w:val="255"/>
        </w:trPr>
        <w:tc>
          <w:tcPr>
            <w:tcW w:w="7070" w:type="dxa"/>
            <w:tcBorders>
              <w:top w:val="nil"/>
              <w:left w:val="single" w:sz="4" w:space="0" w:color="auto"/>
              <w:bottom w:val="single" w:sz="4" w:space="0" w:color="auto"/>
              <w:right w:val="single" w:sz="4" w:space="0" w:color="auto"/>
            </w:tcBorders>
          </w:tcPr>
          <w:p w14:paraId="39F385F3"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vertAlign w:val="superscript"/>
                <w:lang w:eastAsia="sk-SK"/>
              </w:rPr>
            </w:pPr>
            <w:r w:rsidRPr="00553831">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4E667B0A" w14:textId="03F89435"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16 131,12 €</w:t>
            </w:r>
          </w:p>
        </w:tc>
        <w:tc>
          <w:tcPr>
            <w:tcW w:w="1650" w:type="dxa"/>
            <w:tcBorders>
              <w:top w:val="nil"/>
              <w:left w:val="nil"/>
              <w:bottom w:val="single" w:sz="4" w:space="0" w:color="auto"/>
              <w:right w:val="single" w:sz="4" w:space="0" w:color="auto"/>
            </w:tcBorders>
          </w:tcPr>
          <w:p w14:paraId="4C8B1E93" w14:textId="355CBB8C"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40 327,80 €</w:t>
            </w:r>
          </w:p>
        </w:tc>
        <w:tc>
          <w:tcPr>
            <w:tcW w:w="1540" w:type="dxa"/>
            <w:tcBorders>
              <w:top w:val="nil"/>
              <w:left w:val="nil"/>
              <w:bottom w:val="single" w:sz="4" w:space="0" w:color="auto"/>
              <w:right w:val="single" w:sz="4" w:space="0" w:color="auto"/>
            </w:tcBorders>
          </w:tcPr>
          <w:p w14:paraId="1020D57B" w14:textId="29211E20"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40 327,80 €</w:t>
            </w:r>
          </w:p>
        </w:tc>
        <w:tc>
          <w:tcPr>
            <w:tcW w:w="1540" w:type="dxa"/>
            <w:tcBorders>
              <w:top w:val="nil"/>
              <w:left w:val="nil"/>
              <w:bottom w:val="single" w:sz="4" w:space="0" w:color="auto"/>
              <w:right w:val="single" w:sz="4" w:space="0" w:color="auto"/>
            </w:tcBorders>
          </w:tcPr>
          <w:p w14:paraId="56AA8E9F" w14:textId="336F97E4"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649" w:type="dxa"/>
            <w:tcBorders>
              <w:top w:val="nil"/>
              <w:left w:val="nil"/>
              <w:bottom w:val="single" w:sz="4" w:space="0" w:color="auto"/>
              <w:right w:val="single" w:sz="4" w:space="0" w:color="auto"/>
            </w:tcBorders>
            <w:noWrap/>
            <w:vAlign w:val="bottom"/>
          </w:tcPr>
          <w:p w14:paraId="682E59C7"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4E20EC6F" w14:textId="77777777" w:rsidTr="007032D0">
        <w:trPr>
          <w:trHeight w:val="255"/>
        </w:trPr>
        <w:tc>
          <w:tcPr>
            <w:tcW w:w="7070" w:type="dxa"/>
            <w:tcBorders>
              <w:top w:val="nil"/>
              <w:left w:val="single" w:sz="4" w:space="0" w:color="auto"/>
              <w:bottom w:val="single" w:sz="4" w:space="0" w:color="auto"/>
              <w:right w:val="single" w:sz="4" w:space="0" w:color="auto"/>
            </w:tcBorders>
          </w:tcPr>
          <w:p w14:paraId="3D60C26D"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vertAlign w:val="superscript"/>
                <w:lang w:eastAsia="sk-SK"/>
              </w:rPr>
            </w:pPr>
            <w:r w:rsidRPr="00553831">
              <w:rPr>
                <w:rFonts w:ascii="Times New Roman" w:eastAsia="Times New Roman" w:hAnsi="Times New Roman" w:cs="Times New Roman"/>
                <w:color w:val="000000" w:themeColor="text1"/>
                <w:sz w:val="20"/>
                <w:szCs w:val="20"/>
                <w:lang w:eastAsia="sk-SK"/>
              </w:rPr>
              <w:t xml:space="preserve">  Tovary a služby (630)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440F99A0" w14:textId="23A31AF9"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-2 237 563,55€</w:t>
            </w:r>
          </w:p>
        </w:tc>
        <w:tc>
          <w:tcPr>
            <w:tcW w:w="1650" w:type="dxa"/>
            <w:tcBorders>
              <w:top w:val="nil"/>
              <w:left w:val="nil"/>
              <w:bottom w:val="single" w:sz="4" w:space="0" w:color="auto"/>
              <w:right w:val="single" w:sz="4" w:space="0" w:color="auto"/>
            </w:tcBorders>
            <w:vAlign w:val="center"/>
          </w:tcPr>
          <w:p w14:paraId="25857AA6" w14:textId="434E9AF3"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21 518 381,01€</w:t>
            </w:r>
          </w:p>
        </w:tc>
        <w:tc>
          <w:tcPr>
            <w:tcW w:w="1540" w:type="dxa"/>
            <w:tcBorders>
              <w:top w:val="nil"/>
              <w:left w:val="nil"/>
              <w:bottom w:val="single" w:sz="4" w:space="0" w:color="auto"/>
              <w:right w:val="single" w:sz="4" w:space="0" w:color="auto"/>
            </w:tcBorders>
            <w:vAlign w:val="center"/>
          </w:tcPr>
          <w:p w14:paraId="0CBEFEE3" w14:textId="399B239C"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34 117 385,97€</w:t>
            </w:r>
          </w:p>
        </w:tc>
        <w:tc>
          <w:tcPr>
            <w:tcW w:w="1540" w:type="dxa"/>
            <w:tcBorders>
              <w:top w:val="nil"/>
              <w:left w:val="nil"/>
              <w:bottom w:val="single" w:sz="4" w:space="0" w:color="auto"/>
              <w:right w:val="single" w:sz="4" w:space="0" w:color="auto"/>
            </w:tcBorders>
            <w:vAlign w:val="center"/>
          </w:tcPr>
          <w:p w14:paraId="1644F002" w14:textId="0FB1EE84"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182 111 073,11€</w:t>
            </w:r>
          </w:p>
        </w:tc>
        <w:tc>
          <w:tcPr>
            <w:tcW w:w="1649" w:type="dxa"/>
            <w:tcBorders>
              <w:top w:val="nil"/>
              <w:left w:val="nil"/>
              <w:bottom w:val="single" w:sz="4" w:space="0" w:color="auto"/>
              <w:right w:val="single" w:sz="4" w:space="0" w:color="auto"/>
            </w:tcBorders>
            <w:noWrap/>
            <w:vAlign w:val="bottom"/>
          </w:tcPr>
          <w:p w14:paraId="6DB83046"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79157AF2" w14:textId="77777777" w:rsidTr="00ED7612">
        <w:trPr>
          <w:trHeight w:val="255"/>
        </w:trPr>
        <w:tc>
          <w:tcPr>
            <w:tcW w:w="7070" w:type="dxa"/>
            <w:tcBorders>
              <w:top w:val="nil"/>
              <w:left w:val="single" w:sz="4" w:space="0" w:color="auto"/>
              <w:bottom w:val="single" w:sz="4" w:space="0" w:color="auto"/>
              <w:right w:val="single" w:sz="4" w:space="0" w:color="auto"/>
            </w:tcBorders>
          </w:tcPr>
          <w:p w14:paraId="601B33AA"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Bežné transfery (640)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E99FCB1"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47FD669"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7515840"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6B394DA"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2621D94"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1C88EB41" w14:textId="77777777" w:rsidTr="00ED7612">
        <w:trPr>
          <w:trHeight w:val="255"/>
        </w:trPr>
        <w:tc>
          <w:tcPr>
            <w:tcW w:w="7070" w:type="dxa"/>
            <w:tcBorders>
              <w:top w:val="nil"/>
              <w:left w:val="single" w:sz="4" w:space="0" w:color="auto"/>
              <w:bottom w:val="single" w:sz="4" w:space="0" w:color="auto"/>
              <w:right w:val="single" w:sz="4" w:space="0" w:color="auto"/>
            </w:tcBorders>
            <w:vAlign w:val="center"/>
          </w:tcPr>
          <w:p w14:paraId="481AA15B"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Splácanie úrokov a ostatné platby súvisiace s </w:t>
            </w:r>
            <w:r w:rsidRPr="00553831">
              <w:rPr>
                <w:rFonts w:ascii="Calibri" w:eastAsia="Calibri" w:hAnsi="Calibri" w:cs="Times New Roman"/>
                <w:color w:val="000000" w:themeColor="text1"/>
              </w:rPr>
              <w:t xml:space="preserve"> </w:t>
            </w:r>
            <w:r w:rsidRPr="00553831">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0ACFB3F"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72F7BE6"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3B1027F"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8B970BE"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D27021D"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1C320F70" w14:textId="77777777" w:rsidTr="00ED7612">
        <w:trPr>
          <w:trHeight w:val="255"/>
        </w:trPr>
        <w:tc>
          <w:tcPr>
            <w:tcW w:w="7070" w:type="dxa"/>
            <w:tcBorders>
              <w:top w:val="nil"/>
              <w:left w:val="single" w:sz="4" w:space="0" w:color="auto"/>
              <w:bottom w:val="single" w:sz="4" w:space="0" w:color="auto"/>
              <w:right w:val="single" w:sz="4" w:space="0" w:color="auto"/>
            </w:tcBorders>
          </w:tcPr>
          <w:p w14:paraId="4BB5D27D"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1958CFE4"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F2C266E"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BCB4A89"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0F75E49"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CE8DB4E"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4D5B5118" w14:textId="77777777" w:rsidTr="00ED7612">
        <w:trPr>
          <w:trHeight w:val="255"/>
        </w:trPr>
        <w:tc>
          <w:tcPr>
            <w:tcW w:w="7070" w:type="dxa"/>
            <w:tcBorders>
              <w:top w:val="nil"/>
              <w:left w:val="single" w:sz="4" w:space="0" w:color="auto"/>
              <w:bottom w:val="single" w:sz="4" w:space="0" w:color="auto"/>
              <w:right w:val="single" w:sz="4" w:space="0" w:color="auto"/>
            </w:tcBorders>
          </w:tcPr>
          <w:p w14:paraId="4786F5D5"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Obstarávanie kapitálových aktív (710)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F91C46C"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629271F"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3CE9977"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7E255D5"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1037990"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12189E16" w14:textId="77777777" w:rsidTr="00ED7612">
        <w:trPr>
          <w:trHeight w:val="255"/>
        </w:trPr>
        <w:tc>
          <w:tcPr>
            <w:tcW w:w="7070" w:type="dxa"/>
            <w:tcBorders>
              <w:top w:val="nil"/>
              <w:left w:val="single" w:sz="4" w:space="0" w:color="auto"/>
              <w:bottom w:val="single" w:sz="4" w:space="0" w:color="auto"/>
              <w:right w:val="single" w:sz="4" w:space="0" w:color="auto"/>
            </w:tcBorders>
          </w:tcPr>
          <w:p w14:paraId="4342E002"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Kapitálové transfery (720)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79881D8"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0BA227F"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FCA32AF"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B074787"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14FEBDF"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33CEE136" w14:textId="77777777" w:rsidTr="00ED7612">
        <w:trPr>
          <w:trHeight w:val="255"/>
        </w:trPr>
        <w:tc>
          <w:tcPr>
            <w:tcW w:w="7070" w:type="dxa"/>
            <w:tcBorders>
              <w:top w:val="nil"/>
              <w:left w:val="single" w:sz="4" w:space="0" w:color="auto"/>
              <w:bottom w:val="single" w:sz="4" w:space="0" w:color="auto"/>
              <w:right w:val="single" w:sz="4" w:space="0" w:color="auto"/>
            </w:tcBorders>
          </w:tcPr>
          <w:p w14:paraId="55755DD3"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129D4B76"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 </w:t>
            </w:r>
          </w:p>
        </w:tc>
        <w:tc>
          <w:tcPr>
            <w:tcW w:w="1650" w:type="dxa"/>
            <w:tcBorders>
              <w:top w:val="nil"/>
              <w:left w:val="nil"/>
              <w:bottom w:val="single" w:sz="4" w:space="0" w:color="auto"/>
              <w:right w:val="single" w:sz="4" w:space="0" w:color="auto"/>
            </w:tcBorders>
          </w:tcPr>
          <w:p w14:paraId="37649F3F"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 </w:t>
            </w:r>
          </w:p>
        </w:tc>
        <w:tc>
          <w:tcPr>
            <w:tcW w:w="1540" w:type="dxa"/>
            <w:tcBorders>
              <w:top w:val="nil"/>
              <w:left w:val="nil"/>
              <w:bottom w:val="single" w:sz="4" w:space="0" w:color="auto"/>
              <w:right w:val="single" w:sz="4" w:space="0" w:color="auto"/>
            </w:tcBorders>
          </w:tcPr>
          <w:p w14:paraId="2A3E0243"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 </w:t>
            </w:r>
          </w:p>
        </w:tc>
        <w:tc>
          <w:tcPr>
            <w:tcW w:w="1540" w:type="dxa"/>
            <w:tcBorders>
              <w:top w:val="nil"/>
              <w:left w:val="nil"/>
              <w:bottom w:val="single" w:sz="4" w:space="0" w:color="auto"/>
              <w:right w:val="single" w:sz="4" w:space="0" w:color="auto"/>
            </w:tcBorders>
          </w:tcPr>
          <w:p w14:paraId="27E99E08"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c>
          <w:tcPr>
            <w:tcW w:w="1649" w:type="dxa"/>
            <w:tcBorders>
              <w:top w:val="nil"/>
              <w:left w:val="nil"/>
              <w:bottom w:val="single" w:sz="4" w:space="0" w:color="auto"/>
              <w:right w:val="single" w:sz="4" w:space="0" w:color="auto"/>
            </w:tcBorders>
            <w:noWrap/>
            <w:vAlign w:val="bottom"/>
          </w:tcPr>
          <w:p w14:paraId="48605CA4"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47961466" w14:textId="77777777" w:rsidTr="0070590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22A2A218"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vAlign w:val="center"/>
          </w:tcPr>
          <w:p w14:paraId="54314583" w14:textId="4BCD0340"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-2 153 563,55€</w:t>
            </w:r>
          </w:p>
        </w:tc>
        <w:tc>
          <w:tcPr>
            <w:tcW w:w="1650" w:type="dxa"/>
            <w:tcBorders>
              <w:top w:val="single" w:sz="4" w:space="0" w:color="auto"/>
              <w:left w:val="nil"/>
              <w:bottom w:val="single" w:sz="4" w:space="0" w:color="auto"/>
              <w:right w:val="single" w:sz="4" w:space="0" w:color="auto"/>
            </w:tcBorders>
            <w:shd w:val="clear" w:color="auto" w:fill="BFBFBF"/>
            <w:vAlign w:val="center"/>
          </w:tcPr>
          <w:p w14:paraId="0144A7C8" w14:textId="12154F4C"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21 728 381,01€</w:t>
            </w:r>
          </w:p>
        </w:tc>
        <w:tc>
          <w:tcPr>
            <w:tcW w:w="1540" w:type="dxa"/>
            <w:tcBorders>
              <w:top w:val="single" w:sz="4" w:space="0" w:color="auto"/>
              <w:left w:val="nil"/>
              <w:bottom w:val="single" w:sz="4" w:space="0" w:color="auto"/>
              <w:right w:val="single" w:sz="4" w:space="0" w:color="auto"/>
            </w:tcBorders>
            <w:shd w:val="clear" w:color="auto" w:fill="BFBFBF"/>
            <w:vAlign w:val="center"/>
          </w:tcPr>
          <w:p w14:paraId="41E55A6E" w14:textId="5169B5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34 327 385,97€</w:t>
            </w:r>
          </w:p>
        </w:tc>
        <w:tc>
          <w:tcPr>
            <w:tcW w:w="1540" w:type="dxa"/>
            <w:tcBorders>
              <w:top w:val="single" w:sz="4" w:space="0" w:color="auto"/>
              <w:left w:val="nil"/>
              <w:bottom w:val="single" w:sz="4" w:space="0" w:color="auto"/>
              <w:right w:val="single" w:sz="4" w:space="0" w:color="auto"/>
            </w:tcBorders>
            <w:shd w:val="clear" w:color="auto" w:fill="BFBFBF"/>
            <w:vAlign w:val="center"/>
          </w:tcPr>
          <w:p w14:paraId="16CAFF56" w14:textId="1E4FBBA5"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182 321 073,11€</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04B24F3A"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bl>
    <w:p w14:paraId="63996CF6"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2 –  výdavky rozpísať až do položiek platnej ekonomickej klasifikácie</w:t>
      </w:r>
    </w:p>
    <w:p w14:paraId="0FF6066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0"/>
          <w:lang w:eastAsia="sk-SK"/>
        </w:rPr>
      </w:pPr>
    </w:p>
    <w:p w14:paraId="6C5FE8D1" w14:textId="77777777" w:rsidR="00ED7612" w:rsidRPr="00553831" w:rsidRDefault="00ED7612" w:rsidP="00ED7612">
      <w:pPr>
        <w:spacing w:after="0" w:line="240" w:lineRule="auto"/>
        <w:jc w:val="both"/>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4"/>
          <w:szCs w:val="20"/>
          <w:lang w:eastAsia="sk-SK"/>
        </w:rPr>
        <w:t xml:space="preserve">  Poznámka:</w:t>
      </w:r>
    </w:p>
    <w:p w14:paraId="3673867F"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4"/>
          <w:szCs w:val="20"/>
          <w:lang w:eastAsia="sk-SK"/>
        </w:rPr>
        <w:t xml:space="preserve">  Ak sa vplyv týka viacerých subjektov verejnej správy, vypĺňa sa samostatná tabuľka za každý subjekt.</w:t>
      </w:r>
    </w:p>
    <w:p w14:paraId="08FB979F"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36F46E4D"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5A385B02"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3F08502A"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3CF83F70"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1AA67FE9"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085C76B"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27400912"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5EA8D007"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D4195BE"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281A591D"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15D98521"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54D5036D"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AF14E8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665E7A6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518A3701"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3E6CF1B0"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553831" w:rsidRPr="00553831" w14:paraId="071A3809" w14:textId="77777777" w:rsidTr="00ED761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7480BBFC"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cPr>
          <w:p w14:paraId="09B8A497"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0B8EFA05"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poznámka</w:t>
            </w:r>
          </w:p>
        </w:tc>
      </w:tr>
      <w:tr w:rsidR="00553831" w:rsidRPr="00553831" w14:paraId="4D23722B" w14:textId="77777777" w:rsidTr="00ED761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3E456D0"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39E31D1D" w14:textId="0A089E2B" w:rsidR="00ED7612" w:rsidRPr="00553831" w:rsidRDefault="00B50F5B"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2026</w:t>
            </w:r>
          </w:p>
        </w:tc>
        <w:tc>
          <w:tcPr>
            <w:tcW w:w="1650" w:type="dxa"/>
            <w:tcBorders>
              <w:top w:val="nil"/>
              <w:left w:val="nil"/>
              <w:bottom w:val="single" w:sz="4" w:space="0" w:color="auto"/>
              <w:right w:val="single" w:sz="4" w:space="0" w:color="auto"/>
            </w:tcBorders>
            <w:shd w:val="clear" w:color="auto" w:fill="BFBFBF"/>
          </w:tcPr>
          <w:p w14:paraId="58E0BA2D" w14:textId="797C4B8C" w:rsidR="00ED7612" w:rsidRPr="00553831" w:rsidRDefault="00B50F5B"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4053259E" w14:textId="0C83A66D" w:rsidR="00ED7612" w:rsidRPr="00553831" w:rsidRDefault="00B50F5B" w:rsidP="00ED7612">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2028</w:t>
            </w:r>
          </w:p>
        </w:tc>
        <w:tc>
          <w:tcPr>
            <w:tcW w:w="1540" w:type="dxa"/>
            <w:tcBorders>
              <w:top w:val="nil"/>
              <w:left w:val="nil"/>
              <w:bottom w:val="single" w:sz="4" w:space="0" w:color="auto"/>
              <w:right w:val="single" w:sz="4" w:space="0" w:color="auto"/>
            </w:tcBorders>
            <w:shd w:val="clear" w:color="auto" w:fill="BFBFBF"/>
          </w:tcPr>
          <w:p w14:paraId="50D6ECFF" w14:textId="6BC73A5C" w:rsidR="00ED7612" w:rsidRPr="00553831" w:rsidRDefault="00B50F5B"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604EE13B"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tc>
      </w:tr>
      <w:tr w:rsidR="00553831" w:rsidRPr="00553831" w14:paraId="350EF326" w14:textId="77777777" w:rsidTr="00ED7612">
        <w:trPr>
          <w:trHeight w:val="255"/>
        </w:trPr>
        <w:tc>
          <w:tcPr>
            <w:tcW w:w="7070" w:type="dxa"/>
            <w:tcBorders>
              <w:top w:val="nil"/>
              <w:left w:val="single" w:sz="4" w:space="0" w:color="auto"/>
              <w:bottom w:val="single" w:sz="4" w:space="0" w:color="auto"/>
              <w:right w:val="single" w:sz="4" w:space="0" w:color="auto"/>
            </w:tcBorders>
          </w:tcPr>
          <w:p w14:paraId="63DFBE60"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19975227"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D375D82"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00B3F09"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A7E0AF2"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076B51E" w14:textId="77777777" w:rsidR="00ED7612" w:rsidRPr="00553831" w:rsidRDefault="00ED7612" w:rsidP="00ED7612">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00189D63" w14:textId="77777777" w:rsidTr="006B6AE8">
        <w:trPr>
          <w:trHeight w:val="255"/>
        </w:trPr>
        <w:tc>
          <w:tcPr>
            <w:tcW w:w="7070" w:type="dxa"/>
            <w:tcBorders>
              <w:top w:val="nil"/>
              <w:left w:val="single" w:sz="4" w:space="0" w:color="auto"/>
              <w:bottom w:val="single" w:sz="4" w:space="0" w:color="auto"/>
              <w:right w:val="single" w:sz="4" w:space="0" w:color="auto"/>
            </w:tcBorders>
          </w:tcPr>
          <w:p w14:paraId="1992DBF0"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320C4594" w14:textId="0BDB676E"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-2 153 563,55€</w:t>
            </w:r>
          </w:p>
        </w:tc>
        <w:tc>
          <w:tcPr>
            <w:tcW w:w="1650" w:type="dxa"/>
            <w:tcBorders>
              <w:top w:val="nil"/>
              <w:left w:val="nil"/>
              <w:bottom w:val="single" w:sz="4" w:space="0" w:color="auto"/>
              <w:right w:val="single" w:sz="4" w:space="0" w:color="auto"/>
            </w:tcBorders>
            <w:vAlign w:val="center"/>
          </w:tcPr>
          <w:p w14:paraId="1BD60BDF" w14:textId="7B1B9B08"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21 728 381,01€</w:t>
            </w:r>
          </w:p>
        </w:tc>
        <w:tc>
          <w:tcPr>
            <w:tcW w:w="1540" w:type="dxa"/>
            <w:tcBorders>
              <w:top w:val="nil"/>
              <w:left w:val="nil"/>
              <w:bottom w:val="single" w:sz="4" w:space="0" w:color="auto"/>
              <w:right w:val="single" w:sz="4" w:space="0" w:color="auto"/>
            </w:tcBorders>
            <w:vAlign w:val="center"/>
          </w:tcPr>
          <w:p w14:paraId="7D9219F6" w14:textId="6D178B53"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34 327 385,97€</w:t>
            </w:r>
          </w:p>
        </w:tc>
        <w:tc>
          <w:tcPr>
            <w:tcW w:w="1540" w:type="dxa"/>
            <w:tcBorders>
              <w:top w:val="nil"/>
              <w:left w:val="nil"/>
              <w:bottom w:val="single" w:sz="4" w:space="0" w:color="auto"/>
              <w:right w:val="single" w:sz="4" w:space="0" w:color="auto"/>
            </w:tcBorders>
            <w:vAlign w:val="center"/>
          </w:tcPr>
          <w:p w14:paraId="68FAFC28" w14:textId="3B48CE16"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0"/>
                <w:szCs w:val="20"/>
                <w:lang w:eastAsia="sk-SK"/>
              </w:rPr>
              <w:t>182 321 073,11€</w:t>
            </w:r>
          </w:p>
        </w:tc>
        <w:tc>
          <w:tcPr>
            <w:tcW w:w="1649" w:type="dxa"/>
            <w:tcBorders>
              <w:top w:val="nil"/>
              <w:left w:val="nil"/>
              <w:bottom w:val="single" w:sz="4" w:space="0" w:color="auto"/>
              <w:right w:val="single" w:sz="4" w:space="0" w:color="auto"/>
            </w:tcBorders>
            <w:noWrap/>
            <w:vAlign w:val="bottom"/>
          </w:tcPr>
          <w:p w14:paraId="7FA88C3B"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0285864A" w14:textId="77777777" w:rsidTr="00ED7612">
        <w:trPr>
          <w:trHeight w:val="255"/>
        </w:trPr>
        <w:tc>
          <w:tcPr>
            <w:tcW w:w="7070" w:type="dxa"/>
            <w:tcBorders>
              <w:top w:val="nil"/>
              <w:left w:val="single" w:sz="4" w:space="0" w:color="auto"/>
              <w:bottom w:val="single" w:sz="4" w:space="0" w:color="auto"/>
              <w:right w:val="single" w:sz="4" w:space="0" w:color="auto"/>
            </w:tcBorders>
          </w:tcPr>
          <w:p w14:paraId="4B5A8C72"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BCAD511" w14:textId="303C140F"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67 868,88 €</w:t>
            </w:r>
          </w:p>
        </w:tc>
        <w:tc>
          <w:tcPr>
            <w:tcW w:w="1650" w:type="dxa"/>
            <w:tcBorders>
              <w:top w:val="nil"/>
              <w:left w:val="nil"/>
              <w:bottom w:val="single" w:sz="4" w:space="0" w:color="auto"/>
              <w:right w:val="single" w:sz="4" w:space="0" w:color="auto"/>
            </w:tcBorders>
          </w:tcPr>
          <w:p w14:paraId="5F5CEAFB" w14:textId="0BDA50A1"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169 672,20 €</w:t>
            </w:r>
          </w:p>
        </w:tc>
        <w:tc>
          <w:tcPr>
            <w:tcW w:w="1540" w:type="dxa"/>
            <w:tcBorders>
              <w:top w:val="nil"/>
              <w:left w:val="nil"/>
              <w:bottom w:val="single" w:sz="4" w:space="0" w:color="auto"/>
              <w:right w:val="single" w:sz="4" w:space="0" w:color="auto"/>
            </w:tcBorders>
          </w:tcPr>
          <w:p w14:paraId="0AAF7821" w14:textId="5153E769"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169 672,20 €</w:t>
            </w:r>
          </w:p>
        </w:tc>
        <w:tc>
          <w:tcPr>
            <w:tcW w:w="1540" w:type="dxa"/>
            <w:tcBorders>
              <w:top w:val="nil"/>
              <w:left w:val="nil"/>
              <w:bottom w:val="single" w:sz="4" w:space="0" w:color="auto"/>
              <w:right w:val="single" w:sz="4" w:space="0" w:color="auto"/>
            </w:tcBorders>
          </w:tcPr>
          <w:p w14:paraId="08A02E68" w14:textId="1AE18675"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649" w:type="dxa"/>
            <w:tcBorders>
              <w:top w:val="nil"/>
              <w:left w:val="nil"/>
              <w:bottom w:val="single" w:sz="4" w:space="0" w:color="auto"/>
              <w:right w:val="single" w:sz="4" w:space="0" w:color="auto"/>
            </w:tcBorders>
            <w:noWrap/>
            <w:vAlign w:val="bottom"/>
          </w:tcPr>
          <w:p w14:paraId="042109E7"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4EF7B6F0" w14:textId="77777777" w:rsidTr="00ED7612">
        <w:trPr>
          <w:trHeight w:val="255"/>
        </w:trPr>
        <w:tc>
          <w:tcPr>
            <w:tcW w:w="7070" w:type="dxa"/>
            <w:tcBorders>
              <w:top w:val="nil"/>
              <w:left w:val="single" w:sz="4" w:space="0" w:color="auto"/>
              <w:bottom w:val="single" w:sz="4" w:space="0" w:color="auto"/>
              <w:right w:val="single" w:sz="4" w:space="0" w:color="auto"/>
            </w:tcBorders>
          </w:tcPr>
          <w:p w14:paraId="577D6E2B"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vertAlign w:val="superscript"/>
                <w:lang w:eastAsia="sk-SK"/>
              </w:rPr>
            </w:pPr>
            <w:r w:rsidRPr="00553831">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1F844B0" w14:textId="58EFEBC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16 131,12 €</w:t>
            </w:r>
          </w:p>
        </w:tc>
        <w:tc>
          <w:tcPr>
            <w:tcW w:w="1650" w:type="dxa"/>
            <w:tcBorders>
              <w:top w:val="nil"/>
              <w:left w:val="nil"/>
              <w:bottom w:val="single" w:sz="4" w:space="0" w:color="auto"/>
              <w:right w:val="single" w:sz="4" w:space="0" w:color="auto"/>
            </w:tcBorders>
          </w:tcPr>
          <w:p w14:paraId="2C6FCEFC" w14:textId="073510C1"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40 327,80 €</w:t>
            </w:r>
          </w:p>
        </w:tc>
        <w:tc>
          <w:tcPr>
            <w:tcW w:w="1540" w:type="dxa"/>
            <w:tcBorders>
              <w:top w:val="nil"/>
              <w:left w:val="nil"/>
              <w:bottom w:val="single" w:sz="4" w:space="0" w:color="auto"/>
              <w:right w:val="single" w:sz="4" w:space="0" w:color="auto"/>
            </w:tcBorders>
          </w:tcPr>
          <w:p w14:paraId="5864521E" w14:textId="19D07F54"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40 327,80 €</w:t>
            </w:r>
          </w:p>
        </w:tc>
        <w:tc>
          <w:tcPr>
            <w:tcW w:w="1540" w:type="dxa"/>
            <w:tcBorders>
              <w:top w:val="nil"/>
              <w:left w:val="nil"/>
              <w:bottom w:val="single" w:sz="4" w:space="0" w:color="auto"/>
              <w:right w:val="single" w:sz="4" w:space="0" w:color="auto"/>
            </w:tcBorders>
          </w:tcPr>
          <w:p w14:paraId="1BAF3F10" w14:textId="6EB16A5E"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649" w:type="dxa"/>
            <w:tcBorders>
              <w:top w:val="nil"/>
              <w:left w:val="nil"/>
              <w:bottom w:val="single" w:sz="4" w:space="0" w:color="auto"/>
              <w:right w:val="single" w:sz="4" w:space="0" w:color="auto"/>
            </w:tcBorders>
            <w:noWrap/>
            <w:vAlign w:val="bottom"/>
          </w:tcPr>
          <w:p w14:paraId="2D130D73"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42AD6EAB" w14:textId="77777777" w:rsidTr="00E220D8">
        <w:trPr>
          <w:trHeight w:val="255"/>
        </w:trPr>
        <w:tc>
          <w:tcPr>
            <w:tcW w:w="7070" w:type="dxa"/>
            <w:tcBorders>
              <w:top w:val="nil"/>
              <w:left w:val="single" w:sz="4" w:space="0" w:color="auto"/>
              <w:bottom w:val="single" w:sz="4" w:space="0" w:color="auto"/>
              <w:right w:val="single" w:sz="4" w:space="0" w:color="auto"/>
            </w:tcBorders>
          </w:tcPr>
          <w:p w14:paraId="1031FDF1"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vertAlign w:val="superscript"/>
                <w:lang w:eastAsia="sk-SK"/>
              </w:rPr>
            </w:pPr>
            <w:r w:rsidRPr="00553831">
              <w:rPr>
                <w:rFonts w:ascii="Times New Roman" w:eastAsia="Times New Roman" w:hAnsi="Times New Roman" w:cs="Times New Roman"/>
                <w:color w:val="000000" w:themeColor="text1"/>
                <w:sz w:val="20"/>
                <w:szCs w:val="20"/>
                <w:lang w:eastAsia="sk-SK"/>
              </w:rPr>
              <w:t xml:space="preserve">  Tovary a služby (630)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8E7B77A" w14:textId="274A8279"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-2 237 563,55€</w:t>
            </w:r>
          </w:p>
        </w:tc>
        <w:tc>
          <w:tcPr>
            <w:tcW w:w="1650" w:type="dxa"/>
            <w:tcBorders>
              <w:top w:val="nil"/>
              <w:left w:val="nil"/>
              <w:bottom w:val="single" w:sz="4" w:space="0" w:color="auto"/>
              <w:right w:val="single" w:sz="4" w:space="0" w:color="auto"/>
            </w:tcBorders>
            <w:vAlign w:val="center"/>
          </w:tcPr>
          <w:p w14:paraId="1C76B49D" w14:textId="707C2C34"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21 518 381,01€</w:t>
            </w:r>
          </w:p>
        </w:tc>
        <w:tc>
          <w:tcPr>
            <w:tcW w:w="1540" w:type="dxa"/>
            <w:tcBorders>
              <w:top w:val="nil"/>
              <w:left w:val="nil"/>
              <w:bottom w:val="single" w:sz="4" w:space="0" w:color="auto"/>
              <w:right w:val="single" w:sz="4" w:space="0" w:color="auto"/>
            </w:tcBorders>
            <w:vAlign w:val="center"/>
          </w:tcPr>
          <w:p w14:paraId="10FBB717" w14:textId="66B8B555"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34 117 385,97€</w:t>
            </w:r>
          </w:p>
        </w:tc>
        <w:tc>
          <w:tcPr>
            <w:tcW w:w="1540" w:type="dxa"/>
            <w:tcBorders>
              <w:top w:val="nil"/>
              <w:left w:val="nil"/>
              <w:bottom w:val="single" w:sz="4" w:space="0" w:color="auto"/>
              <w:right w:val="single" w:sz="4" w:space="0" w:color="auto"/>
            </w:tcBorders>
            <w:vAlign w:val="center"/>
          </w:tcPr>
          <w:p w14:paraId="23ABAED8" w14:textId="57117431"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182 111 073,11€</w:t>
            </w:r>
          </w:p>
        </w:tc>
        <w:tc>
          <w:tcPr>
            <w:tcW w:w="1649" w:type="dxa"/>
            <w:tcBorders>
              <w:top w:val="nil"/>
              <w:left w:val="nil"/>
              <w:bottom w:val="single" w:sz="4" w:space="0" w:color="auto"/>
              <w:right w:val="single" w:sz="4" w:space="0" w:color="auto"/>
            </w:tcBorders>
            <w:noWrap/>
            <w:vAlign w:val="bottom"/>
          </w:tcPr>
          <w:p w14:paraId="0C5F64DF"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27DFB195" w14:textId="77777777" w:rsidTr="00ED7612">
        <w:trPr>
          <w:trHeight w:val="255"/>
        </w:trPr>
        <w:tc>
          <w:tcPr>
            <w:tcW w:w="7070" w:type="dxa"/>
            <w:tcBorders>
              <w:top w:val="nil"/>
              <w:left w:val="single" w:sz="4" w:space="0" w:color="auto"/>
              <w:bottom w:val="single" w:sz="4" w:space="0" w:color="auto"/>
              <w:right w:val="single" w:sz="4" w:space="0" w:color="auto"/>
            </w:tcBorders>
          </w:tcPr>
          <w:p w14:paraId="127B5DAE"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Bežné transfery (640)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1C5A199"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5D525B4"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D1429EE"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9996A80"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D977E94"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27583EF5" w14:textId="77777777" w:rsidTr="00ED7612">
        <w:trPr>
          <w:trHeight w:val="255"/>
        </w:trPr>
        <w:tc>
          <w:tcPr>
            <w:tcW w:w="7070" w:type="dxa"/>
            <w:tcBorders>
              <w:top w:val="nil"/>
              <w:left w:val="single" w:sz="4" w:space="0" w:color="auto"/>
              <w:bottom w:val="single" w:sz="4" w:space="0" w:color="auto"/>
              <w:right w:val="single" w:sz="4" w:space="0" w:color="auto"/>
            </w:tcBorders>
            <w:vAlign w:val="center"/>
          </w:tcPr>
          <w:p w14:paraId="4BAC7559"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Splácanie úrokov a ostatné platby súvisiace s </w:t>
            </w:r>
            <w:r w:rsidRPr="00553831">
              <w:rPr>
                <w:rFonts w:ascii="Calibri" w:eastAsia="Calibri" w:hAnsi="Calibri" w:cs="Times New Roman"/>
                <w:color w:val="000000" w:themeColor="text1"/>
              </w:rPr>
              <w:t xml:space="preserve"> </w:t>
            </w:r>
            <w:r w:rsidRPr="00553831">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21EB777"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F712BCB"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3A9E33D"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77F627D"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CF2529D"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362927F0" w14:textId="77777777" w:rsidTr="00ED7612">
        <w:trPr>
          <w:trHeight w:val="255"/>
        </w:trPr>
        <w:tc>
          <w:tcPr>
            <w:tcW w:w="7070" w:type="dxa"/>
            <w:tcBorders>
              <w:top w:val="nil"/>
              <w:left w:val="single" w:sz="4" w:space="0" w:color="auto"/>
              <w:bottom w:val="single" w:sz="4" w:space="0" w:color="auto"/>
              <w:right w:val="single" w:sz="4" w:space="0" w:color="auto"/>
            </w:tcBorders>
          </w:tcPr>
          <w:p w14:paraId="7F740275"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208F5152"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52F725C"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842F668"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BF3DC75" w14:textId="77777777"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55D44E8"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7EB22F3D" w14:textId="77777777" w:rsidTr="00ED7612">
        <w:trPr>
          <w:trHeight w:val="255"/>
        </w:trPr>
        <w:tc>
          <w:tcPr>
            <w:tcW w:w="7070" w:type="dxa"/>
            <w:tcBorders>
              <w:top w:val="nil"/>
              <w:left w:val="single" w:sz="4" w:space="0" w:color="auto"/>
              <w:bottom w:val="single" w:sz="4" w:space="0" w:color="auto"/>
              <w:right w:val="single" w:sz="4" w:space="0" w:color="auto"/>
            </w:tcBorders>
          </w:tcPr>
          <w:p w14:paraId="63EDE9BE"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Obstarávanie kapitálových aktív (710)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92D09C5"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FDCAC0D"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FC12E44"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1189B61"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80DA650"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2455D108" w14:textId="77777777" w:rsidTr="00ED7612">
        <w:trPr>
          <w:trHeight w:val="255"/>
        </w:trPr>
        <w:tc>
          <w:tcPr>
            <w:tcW w:w="7070" w:type="dxa"/>
            <w:tcBorders>
              <w:top w:val="nil"/>
              <w:left w:val="single" w:sz="4" w:space="0" w:color="auto"/>
              <w:bottom w:val="single" w:sz="4" w:space="0" w:color="auto"/>
              <w:right w:val="single" w:sz="4" w:space="0" w:color="auto"/>
            </w:tcBorders>
          </w:tcPr>
          <w:p w14:paraId="14CB31BF" w14:textId="77777777"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Kapitálové transfery (720)</w:t>
            </w:r>
            <w:r w:rsidRPr="00553831">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2402628"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204A819"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7B17936"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E83D3F4" w14:textId="7777777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266FF1C"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604620BD" w14:textId="77777777" w:rsidTr="000A4B8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0B40DD0D"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vAlign w:val="center"/>
          </w:tcPr>
          <w:p w14:paraId="526CF797" w14:textId="0BE531E3"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-2 153 563,55€</w:t>
            </w:r>
          </w:p>
        </w:tc>
        <w:tc>
          <w:tcPr>
            <w:tcW w:w="1650" w:type="dxa"/>
            <w:tcBorders>
              <w:top w:val="single" w:sz="4" w:space="0" w:color="auto"/>
              <w:left w:val="nil"/>
              <w:bottom w:val="single" w:sz="4" w:space="0" w:color="auto"/>
              <w:right w:val="single" w:sz="4" w:space="0" w:color="auto"/>
            </w:tcBorders>
            <w:shd w:val="clear" w:color="auto" w:fill="BFBFBF"/>
            <w:vAlign w:val="center"/>
          </w:tcPr>
          <w:p w14:paraId="39633AB7" w14:textId="0806259C"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21 728 381,01€</w:t>
            </w:r>
          </w:p>
        </w:tc>
        <w:tc>
          <w:tcPr>
            <w:tcW w:w="1540" w:type="dxa"/>
            <w:tcBorders>
              <w:top w:val="single" w:sz="4" w:space="0" w:color="auto"/>
              <w:left w:val="nil"/>
              <w:bottom w:val="single" w:sz="4" w:space="0" w:color="auto"/>
              <w:right w:val="single" w:sz="4" w:space="0" w:color="auto"/>
            </w:tcBorders>
            <w:shd w:val="clear" w:color="auto" w:fill="BFBFBF"/>
            <w:vAlign w:val="center"/>
          </w:tcPr>
          <w:p w14:paraId="2ED056AC" w14:textId="4588BA9D"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0"/>
                <w:szCs w:val="20"/>
                <w:lang w:eastAsia="sk-SK"/>
              </w:rPr>
              <w:t>34 327 385,97€</w:t>
            </w:r>
          </w:p>
        </w:tc>
        <w:tc>
          <w:tcPr>
            <w:tcW w:w="1540" w:type="dxa"/>
            <w:tcBorders>
              <w:top w:val="single" w:sz="4" w:space="0" w:color="auto"/>
              <w:left w:val="nil"/>
              <w:bottom w:val="single" w:sz="4" w:space="0" w:color="auto"/>
              <w:right w:val="single" w:sz="4" w:space="0" w:color="auto"/>
            </w:tcBorders>
            <w:shd w:val="clear" w:color="auto" w:fill="BFBFBF"/>
            <w:vAlign w:val="center"/>
          </w:tcPr>
          <w:p w14:paraId="0999D64F" w14:textId="2A7CEDA3"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0"/>
                <w:szCs w:val="20"/>
                <w:lang w:eastAsia="sk-SK"/>
              </w:rPr>
              <w:t>182 321 073,11€</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6DBF55A9"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bl>
    <w:p w14:paraId="7D62E5A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2 –  výdavky rozpísať až do podpoložiek platnej ekonomickej klasifikácie</w:t>
      </w:r>
    </w:p>
    <w:p w14:paraId="5611F0B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4"/>
          <w:szCs w:val="20"/>
          <w:lang w:eastAsia="sk-SK"/>
        </w:rPr>
      </w:pPr>
    </w:p>
    <w:p w14:paraId="094C98CA" w14:textId="77777777" w:rsidR="00ED7612" w:rsidRPr="00553831" w:rsidRDefault="00ED7612" w:rsidP="00ED7612">
      <w:pPr>
        <w:spacing w:after="0" w:line="240" w:lineRule="auto"/>
        <w:jc w:val="both"/>
        <w:rPr>
          <w:rFonts w:ascii="Times New Roman" w:eastAsia="Times New Roman" w:hAnsi="Times New Roman" w:cs="Times New Roman"/>
          <w:b/>
          <w:bCs/>
          <w:color w:val="000000" w:themeColor="text1"/>
          <w:sz w:val="20"/>
          <w:szCs w:val="20"/>
          <w:lang w:eastAsia="sk-SK"/>
        </w:rPr>
      </w:pPr>
      <w:r w:rsidRPr="00553831">
        <w:rPr>
          <w:rFonts w:ascii="Times New Roman" w:eastAsia="Times New Roman" w:hAnsi="Times New Roman" w:cs="Times New Roman"/>
          <w:b/>
          <w:bCs/>
          <w:color w:val="000000" w:themeColor="text1"/>
          <w:sz w:val="24"/>
          <w:szCs w:val="20"/>
          <w:lang w:eastAsia="sk-SK"/>
        </w:rPr>
        <w:t xml:space="preserve">  Poznámka:</w:t>
      </w:r>
    </w:p>
    <w:p w14:paraId="5A8E3DF8"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4"/>
          <w:szCs w:val="20"/>
          <w:lang w:eastAsia="sk-SK"/>
        </w:rPr>
        <w:t xml:space="preserve">  Ak sa vplyv týka viacerých subjektov verejnej správy, vypĺňa sa samostatná tabuľka za každý subjekt.</w:t>
      </w:r>
    </w:p>
    <w:p w14:paraId="1DEC42F7"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BD1B87A"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79EE363"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7585EFE1"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2E507D4E"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60E3E8D5"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226828DE"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10F49F4C"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138FE780"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12B0D885"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256F109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30DBC254"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79BACBB5"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E25CBA1"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5B01901E"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6602A451"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0E6693F7"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p>
    <w:p w14:paraId="10472AB9" w14:textId="77777777" w:rsidR="00ED7612" w:rsidRPr="00553831" w:rsidRDefault="00ED7612" w:rsidP="00ED7612">
      <w:pPr>
        <w:spacing w:after="0" w:line="240" w:lineRule="auto"/>
        <w:jc w:val="right"/>
        <w:rPr>
          <w:rFonts w:ascii="Times New Roman" w:eastAsia="Times New Roman" w:hAnsi="Times New Roman" w:cs="Times New Roman"/>
          <w:bCs/>
          <w:color w:val="000000" w:themeColor="text1"/>
          <w:sz w:val="24"/>
          <w:szCs w:val="24"/>
          <w:lang w:eastAsia="sk-SK"/>
        </w:rPr>
      </w:pPr>
      <w:r w:rsidRPr="00553831">
        <w:rPr>
          <w:rFonts w:ascii="Times New Roman" w:eastAsia="Times New Roman" w:hAnsi="Times New Roman" w:cs="Times New Roman"/>
          <w:bCs/>
          <w:color w:val="000000" w:themeColor="text1"/>
          <w:sz w:val="24"/>
          <w:szCs w:val="24"/>
          <w:lang w:eastAsia="sk-SK"/>
        </w:rPr>
        <w:t xml:space="preserve">                 </w:t>
      </w:r>
    </w:p>
    <w:p w14:paraId="153EB355" w14:textId="77777777" w:rsidR="00ED7612" w:rsidRPr="00553831" w:rsidRDefault="00ED7612" w:rsidP="00ED7612">
      <w:pPr>
        <w:spacing w:after="0" w:line="240" w:lineRule="auto"/>
        <w:jc w:val="both"/>
        <w:rPr>
          <w:rFonts w:ascii="Times New Roman" w:eastAsia="Times New Roman" w:hAnsi="Times New Roman" w:cs="Times New Roman"/>
          <w:bCs/>
          <w:color w:val="000000" w:themeColor="text1"/>
          <w:sz w:val="20"/>
          <w:szCs w:val="20"/>
          <w:lang w:eastAsia="sk-SK"/>
        </w:rPr>
      </w:pPr>
      <w:r w:rsidRPr="00553831">
        <w:rPr>
          <w:rFonts w:ascii="Times New Roman" w:eastAsia="Times New Roman" w:hAnsi="Times New Roman" w:cs="Times New Roman"/>
          <w:bCs/>
          <w:color w:val="000000" w:themeColor="text1"/>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553831" w:rsidRPr="00553831" w14:paraId="611D7D72" w14:textId="77777777" w:rsidTr="00ED7612">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172793B"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cPr>
          <w:p w14:paraId="3FA18C7F"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3397C997" w14:textId="77777777" w:rsidR="00ED7612" w:rsidRPr="00553831" w:rsidRDefault="00ED7612" w:rsidP="00ED7612">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poznámka</w:t>
            </w:r>
          </w:p>
        </w:tc>
      </w:tr>
      <w:tr w:rsidR="00553831" w:rsidRPr="00553831" w14:paraId="6933C997" w14:textId="77777777" w:rsidTr="00ED7612">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43626537"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4"/>
                <w:szCs w:val="24"/>
                <w:lang w:eastAsia="sk-SK"/>
              </w:rPr>
            </w:pPr>
          </w:p>
        </w:tc>
        <w:tc>
          <w:tcPr>
            <w:tcW w:w="1698" w:type="dxa"/>
            <w:tcBorders>
              <w:top w:val="nil"/>
              <w:left w:val="nil"/>
              <w:bottom w:val="single" w:sz="4" w:space="0" w:color="auto"/>
              <w:right w:val="single" w:sz="4" w:space="0" w:color="auto"/>
            </w:tcBorders>
            <w:shd w:val="clear" w:color="auto" w:fill="BFBFBF"/>
          </w:tcPr>
          <w:p w14:paraId="30D1D0EA" w14:textId="4961FFE3"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0"/>
                <w:szCs w:val="20"/>
                <w:lang w:eastAsia="sk-SK"/>
              </w:rPr>
              <w:t>2026</w:t>
            </w:r>
          </w:p>
        </w:tc>
        <w:tc>
          <w:tcPr>
            <w:tcW w:w="1788" w:type="dxa"/>
            <w:tcBorders>
              <w:top w:val="nil"/>
              <w:left w:val="nil"/>
              <w:bottom w:val="single" w:sz="4" w:space="0" w:color="auto"/>
              <w:right w:val="single" w:sz="4" w:space="0" w:color="auto"/>
            </w:tcBorders>
            <w:shd w:val="clear" w:color="auto" w:fill="BFBFBF"/>
          </w:tcPr>
          <w:p w14:paraId="7C4863FE" w14:textId="276FC8B6"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0"/>
                <w:szCs w:val="20"/>
                <w:lang w:eastAsia="sk-SK"/>
              </w:rPr>
              <w:t>2027</w:t>
            </w:r>
          </w:p>
        </w:tc>
        <w:tc>
          <w:tcPr>
            <w:tcW w:w="1878" w:type="dxa"/>
            <w:gridSpan w:val="2"/>
            <w:tcBorders>
              <w:top w:val="nil"/>
              <w:left w:val="nil"/>
              <w:bottom w:val="single" w:sz="4" w:space="0" w:color="auto"/>
              <w:right w:val="single" w:sz="4" w:space="0" w:color="auto"/>
            </w:tcBorders>
            <w:shd w:val="clear" w:color="auto" w:fill="BFBFBF"/>
          </w:tcPr>
          <w:p w14:paraId="0030EFF4" w14:textId="1D4D32EB"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0"/>
                <w:szCs w:val="20"/>
                <w:lang w:eastAsia="sk-SK"/>
              </w:rPr>
              <w:t>2028</w:t>
            </w:r>
          </w:p>
        </w:tc>
        <w:tc>
          <w:tcPr>
            <w:tcW w:w="1560" w:type="dxa"/>
            <w:tcBorders>
              <w:top w:val="nil"/>
              <w:left w:val="nil"/>
              <w:bottom w:val="single" w:sz="4" w:space="0" w:color="auto"/>
              <w:right w:val="single" w:sz="4" w:space="0" w:color="auto"/>
            </w:tcBorders>
            <w:shd w:val="clear" w:color="auto" w:fill="BFBFBF"/>
          </w:tcPr>
          <w:p w14:paraId="70720DAC" w14:textId="68D1583B"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2029</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62837BDD"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4"/>
                <w:szCs w:val="24"/>
                <w:lang w:eastAsia="sk-SK"/>
              </w:rPr>
            </w:pPr>
          </w:p>
        </w:tc>
      </w:tr>
      <w:tr w:rsidR="00553831" w:rsidRPr="00553831" w14:paraId="53378BF4" w14:textId="77777777" w:rsidTr="00ED7612">
        <w:trPr>
          <w:trHeight w:val="255"/>
        </w:trPr>
        <w:tc>
          <w:tcPr>
            <w:tcW w:w="6188" w:type="dxa"/>
            <w:tcBorders>
              <w:top w:val="nil"/>
              <w:left w:val="single" w:sz="4" w:space="0" w:color="auto"/>
              <w:bottom w:val="single" w:sz="4" w:space="0" w:color="auto"/>
              <w:right w:val="single" w:sz="4" w:space="0" w:color="auto"/>
            </w:tcBorders>
          </w:tcPr>
          <w:p w14:paraId="02C98CD0"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Počet zamestnancov celkom</w:t>
            </w:r>
          </w:p>
        </w:tc>
        <w:tc>
          <w:tcPr>
            <w:tcW w:w="1698" w:type="dxa"/>
            <w:tcBorders>
              <w:top w:val="nil"/>
              <w:left w:val="nil"/>
              <w:bottom w:val="single" w:sz="4" w:space="0" w:color="auto"/>
              <w:right w:val="single" w:sz="4" w:space="0" w:color="auto"/>
            </w:tcBorders>
          </w:tcPr>
          <w:p w14:paraId="092BAAB5" w14:textId="633E93A4"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w:t>
            </w:r>
          </w:p>
        </w:tc>
        <w:tc>
          <w:tcPr>
            <w:tcW w:w="1788" w:type="dxa"/>
            <w:tcBorders>
              <w:top w:val="nil"/>
              <w:left w:val="nil"/>
              <w:bottom w:val="single" w:sz="4" w:space="0" w:color="auto"/>
              <w:right w:val="single" w:sz="4" w:space="0" w:color="auto"/>
            </w:tcBorders>
          </w:tcPr>
          <w:p w14:paraId="6B409C7F" w14:textId="30CDDAFB"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5</w:t>
            </w:r>
          </w:p>
        </w:tc>
        <w:tc>
          <w:tcPr>
            <w:tcW w:w="1878" w:type="dxa"/>
            <w:gridSpan w:val="2"/>
            <w:tcBorders>
              <w:top w:val="nil"/>
              <w:left w:val="nil"/>
              <w:bottom w:val="single" w:sz="4" w:space="0" w:color="auto"/>
              <w:right w:val="single" w:sz="4" w:space="0" w:color="auto"/>
            </w:tcBorders>
          </w:tcPr>
          <w:p w14:paraId="28C0B48E" w14:textId="118C95E0"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5</w:t>
            </w:r>
          </w:p>
        </w:tc>
        <w:tc>
          <w:tcPr>
            <w:tcW w:w="1560" w:type="dxa"/>
            <w:tcBorders>
              <w:top w:val="nil"/>
              <w:left w:val="nil"/>
              <w:bottom w:val="single" w:sz="4" w:space="0" w:color="auto"/>
              <w:right w:val="single" w:sz="4" w:space="0" w:color="auto"/>
            </w:tcBorders>
          </w:tcPr>
          <w:p w14:paraId="03DB8308" w14:textId="10B52C7E"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5</w:t>
            </w:r>
          </w:p>
        </w:tc>
        <w:tc>
          <w:tcPr>
            <w:tcW w:w="1842" w:type="dxa"/>
            <w:gridSpan w:val="2"/>
            <w:tcBorders>
              <w:top w:val="nil"/>
              <w:left w:val="nil"/>
              <w:bottom w:val="single" w:sz="4" w:space="0" w:color="auto"/>
              <w:right w:val="single" w:sz="4" w:space="0" w:color="auto"/>
            </w:tcBorders>
            <w:noWrap/>
            <w:vAlign w:val="bottom"/>
          </w:tcPr>
          <w:p w14:paraId="173E7C69"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6CC30D93" w14:textId="77777777" w:rsidTr="00ED7612">
        <w:trPr>
          <w:trHeight w:val="255"/>
        </w:trPr>
        <w:tc>
          <w:tcPr>
            <w:tcW w:w="6188" w:type="dxa"/>
            <w:tcBorders>
              <w:top w:val="nil"/>
              <w:left w:val="single" w:sz="4" w:space="0" w:color="auto"/>
              <w:bottom w:val="single" w:sz="4" w:space="0" w:color="auto"/>
              <w:right w:val="single" w:sz="4" w:space="0" w:color="auto"/>
            </w:tcBorders>
          </w:tcPr>
          <w:p w14:paraId="1500F83E"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61402BE0" w14:textId="5019345F"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2</w:t>
            </w:r>
          </w:p>
        </w:tc>
        <w:tc>
          <w:tcPr>
            <w:tcW w:w="1788" w:type="dxa"/>
            <w:tcBorders>
              <w:top w:val="single" w:sz="4" w:space="0" w:color="auto"/>
              <w:left w:val="nil"/>
              <w:bottom w:val="single" w:sz="4" w:space="0" w:color="auto"/>
              <w:right w:val="single" w:sz="4" w:space="0" w:color="auto"/>
            </w:tcBorders>
          </w:tcPr>
          <w:p w14:paraId="75E029E8" w14:textId="71FAF507"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5</w:t>
            </w:r>
          </w:p>
        </w:tc>
        <w:tc>
          <w:tcPr>
            <w:tcW w:w="1878" w:type="dxa"/>
            <w:gridSpan w:val="2"/>
            <w:tcBorders>
              <w:top w:val="single" w:sz="4" w:space="0" w:color="auto"/>
              <w:left w:val="nil"/>
              <w:bottom w:val="single" w:sz="4" w:space="0" w:color="auto"/>
              <w:right w:val="single" w:sz="4" w:space="0" w:color="auto"/>
            </w:tcBorders>
          </w:tcPr>
          <w:p w14:paraId="33B49AF3" w14:textId="4397098D"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5</w:t>
            </w:r>
          </w:p>
        </w:tc>
        <w:tc>
          <w:tcPr>
            <w:tcW w:w="1560" w:type="dxa"/>
            <w:tcBorders>
              <w:top w:val="single" w:sz="4" w:space="0" w:color="auto"/>
              <w:left w:val="nil"/>
              <w:bottom w:val="single" w:sz="4" w:space="0" w:color="auto"/>
              <w:right w:val="single" w:sz="4" w:space="0" w:color="auto"/>
            </w:tcBorders>
          </w:tcPr>
          <w:p w14:paraId="32A924E2" w14:textId="14563161" w:rsidR="00B50F5B" w:rsidRPr="00553831" w:rsidRDefault="00B50F5B" w:rsidP="00B50F5B">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5</w:t>
            </w:r>
          </w:p>
        </w:tc>
        <w:tc>
          <w:tcPr>
            <w:tcW w:w="1842" w:type="dxa"/>
            <w:gridSpan w:val="2"/>
            <w:tcBorders>
              <w:top w:val="nil"/>
              <w:left w:val="nil"/>
              <w:bottom w:val="single" w:sz="4" w:space="0" w:color="auto"/>
              <w:right w:val="single" w:sz="4" w:space="0" w:color="auto"/>
            </w:tcBorders>
            <w:noWrap/>
            <w:vAlign w:val="bottom"/>
          </w:tcPr>
          <w:p w14:paraId="1DF8CC51" w14:textId="77777777" w:rsidR="00B50F5B" w:rsidRPr="00553831" w:rsidRDefault="00B50F5B" w:rsidP="00B50F5B">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53FC61CB" w14:textId="77777777" w:rsidTr="00ED7612">
        <w:trPr>
          <w:trHeight w:val="255"/>
        </w:trPr>
        <w:tc>
          <w:tcPr>
            <w:tcW w:w="6188" w:type="dxa"/>
            <w:tcBorders>
              <w:top w:val="nil"/>
              <w:left w:val="single" w:sz="4" w:space="0" w:color="auto"/>
              <w:bottom w:val="single" w:sz="4" w:space="0" w:color="auto"/>
              <w:right w:val="single" w:sz="4" w:space="0" w:color="auto"/>
            </w:tcBorders>
          </w:tcPr>
          <w:p w14:paraId="11ECAB8E" w14:textId="77777777" w:rsidR="00B50F5B" w:rsidRPr="00553831" w:rsidRDefault="00B50F5B" w:rsidP="00B50F5B">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3F7E1079" w14:textId="7BA2575D"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2 500 €</w:t>
            </w:r>
          </w:p>
        </w:tc>
        <w:tc>
          <w:tcPr>
            <w:tcW w:w="1788" w:type="dxa"/>
            <w:tcBorders>
              <w:top w:val="single" w:sz="4" w:space="0" w:color="auto"/>
              <w:left w:val="nil"/>
              <w:bottom w:val="single" w:sz="4" w:space="0" w:color="auto"/>
              <w:right w:val="single" w:sz="4" w:space="0" w:color="auto"/>
            </w:tcBorders>
          </w:tcPr>
          <w:p w14:paraId="624ABA09" w14:textId="05E61300"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2 500 €</w:t>
            </w:r>
          </w:p>
        </w:tc>
        <w:tc>
          <w:tcPr>
            <w:tcW w:w="1878" w:type="dxa"/>
            <w:gridSpan w:val="2"/>
            <w:tcBorders>
              <w:top w:val="single" w:sz="4" w:space="0" w:color="auto"/>
              <w:left w:val="nil"/>
              <w:bottom w:val="single" w:sz="4" w:space="0" w:color="auto"/>
              <w:right w:val="single" w:sz="4" w:space="0" w:color="auto"/>
            </w:tcBorders>
          </w:tcPr>
          <w:p w14:paraId="67CFE16E" w14:textId="2B7AE094"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2 500 €</w:t>
            </w:r>
          </w:p>
        </w:tc>
        <w:tc>
          <w:tcPr>
            <w:tcW w:w="1560" w:type="dxa"/>
            <w:tcBorders>
              <w:top w:val="single" w:sz="4" w:space="0" w:color="auto"/>
              <w:left w:val="nil"/>
              <w:bottom w:val="single" w:sz="4" w:space="0" w:color="auto"/>
              <w:right w:val="single" w:sz="4" w:space="0" w:color="auto"/>
            </w:tcBorders>
          </w:tcPr>
          <w:p w14:paraId="2D0823F6" w14:textId="0E139F20" w:rsidR="00B50F5B" w:rsidRPr="00553831" w:rsidRDefault="00B50F5B" w:rsidP="00B50F5B">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2 500 €</w:t>
            </w:r>
          </w:p>
        </w:tc>
        <w:tc>
          <w:tcPr>
            <w:tcW w:w="1842" w:type="dxa"/>
            <w:gridSpan w:val="2"/>
            <w:tcBorders>
              <w:top w:val="nil"/>
              <w:left w:val="nil"/>
              <w:bottom w:val="single" w:sz="4" w:space="0" w:color="auto"/>
              <w:right w:val="single" w:sz="4" w:space="0" w:color="auto"/>
            </w:tcBorders>
            <w:noWrap/>
            <w:vAlign w:val="bottom"/>
          </w:tcPr>
          <w:p w14:paraId="2C585688" w14:textId="4F534A4F" w:rsidR="00B50F5B" w:rsidRPr="00553831" w:rsidRDefault="00B50F5B" w:rsidP="00B50F5B">
            <w:pPr>
              <w:spacing w:after="0" w:line="240" w:lineRule="auto"/>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4"/>
                <w:szCs w:val="24"/>
                <w:lang w:eastAsia="sk-SK"/>
              </w:rPr>
              <w:t> </w:t>
            </w:r>
            <w:r w:rsidRPr="00553831">
              <w:rPr>
                <w:rFonts w:ascii="Times New Roman" w:eastAsia="Times New Roman" w:hAnsi="Times New Roman" w:cs="Times New Roman"/>
                <w:color w:val="000000" w:themeColor="text1"/>
                <w:sz w:val="20"/>
                <w:szCs w:val="20"/>
                <w:lang w:eastAsia="sk-SK"/>
              </w:rPr>
              <w:t>Hrubá mzda/1FTE</w:t>
            </w:r>
          </w:p>
        </w:tc>
      </w:tr>
      <w:tr w:rsidR="00553831" w:rsidRPr="00553831" w14:paraId="176623A5" w14:textId="77777777" w:rsidTr="00ED7612">
        <w:trPr>
          <w:trHeight w:val="255"/>
        </w:trPr>
        <w:tc>
          <w:tcPr>
            <w:tcW w:w="6188" w:type="dxa"/>
            <w:tcBorders>
              <w:top w:val="nil"/>
              <w:left w:val="single" w:sz="4" w:space="0" w:color="auto"/>
              <w:bottom w:val="single" w:sz="4" w:space="0" w:color="auto"/>
              <w:right w:val="single" w:sz="4" w:space="0" w:color="auto"/>
            </w:tcBorders>
          </w:tcPr>
          <w:p w14:paraId="1440800A"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097CCA91" w14:textId="0E4E1012"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2 500 €</w:t>
            </w:r>
          </w:p>
        </w:tc>
        <w:tc>
          <w:tcPr>
            <w:tcW w:w="1788" w:type="dxa"/>
            <w:tcBorders>
              <w:top w:val="single" w:sz="4" w:space="0" w:color="auto"/>
              <w:left w:val="nil"/>
              <w:bottom w:val="single" w:sz="4" w:space="0" w:color="auto"/>
              <w:right w:val="single" w:sz="4" w:space="0" w:color="auto"/>
            </w:tcBorders>
          </w:tcPr>
          <w:p w14:paraId="1373C25E" w14:textId="06A1C098"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2 500 €</w:t>
            </w:r>
          </w:p>
        </w:tc>
        <w:tc>
          <w:tcPr>
            <w:tcW w:w="1878" w:type="dxa"/>
            <w:gridSpan w:val="2"/>
            <w:tcBorders>
              <w:top w:val="single" w:sz="4" w:space="0" w:color="auto"/>
              <w:left w:val="nil"/>
              <w:bottom w:val="single" w:sz="4" w:space="0" w:color="auto"/>
              <w:right w:val="single" w:sz="4" w:space="0" w:color="auto"/>
            </w:tcBorders>
          </w:tcPr>
          <w:p w14:paraId="5AF451A2" w14:textId="1A511710"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2 500 €</w:t>
            </w:r>
          </w:p>
        </w:tc>
        <w:tc>
          <w:tcPr>
            <w:tcW w:w="1560" w:type="dxa"/>
            <w:tcBorders>
              <w:top w:val="single" w:sz="4" w:space="0" w:color="auto"/>
              <w:left w:val="nil"/>
              <w:bottom w:val="single" w:sz="4" w:space="0" w:color="auto"/>
              <w:right w:val="single" w:sz="4" w:space="0" w:color="auto"/>
            </w:tcBorders>
          </w:tcPr>
          <w:p w14:paraId="69ECAA9C" w14:textId="613D2688"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2 500 €</w:t>
            </w:r>
          </w:p>
        </w:tc>
        <w:tc>
          <w:tcPr>
            <w:tcW w:w="1842" w:type="dxa"/>
            <w:gridSpan w:val="2"/>
            <w:tcBorders>
              <w:top w:val="nil"/>
              <w:left w:val="nil"/>
              <w:bottom w:val="single" w:sz="4" w:space="0" w:color="auto"/>
              <w:right w:val="single" w:sz="4" w:space="0" w:color="auto"/>
            </w:tcBorders>
            <w:noWrap/>
            <w:vAlign w:val="bottom"/>
          </w:tcPr>
          <w:p w14:paraId="375A1F0E"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308BAB5A" w14:textId="77777777" w:rsidTr="00ED7612">
        <w:trPr>
          <w:trHeight w:val="255"/>
        </w:trPr>
        <w:tc>
          <w:tcPr>
            <w:tcW w:w="6188" w:type="dxa"/>
            <w:tcBorders>
              <w:top w:val="nil"/>
              <w:left w:val="single" w:sz="4" w:space="0" w:color="auto"/>
              <w:bottom w:val="single" w:sz="4" w:space="0" w:color="auto"/>
              <w:right w:val="single" w:sz="4" w:space="0" w:color="auto"/>
            </w:tcBorders>
            <w:shd w:val="clear" w:color="auto" w:fill="BFBFBF"/>
          </w:tcPr>
          <w:p w14:paraId="44723653"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cPr>
          <w:p w14:paraId="6C9AEFA2" w14:textId="300C20D7"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84 000€</w:t>
            </w:r>
          </w:p>
        </w:tc>
        <w:tc>
          <w:tcPr>
            <w:tcW w:w="1788" w:type="dxa"/>
            <w:tcBorders>
              <w:top w:val="nil"/>
              <w:left w:val="nil"/>
              <w:bottom w:val="single" w:sz="4" w:space="0" w:color="auto"/>
              <w:right w:val="single" w:sz="4" w:space="0" w:color="auto"/>
            </w:tcBorders>
            <w:shd w:val="clear" w:color="auto" w:fill="BFBFBF"/>
          </w:tcPr>
          <w:p w14:paraId="0EE7FFC2" w14:textId="315427E2"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210 000€</w:t>
            </w:r>
          </w:p>
        </w:tc>
        <w:tc>
          <w:tcPr>
            <w:tcW w:w="1878" w:type="dxa"/>
            <w:gridSpan w:val="2"/>
            <w:tcBorders>
              <w:top w:val="nil"/>
              <w:left w:val="nil"/>
              <w:bottom w:val="single" w:sz="4" w:space="0" w:color="auto"/>
              <w:right w:val="single" w:sz="4" w:space="0" w:color="auto"/>
            </w:tcBorders>
            <w:shd w:val="clear" w:color="auto" w:fill="BFBFBF"/>
          </w:tcPr>
          <w:p w14:paraId="754B6A26" w14:textId="21870BA8"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210 000€</w:t>
            </w:r>
          </w:p>
        </w:tc>
        <w:tc>
          <w:tcPr>
            <w:tcW w:w="1560" w:type="dxa"/>
            <w:tcBorders>
              <w:top w:val="nil"/>
              <w:left w:val="nil"/>
              <w:bottom w:val="single" w:sz="4" w:space="0" w:color="auto"/>
              <w:right w:val="single" w:sz="4" w:space="0" w:color="auto"/>
            </w:tcBorders>
            <w:shd w:val="clear" w:color="auto" w:fill="BFBFBF"/>
          </w:tcPr>
          <w:p w14:paraId="6934283E" w14:textId="57B6E927"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210 000€</w:t>
            </w:r>
          </w:p>
        </w:tc>
        <w:tc>
          <w:tcPr>
            <w:tcW w:w="1842" w:type="dxa"/>
            <w:gridSpan w:val="2"/>
            <w:tcBorders>
              <w:top w:val="nil"/>
              <w:left w:val="nil"/>
              <w:bottom w:val="single" w:sz="4" w:space="0" w:color="auto"/>
              <w:right w:val="single" w:sz="4" w:space="0" w:color="auto"/>
            </w:tcBorders>
            <w:shd w:val="clear" w:color="auto" w:fill="BFBFBF"/>
            <w:noWrap/>
            <w:vAlign w:val="bottom"/>
          </w:tcPr>
          <w:p w14:paraId="10F8B6DB"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r>
      <w:tr w:rsidR="00553831" w:rsidRPr="00553831" w14:paraId="6E004E9B" w14:textId="77777777" w:rsidTr="00ED7612">
        <w:trPr>
          <w:trHeight w:val="255"/>
        </w:trPr>
        <w:tc>
          <w:tcPr>
            <w:tcW w:w="6188" w:type="dxa"/>
            <w:tcBorders>
              <w:top w:val="nil"/>
              <w:left w:val="single" w:sz="4" w:space="0" w:color="auto"/>
              <w:bottom w:val="single" w:sz="4" w:space="0" w:color="auto"/>
              <w:right w:val="single" w:sz="4" w:space="0" w:color="auto"/>
            </w:tcBorders>
          </w:tcPr>
          <w:p w14:paraId="79397395"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2C141DCE" w14:textId="41CDCB08"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67 868,88 €</w:t>
            </w:r>
          </w:p>
        </w:tc>
        <w:tc>
          <w:tcPr>
            <w:tcW w:w="1788" w:type="dxa"/>
            <w:tcBorders>
              <w:top w:val="nil"/>
              <w:left w:val="nil"/>
              <w:bottom w:val="single" w:sz="4" w:space="0" w:color="auto"/>
              <w:right w:val="single" w:sz="4" w:space="0" w:color="auto"/>
            </w:tcBorders>
          </w:tcPr>
          <w:p w14:paraId="1AC83949" w14:textId="0EF2D2A4"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878" w:type="dxa"/>
            <w:gridSpan w:val="2"/>
            <w:tcBorders>
              <w:top w:val="nil"/>
              <w:left w:val="nil"/>
              <w:bottom w:val="single" w:sz="4" w:space="0" w:color="auto"/>
              <w:right w:val="single" w:sz="4" w:space="0" w:color="auto"/>
            </w:tcBorders>
          </w:tcPr>
          <w:p w14:paraId="0E4A6A02" w14:textId="1487A42A"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560" w:type="dxa"/>
            <w:tcBorders>
              <w:top w:val="nil"/>
              <w:left w:val="nil"/>
              <w:bottom w:val="single" w:sz="4" w:space="0" w:color="auto"/>
              <w:right w:val="single" w:sz="4" w:space="0" w:color="auto"/>
            </w:tcBorders>
          </w:tcPr>
          <w:p w14:paraId="57D182F3" w14:textId="32B196C8"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842" w:type="dxa"/>
            <w:gridSpan w:val="2"/>
            <w:tcBorders>
              <w:top w:val="nil"/>
              <w:left w:val="nil"/>
              <w:bottom w:val="single" w:sz="4" w:space="0" w:color="auto"/>
              <w:right w:val="single" w:sz="4" w:space="0" w:color="auto"/>
            </w:tcBorders>
            <w:noWrap/>
            <w:vAlign w:val="bottom"/>
          </w:tcPr>
          <w:p w14:paraId="1B999546"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r>
      <w:tr w:rsidR="00553831" w:rsidRPr="00553831" w14:paraId="3F584AA2" w14:textId="77777777" w:rsidTr="00ED7612">
        <w:trPr>
          <w:trHeight w:val="255"/>
        </w:trPr>
        <w:tc>
          <w:tcPr>
            <w:tcW w:w="6188" w:type="dxa"/>
            <w:tcBorders>
              <w:top w:val="nil"/>
              <w:left w:val="single" w:sz="4" w:space="0" w:color="auto"/>
              <w:bottom w:val="single" w:sz="4" w:space="0" w:color="auto"/>
              <w:right w:val="single" w:sz="4" w:space="0" w:color="auto"/>
            </w:tcBorders>
          </w:tcPr>
          <w:p w14:paraId="1CD488A5"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08AF0FE" w14:textId="3D55D5A3"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67 868,88 €</w:t>
            </w:r>
          </w:p>
        </w:tc>
        <w:tc>
          <w:tcPr>
            <w:tcW w:w="1788" w:type="dxa"/>
            <w:tcBorders>
              <w:top w:val="nil"/>
              <w:left w:val="nil"/>
              <w:bottom w:val="single" w:sz="4" w:space="0" w:color="auto"/>
              <w:right w:val="single" w:sz="4" w:space="0" w:color="auto"/>
            </w:tcBorders>
          </w:tcPr>
          <w:p w14:paraId="0D4C0BF4" w14:textId="20F19241"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878" w:type="dxa"/>
            <w:gridSpan w:val="2"/>
            <w:tcBorders>
              <w:top w:val="nil"/>
              <w:left w:val="nil"/>
              <w:bottom w:val="single" w:sz="4" w:space="0" w:color="auto"/>
              <w:right w:val="single" w:sz="4" w:space="0" w:color="auto"/>
            </w:tcBorders>
          </w:tcPr>
          <w:p w14:paraId="397354A6" w14:textId="6E847864"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560" w:type="dxa"/>
            <w:tcBorders>
              <w:top w:val="nil"/>
              <w:left w:val="nil"/>
              <w:bottom w:val="single" w:sz="4" w:space="0" w:color="auto"/>
              <w:right w:val="single" w:sz="4" w:space="0" w:color="auto"/>
            </w:tcBorders>
          </w:tcPr>
          <w:p w14:paraId="18834950" w14:textId="6B0B77AE"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169 672,20 €</w:t>
            </w:r>
          </w:p>
        </w:tc>
        <w:tc>
          <w:tcPr>
            <w:tcW w:w="1842" w:type="dxa"/>
            <w:gridSpan w:val="2"/>
            <w:tcBorders>
              <w:top w:val="nil"/>
              <w:left w:val="nil"/>
              <w:bottom w:val="single" w:sz="4" w:space="0" w:color="auto"/>
              <w:right w:val="single" w:sz="4" w:space="0" w:color="auto"/>
            </w:tcBorders>
            <w:noWrap/>
            <w:vAlign w:val="bottom"/>
          </w:tcPr>
          <w:p w14:paraId="7FA02FD7"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6C8827E3" w14:textId="77777777" w:rsidTr="00ED7612">
        <w:trPr>
          <w:trHeight w:val="255"/>
        </w:trPr>
        <w:tc>
          <w:tcPr>
            <w:tcW w:w="6188" w:type="dxa"/>
            <w:tcBorders>
              <w:top w:val="nil"/>
              <w:left w:val="single" w:sz="4" w:space="0" w:color="auto"/>
              <w:bottom w:val="single" w:sz="4" w:space="0" w:color="auto"/>
              <w:right w:val="single" w:sz="4" w:space="0" w:color="auto"/>
            </w:tcBorders>
          </w:tcPr>
          <w:p w14:paraId="393408B0"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1C3E07A1" w14:textId="56279CF2"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16 131,12 €</w:t>
            </w:r>
          </w:p>
        </w:tc>
        <w:tc>
          <w:tcPr>
            <w:tcW w:w="1788" w:type="dxa"/>
            <w:tcBorders>
              <w:top w:val="nil"/>
              <w:left w:val="nil"/>
              <w:bottom w:val="single" w:sz="4" w:space="0" w:color="auto"/>
              <w:right w:val="single" w:sz="4" w:space="0" w:color="auto"/>
            </w:tcBorders>
          </w:tcPr>
          <w:p w14:paraId="12B76E1A" w14:textId="48BCD19F"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878" w:type="dxa"/>
            <w:gridSpan w:val="2"/>
            <w:tcBorders>
              <w:top w:val="nil"/>
              <w:left w:val="nil"/>
              <w:bottom w:val="single" w:sz="4" w:space="0" w:color="auto"/>
              <w:right w:val="single" w:sz="4" w:space="0" w:color="auto"/>
            </w:tcBorders>
          </w:tcPr>
          <w:p w14:paraId="2207A148" w14:textId="0EC29536"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560" w:type="dxa"/>
            <w:tcBorders>
              <w:top w:val="nil"/>
              <w:left w:val="nil"/>
              <w:bottom w:val="single" w:sz="4" w:space="0" w:color="auto"/>
              <w:right w:val="single" w:sz="4" w:space="0" w:color="auto"/>
            </w:tcBorders>
          </w:tcPr>
          <w:p w14:paraId="19C305B9" w14:textId="59E2E0ED" w:rsidR="00B27BD1" w:rsidRPr="00553831" w:rsidRDefault="00B27BD1" w:rsidP="00B27BD1">
            <w:pPr>
              <w:spacing w:after="0" w:line="240" w:lineRule="auto"/>
              <w:jc w:val="center"/>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842" w:type="dxa"/>
            <w:gridSpan w:val="2"/>
            <w:tcBorders>
              <w:top w:val="nil"/>
              <w:left w:val="nil"/>
              <w:bottom w:val="single" w:sz="4" w:space="0" w:color="auto"/>
              <w:right w:val="single" w:sz="4" w:space="0" w:color="auto"/>
            </w:tcBorders>
            <w:noWrap/>
            <w:vAlign w:val="bottom"/>
          </w:tcPr>
          <w:p w14:paraId="69BF5762"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w:t>
            </w:r>
          </w:p>
        </w:tc>
      </w:tr>
      <w:tr w:rsidR="00553831" w:rsidRPr="00553831" w14:paraId="12AB1C24" w14:textId="77777777" w:rsidTr="00ED7612">
        <w:trPr>
          <w:trHeight w:val="255"/>
        </w:trPr>
        <w:tc>
          <w:tcPr>
            <w:tcW w:w="6188" w:type="dxa"/>
            <w:tcBorders>
              <w:top w:val="nil"/>
              <w:left w:val="single" w:sz="4" w:space="0" w:color="auto"/>
              <w:bottom w:val="single" w:sz="4" w:space="0" w:color="auto"/>
              <w:right w:val="single" w:sz="4" w:space="0" w:color="auto"/>
            </w:tcBorders>
          </w:tcPr>
          <w:p w14:paraId="3E6F0EC6"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45969D91" w14:textId="23854EC0"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16 131,12 €</w:t>
            </w:r>
          </w:p>
        </w:tc>
        <w:tc>
          <w:tcPr>
            <w:tcW w:w="1788" w:type="dxa"/>
            <w:tcBorders>
              <w:top w:val="nil"/>
              <w:left w:val="nil"/>
              <w:bottom w:val="single" w:sz="4" w:space="0" w:color="auto"/>
              <w:right w:val="single" w:sz="4" w:space="0" w:color="auto"/>
            </w:tcBorders>
          </w:tcPr>
          <w:p w14:paraId="3E27A323" w14:textId="4C2AF357"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878" w:type="dxa"/>
            <w:gridSpan w:val="2"/>
            <w:tcBorders>
              <w:top w:val="nil"/>
              <w:left w:val="nil"/>
              <w:bottom w:val="single" w:sz="4" w:space="0" w:color="auto"/>
              <w:right w:val="single" w:sz="4" w:space="0" w:color="auto"/>
            </w:tcBorders>
          </w:tcPr>
          <w:p w14:paraId="11AA38EE" w14:textId="26C63769"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560" w:type="dxa"/>
            <w:tcBorders>
              <w:top w:val="nil"/>
              <w:left w:val="nil"/>
              <w:bottom w:val="single" w:sz="4" w:space="0" w:color="auto"/>
              <w:right w:val="single" w:sz="4" w:space="0" w:color="auto"/>
            </w:tcBorders>
          </w:tcPr>
          <w:p w14:paraId="4A56B350" w14:textId="1D4872B7" w:rsidR="00B27BD1" w:rsidRPr="00553831" w:rsidRDefault="00B27BD1" w:rsidP="00B27BD1">
            <w:pPr>
              <w:spacing w:after="0" w:line="240" w:lineRule="auto"/>
              <w:jc w:val="center"/>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0"/>
                <w:szCs w:val="20"/>
                <w:lang w:eastAsia="sk-SK"/>
              </w:rPr>
              <w:t>40 327,80 €</w:t>
            </w:r>
          </w:p>
        </w:tc>
        <w:tc>
          <w:tcPr>
            <w:tcW w:w="1842" w:type="dxa"/>
            <w:gridSpan w:val="2"/>
            <w:tcBorders>
              <w:top w:val="nil"/>
              <w:left w:val="nil"/>
              <w:bottom w:val="single" w:sz="4" w:space="0" w:color="auto"/>
              <w:right w:val="single" w:sz="4" w:space="0" w:color="auto"/>
            </w:tcBorders>
            <w:noWrap/>
            <w:vAlign w:val="bottom"/>
          </w:tcPr>
          <w:p w14:paraId="7B29EE62"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w:t>
            </w:r>
          </w:p>
        </w:tc>
      </w:tr>
      <w:tr w:rsidR="00553831" w:rsidRPr="00553831" w14:paraId="679F9CDB" w14:textId="77777777" w:rsidTr="00ED7612">
        <w:trPr>
          <w:trHeight w:val="255"/>
        </w:trPr>
        <w:tc>
          <w:tcPr>
            <w:tcW w:w="6188" w:type="dxa"/>
            <w:tcBorders>
              <w:top w:val="nil"/>
              <w:left w:val="nil"/>
              <w:bottom w:val="nil"/>
              <w:right w:val="nil"/>
            </w:tcBorders>
            <w:noWrap/>
            <w:vAlign w:val="bottom"/>
          </w:tcPr>
          <w:p w14:paraId="49635257"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698" w:type="dxa"/>
            <w:tcBorders>
              <w:top w:val="nil"/>
              <w:left w:val="nil"/>
              <w:bottom w:val="nil"/>
              <w:right w:val="nil"/>
            </w:tcBorders>
            <w:noWrap/>
            <w:vAlign w:val="bottom"/>
          </w:tcPr>
          <w:p w14:paraId="025AB577"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788" w:type="dxa"/>
            <w:tcBorders>
              <w:top w:val="nil"/>
              <w:left w:val="nil"/>
              <w:bottom w:val="nil"/>
              <w:right w:val="nil"/>
            </w:tcBorders>
            <w:noWrap/>
            <w:vAlign w:val="bottom"/>
          </w:tcPr>
          <w:p w14:paraId="6CF0523F"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878" w:type="dxa"/>
            <w:gridSpan w:val="2"/>
            <w:tcBorders>
              <w:top w:val="nil"/>
              <w:left w:val="nil"/>
              <w:bottom w:val="nil"/>
              <w:right w:val="nil"/>
            </w:tcBorders>
            <w:noWrap/>
            <w:vAlign w:val="bottom"/>
          </w:tcPr>
          <w:p w14:paraId="5A9027AF"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560" w:type="dxa"/>
            <w:tcBorders>
              <w:top w:val="nil"/>
              <w:left w:val="nil"/>
              <w:bottom w:val="nil"/>
              <w:right w:val="nil"/>
            </w:tcBorders>
            <w:noWrap/>
            <w:vAlign w:val="bottom"/>
          </w:tcPr>
          <w:p w14:paraId="674F4B99"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842" w:type="dxa"/>
            <w:gridSpan w:val="2"/>
            <w:tcBorders>
              <w:top w:val="nil"/>
              <w:left w:val="nil"/>
              <w:bottom w:val="nil"/>
              <w:right w:val="nil"/>
            </w:tcBorders>
            <w:noWrap/>
            <w:vAlign w:val="bottom"/>
          </w:tcPr>
          <w:p w14:paraId="6814236B"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72AA2979" w14:textId="77777777" w:rsidTr="00ED7612">
        <w:trPr>
          <w:trHeight w:val="255"/>
        </w:trPr>
        <w:tc>
          <w:tcPr>
            <w:tcW w:w="6188" w:type="dxa"/>
            <w:tcBorders>
              <w:top w:val="nil"/>
              <w:left w:val="nil"/>
              <w:bottom w:val="nil"/>
              <w:right w:val="nil"/>
            </w:tcBorders>
          </w:tcPr>
          <w:p w14:paraId="7151675B" w14:textId="77777777" w:rsidR="00B27BD1" w:rsidRPr="00553831" w:rsidRDefault="00B27BD1" w:rsidP="00B27BD1">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Poznámka:</w:t>
            </w:r>
          </w:p>
        </w:tc>
        <w:tc>
          <w:tcPr>
            <w:tcW w:w="1698" w:type="dxa"/>
            <w:tcBorders>
              <w:top w:val="nil"/>
              <w:left w:val="nil"/>
              <w:bottom w:val="nil"/>
              <w:right w:val="nil"/>
            </w:tcBorders>
            <w:noWrap/>
            <w:vAlign w:val="bottom"/>
          </w:tcPr>
          <w:p w14:paraId="5AF6FA2E"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788" w:type="dxa"/>
            <w:tcBorders>
              <w:top w:val="nil"/>
              <w:left w:val="nil"/>
              <w:bottom w:val="nil"/>
              <w:right w:val="nil"/>
            </w:tcBorders>
            <w:noWrap/>
            <w:vAlign w:val="bottom"/>
          </w:tcPr>
          <w:p w14:paraId="4FE894BF"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878" w:type="dxa"/>
            <w:gridSpan w:val="2"/>
            <w:tcBorders>
              <w:top w:val="nil"/>
              <w:left w:val="nil"/>
              <w:bottom w:val="nil"/>
              <w:right w:val="nil"/>
            </w:tcBorders>
            <w:noWrap/>
            <w:vAlign w:val="bottom"/>
          </w:tcPr>
          <w:p w14:paraId="289F3BA7"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560" w:type="dxa"/>
            <w:tcBorders>
              <w:top w:val="nil"/>
              <w:left w:val="nil"/>
              <w:bottom w:val="nil"/>
              <w:right w:val="nil"/>
            </w:tcBorders>
            <w:noWrap/>
            <w:vAlign w:val="bottom"/>
          </w:tcPr>
          <w:p w14:paraId="7FC04E74"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1842" w:type="dxa"/>
            <w:gridSpan w:val="2"/>
            <w:tcBorders>
              <w:top w:val="nil"/>
              <w:left w:val="nil"/>
              <w:bottom w:val="nil"/>
              <w:right w:val="nil"/>
            </w:tcBorders>
            <w:noWrap/>
            <w:vAlign w:val="bottom"/>
          </w:tcPr>
          <w:p w14:paraId="0F8EC1B6"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6E28BD8F" w14:textId="77777777" w:rsidTr="00ED7612">
        <w:trPr>
          <w:trHeight w:val="255"/>
        </w:trPr>
        <w:tc>
          <w:tcPr>
            <w:tcW w:w="13112" w:type="dxa"/>
            <w:gridSpan w:val="6"/>
            <w:tcBorders>
              <w:top w:val="nil"/>
              <w:left w:val="nil"/>
              <w:bottom w:val="nil"/>
              <w:right w:val="nil"/>
            </w:tcBorders>
            <w:noWrap/>
          </w:tcPr>
          <w:p w14:paraId="0505F64E" w14:textId="77777777" w:rsidR="00B27BD1" w:rsidRPr="00553831" w:rsidRDefault="00B27BD1" w:rsidP="00B27BD1">
            <w:pPr>
              <w:spacing w:after="0" w:line="240" w:lineRule="auto"/>
              <w:jc w:val="both"/>
              <w:rPr>
                <w:rFonts w:ascii="Times New Roman" w:eastAsia="Times New Roman" w:hAnsi="Times New Roman" w:cs="Times New Roman"/>
                <w:bCs/>
                <w:color w:val="000000" w:themeColor="text1"/>
                <w:sz w:val="24"/>
                <w:szCs w:val="20"/>
                <w:lang w:eastAsia="sk-SK"/>
              </w:rPr>
            </w:pPr>
            <w:r w:rsidRPr="00553831">
              <w:rPr>
                <w:rFonts w:ascii="Times New Roman" w:eastAsia="Times New Roman" w:hAnsi="Times New Roman" w:cs="Times New Roman"/>
                <w:bCs/>
                <w:color w:val="000000" w:themeColor="text1"/>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50C6BED0"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73931F68"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r>
      <w:tr w:rsidR="00553831" w:rsidRPr="00553831" w14:paraId="5787661D" w14:textId="77777777" w:rsidTr="00ED7612">
        <w:trPr>
          <w:trHeight w:val="255"/>
        </w:trPr>
        <w:tc>
          <w:tcPr>
            <w:tcW w:w="10394" w:type="dxa"/>
            <w:gridSpan w:val="4"/>
            <w:tcBorders>
              <w:top w:val="nil"/>
              <w:left w:val="nil"/>
              <w:bottom w:val="nil"/>
              <w:right w:val="nil"/>
            </w:tcBorders>
            <w:noWrap/>
            <w:vAlign w:val="bottom"/>
          </w:tcPr>
          <w:p w14:paraId="2BFCFCA1"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237472B3"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2892" w:type="dxa"/>
            <w:gridSpan w:val="2"/>
            <w:tcBorders>
              <w:top w:val="nil"/>
              <w:left w:val="nil"/>
              <w:bottom w:val="nil"/>
              <w:right w:val="nil"/>
            </w:tcBorders>
            <w:noWrap/>
            <w:vAlign w:val="bottom"/>
          </w:tcPr>
          <w:p w14:paraId="4560F812"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c>
          <w:tcPr>
            <w:tcW w:w="510" w:type="dxa"/>
            <w:tcBorders>
              <w:top w:val="nil"/>
              <w:left w:val="nil"/>
              <w:bottom w:val="nil"/>
              <w:right w:val="nil"/>
            </w:tcBorders>
            <w:noWrap/>
            <w:vAlign w:val="bottom"/>
          </w:tcPr>
          <w:p w14:paraId="3419A979" w14:textId="77777777" w:rsidR="00B27BD1" w:rsidRPr="00553831" w:rsidRDefault="00B27BD1" w:rsidP="00B27BD1">
            <w:pPr>
              <w:spacing w:after="0" w:line="240" w:lineRule="auto"/>
              <w:rPr>
                <w:rFonts w:ascii="Times New Roman" w:eastAsia="Times New Roman" w:hAnsi="Times New Roman" w:cs="Times New Roman"/>
                <w:color w:val="000000" w:themeColor="text1"/>
                <w:sz w:val="24"/>
                <w:szCs w:val="24"/>
                <w:lang w:eastAsia="sk-SK"/>
              </w:rPr>
            </w:pPr>
          </w:p>
        </w:tc>
      </w:tr>
    </w:tbl>
    <w:p w14:paraId="00655A9A"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4B518748"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11BFBDFC"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03E832D5"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7DF2D763"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683DF224"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2B7F2E9D"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492C0737"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391D9C14" w14:textId="77777777"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p>
    <w:p w14:paraId="7D374773" w14:textId="51FD567F" w:rsidR="00ED7612" w:rsidRPr="00553831" w:rsidRDefault="00ED7612" w:rsidP="00ED7612">
      <w:pPr>
        <w:spacing w:after="0" w:line="240" w:lineRule="auto"/>
        <w:rPr>
          <w:rFonts w:ascii="Times New Roman" w:eastAsia="Times New Roman" w:hAnsi="Times New Roman" w:cs="Times New Roman"/>
          <w:b/>
          <w:bCs/>
          <w:color w:val="000000" w:themeColor="text1"/>
          <w:sz w:val="24"/>
          <w:szCs w:val="24"/>
          <w:lang w:eastAsia="sk-SK"/>
        </w:rPr>
      </w:pPr>
      <w:r w:rsidRPr="00553831">
        <w:rPr>
          <w:rFonts w:ascii="Times New Roman" w:eastAsia="Times New Roman" w:hAnsi="Times New Roman" w:cs="Times New Roman"/>
          <w:b/>
          <w:bCs/>
          <w:color w:val="000000" w:themeColor="text1"/>
          <w:sz w:val="24"/>
          <w:szCs w:val="24"/>
          <w:lang w:eastAsia="sk-SK"/>
        </w:rPr>
        <w:t xml:space="preserve">                                                                </w:t>
      </w:r>
    </w:p>
    <w:p w14:paraId="4CBD02EF" w14:textId="77777777" w:rsidR="00ED7612" w:rsidRPr="00553831" w:rsidRDefault="00ED7612" w:rsidP="00ED7612">
      <w:pPr>
        <w:spacing w:after="0" w:line="240" w:lineRule="auto"/>
        <w:jc w:val="both"/>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 xml:space="preserve">2.2.5. Výpočet vplyvov na dlhodobú udržateľnosť verejných financií </w:t>
      </w:r>
    </w:p>
    <w:p w14:paraId="0A2663EB"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p>
    <w:p w14:paraId="7DD3E0B8"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4460F572"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p>
    <w:p w14:paraId="56B4E0F7"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                                                                                                                                </w:t>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r w:rsidRPr="00553831">
        <w:rPr>
          <w:rFonts w:ascii="Times New Roman" w:eastAsia="Times New Roman" w:hAnsi="Times New Roman" w:cs="Times New Roman"/>
          <w:color w:val="000000" w:themeColor="text1"/>
          <w:sz w:val="24"/>
          <w:szCs w:val="24"/>
          <w:lang w:eastAsia="sk-SK"/>
        </w:rPr>
        <w:tab/>
      </w:r>
    </w:p>
    <w:p w14:paraId="742759AA"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0"/>
          <w:szCs w:val="20"/>
          <w:lang w:eastAsia="sk-SK"/>
        </w:rPr>
      </w:pPr>
      <w:r w:rsidRPr="00553831">
        <w:rPr>
          <w:rFonts w:ascii="Times New Roman" w:eastAsia="Times New Roman" w:hAnsi="Times New Roman" w:cs="Times New Roman"/>
          <w:color w:val="000000" w:themeColor="text1"/>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553831" w:rsidRPr="00553831" w14:paraId="0D453629" w14:textId="77777777" w:rsidTr="00ED7612">
        <w:trPr>
          <w:trHeight w:val="284"/>
        </w:trPr>
        <w:tc>
          <w:tcPr>
            <w:tcW w:w="2943" w:type="dxa"/>
            <w:vMerge w:val="restart"/>
            <w:shd w:val="clear" w:color="auto" w:fill="BFBFBF"/>
            <w:vAlign w:val="center"/>
          </w:tcPr>
          <w:p w14:paraId="24A7CB37"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Dlhodobá udržateľnosť</w:t>
            </w:r>
          </w:p>
        </w:tc>
        <w:tc>
          <w:tcPr>
            <w:tcW w:w="7967" w:type="dxa"/>
            <w:gridSpan w:val="5"/>
            <w:shd w:val="clear" w:color="auto" w:fill="BFBFBF"/>
          </w:tcPr>
          <w:p w14:paraId="542BCB94"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Vplyv na verejné financie</w:t>
            </w:r>
          </w:p>
        </w:tc>
        <w:tc>
          <w:tcPr>
            <w:tcW w:w="3119" w:type="dxa"/>
            <w:vMerge w:val="restart"/>
            <w:shd w:val="clear" w:color="auto" w:fill="BFBFBF"/>
            <w:vAlign w:val="center"/>
          </w:tcPr>
          <w:p w14:paraId="2F2DDB5C"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Poznámka</w:t>
            </w:r>
          </w:p>
        </w:tc>
      </w:tr>
      <w:tr w:rsidR="00553831" w:rsidRPr="00553831" w14:paraId="3221960D" w14:textId="77777777" w:rsidTr="00ED7612">
        <w:trPr>
          <w:trHeight w:val="284"/>
        </w:trPr>
        <w:tc>
          <w:tcPr>
            <w:tcW w:w="2943" w:type="dxa"/>
            <w:vMerge/>
            <w:shd w:val="clear" w:color="auto" w:fill="BFBFBF"/>
          </w:tcPr>
          <w:p w14:paraId="333B7F4A"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447" w:type="dxa"/>
            <w:shd w:val="clear" w:color="auto" w:fill="BFBFBF"/>
          </w:tcPr>
          <w:p w14:paraId="0C8EFCCC"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d</w:t>
            </w:r>
          </w:p>
        </w:tc>
        <w:tc>
          <w:tcPr>
            <w:tcW w:w="1559" w:type="dxa"/>
            <w:shd w:val="clear" w:color="auto" w:fill="BFBFBF"/>
          </w:tcPr>
          <w:p w14:paraId="6484D973"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d + 10</w:t>
            </w:r>
          </w:p>
        </w:tc>
        <w:tc>
          <w:tcPr>
            <w:tcW w:w="1559" w:type="dxa"/>
            <w:shd w:val="clear" w:color="auto" w:fill="BFBFBF"/>
          </w:tcPr>
          <w:p w14:paraId="57970B95"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d + 20</w:t>
            </w:r>
          </w:p>
        </w:tc>
        <w:tc>
          <w:tcPr>
            <w:tcW w:w="1418" w:type="dxa"/>
            <w:shd w:val="clear" w:color="auto" w:fill="BFBFBF"/>
          </w:tcPr>
          <w:p w14:paraId="58A4482A"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d + 30</w:t>
            </w:r>
          </w:p>
        </w:tc>
        <w:tc>
          <w:tcPr>
            <w:tcW w:w="1984" w:type="dxa"/>
            <w:shd w:val="clear" w:color="auto" w:fill="BFBFBF"/>
          </w:tcPr>
          <w:p w14:paraId="317168D2" w14:textId="77777777" w:rsidR="00ED7612" w:rsidRPr="00553831" w:rsidRDefault="00ED7612" w:rsidP="00ED7612">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d + 40</w:t>
            </w:r>
          </w:p>
        </w:tc>
        <w:tc>
          <w:tcPr>
            <w:tcW w:w="3119" w:type="dxa"/>
            <w:vMerge/>
            <w:shd w:val="clear" w:color="auto" w:fill="BFBFBF"/>
          </w:tcPr>
          <w:p w14:paraId="66CF19E7"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r>
      <w:tr w:rsidR="00553831" w:rsidRPr="00553831" w14:paraId="5AE61D25" w14:textId="77777777" w:rsidTr="00ED7612">
        <w:trPr>
          <w:trHeight w:val="284"/>
        </w:trPr>
        <w:tc>
          <w:tcPr>
            <w:tcW w:w="2943" w:type="dxa"/>
            <w:vAlign w:val="bottom"/>
          </w:tcPr>
          <w:p w14:paraId="4D86301D" w14:textId="77777777" w:rsidR="00ED7612" w:rsidRPr="00553831" w:rsidRDefault="00ED7612" w:rsidP="00ED7612">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Vplyv na výdavky v p. b. HDP</w:t>
            </w:r>
          </w:p>
        </w:tc>
        <w:tc>
          <w:tcPr>
            <w:tcW w:w="1447" w:type="dxa"/>
          </w:tcPr>
          <w:p w14:paraId="2FF095A3"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559" w:type="dxa"/>
          </w:tcPr>
          <w:p w14:paraId="3BA96488"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559" w:type="dxa"/>
          </w:tcPr>
          <w:p w14:paraId="6C8298D5"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418" w:type="dxa"/>
          </w:tcPr>
          <w:p w14:paraId="692E2501"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984" w:type="dxa"/>
          </w:tcPr>
          <w:p w14:paraId="2A4E7A7F"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3119" w:type="dxa"/>
          </w:tcPr>
          <w:p w14:paraId="1FBE1987"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r>
      <w:tr w:rsidR="00553831" w:rsidRPr="00553831" w14:paraId="0C0331EE" w14:textId="77777777" w:rsidTr="00ED7612">
        <w:trPr>
          <w:trHeight w:val="284"/>
        </w:trPr>
        <w:tc>
          <w:tcPr>
            <w:tcW w:w="2943" w:type="dxa"/>
          </w:tcPr>
          <w:p w14:paraId="48F8EAC2" w14:textId="77777777" w:rsidR="00ED7612" w:rsidRPr="00553831" w:rsidRDefault="00ED7612" w:rsidP="00ED7612">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Vplyv na príjmy v p. b. HDP</w:t>
            </w:r>
          </w:p>
        </w:tc>
        <w:tc>
          <w:tcPr>
            <w:tcW w:w="1447" w:type="dxa"/>
          </w:tcPr>
          <w:p w14:paraId="1052F7E9"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559" w:type="dxa"/>
          </w:tcPr>
          <w:p w14:paraId="59FD5A8B"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559" w:type="dxa"/>
          </w:tcPr>
          <w:p w14:paraId="67876979"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418" w:type="dxa"/>
          </w:tcPr>
          <w:p w14:paraId="50E64523"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984" w:type="dxa"/>
          </w:tcPr>
          <w:p w14:paraId="2CF7250F"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3119" w:type="dxa"/>
          </w:tcPr>
          <w:p w14:paraId="20558605"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r>
      <w:tr w:rsidR="00553831" w:rsidRPr="00553831" w14:paraId="25A6B4DE" w14:textId="77777777" w:rsidTr="00ED7612">
        <w:trPr>
          <w:trHeight w:val="284"/>
        </w:trPr>
        <w:tc>
          <w:tcPr>
            <w:tcW w:w="2943" w:type="dxa"/>
          </w:tcPr>
          <w:p w14:paraId="719F2F34" w14:textId="77777777" w:rsidR="00ED7612" w:rsidRPr="00553831" w:rsidRDefault="00ED7612" w:rsidP="00ED7612">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Vplyv na bilanciu  v p. b. HDP</w:t>
            </w:r>
          </w:p>
        </w:tc>
        <w:tc>
          <w:tcPr>
            <w:tcW w:w="1447" w:type="dxa"/>
          </w:tcPr>
          <w:p w14:paraId="02E2E37E"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559" w:type="dxa"/>
          </w:tcPr>
          <w:p w14:paraId="553E0727"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559" w:type="dxa"/>
          </w:tcPr>
          <w:p w14:paraId="47A54DB8"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418" w:type="dxa"/>
          </w:tcPr>
          <w:p w14:paraId="2BA36190"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1984" w:type="dxa"/>
          </w:tcPr>
          <w:p w14:paraId="35E2A35C"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c>
          <w:tcPr>
            <w:tcW w:w="3119" w:type="dxa"/>
          </w:tcPr>
          <w:p w14:paraId="52A1D64A" w14:textId="77777777" w:rsidR="00ED7612" w:rsidRPr="00553831" w:rsidRDefault="00ED7612" w:rsidP="00ED7612">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sz w:val="24"/>
                <w:szCs w:val="24"/>
                <w:lang w:eastAsia="sk-SK"/>
              </w:rPr>
            </w:pPr>
          </w:p>
        </w:tc>
      </w:tr>
    </w:tbl>
    <w:p w14:paraId="40473C2A" w14:textId="77777777" w:rsidR="00ED7612" w:rsidRPr="00553831" w:rsidRDefault="00ED7612" w:rsidP="00ED7612">
      <w:pPr>
        <w:spacing w:after="0" w:line="240" w:lineRule="auto"/>
        <w:jc w:val="both"/>
        <w:rPr>
          <w:rFonts w:ascii="Times New Roman" w:eastAsia="Times New Roman" w:hAnsi="Times New Roman" w:cs="Times New Roman"/>
          <w:b/>
          <w:color w:val="000000" w:themeColor="text1"/>
          <w:sz w:val="24"/>
          <w:szCs w:val="24"/>
          <w:lang w:eastAsia="sk-SK"/>
        </w:rPr>
      </w:pPr>
      <w:r w:rsidRPr="00553831">
        <w:rPr>
          <w:rFonts w:ascii="Times New Roman" w:eastAsia="Times New Roman" w:hAnsi="Times New Roman" w:cs="Times New Roman"/>
          <w:b/>
          <w:color w:val="000000" w:themeColor="text1"/>
          <w:sz w:val="24"/>
          <w:szCs w:val="24"/>
          <w:lang w:eastAsia="sk-SK"/>
        </w:rPr>
        <w:t xml:space="preserve">Poznámka: </w:t>
      </w:r>
    </w:p>
    <w:p w14:paraId="07DBDDD8" w14:textId="77777777"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pPr>
      <w:r w:rsidRPr="00553831">
        <w:rPr>
          <w:rFonts w:ascii="Times New Roman" w:eastAsia="Times New Roman" w:hAnsi="Times New Roman" w:cs="Times New Roman"/>
          <w:color w:val="000000" w:themeColor="text1"/>
          <w:sz w:val="24"/>
          <w:szCs w:val="24"/>
          <w:lang w:eastAsia="sk-SK"/>
        </w:rPr>
        <w:t xml:space="preserve">Písmeno „d“ označuje prvý rok nasledujúcej dekády. </w:t>
      </w:r>
    </w:p>
    <w:p w14:paraId="18DA5EFE" w14:textId="061991A3" w:rsidR="00ED7612" w:rsidRPr="00553831" w:rsidRDefault="00ED7612" w:rsidP="00ED7612">
      <w:pPr>
        <w:spacing w:after="0" w:line="240" w:lineRule="auto"/>
        <w:jc w:val="both"/>
        <w:rPr>
          <w:rFonts w:ascii="Times New Roman" w:eastAsia="Times New Roman" w:hAnsi="Times New Roman" w:cs="Times New Roman"/>
          <w:color w:val="000000" w:themeColor="text1"/>
          <w:sz w:val="24"/>
          <w:szCs w:val="24"/>
          <w:lang w:eastAsia="sk-SK"/>
        </w:rPr>
        <w:sectPr w:rsidR="00ED7612" w:rsidRPr="00553831">
          <w:pgSz w:w="16838" w:h="11906" w:orient="landscape"/>
          <w:pgMar w:top="1418" w:right="1418" w:bottom="1418" w:left="1418" w:header="709" w:footer="709" w:gutter="0"/>
          <w:cols w:space="708"/>
          <w:docGrid w:linePitch="360"/>
        </w:sectPr>
      </w:pPr>
      <w:r w:rsidRPr="00553831">
        <w:rPr>
          <w:rFonts w:ascii="Times New Roman" w:eastAsia="Times New Roman" w:hAnsi="Times New Roman" w:cs="Times New Roman"/>
          <w:color w:val="000000" w:themeColor="text1"/>
          <w:sz w:val="24"/>
          <w:szCs w:val="24"/>
          <w:lang w:eastAsia="sk-SK"/>
        </w:rPr>
        <w:t xml:space="preserve">Tabuľka sa vypĺňa pre každé opatrenie samostatne. V prípade zavádzania viacerých opatrení sa vyplní aj tabuľka obsahujúca aj kumulatívny efekt zavedenia všetkých opatrení súčasne.“ </w:t>
      </w:r>
      <w:r w:rsidR="005E7D6F" w:rsidRPr="00553831">
        <w:rPr>
          <w:rFonts w:ascii="Times New Roman" w:eastAsia="Times New Roman" w:hAnsi="Times New Roman" w:cs="Times New Roman"/>
          <w:color w:val="000000" w:themeColor="text1"/>
          <w:sz w:val="24"/>
          <w:szCs w:val="24"/>
          <w:lang w:eastAsia="sk-SK"/>
        </w:rPr>
        <w:t>.</w:t>
      </w:r>
    </w:p>
    <w:p w14:paraId="0C7B009B" w14:textId="77777777" w:rsidR="00CB3623" w:rsidRPr="00553831" w:rsidRDefault="00CB3623" w:rsidP="00ED7612">
      <w:pPr>
        <w:rPr>
          <w:color w:val="000000" w:themeColor="text1"/>
        </w:rPr>
      </w:pPr>
    </w:p>
    <w:sectPr w:rsidR="00CB3623" w:rsidRPr="00553831" w:rsidSect="00305891">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1EDE" w14:textId="77777777" w:rsidR="00FE7089" w:rsidRDefault="00FE7089">
      <w:pPr>
        <w:spacing w:after="0" w:line="240" w:lineRule="auto"/>
      </w:pPr>
      <w:r>
        <w:separator/>
      </w:r>
    </w:p>
  </w:endnote>
  <w:endnote w:type="continuationSeparator" w:id="0">
    <w:p w14:paraId="6AFBF596" w14:textId="77777777" w:rsidR="00FE7089" w:rsidRDefault="00FE7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020A" w14:textId="77777777" w:rsidR="00671F4F" w:rsidRDefault="00671F4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7BF30A9C" w14:textId="77777777" w:rsidR="00671F4F" w:rsidRDefault="00671F4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37093"/>
      <w:docPartObj>
        <w:docPartGallery w:val="Page Numbers (Bottom of Page)"/>
        <w:docPartUnique/>
      </w:docPartObj>
    </w:sdtPr>
    <w:sdtEndPr/>
    <w:sdtContent>
      <w:p w14:paraId="3855BD0C" w14:textId="7B14C419" w:rsidR="007441A6" w:rsidRDefault="007441A6">
        <w:pPr>
          <w:pStyle w:val="Pta"/>
          <w:jc w:val="right"/>
        </w:pPr>
        <w:r>
          <w:fldChar w:fldCharType="begin"/>
        </w:r>
        <w:r>
          <w:instrText>PAGE   \* MERGEFORMAT</w:instrText>
        </w:r>
        <w:r>
          <w:fldChar w:fldCharType="separate"/>
        </w:r>
        <w:r w:rsidR="00885DDB">
          <w:rPr>
            <w:noProof/>
          </w:rPr>
          <w:t>18</w:t>
        </w:r>
        <w:r>
          <w:fldChar w:fldCharType="end"/>
        </w:r>
      </w:p>
    </w:sdtContent>
  </w:sdt>
  <w:p w14:paraId="57729354" w14:textId="77777777" w:rsidR="00671F4F" w:rsidRDefault="00671F4F">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F020" w14:textId="77777777" w:rsidR="00671F4F" w:rsidRDefault="00671F4F">
    <w:pPr>
      <w:pStyle w:val="Pta"/>
      <w:jc w:val="right"/>
    </w:pPr>
    <w:r>
      <w:fldChar w:fldCharType="begin"/>
    </w:r>
    <w:r>
      <w:instrText>PAGE   \* MERGEFORMAT</w:instrText>
    </w:r>
    <w:r>
      <w:fldChar w:fldCharType="separate"/>
    </w:r>
    <w:r>
      <w:rPr>
        <w:noProof/>
      </w:rPr>
      <w:t>0</w:t>
    </w:r>
    <w:r>
      <w:fldChar w:fldCharType="end"/>
    </w:r>
  </w:p>
  <w:p w14:paraId="5358A150" w14:textId="77777777" w:rsidR="00671F4F" w:rsidRDefault="00671F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A621" w14:textId="77777777" w:rsidR="00671F4F" w:rsidRDefault="00671F4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2A462871" w14:textId="77777777" w:rsidR="00671F4F" w:rsidRDefault="00671F4F">
    <w:pPr>
      <w:pStyle w:val="Pta"/>
      <w:ind w:right="360"/>
    </w:pPr>
  </w:p>
  <w:p w14:paraId="608A3278" w14:textId="77777777" w:rsidR="00671F4F" w:rsidRDefault="00671F4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7448" w14:textId="441613FA" w:rsidR="00671F4F" w:rsidRDefault="00671F4F">
    <w:pPr>
      <w:pStyle w:val="Pta"/>
      <w:jc w:val="right"/>
    </w:pPr>
    <w:r>
      <w:fldChar w:fldCharType="begin"/>
    </w:r>
    <w:r>
      <w:instrText>PAGE   \* MERGEFORMAT</w:instrText>
    </w:r>
    <w:r>
      <w:fldChar w:fldCharType="separate"/>
    </w:r>
    <w:r w:rsidR="004A26C2">
      <w:rPr>
        <w:noProof/>
      </w:rPr>
      <w:t>19</w:t>
    </w:r>
    <w:r>
      <w:fldChar w:fldCharType="end"/>
    </w:r>
  </w:p>
  <w:p w14:paraId="68F7BDBA" w14:textId="77777777" w:rsidR="00671F4F" w:rsidRDefault="00671F4F">
    <w:pPr>
      <w:pStyle w:val="Pta"/>
      <w:ind w:right="360"/>
    </w:pPr>
  </w:p>
  <w:p w14:paraId="03368508" w14:textId="77777777" w:rsidR="00671F4F" w:rsidRDefault="00671F4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C74B" w14:textId="77777777" w:rsidR="00671F4F" w:rsidRDefault="00671F4F">
    <w:pPr>
      <w:pStyle w:val="Pta"/>
      <w:jc w:val="right"/>
    </w:pPr>
    <w:r>
      <w:fldChar w:fldCharType="begin"/>
    </w:r>
    <w:r>
      <w:instrText>PAGE   \* MERGEFORMAT</w:instrText>
    </w:r>
    <w:r>
      <w:fldChar w:fldCharType="separate"/>
    </w:r>
    <w:r>
      <w:rPr>
        <w:noProof/>
      </w:rPr>
      <w:t>0</w:t>
    </w:r>
    <w:r>
      <w:fldChar w:fldCharType="end"/>
    </w:r>
  </w:p>
  <w:p w14:paraId="7AE253FF" w14:textId="77777777" w:rsidR="00671F4F" w:rsidRDefault="00671F4F">
    <w:pPr>
      <w:pStyle w:val="Pta"/>
    </w:pPr>
  </w:p>
  <w:p w14:paraId="57BD4FFA" w14:textId="77777777" w:rsidR="00671F4F" w:rsidRDefault="00671F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284B0" w14:textId="77777777" w:rsidR="00FE7089" w:rsidRDefault="00FE7089">
      <w:pPr>
        <w:spacing w:after="0" w:line="240" w:lineRule="auto"/>
      </w:pPr>
      <w:r>
        <w:separator/>
      </w:r>
    </w:p>
  </w:footnote>
  <w:footnote w:type="continuationSeparator" w:id="0">
    <w:p w14:paraId="21077621" w14:textId="77777777" w:rsidR="00FE7089" w:rsidRDefault="00FE7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7575" w14:textId="77777777" w:rsidR="00671F4F" w:rsidRDefault="00671F4F" w:rsidP="002B63FD">
    <w:pPr>
      <w:pStyle w:val="Hlavika"/>
      <w:jc w:val="right"/>
      <w:rPr>
        <w:sz w:val="24"/>
        <w:szCs w:val="24"/>
      </w:rPr>
    </w:pPr>
    <w:r>
      <w:rPr>
        <w:sz w:val="24"/>
        <w:szCs w:val="24"/>
      </w:rPr>
      <w:t>Príloha č. 2</w:t>
    </w:r>
  </w:p>
  <w:p w14:paraId="6975FDDE" w14:textId="77777777" w:rsidR="00671F4F" w:rsidRPr="00EB59C8" w:rsidRDefault="00671F4F"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7244" w14:textId="70E74866" w:rsidR="00671F4F" w:rsidRPr="0024067A" w:rsidRDefault="00671F4F">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7F662" w14:textId="77777777" w:rsidR="00671F4F" w:rsidRPr="000A15AE" w:rsidRDefault="00671F4F" w:rsidP="002B63FD">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29DF" w14:textId="77777777" w:rsidR="00671F4F" w:rsidRDefault="00671F4F" w:rsidP="002B63FD">
    <w:pPr>
      <w:pStyle w:val="Hlavika"/>
      <w:jc w:val="right"/>
      <w:rPr>
        <w:sz w:val="24"/>
        <w:szCs w:val="24"/>
      </w:rPr>
    </w:pPr>
    <w:r>
      <w:rPr>
        <w:sz w:val="24"/>
        <w:szCs w:val="24"/>
      </w:rPr>
      <w:t>Príloha č. 2</w:t>
    </w:r>
  </w:p>
  <w:p w14:paraId="6D011E02" w14:textId="77777777" w:rsidR="00671F4F" w:rsidRPr="00EB59C8" w:rsidRDefault="00671F4F" w:rsidP="002B63FD">
    <w:pPr>
      <w:pStyle w:val="Hlavika"/>
      <w:jc w:val="right"/>
      <w:rPr>
        <w:sz w:val="24"/>
        <w:szCs w:val="24"/>
      </w:rPr>
    </w:pPr>
  </w:p>
  <w:p w14:paraId="5EE9364D" w14:textId="77777777" w:rsidR="00671F4F" w:rsidRDefault="00671F4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DCD3" w14:textId="72068167" w:rsidR="00671F4F" w:rsidRPr="0024067A" w:rsidRDefault="00671F4F" w:rsidP="00305891">
    <w:pPr>
      <w:pStyle w:val="Hlavika"/>
      <w:rPr>
        <w:sz w:val="24"/>
        <w:szCs w:val="24"/>
      </w:rPr>
    </w:pPr>
  </w:p>
  <w:p w14:paraId="17194360" w14:textId="77777777" w:rsidR="00671F4F" w:rsidRDefault="00671F4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6FCD" w14:textId="77777777" w:rsidR="00671F4F" w:rsidRPr="000A15AE" w:rsidRDefault="00671F4F" w:rsidP="002B63FD">
    <w:pPr>
      <w:pStyle w:val="Hlavika"/>
      <w:jc w:val="right"/>
      <w:rPr>
        <w:sz w:val="24"/>
        <w:szCs w:val="24"/>
      </w:rPr>
    </w:pPr>
    <w:r>
      <w:rPr>
        <w:sz w:val="24"/>
        <w:szCs w:val="24"/>
      </w:rPr>
      <w:t>Príloha č. 2</w:t>
    </w:r>
  </w:p>
  <w:p w14:paraId="5F630455" w14:textId="77777777" w:rsidR="00671F4F" w:rsidRDefault="00671F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2F3"/>
    <w:multiLevelType w:val="hybridMultilevel"/>
    <w:tmpl w:val="6152FA04"/>
    <w:lvl w:ilvl="0" w:tplc="4DCE5D78">
      <w:start w:val="3"/>
      <w:numFmt w:val="bullet"/>
      <w:lvlText w:val="-"/>
      <w:lvlJc w:val="left"/>
      <w:pPr>
        <w:ind w:left="440" w:hanging="360"/>
      </w:pPr>
      <w:rPr>
        <w:rFonts w:ascii="Aptos Narrow" w:eastAsiaTheme="minorHAnsi" w:hAnsi="Aptos Narrow" w:cstheme="minorBidi" w:hint="default"/>
      </w:rPr>
    </w:lvl>
    <w:lvl w:ilvl="1" w:tplc="041B0003" w:tentative="1">
      <w:start w:val="1"/>
      <w:numFmt w:val="bullet"/>
      <w:lvlText w:val="o"/>
      <w:lvlJc w:val="left"/>
      <w:pPr>
        <w:ind w:left="1160" w:hanging="360"/>
      </w:pPr>
      <w:rPr>
        <w:rFonts w:ascii="Courier New" w:hAnsi="Courier New" w:cs="Courier New" w:hint="default"/>
      </w:rPr>
    </w:lvl>
    <w:lvl w:ilvl="2" w:tplc="041B0005" w:tentative="1">
      <w:start w:val="1"/>
      <w:numFmt w:val="bullet"/>
      <w:lvlText w:val=""/>
      <w:lvlJc w:val="left"/>
      <w:pPr>
        <w:ind w:left="1880" w:hanging="360"/>
      </w:pPr>
      <w:rPr>
        <w:rFonts w:ascii="Wingdings" w:hAnsi="Wingdings" w:hint="default"/>
      </w:rPr>
    </w:lvl>
    <w:lvl w:ilvl="3" w:tplc="041B0001" w:tentative="1">
      <w:start w:val="1"/>
      <w:numFmt w:val="bullet"/>
      <w:lvlText w:val=""/>
      <w:lvlJc w:val="left"/>
      <w:pPr>
        <w:ind w:left="2600" w:hanging="360"/>
      </w:pPr>
      <w:rPr>
        <w:rFonts w:ascii="Symbol" w:hAnsi="Symbol" w:hint="default"/>
      </w:rPr>
    </w:lvl>
    <w:lvl w:ilvl="4" w:tplc="041B0003" w:tentative="1">
      <w:start w:val="1"/>
      <w:numFmt w:val="bullet"/>
      <w:lvlText w:val="o"/>
      <w:lvlJc w:val="left"/>
      <w:pPr>
        <w:ind w:left="3320" w:hanging="360"/>
      </w:pPr>
      <w:rPr>
        <w:rFonts w:ascii="Courier New" w:hAnsi="Courier New" w:cs="Courier New" w:hint="default"/>
      </w:rPr>
    </w:lvl>
    <w:lvl w:ilvl="5" w:tplc="041B0005" w:tentative="1">
      <w:start w:val="1"/>
      <w:numFmt w:val="bullet"/>
      <w:lvlText w:val=""/>
      <w:lvlJc w:val="left"/>
      <w:pPr>
        <w:ind w:left="4040" w:hanging="360"/>
      </w:pPr>
      <w:rPr>
        <w:rFonts w:ascii="Wingdings" w:hAnsi="Wingdings" w:hint="default"/>
      </w:rPr>
    </w:lvl>
    <w:lvl w:ilvl="6" w:tplc="041B0001" w:tentative="1">
      <w:start w:val="1"/>
      <w:numFmt w:val="bullet"/>
      <w:lvlText w:val=""/>
      <w:lvlJc w:val="left"/>
      <w:pPr>
        <w:ind w:left="4760" w:hanging="360"/>
      </w:pPr>
      <w:rPr>
        <w:rFonts w:ascii="Symbol" w:hAnsi="Symbol" w:hint="default"/>
      </w:rPr>
    </w:lvl>
    <w:lvl w:ilvl="7" w:tplc="041B0003" w:tentative="1">
      <w:start w:val="1"/>
      <w:numFmt w:val="bullet"/>
      <w:lvlText w:val="o"/>
      <w:lvlJc w:val="left"/>
      <w:pPr>
        <w:ind w:left="5480" w:hanging="360"/>
      </w:pPr>
      <w:rPr>
        <w:rFonts w:ascii="Courier New" w:hAnsi="Courier New" w:cs="Courier New" w:hint="default"/>
      </w:rPr>
    </w:lvl>
    <w:lvl w:ilvl="8" w:tplc="041B0005" w:tentative="1">
      <w:start w:val="1"/>
      <w:numFmt w:val="bullet"/>
      <w:lvlText w:val=""/>
      <w:lvlJc w:val="left"/>
      <w:pPr>
        <w:ind w:left="6200" w:hanging="360"/>
      </w:pPr>
      <w:rPr>
        <w:rFonts w:ascii="Wingdings" w:hAnsi="Wingdings" w:hint="default"/>
      </w:rPr>
    </w:lvl>
  </w:abstractNum>
  <w:abstractNum w:abstractNumId="1" w15:restartNumberingAfterBreak="0">
    <w:nsid w:val="04C4107C"/>
    <w:multiLevelType w:val="hybridMultilevel"/>
    <w:tmpl w:val="1642514E"/>
    <w:lvl w:ilvl="0" w:tplc="5C883E30">
      <w:start w:val="3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435A47"/>
    <w:multiLevelType w:val="multilevel"/>
    <w:tmpl w:val="461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85FC2"/>
    <w:multiLevelType w:val="hybridMultilevel"/>
    <w:tmpl w:val="3FA632E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B044E1E"/>
    <w:multiLevelType w:val="hybridMultilevel"/>
    <w:tmpl w:val="3A623ADA"/>
    <w:lvl w:ilvl="0" w:tplc="24505B84">
      <w:start w:val="190"/>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D1950"/>
    <w:multiLevelType w:val="hybridMultilevel"/>
    <w:tmpl w:val="DB6E85AE"/>
    <w:lvl w:ilvl="0" w:tplc="916422F0">
      <w:start w:val="6"/>
      <w:numFmt w:val="bullet"/>
      <w:lvlText w:val="-"/>
      <w:lvlJc w:val="left"/>
      <w:pPr>
        <w:ind w:left="720" w:hanging="360"/>
      </w:pPr>
      <w:rPr>
        <w:rFonts w:ascii="Times New Roman" w:eastAsia="Calibr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84627"/>
    <w:multiLevelType w:val="hybridMultilevel"/>
    <w:tmpl w:val="F874FB2A"/>
    <w:lvl w:ilvl="0" w:tplc="DA30E89C">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F912AB"/>
    <w:multiLevelType w:val="multilevel"/>
    <w:tmpl w:val="9ECC9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B92D4D"/>
    <w:multiLevelType w:val="multilevel"/>
    <w:tmpl w:val="4CCC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6A2149"/>
    <w:multiLevelType w:val="multilevel"/>
    <w:tmpl w:val="5D12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23596"/>
    <w:multiLevelType w:val="multilevel"/>
    <w:tmpl w:val="EF2A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EA5BB1"/>
    <w:multiLevelType w:val="hybridMultilevel"/>
    <w:tmpl w:val="1B7EFAE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7FB2120B"/>
    <w:multiLevelType w:val="hybridMultilevel"/>
    <w:tmpl w:val="4ADC2B16"/>
    <w:lvl w:ilvl="0" w:tplc="B66E3AF6">
      <w:start w:val="311"/>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num w:numId="1" w16cid:durableId="1927297376">
    <w:abstractNumId w:val="8"/>
  </w:num>
  <w:num w:numId="2" w16cid:durableId="911351999">
    <w:abstractNumId w:val="10"/>
  </w:num>
  <w:num w:numId="3" w16cid:durableId="1432241442">
    <w:abstractNumId w:val="5"/>
  </w:num>
  <w:num w:numId="4" w16cid:durableId="450587591">
    <w:abstractNumId w:val="15"/>
  </w:num>
  <w:num w:numId="5" w16cid:durableId="2128155433">
    <w:abstractNumId w:val="1"/>
  </w:num>
  <w:num w:numId="6" w16cid:durableId="1315572699">
    <w:abstractNumId w:val="14"/>
  </w:num>
  <w:num w:numId="7" w16cid:durableId="2098744599">
    <w:abstractNumId w:val="3"/>
  </w:num>
  <w:num w:numId="8" w16cid:durableId="436947304">
    <w:abstractNumId w:val="9"/>
  </w:num>
  <w:num w:numId="9" w16cid:durableId="582764359">
    <w:abstractNumId w:val="2"/>
  </w:num>
  <w:num w:numId="10" w16cid:durableId="1886604631">
    <w:abstractNumId w:val="13"/>
  </w:num>
  <w:num w:numId="11" w16cid:durableId="1525049088">
    <w:abstractNumId w:val="12"/>
  </w:num>
  <w:num w:numId="12" w16cid:durableId="867839190">
    <w:abstractNumId w:val="11"/>
  </w:num>
  <w:num w:numId="13" w16cid:durableId="1087578210">
    <w:abstractNumId w:val="6"/>
  </w:num>
  <w:num w:numId="14" w16cid:durableId="325405145">
    <w:abstractNumId w:val="7"/>
  </w:num>
  <w:num w:numId="15" w16cid:durableId="1971860016">
    <w:abstractNumId w:val="0"/>
  </w:num>
  <w:num w:numId="16" w16cid:durableId="1418164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EC"/>
    <w:rsid w:val="000068B5"/>
    <w:rsid w:val="00013F94"/>
    <w:rsid w:val="00021DFF"/>
    <w:rsid w:val="00024E31"/>
    <w:rsid w:val="00034609"/>
    <w:rsid w:val="00035EB6"/>
    <w:rsid w:val="00047D8D"/>
    <w:rsid w:val="00057135"/>
    <w:rsid w:val="00087A66"/>
    <w:rsid w:val="000B509B"/>
    <w:rsid w:val="000D54E4"/>
    <w:rsid w:val="000F00DA"/>
    <w:rsid w:val="00102C3F"/>
    <w:rsid w:val="00106A28"/>
    <w:rsid w:val="00111D64"/>
    <w:rsid w:val="001127A8"/>
    <w:rsid w:val="00116F99"/>
    <w:rsid w:val="001330C1"/>
    <w:rsid w:val="00170D2B"/>
    <w:rsid w:val="001A5AFB"/>
    <w:rsid w:val="001B696F"/>
    <w:rsid w:val="001C721D"/>
    <w:rsid w:val="001F179D"/>
    <w:rsid w:val="001F42ED"/>
    <w:rsid w:val="001F5D86"/>
    <w:rsid w:val="001F624A"/>
    <w:rsid w:val="00200898"/>
    <w:rsid w:val="00212894"/>
    <w:rsid w:val="002135D4"/>
    <w:rsid w:val="002177DB"/>
    <w:rsid w:val="002201B6"/>
    <w:rsid w:val="002309F4"/>
    <w:rsid w:val="0024263D"/>
    <w:rsid w:val="00253331"/>
    <w:rsid w:val="002760B0"/>
    <w:rsid w:val="002B5AD4"/>
    <w:rsid w:val="002B63FD"/>
    <w:rsid w:val="002C17D6"/>
    <w:rsid w:val="002C4BDD"/>
    <w:rsid w:val="00302825"/>
    <w:rsid w:val="00305891"/>
    <w:rsid w:val="00317B90"/>
    <w:rsid w:val="003408F5"/>
    <w:rsid w:val="0034161E"/>
    <w:rsid w:val="00351AF6"/>
    <w:rsid w:val="00355057"/>
    <w:rsid w:val="0038393E"/>
    <w:rsid w:val="00391791"/>
    <w:rsid w:val="003B7684"/>
    <w:rsid w:val="003C0DA3"/>
    <w:rsid w:val="003C5D33"/>
    <w:rsid w:val="003F35B7"/>
    <w:rsid w:val="00407F5A"/>
    <w:rsid w:val="004202BD"/>
    <w:rsid w:val="0042480F"/>
    <w:rsid w:val="00440A16"/>
    <w:rsid w:val="00446310"/>
    <w:rsid w:val="00447C49"/>
    <w:rsid w:val="00450572"/>
    <w:rsid w:val="00461267"/>
    <w:rsid w:val="00474F11"/>
    <w:rsid w:val="00481544"/>
    <w:rsid w:val="00487203"/>
    <w:rsid w:val="004A26C2"/>
    <w:rsid w:val="004A4209"/>
    <w:rsid w:val="004B068B"/>
    <w:rsid w:val="004B56AD"/>
    <w:rsid w:val="004C6EDD"/>
    <w:rsid w:val="004D0518"/>
    <w:rsid w:val="004D169C"/>
    <w:rsid w:val="004E5E76"/>
    <w:rsid w:val="005005EC"/>
    <w:rsid w:val="00523CCB"/>
    <w:rsid w:val="005307FC"/>
    <w:rsid w:val="00530984"/>
    <w:rsid w:val="005344F7"/>
    <w:rsid w:val="00540180"/>
    <w:rsid w:val="00546611"/>
    <w:rsid w:val="00553831"/>
    <w:rsid w:val="00553992"/>
    <w:rsid w:val="00592E96"/>
    <w:rsid w:val="005B051A"/>
    <w:rsid w:val="005C196F"/>
    <w:rsid w:val="005C1A2B"/>
    <w:rsid w:val="005C2492"/>
    <w:rsid w:val="005C7EE0"/>
    <w:rsid w:val="005E3699"/>
    <w:rsid w:val="005E7D6F"/>
    <w:rsid w:val="005F2ACA"/>
    <w:rsid w:val="00671F4F"/>
    <w:rsid w:val="006805FF"/>
    <w:rsid w:val="00684112"/>
    <w:rsid w:val="006A2947"/>
    <w:rsid w:val="007246BD"/>
    <w:rsid w:val="00727689"/>
    <w:rsid w:val="007441A6"/>
    <w:rsid w:val="007657D3"/>
    <w:rsid w:val="0077530D"/>
    <w:rsid w:val="00782B91"/>
    <w:rsid w:val="00785085"/>
    <w:rsid w:val="00794BE2"/>
    <w:rsid w:val="007B7470"/>
    <w:rsid w:val="007C6B06"/>
    <w:rsid w:val="007D570F"/>
    <w:rsid w:val="007D5748"/>
    <w:rsid w:val="00811ACA"/>
    <w:rsid w:val="008205B7"/>
    <w:rsid w:val="00820F75"/>
    <w:rsid w:val="00832D80"/>
    <w:rsid w:val="00853383"/>
    <w:rsid w:val="0086643D"/>
    <w:rsid w:val="00885DDB"/>
    <w:rsid w:val="00893B20"/>
    <w:rsid w:val="00893B76"/>
    <w:rsid w:val="00897BE7"/>
    <w:rsid w:val="008D339D"/>
    <w:rsid w:val="008E2736"/>
    <w:rsid w:val="008E50D2"/>
    <w:rsid w:val="008F74B5"/>
    <w:rsid w:val="00943733"/>
    <w:rsid w:val="00945A2A"/>
    <w:rsid w:val="00945A32"/>
    <w:rsid w:val="009706B7"/>
    <w:rsid w:val="009933A7"/>
    <w:rsid w:val="009A29FB"/>
    <w:rsid w:val="009D2CAE"/>
    <w:rsid w:val="009E11B4"/>
    <w:rsid w:val="009E384B"/>
    <w:rsid w:val="009E4DEB"/>
    <w:rsid w:val="00A105F9"/>
    <w:rsid w:val="00A13276"/>
    <w:rsid w:val="00A37DC0"/>
    <w:rsid w:val="00A51257"/>
    <w:rsid w:val="00A6392D"/>
    <w:rsid w:val="00A72E75"/>
    <w:rsid w:val="00A738C0"/>
    <w:rsid w:val="00A758DC"/>
    <w:rsid w:val="00A82EFF"/>
    <w:rsid w:val="00AB5919"/>
    <w:rsid w:val="00AE3373"/>
    <w:rsid w:val="00B07063"/>
    <w:rsid w:val="00B1313D"/>
    <w:rsid w:val="00B15B33"/>
    <w:rsid w:val="00B27BD1"/>
    <w:rsid w:val="00B35F8B"/>
    <w:rsid w:val="00B50F5B"/>
    <w:rsid w:val="00B5535C"/>
    <w:rsid w:val="00B72529"/>
    <w:rsid w:val="00B801BA"/>
    <w:rsid w:val="00B84233"/>
    <w:rsid w:val="00B92F23"/>
    <w:rsid w:val="00B93799"/>
    <w:rsid w:val="00BD0B1A"/>
    <w:rsid w:val="00BD0D73"/>
    <w:rsid w:val="00BD43B7"/>
    <w:rsid w:val="00C15212"/>
    <w:rsid w:val="00C15D88"/>
    <w:rsid w:val="00C16C1B"/>
    <w:rsid w:val="00C455E9"/>
    <w:rsid w:val="00C51FD4"/>
    <w:rsid w:val="00C57C61"/>
    <w:rsid w:val="00C60902"/>
    <w:rsid w:val="00C611AD"/>
    <w:rsid w:val="00C64BDB"/>
    <w:rsid w:val="00C653D7"/>
    <w:rsid w:val="00CA18F2"/>
    <w:rsid w:val="00CB04E9"/>
    <w:rsid w:val="00CB3623"/>
    <w:rsid w:val="00CC0E46"/>
    <w:rsid w:val="00CD3112"/>
    <w:rsid w:val="00CD4DE7"/>
    <w:rsid w:val="00CD7B53"/>
    <w:rsid w:val="00CE299A"/>
    <w:rsid w:val="00CE359E"/>
    <w:rsid w:val="00CF2C35"/>
    <w:rsid w:val="00CF2E15"/>
    <w:rsid w:val="00D144AB"/>
    <w:rsid w:val="00D200BE"/>
    <w:rsid w:val="00D262D5"/>
    <w:rsid w:val="00D34129"/>
    <w:rsid w:val="00D35E45"/>
    <w:rsid w:val="00D435FF"/>
    <w:rsid w:val="00D5372D"/>
    <w:rsid w:val="00D619BA"/>
    <w:rsid w:val="00D62C5C"/>
    <w:rsid w:val="00D638F5"/>
    <w:rsid w:val="00D7236A"/>
    <w:rsid w:val="00D812C1"/>
    <w:rsid w:val="00D85029"/>
    <w:rsid w:val="00D9171A"/>
    <w:rsid w:val="00D922E5"/>
    <w:rsid w:val="00DA4C33"/>
    <w:rsid w:val="00DA79E8"/>
    <w:rsid w:val="00DC304C"/>
    <w:rsid w:val="00DC4C4D"/>
    <w:rsid w:val="00DE04C5"/>
    <w:rsid w:val="00DE135C"/>
    <w:rsid w:val="00DE3EE7"/>
    <w:rsid w:val="00DE5BF1"/>
    <w:rsid w:val="00E07CE9"/>
    <w:rsid w:val="00E222A4"/>
    <w:rsid w:val="00E4127A"/>
    <w:rsid w:val="00E4770B"/>
    <w:rsid w:val="00E963A3"/>
    <w:rsid w:val="00EA1E90"/>
    <w:rsid w:val="00EB3F4F"/>
    <w:rsid w:val="00EB637E"/>
    <w:rsid w:val="00ED2B29"/>
    <w:rsid w:val="00ED7612"/>
    <w:rsid w:val="00EE0CA3"/>
    <w:rsid w:val="00EE28EB"/>
    <w:rsid w:val="00EE2DF0"/>
    <w:rsid w:val="00F03306"/>
    <w:rsid w:val="00F20986"/>
    <w:rsid w:val="00F2530E"/>
    <w:rsid w:val="00F348E6"/>
    <w:rsid w:val="00F40136"/>
    <w:rsid w:val="00F875B5"/>
    <w:rsid w:val="00FB4A4A"/>
    <w:rsid w:val="00FC2E78"/>
    <w:rsid w:val="00FD5986"/>
    <w:rsid w:val="00FE70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695D"/>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08F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basedOn w:val="Normlnatabuka"/>
    <w:uiPriority w:val="5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D7612"/>
    <w:pPr>
      <w:spacing w:after="0" w:line="240" w:lineRule="auto"/>
    </w:pPr>
    <w:rPr>
      <w:rFonts w:ascii="Calibri" w:eastAsia="Calibri" w:hAnsi="Calibri" w:cs="Times New Roman"/>
    </w:rPr>
  </w:style>
  <w:style w:type="character" w:styleId="Odkaznakomentr">
    <w:name w:val="annotation reference"/>
    <w:uiPriority w:val="99"/>
    <w:semiHidden/>
    <w:unhideWhenUsed/>
    <w:rsid w:val="00ED7612"/>
    <w:rPr>
      <w:sz w:val="16"/>
      <w:szCs w:val="16"/>
    </w:rPr>
  </w:style>
  <w:style w:type="paragraph" w:styleId="Textkomentra">
    <w:name w:val="annotation text"/>
    <w:basedOn w:val="Normlny"/>
    <w:link w:val="TextkomentraChar"/>
    <w:uiPriority w:val="99"/>
    <w:unhideWhenUsed/>
    <w:rsid w:val="00ED7612"/>
    <w:pPr>
      <w:spacing w:line="240" w:lineRule="auto"/>
    </w:pPr>
    <w:rPr>
      <w:rFonts w:ascii="Calibri" w:eastAsia="Calibri" w:hAnsi="Calibri" w:cs="Times New Roman"/>
      <w:sz w:val="20"/>
      <w:szCs w:val="20"/>
    </w:rPr>
  </w:style>
  <w:style w:type="character" w:customStyle="1" w:styleId="TextkomentraChar">
    <w:name w:val="Text komentára Char"/>
    <w:basedOn w:val="Predvolenpsmoodseku"/>
    <w:link w:val="Textkomentra"/>
    <w:uiPriority w:val="99"/>
    <w:rsid w:val="00ED7612"/>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ED7612"/>
    <w:rPr>
      <w:b/>
      <w:bCs/>
    </w:rPr>
  </w:style>
  <w:style w:type="character" w:customStyle="1" w:styleId="PredmetkomentraChar">
    <w:name w:val="Predmet komentára Char"/>
    <w:basedOn w:val="TextkomentraChar"/>
    <w:link w:val="Predmetkomentra"/>
    <w:uiPriority w:val="99"/>
    <w:semiHidden/>
    <w:rsid w:val="00ED7612"/>
    <w:rPr>
      <w:rFonts w:ascii="Calibri" w:eastAsia="Calibri" w:hAnsi="Calibri" w:cs="Times New Roman"/>
      <w:b/>
      <w:bCs/>
      <w:sz w:val="20"/>
      <w:szCs w:val="20"/>
    </w:rPr>
  </w:style>
  <w:style w:type="table" w:customStyle="1" w:styleId="Mriekatabuky1">
    <w:name w:val="Mriežka tabuľky1"/>
    <w:basedOn w:val="Normlnatabuka"/>
    <w:next w:val="Mriekatabuky"/>
    <w:uiPriority w:val="39"/>
    <w:rsid w:val="00ED7612"/>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ED7612"/>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semiHidden/>
    <w:unhideWhenUsed/>
    <w:rsid w:val="00ED7612"/>
    <w:rPr>
      <w:color w:val="0563C1"/>
      <w:u w:val="single"/>
    </w:rPr>
  </w:style>
  <w:style w:type="numbering" w:customStyle="1" w:styleId="Bezzoznamu1">
    <w:name w:val="Bez zoznamu1"/>
    <w:next w:val="Bezzoznamu"/>
    <w:uiPriority w:val="99"/>
    <w:semiHidden/>
    <w:unhideWhenUsed/>
    <w:rsid w:val="00ED7612"/>
  </w:style>
  <w:style w:type="table" w:customStyle="1" w:styleId="Mriekatabuky3">
    <w:name w:val="Mriežka tabuľky3"/>
    <w:basedOn w:val="Normlnatabuka"/>
    <w:next w:val="Mriekatabuky"/>
    <w:uiPriority w:val="59"/>
    <w:rsid w:val="00ED7612"/>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ED7612"/>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39"/>
    <w:rsid w:val="00ED7612"/>
    <w:pPr>
      <w:spacing w:after="0" w:line="240" w:lineRule="auto"/>
    </w:pPr>
    <w:rPr>
      <w:rFonts w:ascii="Calibri" w:eastAsia="Calibri" w:hAnsi="Calibri" w:cs="Times New Roman"/>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06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B7CCB251706C946A2A537085AD9BAC9" ma:contentTypeVersion="3" ma:contentTypeDescription="Create a new document." ma:contentTypeScope="" ma:versionID="09e9dba4c20edd71f8da29c9edef144b">
  <xsd:schema xmlns:xsd="http://www.w3.org/2001/XMLSchema" xmlns:xs="http://www.w3.org/2001/XMLSchema" xmlns:p="http://schemas.microsoft.com/office/2006/metadata/properties" xmlns:ns2="6705262f-3e15-439e-9543-588af1f6cd77" targetNamespace="http://schemas.microsoft.com/office/2006/metadata/properties" ma:root="true" ma:fieldsID="c542a91e614684887897a21ccf86fbb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B105F-D42E-475C-81CE-EEFC6B154FE3}">
  <ds:schemaRefs>
    <ds:schemaRef ds:uri="http://schemas.openxmlformats.org/officeDocument/2006/bibliography"/>
  </ds:schemaRefs>
</ds:datastoreItem>
</file>

<file path=customXml/itemProps2.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5.xml><?xml version="1.0" encoding="utf-8"?>
<ds:datastoreItem xmlns:ds="http://schemas.openxmlformats.org/officeDocument/2006/customXml" ds:itemID="{9C421817-1728-4953-A90B-9B5B65252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62f-3e15-439e-9543-588af1f6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7071</Words>
  <Characters>40311</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MZSR</Company>
  <LinksUpToDate>false</LinksUpToDate>
  <CharactersWithSpaces>47288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Melich Michal</dc:creator>
  <cp:lastModifiedBy>Melich Michal</cp:lastModifiedBy>
  <cp:revision>6</cp:revision>
  <cp:lastPrinted>2026-05-04T15:36:00Z</cp:lastPrinted>
  <dcterms:created xsi:type="dcterms:W3CDTF">2026-04-21T09:39:00Z</dcterms:created>
  <dcterms:modified xsi:type="dcterms:W3CDTF">2026-05-04T15:51:00Z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y fmtid="{D5CDD505-2E9C-101B-9397-08002B2CF9AE}" pid="153" name="ContentTypeId">
    <vt:lpwstr>0x0101008B7CCB251706C946A2A537085AD9BAC9</vt:lpwstr>
  </property>
</Properties>
</file>